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51E4" w14:textId="06630C0F" w:rsidR="00E27D3B" w:rsidRDefault="00E27D3B" w:rsidP="00CD4F3A">
      <w:pPr>
        <w:pStyle w:val="BodyText"/>
        <w:spacing w:line="240" w:lineRule="auto"/>
        <w:rPr>
          <w:sz w:val="22"/>
        </w:rPr>
      </w:pPr>
    </w:p>
    <w:sdt>
      <w:sdtPr>
        <w:rPr>
          <w:sz w:val="22"/>
        </w:rPr>
        <w:id w:val="673003491"/>
        <w:docPartObj>
          <w:docPartGallery w:val="Cover Pages"/>
          <w:docPartUnique/>
        </w:docPartObj>
      </w:sdtPr>
      <w:sdtEndPr/>
      <w:sdtContent>
        <w:p w14:paraId="5FD234DE" w14:textId="43B589A5" w:rsidR="00CB4923" w:rsidRPr="00E27D3B" w:rsidRDefault="00CB4923" w:rsidP="00CD4F3A">
          <w:pPr>
            <w:pStyle w:val="BodyText"/>
            <w:spacing w:line="240" w:lineRule="auto"/>
          </w:pPr>
          <w:r w:rsidRPr="00E27D3B">
            <w:rPr>
              <w:noProof/>
            </w:rPr>
            <mc:AlternateContent>
              <mc:Choice Requires="wps">
                <w:drawing>
                  <wp:anchor distT="0" distB="0" distL="114300" distR="114300" simplePos="0" relativeHeight="251658245" behindDoc="0" locked="1" layoutInCell="1" allowOverlap="1" wp14:anchorId="4A3BB175" wp14:editId="44EB5E82">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BB175"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" filled="f" stroked="f" strokeweight=".5pt">
                    <v:textbox inset="0,0,0,0">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sidRPr="00E27D3B">
            <w:rPr>
              <w:noProof/>
            </w:rPr>
            <w:drawing>
              <wp:anchor distT="0" distB="180340" distL="114300" distR="360045" simplePos="0" relativeHeight="251658244" behindDoc="1" locked="1" layoutInCell="1" allowOverlap="1" wp14:anchorId="61D8AD87" wp14:editId="12864AAC">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1E4308C9" w14:textId="1F4F8970" w:rsidR="00CB4923" w:rsidRPr="00E27D3B" w:rsidRDefault="7C7E8E2E" w:rsidP="00CD4F3A">
          <w:pPr>
            <w:pStyle w:val="CoverTitle"/>
            <w:spacing w:line="240" w:lineRule="auto"/>
          </w:pPr>
          <w:r>
            <w:t>Evaluation of Small and Large Disturbance Voltage Stabilities for Power Systems with a High Penetration of Inverter-based Resources</w:t>
          </w:r>
          <w:r w:rsidR="69F79835">
            <w:t xml:space="preserve"> </w:t>
          </w:r>
        </w:p>
        <w:p w14:paraId="0CB4BC39" w14:textId="492308BA" w:rsidR="00CB4923" w:rsidRPr="00E27D3B" w:rsidRDefault="00CB4923" w:rsidP="00CD4F3A">
          <w:pPr>
            <w:pStyle w:val="BodyText"/>
            <w:spacing w:line="240" w:lineRule="auto"/>
          </w:pPr>
        </w:p>
        <w:p w14:paraId="0CA588D6" w14:textId="26A97605" w:rsidR="00CB4923" w:rsidRPr="00E27D3B" w:rsidRDefault="00752FF0" w:rsidP="00CD4F3A">
          <w:pPr>
            <w:pStyle w:val="CoverSubtitle"/>
            <w:framePr w:w="5897" w:h="4899" w:hRule="exact" w:hSpace="113" w:vSpace="680" w:wrap="around" w:vAnchor="page" w:hAnchor="page" w:x="1135" w:y="9294" w:anchorLock="1"/>
          </w:pPr>
          <w:r w:rsidRPr="00E27D3B">
            <w:t>AR-PST Stage 5</w:t>
          </w:r>
          <w:r w:rsidR="00A01C27" w:rsidRPr="00E27D3B">
            <w:t xml:space="preserve"> – Topic 2</w:t>
          </w:r>
          <w:r w:rsidR="00014A8C" w:rsidRPr="00E27D3B">
            <w:t xml:space="preserve"> 2025/26</w:t>
          </w:r>
        </w:p>
        <w:p w14:paraId="467C886B" w14:textId="0EDEF50A" w:rsidR="0083438A" w:rsidRPr="00E27D3B" w:rsidRDefault="0083438A" w:rsidP="00CD4F3A">
          <w:pPr>
            <w:pStyle w:val="BodyText"/>
            <w:framePr w:w="5897" w:h="4899" w:hRule="exact" w:hSpace="113" w:vSpace="680" w:wrap="around" w:vAnchor="page" w:hAnchor="page" w:x="1135" w:y="9294" w:anchorLock="1"/>
            <w:spacing w:line="240" w:lineRule="auto"/>
          </w:pPr>
          <w:r w:rsidRPr="00E27D3B">
            <w:t>Prof. Nima Amjady</w:t>
          </w:r>
        </w:p>
        <w:p w14:paraId="1D130CB9" w14:textId="0CB35D9D" w:rsidR="0083438A" w:rsidRPr="00E27D3B" w:rsidRDefault="0083438A" w:rsidP="00CD4F3A">
          <w:pPr>
            <w:pStyle w:val="BodyText"/>
            <w:framePr w:w="5897" w:h="4899" w:hRule="exact" w:hSpace="113" w:vSpace="680" w:wrap="around" w:vAnchor="page" w:hAnchor="page" w:x="1135" w:y="9294" w:anchorLock="1"/>
            <w:spacing w:line="240" w:lineRule="auto"/>
          </w:pPr>
          <w:r w:rsidRPr="00E27D3B">
            <w:t>A/Prof. Rakibuzzaman Shah</w:t>
          </w:r>
        </w:p>
        <w:p w14:paraId="31FFBC8D" w14:textId="60C9FAF0" w:rsidR="0083438A" w:rsidRPr="00E27D3B" w:rsidRDefault="0083438A" w:rsidP="00CD4F3A">
          <w:pPr>
            <w:pStyle w:val="BodyText"/>
            <w:framePr w:w="5897" w:h="4899" w:hRule="exact" w:hSpace="113" w:vSpace="680" w:wrap="around" w:vAnchor="page" w:hAnchor="page" w:x="1135" w:y="9294" w:anchorLock="1"/>
            <w:spacing w:line="240" w:lineRule="auto"/>
          </w:pPr>
          <w:r w:rsidRPr="00E27D3B">
            <w:t>A/Prof. Rabiul Islam</w:t>
          </w:r>
        </w:p>
        <w:p w14:paraId="5DEEF849" w14:textId="49F418D2" w:rsidR="0083438A" w:rsidRPr="00E27D3B" w:rsidRDefault="0083438A" w:rsidP="00CD4F3A">
          <w:pPr>
            <w:pStyle w:val="BodyText"/>
            <w:framePr w:w="5897" w:h="4899" w:hRule="exact" w:hSpace="113" w:vSpace="680" w:wrap="around" w:vAnchor="page" w:hAnchor="page" w:x="1135" w:y="9294" w:anchorLock="1"/>
            <w:spacing w:line="240" w:lineRule="auto"/>
            <w:rPr>
              <w:lang w:val="de-DE"/>
            </w:rPr>
          </w:pPr>
          <w:r w:rsidRPr="00E27D3B">
            <w:rPr>
              <w:lang w:val="de-DE"/>
            </w:rPr>
            <w:t>Dr. Nabil Mohammed</w:t>
          </w:r>
        </w:p>
        <w:p w14:paraId="6D2F9217" w14:textId="3D6B7D83" w:rsidR="0083438A" w:rsidRPr="00E27D3B" w:rsidRDefault="0083438A" w:rsidP="00CD4F3A">
          <w:pPr>
            <w:pStyle w:val="BodyText"/>
            <w:framePr w:w="5897" w:h="4899" w:hRule="exact" w:hSpace="113" w:vSpace="680" w:wrap="around" w:vAnchor="page" w:hAnchor="page" w:x="1135" w:y="9294" w:anchorLock="1"/>
            <w:spacing w:line="240" w:lineRule="auto"/>
            <w:rPr>
              <w:lang w:val="de-DE"/>
            </w:rPr>
          </w:pPr>
          <w:r w:rsidRPr="00E27D3B">
            <w:rPr>
              <w:lang w:val="de-DE"/>
            </w:rPr>
            <w:t>Dr. Mahbubur Rahman Kiran</w:t>
          </w:r>
        </w:p>
        <w:p w14:paraId="0582086D" w14:textId="4FF0B7DA" w:rsidR="0083438A" w:rsidRPr="00E27D3B" w:rsidRDefault="0083438A" w:rsidP="00CD4F3A">
          <w:pPr>
            <w:pStyle w:val="BodyText"/>
            <w:framePr w:w="5897" w:h="4899" w:hRule="exact" w:hSpace="113" w:vSpace="680" w:wrap="around" w:vAnchor="page" w:hAnchor="page" w:x="1135" w:y="9294" w:anchorLock="1"/>
            <w:spacing w:line="240" w:lineRule="auto"/>
          </w:pPr>
          <w:r w:rsidRPr="00E27D3B">
            <w:t>Dr. Biplob Hossain</w:t>
          </w:r>
        </w:p>
        <w:p w14:paraId="59194EA6" w14:textId="1AA308AA" w:rsidR="0083438A" w:rsidRPr="00E27D3B" w:rsidRDefault="0083438A" w:rsidP="00CD4F3A">
          <w:pPr>
            <w:pStyle w:val="BodyText"/>
            <w:framePr w:w="5897" w:h="4899" w:hRule="exact" w:hSpace="113" w:vSpace="680" w:wrap="around" w:vAnchor="page" w:hAnchor="page" w:x="1135" w:y="9294" w:anchorLock="1"/>
            <w:spacing w:line="240" w:lineRule="auto"/>
          </w:pPr>
          <w:r w:rsidRPr="00E27D3B">
            <w:t>Mr. Md Sazal Miah</w:t>
          </w:r>
        </w:p>
        <w:p w14:paraId="54129F60" w14:textId="1859555A" w:rsidR="0083438A" w:rsidRPr="00E27D3B" w:rsidRDefault="0083438A" w:rsidP="00CD4F3A">
          <w:pPr>
            <w:pStyle w:val="BodyText"/>
            <w:framePr w:w="5897" w:h="4899" w:hRule="exact" w:hSpace="113" w:vSpace="680" w:wrap="around" w:vAnchor="page" w:hAnchor="page" w:x="1135" w:y="9294" w:anchorLock="1"/>
            <w:spacing w:line="240" w:lineRule="auto"/>
          </w:pPr>
          <w:r w:rsidRPr="00E27D3B">
            <w:t xml:space="preserve">Mr. Muhammad Usman Aslam </w:t>
          </w:r>
        </w:p>
        <w:p w14:paraId="457F4113" w14:textId="4BF592D9" w:rsidR="00CB4923" w:rsidRPr="00E27D3B" w:rsidRDefault="00CB4923" w:rsidP="00CD4F3A">
          <w:pPr>
            <w:pStyle w:val="BodyText"/>
            <w:framePr w:w="5897" w:h="4899" w:hRule="exact" w:hSpace="113" w:vSpace="680" w:wrap="around" w:vAnchor="page" w:hAnchor="page" w:x="1135" w:y="9294" w:anchorLock="1"/>
            <w:spacing w:line="240" w:lineRule="auto"/>
          </w:pPr>
          <w:r w:rsidRPr="00E27D3B">
            <w:br/>
          </w:r>
          <w:r w:rsidR="007C47CD">
            <w:t>30</w:t>
          </w:r>
          <w:r w:rsidR="00A22E47" w:rsidRPr="00E27D3B">
            <w:t xml:space="preserve"> </w:t>
          </w:r>
          <w:r w:rsidR="007C47CD">
            <w:t>June</w:t>
          </w:r>
          <w:r w:rsidR="00A22E47" w:rsidRPr="00E27D3B">
            <w:t xml:space="preserve"> 202</w:t>
          </w:r>
          <w:r w:rsidR="00014A8C" w:rsidRPr="00E27D3B">
            <w:t>6</w:t>
          </w:r>
        </w:p>
        <w:p w14:paraId="3DF04CBF" w14:textId="77777777" w:rsidR="00CB4923" w:rsidRPr="00E27D3B" w:rsidRDefault="00CB4923" w:rsidP="00CD4F3A">
          <w:pPr>
            <w:pStyle w:val="BodyText"/>
            <w:framePr w:w="5897" w:h="4899" w:hRule="exact" w:hSpace="113" w:vSpace="680" w:wrap="around" w:vAnchor="page" w:hAnchor="page" w:x="1135" w:y="9294" w:anchorLock="1"/>
            <w:spacing w:line="240" w:lineRule="auto"/>
          </w:pPr>
        </w:p>
        <w:p w14:paraId="46BD02DE" w14:textId="77777777" w:rsidR="00CB4923" w:rsidRPr="00E27D3B" w:rsidRDefault="00CB4923" w:rsidP="00CD4F3A">
          <w:pPr>
            <w:pStyle w:val="BodyText"/>
            <w:framePr w:w="5897" w:h="4899" w:hRule="exact" w:hSpace="113" w:vSpace="680" w:wrap="around" w:vAnchor="page" w:hAnchor="page" w:x="1135" w:y="9294" w:anchorLock="1"/>
            <w:spacing w:line="240" w:lineRule="auto"/>
          </w:pPr>
          <w:r w:rsidRPr="00E27D3B">
            <w:t>[Insert client name (delete if not required)]</w:t>
          </w:r>
          <w:r w:rsidRPr="00E27D3B">
            <w:rPr>
              <w:noProof/>
            </w:rPr>
            <w:t xml:space="preserve"> </w:t>
          </w:r>
          <w:r w:rsidRPr="00E27D3B">
            <w:br/>
            <w:t>[Insert client contact (delete if not required)]</w:t>
          </w:r>
        </w:p>
        <w:p w14:paraId="5C23E36D" w14:textId="77777777" w:rsidR="00CB4923" w:rsidRPr="00E27D3B" w:rsidRDefault="00CB4923" w:rsidP="00CD4F3A">
          <w:pPr>
            <w:pStyle w:val="BodyText"/>
            <w:framePr w:w="5897" w:h="4899" w:hRule="exact" w:hSpace="113" w:vSpace="680" w:wrap="around" w:vAnchor="page" w:hAnchor="page" w:x="1135" w:y="9294" w:anchorLock="1"/>
            <w:spacing w:line="240" w:lineRule="auto"/>
          </w:pPr>
          <w:r w:rsidRPr="00E27D3B">
            <w:t>[Commercial-in-confidence (delete if not required)]</w:t>
          </w:r>
        </w:p>
        <w:p w14:paraId="67D8B233" w14:textId="77777777" w:rsidR="00CB4923" w:rsidRPr="00E27D3B" w:rsidRDefault="00CB4923" w:rsidP="00CD4F3A">
          <w:pPr>
            <w:pStyle w:val="BodyText"/>
            <w:framePr w:w="9809" w:h="1701" w:hRule="exact" w:wrap="notBeside" w:hAnchor="margin" w:yAlign="bottom" w:anchorLock="1"/>
            <w:spacing w:line="240" w:lineRule="auto"/>
          </w:pPr>
        </w:p>
        <w:p w14:paraId="7F39340D" w14:textId="46D24E3C" w:rsidR="00CB4923" w:rsidRPr="00E27D3B" w:rsidRDefault="008F5AED" w:rsidP="00CD4F3A">
          <w:pPr>
            <w:pStyle w:val="BodyText"/>
            <w:framePr w:w="9809" w:h="1701" w:hRule="exact" w:wrap="notBeside" w:hAnchor="margin" w:yAlign="bottom" w:anchorLock="1"/>
            <w:spacing w:line="240" w:lineRule="auto"/>
          </w:pPr>
          <w:r w:rsidRPr="00E27D3B">
            <w:rPr>
              <w:noProof/>
            </w:rPr>
            <w:drawing>
              <wp:inline distT="0" distB="0" distL="0" distR="0" wp14:anchorId="0319E99A" wp14:editId="142378DD">
                <wp:extent cx="2418718" cy="640961"/>
                <wp:effectExtent l="0" t="0" r="635" b="6985"/>
                <wp:docPr id="1025424102" name="Picture 7" descr="A blue text on a black background&#10;&#10;Description automatically generated">
                  <a:extLst xmlns:a="http://schemas.openxmlformats.org/drawingml/2006/main">
                    <a:ext uri="{FF2B5EF4-FFF2-40B4-BE49-F238E27FC236}">
                      <a16:creationId xmlns:a16="http://schemas.microsoft.com/office/drawing/2014/main" id="{32FC2C3A-CD6B-8C60-5EAE-44A8F8CBC346}"/>
                    </a:ext>
                  </a:extLst>
                </wp:docPr>
                <wp:cNvGraphicFramePr/>
                <a:graphic xmlns:a="http://schemas.openxmlformats.org/drawingml/2006/main">
                  <a:graphicData uri="http://schemas.openxmlformats.org/drawingml/2006/picture">
                    <pic:pic xmlns:pic="http://schemas.openxmlformats.org/drawingml/2006/picture">
                      <pic:nvPicPr>
                        <pic:cNvPr id="8" name="Picture 7" descr="A blue text on a black background&#10;&#10;Description automatically generated">
                          <a:extLst>
                            <a:ext uri="{FF2B5EF4-FFF2-40B4-BE49-F238E27FC236}">
                              <a16:creationId xmlns:a16="http://schemas.microsoft.com/office/drawing/2014/main" id="{32FC2C3A-CD6B-8C60-5EAE-44A8F8CBC346}"/>
                            </a:ext>
                          </a:extLst>
                        </pic:cNvPr>
                        <pic:cNvPicPr/>
                      </pic:nvPicPr>
                      <pic:blipFill>
                        <a:blip r:embed="rId12" cstate="screen">
                          <a:extLst>
                            <a:ext uri="{28A0092B-C50C-407E-A947-70E740481C1C}">
                              <a14:useLocalDpi xmlns:a14="http://schemas.microsoft.com/office/drawing/2010/main"/>
                            </a:ext>
                          </a:extLst>
                        </a:blip>
                        <a:stretch>
                          <a:fillRect/>
                        </a:stretch>
                      </pic:blipFill>
                      <pic:spPr>
                        <a:xfrm>
                          <a:off x="0" y="0"/>
                          <a:ext cx="2418718" cy="640961"/>
                        </a:xfrm>
                        <a:prstGeom prst="rect">
                          <a:avLst/>
                        </a:prstGeom>
                      </pic:spPr>
                    </pic:pic>
                  </a:graphicData>
                </a:graphic>
              </wp:inline>
            </w:drawing>
          </w:r>
          <w:r w:rsidR="00911EAE" w:rsidRPr="00E27D3B">
            <w:rPr>
              <w:noProof/>
              <w:sz w:val="22"/>
            </w:rPr>
            <w:t xml:space="preserve"> </w:t>
          </w:r>
          <w:r w:rsidR="00911EAE" w:rsidRPr="00E27D3B">
            <w:t xml:space="preserve">                         </w:t>
          </w:r>
          <w:r w:rsidR="00911EAE" w:rsidRPr="00E27D3B">
            <w:rPr>
              <w:noProof/>
            </w:rPr>
            <w:drawing>
              <wp:inline distT="0" distB="0" distL="0" distR="0" wp14:anchorId="1E86BF6A" wp14:editId="326A0BDE">
                <wp:extent cx="2167320" cy="700767"/>
                <wp:effectExtent l="0" t="0" r="4445" b="4445"/>
                <wp:docPr id="3074" name="Picture 2">
                  <a:extLst xmlns:a="http://schemas.openxmlformats.org/drawingml/2006/main">
                    <a:ext uri="{FF2B5EF4-FFF2-40B4-BE49-F238E27FC236}">
                      <a16:creationId xmlns:a16="http://schemas.microsoft.com/office/drawing/2014/main" id="{D40C0715-439F-98A9-0EE7-A5CBE82367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D40C0715-439F-98A9-0EE7-A5CBE823673D}"/>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7320" cy="70076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08EDBA5" w14:textId="42D4181B" w:rsidR="00CB4923" w:rsidRPr="00E27D3B" w:rsidRDefault="00CB4923" w:rsidP="00CD4F3A">
          <w:pPr>
            <w:pStyle w:val="BodyText"/>
            <w:framePr w:w="9809" w:h="1701" w:hRule="exact" w:wrap="notBeside" w:hAnchor="margin" w:yAlign="bottom" w:anchorLock="1"/>
            <w:spacing w:before="0" w:after="0" w:line="240" w:lineRule="auto"/>
          </w:pPr>
          <w:r w:rsidRPr="00E27D3B">
            <w:t xml:space="preserve">[Insert partner or collaborator logos here, scale to fit, 3cm maximum height (delete if not required)]                   </w:t>
          </w:r>
        </w:p>
        <w:p w14:paraId="138D2BC6" w14:textId="4203004D" w:rsidR="00CB4923" w:rsidRPr="00E27D3B" w:rsidRDefault="00CB4923" w:rsidP="00CD4F3A">
          <w:pPr>
            <w:spacing w:after="0"/>
            <w:rPr>
              <w:sz w:val="24"/>
            </w:rPr>
          </w:pPr>
          <w:r w:rsidRPr="00E27D3B">
            <w:rPr>
              <w:noProof/>
            </w:rPr>
            <mc:AlternateContent>
              <mc:Choice Requires="wps">
                <w:drawing>
                  <wp:anchor distT="0" distB="0" distL="114300" distR="114300" simplePos="0" relativeHeight="251658246" behindDoc="1" locked="1" layoutInCell="1" allowOverlap="1" wp14:anchorId="3E6E9988" wp14:editId="149579A5">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08B0D5" id="Straight Connector 108" o:spid="_x0000_s1026" alt="&quot;&quot;" style="position:absolute;z-index:-25165823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E27D3B">
            <w:br w:type="page"/>
          </w:r>
        </w:p>
      </w:sdtContent>
    </w:sdt>
    <w:p w14:paraId="11B8C1D7" w14:textId="77777777" w:rsidR="00A943B2" w:rsidRPr="00E27D3B" w:rsidRDefault="00A943B2" w:rsidP="00CD4F3A">
      <w:pPr>
        <w:pStyle w:val="VersoPageHeading"/>
      </w:pPr>
      <w:r w:rsidRPr="00E27D3B">
        <w:lastRenderedPageBreak/>
        <w:t>Citation</w:t>
      </w:r>
    </w:p>
    <w:p w14:paraId="77F12041" w14:textId="52A4F0A9" w:rsidR="00A943B2" w:rsidRPr="00E27D3B" w:rsidRDefault="00FD203A" w:rsidP="00CD4F3A">
      <w:pPr>
        <w:pStyle w:val="BodyText"/>
        <w:spacing w:line="240" w:lineRule="auto"/>
      </w:pPr>
      <w:r w:rsidRPr="00E27D3B">
        <w:t>Amjady N, Shah R, Islam MR, Mohammed N, Rahman Kiran M, Hossain MB, Miah MS and Aslam MU (202</w:t>
      </w:r>
      <w:r w:rsidR="00B470CA">
        <w:t>6</w:t>
      </w:r>
      <w:r w:rsidRPr="00E27D3B">
        <w:t>)</w:t>
      </w:r>
      <w:r w:rsidR="00E66911" w:rsidRPr="00E27D3B">
        <w:t xml:space="preserve"> Topic 2 -</w:t>
      </w:r>
      <w:r w:rsidRPr="00E27D3B">
        <w:t xml:space="preserve"> Evaluation of Small and Large Disturbance Voltage Stabilities for Power Systems with a High Penetration of Inverter-based Resources</w:t>
      </w:r>
      <w:r w:rsidR="00A943B2" w:rsidRPr="00E27D3B">
        <w:t xml:space="preserve">. CSIRO, Australia. </w:t>
      </w:r>
    </w:p>
    <w:p w14:paraId="786F64EE" w14:textId="77777777" w:rsidR="00A943B2" w:rsidRPr="00E27D3B" w:rsidRDefault="00A943B2" w:rsidP="00CD4F3A">
      <w:pPr>
        <w:pStyle w:val="VersoPageHeading"/>
      </w:pPr>
      <w:r w:rsidRPr="00E27D3B">
        <w:t xml:space="preserve">Copyright </w:t>
      </w:r>
    </w:p>
    <w:p w14:paraId="64800076" w14:textId="35C9D7A6" w:rsidR="00A943B2" w:rsidRPr="00E27D3B" w:rsidRDefault="004D7860" w:rsidP="00CD4F3A">
      <w:pPr>
        <w:pStyle w:val="BodyText"/>
        <w:spacing w:line="240" w:lineRule="auto"/>
      </w:pPr>
      <w:r w:rsidRPr="00E27D3B">
        <w:t>© Commonwealth Scientific and Industrial Research Organisation 20</w:t>
      </w:r>
      <w:r w:rsidR="006B7E3A" w:rsidRPr="00E27D3B">
        <w:t>26</w:t>
      </w:r>
      <w:r w:rsidRPr="00E27D3B">
        <w:t xml:space="preserve">. </w:t>
      </w:r>
      <w:r w:rsidR="00A943B2" w:rsidRPr="00E27D3B">
        <w:t>To the extent permitted by law, all rights are reserved and no part of this publication covered by copyright may be reproduced or copied in any form or by any means except with the written permission of CSIRO.</w:t>
      </w:r>
    </w:p>
    <w:p w14:paraId="1D9E8E67" w14:textId="77777777" w:rsidR="00A943B2" w:rsidRPr="00E27D3B" w:rsidRDefault="00A943B2" w:rsidP="00CD4F3A">
      <w:pPr>
        <w:pStyle w:val="VersoPageHeading"/>
      </w:pPr>
      <w:r w:rsidRPr="00E27D3B">
        <w:t>Important disclaimer</w:t>
      </w:r>
    </w:p>
    <w:p w14:paraId="66C9CF98" w14:textId="77777777" w:rsidR="00A943B2" w:rsidRPr="00E27D3B" w:rsidRDefault="00A943B2" w:rsidP="00CD4F3A">
      <w:pPr>
        <w:pStyle w:val="BodyText"/>
        <w:spacing w:line="240" w:lineRule="auto"/>
      </w:pPr>
      <w:r w:rsidRPr="00E27D3B">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72DF3AD" w14:textId="1BED6394" w:rsidR="00590FC9" w:rsidRPr="00E27D3B" w:rsidRDefault="004D1FAA" w:rsidP="00CD4F3A">
      <w:pPr>
        <w:pStyle w:val="BodyText"/>
        <w:spacing w:line="240" w:lineRule="auto"/>
      </w:pPr>
      <w:bookmarkStart w:id="0" w:name="_Hlk85218697"/>
      <w:r w:rsidRPr="00E27D3B">
        <w:t xml:space="preserve">CSIRO is committed to providing web accessible content wherever possible. If you are having difficulties with accessing this </w:t>
      </w:r>
      <w:proofErr w:type="gramStart"/>
      <w:r w:rsidRPr="00E27D3B">
        <w:t>document</w:t>
      </w:r>
      <w:proofErr w:type="gramEnd"/>
      <w:r w:rsidRPr="00E27D3B">
        <w:t xml:space="preserve"> please contact </w:t>
      </w:r>
      <w:hyperlink r:id="rId14" w:tooltip="Contact CSIRO" w:history="1">
        <w:r w:rsidRPr="00E27D3B">
          <w:rPr>
            <w:rStyle w:val="Hyperlink"/>
          </w:rPr>
          <w:t>csiro.au</w:t>
        </w:r>
      </w:hyperlink>
      <w:r w:rsidRPr="00E27D3B">
        <w:rPr>
          <w:rStyle w:val="Hyperlink"/>
        </w:rPr>
        <w:t>/contact</w:t>
      </w:r>
      <w:bookmarkEnd w:id="0"/>
      <w:r w:rsidR="002F6753" w:rsidRPr="00E27D3B">
        <w:t>.</w:t>
      </w:r>
    </w:p>
    <w:p w14:paraId="13E74D77" w14:textId="77777777" w:rsidR="004A6521" w:rsidRPr="00E27D3B" w:rsidRDefault="004A6521" w:rsidP="00CD4F3A">
      <w:pPr>
        <w:pStyle w:val="BodyText"/>
        <w:spacing w:line="240" w:lineRule="auto"/>
        <w:sectPr w:rsidR="004A6521" w:rsidRPr="00E27D3B" w:rsidSect="00AE0D97">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134" w:header="510" w:footer="624" w:gutter="0"/>
          <w:pgNumType w:fmt="lowerRoman" w:start="1"/>
          <w:cols w:space="284"/>
          <w:docGrid w:linePitch="360"/>
        </w:sectPr>
      </w:pPr>
    </w:p>
    <w:p w14:paraId="2612E198" w14:textId="77777777" w:rsidR="00A943B2" w:rsidRPr="00E27D3B" w:rsidRDefault="00A943B2" w:rsidP="00CD4F3A">
      <w:pPr>
        <w:pStyle w:val="Heading1noTOC"/>
        <w:spacing w:line="240" w:lineRule="auto"/>
      </w:pPr>
      <w:r w:rsidRPr="00E27D3B">
        <w:lastRenderedPageBreak/>
        <w:t>Contents</w:t>
      </w:r>
    </w:p>
    <w:p w14:paraId="3CDBBA7E" w14:textId="7FED5D49" w:rsidR="004048A1" w:rsidRDefault="009959BB">
      <w:pPr>
        <w:pStyle w:val="TOC2"/>
        <w:rPr>
          <w:rFonts w:asciiTheme="minorHAnsi" w:eastAsiaTheme="minorEastAsia" w:hAnsiTheme="minorHAnsi" w:cstheme="minorBidi"/>
          <w:color w:val="auto"/>
          <w:kern w:val="2"/>
          <w:szCs w:val="24"/>
          <w14:ligatures w14:val="standardContextual"/>
        </w:rPr>
      </w:pPr>
      <w:r w:rsidRPr="00E27D3B">
        <w:fldChar w:fldCharType="begin"/>
      </w:r>
      <w:r w:rsidR="00462182" w:rsidRPr="00E27D3B">
        <w:instrText xml:space="preserve"> TOC \h \z \t "Heading 1,2,Heading 2,3,PartTitle,1,Heading 1 Numbered,2,Heading 1 not numbered,2,Heading 2 not numbered,3,Appendix Heading 1,2" </w:instrText>
      </w:r>
      <w:r w:rsidRPr="00E27D3B">
        <w:fldChar w:fldCharType="separate"/>
      </w:r>
      <w:hyperlink w:anchor="_Toc233734286" w:history="1">
        <w:r w:rsidR="004048A1" w:rsidRPr="007E7FB5">
          <w:rPr>
            <w:rStyle w:val="Hyperlink"/>
          </w:rPr>
          <w:t>Acknowledgments</w:t>
        </w:r>
        <w:r w:rsidR="004048A1">
          <w:rPr>
            <w:webHidden/>
          </w:rPr>
          <w:tab/>
        </w:r>
        <w:r w:rsidR="004048A1">
          <w:rPr>
            <w:webHidden/>
          </w:rPr>
          <w:fldChar w:fldCharType="begin"/>
        </w:r>
        <w:r w:rsidR="004048A1">
          <w:rPr>
            <w:webHidden/>
          </w:rPr>
          <w:instrText xml:space="preserve"> PAGEREF _Toc233734286 \h </w:instrText>
        </w:r>
        <w:r w:rsidR="004048A1">
          <w:rPr>
            <w:webHidden/>
          </w:rPr>
        </w:r>
        <w:r w:rsidR="004048A1">
          <w:rPr>
            <w:webHidden/>
          </w:rPr>
          <w:fldChar w:fldCharType="separate"/>
        </w:r>
        <w:r w:rsidR="004048A1">
          <w:rPr>
            <w:webHidden/>
          </w:rPr>
          <w:t>10</w:t>
        </w:r>
        <w:r w:rsidR="004048A1">
          <w:rPr>
            <w:webHidden/>
          </w:rPr>
          <w:fldChar w:fldCharType="end"/>
        </w:r>
      </w:hyperlink>
    </w:p>
    <w:p w14:paraId="548E3543" w14:textId="0F90A1D7"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287" w:history="1">
        <w:r w:rsidRPr="007E7FB5">
          <w:rPr>
            <w:rStyle w:val="Hyperlink"/>
          </w:rPr>
          <w:t>Executive Summary</w:t>
        </w:r>
        <w:r>
          <w:rPr>
            <w:webHidden/>
          </w:rPr>
          <w:tab/>
        </w:r>
        <w:r>
          <w:rPr>
            <w:webHidden/>
          </w:rPr>
          <w:fldChar w:fldCharType="begin"/>
        </w:r>
        <w:r>
          <w:rPr>
            <w:webHidden/>
          </w:rPr>
          <w:instrText xml:space="preserve"> PAGEREF _Toc233734287 \h </w:instrText>
        </w:r>
        <w:r>
          <w:rPr>
            <w:webHidden/>
          </w:rPr>
        </w:r>
        <w:r>
          <w:rPr>
            <w:webHidden/>
          </w:rPr>
          <w:fldChar w:fldCharType="separate"/>
        </w:r>
        <w:r>
          <w:rPr>
            <w:webHidden/>
          </w:rPr>
          <w:t>11</w:t>
        </w:r>
        <w:r>
          <w:rPr>
            <w:webHidden/>
          </w:rPr>
          <w:fldChar w:fldCharType="end"/>
        </w:r>
      </w:hyperlink>
    </w:p>
    <w:p w14:paraId="6E9E1BBC" w14:textId="4590B8FB"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288" w:history="1">
        <w:r w:rsidRPr="007E7FB5">
          <w:rPr>
            <w:rStyle w:val="Hyperlink"/>
          </w:rPr>
          <w:t>Part I</w:t>
        </w:r>
        <w:r>
          <w:rPr>
            <w:rFonts w:asciiTheme="minorHAnsi" w:eastAsiaTheme="minorEastAsia" w:hAnsiTheme="minorHAnsi" w:cstheme="minorBidi"/>
            <w:b w:val="0"/>
            <w:color w:val="auto"/>
            <w:kern w:val="2"/>
            <w:szCs w:val="24"/>
            <w14:ligatures w14:val="standardContextual"/>
          </w:rPr>
          <w:tab/>
        </w:r>
        <w:r w:rsidRPr="007E7FB5">
          <w:rPr>
            <w:rStyle w:val="Hyperlink"/>
          </w:rPr>
          <w:t>Introduction and Background</w:t>
        </w:r>
        <w:r>
          <w:rPr>
            <w:webHidden/>
          </w:rPr>
          <w:tab/>
        </w:r>
        <w:r>
          <w:rPr>
            <w:webHidden/>
          </w:rPr>
          <w:fldChar w:fldCharType="begin"/>
        </w:r>
        <w:r>
          <w:rPr>
            <w:webHidden/>
          </w:rPr>
          <w:instrText xml:space="preserve"> PAGEREF _Toc233734288 \h </w:instrText>
        </w:r>
        <w:r>
          <w:rPr>
            <w:webHidden/>
          </w:rPr>
        </w:r>
        <w:r>
          <w:rPr>
            <w:webHidden/>
          </w:rPr>
          <w:fldChar w:fldCharType="separate"/>
        </w:r>
        <w:r>
          <w:rPr>
            <w:webHidden/>
          </w:rPr>
          <w:t>15</w:t>
        </w:r>
        <w:r>
          <w:rPr>
            <w:webHidden/>
          </w:rPr>
          <w:fldChar w:fldCharType="end"/>
        </w:r>
      </w:hyperlink>
    </w:p>
    <w:p w14:paraId="429AF7AE" w14:textId="36C21F28"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289" w:history="1">
        <w:r w:rsidRPr="007E7FB5">
          <w:rPr>
            <w:rStyle w:val="Hyperlink"/>
          </w:rPr>
          <w:t>1</w:t>
        </w:r>
        <w:r>
          <w:rPr>
            <w:rFonts w:asciiTheme="minorHAnsi" w:eastAsiaTheme="minorEastAsia" w:hAnsiTheme="minorHAnsi" w:cstheme="minorBidi"/>
            <w:color w:val="auto"/>
            <w:kern w:val="2"/>
            <w:szCs w:val="24"/>
            <w14:ligatures w14:val="standardContextual"/>
          </w:rPr>
          <w:tab/>
        </w:r>
        <w:r w:rsidRPr="007E7FB5">
          <w:rPr>
            <w:rStyle w:val="Hyperlink"/>
          </w:rPr>
          <w:t>Introduction and Background</w:t>
        </w:r>
        <w:r>
          <w:rPr>
            <w:webHidden/>
          </w:rPr>
          <w:tab/>
        </w:r>
        <w:r>
          <w:rPr>
            <w:webHidden/>
          </w:rPr>
          <w:fldChar w:fldCharType="begin"/>
        </w:r>
        <w:r>
          <w:rPr>
            <w:webHidden/>
          </w:rPr>
          <w:instrText xml:space="preserve"> PAGEREF _Toc233734289 \h </w:instrText>
        </w:r>
        <w:r>
          <w:rPr>
            <w:webHidden/>
          </w:rPr>
        </w:r>
        <w:r>
          <w:rPr>
            <w:webHidden/>
          </w:rPr>
          <w:fldChar w:fldCharType="separate"/>
        </w:r>
        <w:r>
          <w:rPr>
            <w:webHidden/>
          </w:rPr>
          <w:t>16</w:t>
        </w:r>
        <w:r>
          <w:rPr>
            <w:webHidden/>
          </w:rPr>
          <w:fldChar w:fldCharType="end"/>
        </w:r>
      </w:hyperlink>
    </w:p>
    <w:p w14:paraId="4E1C95C4" w14:textId="2C7946E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0" w:history="1">
        <w:r w:rsidRPr="007E7FB5">
          <w:rPr>
            <w:rStyle w:val="Hyperlink"/>
            <w:noProof/>
          </w:rPr>
          <w:t>1.1</w:t>
        </w:r>
        <w:r>
          <w:rPr>
            <w:rFonts w:asciiTheme="minorHAnsi" w:eastAsiaTheme="minorEastAsia" w:hAnsiTheme="minorHAnsi" w:cstheme="minorBidi"/>
            <w:noProof/>
            <w:color w:val="auto"/>
            <w:kern w:val="2"/>
            <w:szCs w:val="24"/>
            <w14:ligatures w14:val="standardContextual"/>
          </w:rPr>
          <w:tab/>
        </w:r>
        <w:r w:rsidRPr="007E7FB5">
          <w:rPr>
            <w:rStyle w:val="Hyperlink"/>
            <w:noProof/>
          </w:rPr>
          <w:t>Background</w:t>
        </w:r>
        <w:r>
          <w:rPr>
            <w:noProof/>
            <w:webHidden/>
          </w:rPr>
          <w:tab/>
        </w:r>
        <w:r>
          <w:rPr>
            <w:noProof/>
            <w:webHidden/>
          </w:rPr>
          <w:fldChar w:fldCharType="begin"/>
        </w:r>
        <w:r>
          <w:rPr>
            <w:noProof/>
            <w:webHidden/>
          </w:rPr>
          <w:instrText xml:space="preserve"> PAGEREF _Toc233734290 \h </w:instrText>
        </w:r>
        <w:r>
          <w:rPr>
            <w:noProof/>
            <w:webHidden/>
          </w:rPr>
        </w:r>
        <w:r>
          <w:rPr>
            <w:noProof/>
            <w:webHidden/>
          </w:rPr>
          <w:fldChar w:fldCharType="separate"/>
        </w:r>
        <w:r>
          <w:rPr>
            <w:noProof/>
            <w:webHidden/>
          </w:rPr>
          <w:t>16</w:t>
        </w:r>
        <w:r>
          <w:rPr>
            <w:noProof/>
            <w:webHidden/>
          </w:rPr>
          <w:fldChar w:fldCharType="end"/>
        </w:r>
      </w:hyperlink>
    </w:p>
    <w:p w14:paraId="39AA6BF3" w14:textId="187B7D40"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1" w:history="1">
        <w:r w:rsidRPr="007E7FB5">
          <w:rPr>
            <w:rStyle w:val="Hyperlink"/>
            <w:noProof/>
          </w:rPr>
          <w:t>1.2</w:t>
        </w:r>
        <w:r>
          <w:rPr>
            <w:rFonts w:asciiTheme="minorHAnsi" w:eastAsiaTheme="minorEastAsia" w:hAnsiTheme="minorHAnsi" w:cstheme="minorBidi"/>
            <w:noProof/>
            <w:color w:val="auto"/>
            <w:kern w:val="2"/>
            <w:szCs w:val="24"/>
            <w14:ligatures w14:val="standardContextual"/>
          </w:rPr>
          <w:tab/>
        </w:r>
        <w:r w:rsidRPr="007E7FB5">
          <w:rPr>
            <w:rStyle w:val="Hyperlink"/>
            <w:noProof/>
          </w:rPr>
          <w:t>Research Relevance to Australia</w:t>
        </w:r>
        <w:r>
          <w:rPr>
            <w:noProof/>
            <w:webHidden/>
          </w:rPr>
          <w:tab/>
        </w:r>
        <w:r>
          <w:rPr>
            <w:noProof/>
            <w:webHidden/>
          </w:rPr>
          <w:fldChar w:fldCharType="begin"/>
        </w:r>
        <w:r>
          <w:rPr>
            <w:noProof/>
            <w:webHidden/>
          </w:rPr>
          <w:instrText xml:space="preserve"> PAGEREF _Toc233734291 \h </w:instrText>
        </w:r>
        <w:r>
          <w:rPr>
            <w:noProof/>
            <w:webHidden/>
          </w:rPr>
        </w:r>
        <w:r>
          <w:rPr>
            <w:noProof/>
            <w:webHidden/>
          </w:rPr>
          <w:fldChar w:fldCharType="separate"/>
        </w:r>
        <w:r>
          <w:rPr>
            <w:noProof/>
            <w:webHidden/>
          </w:rPr>
          <w:t>18</w:t>
        </w:r>
        <w:r>
          <w:rPr>
            <w:noProof/>
            <w:webHidden/>
          </w:rPr>
          <w:fldChar w:fldCharType="end"/>
        </w:r>
      </w:hyperlink>
    </w:p>
    <w:p w14:paraId="59FC2AC2" w14:textId="6B7575F8"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2" w:history="1">
        <w:r w:rsidRPr="007E7FB5">
          <w:rPr>
            <w:rStyle w:val="Hyperlink"/>
            <w:noProof/>
          </w:rPr>
          <w:t>1.3</w:t>
        </w:r>
        <w:r>
          <w:rPr>
            <w:rFonts w:asciiTheme="minorHAnsi" w:eastAsiaTheme="minorEastAsia" w:hAnsiTheme="minorHAnsi" w:cstheme="minorBidi"/>
            <w:noProof/>
            <w:color w:val="auto"/>
            <w:kern w:val="2"/>
            <w:szCs w:val="24"/>
            <w14:ligatures w14:val="standardContextual"/>
          </w:rPr>
          <w:tab/>
        </w:r>
        <w:r w:rsidRPr="007E7FB5">
          <w:rPr>
            <w:rStyle w:val="Hyperlink"/>
            <w:noProof/>
          </w:rPr>
          <w:t>Relation to the Research Roadmap and Previous Stages</w:t>
        </w:r>
        <w:r>
          <w:rPr>
            <w:noProof/>
            <w:webHidden/>
          </w:rPr>
          <w:tab/>
        </w:r>
        <w:r>
          <w:rPr>
            <w:noProof/>
            <w:webHidden/>
          </w:rPr>
          <w:fldChar w:fldCharType="begin"/>
        </w:r>
        <w:r>
          <w:rPr>
            <w:noProof/>
            <w:webHidden/>
          </w:rPr>
          <w:instrText xml:space="preserve"> PAGEREF _Toc233734292 \h </w:instrText>
        </w:r>
        <w:r>
          <w:rPr>
            <w:noProof/>
            <w:webHidden/>
          </w:rPr>
        </w:r>
        <w:r>
          <w:rPr>
            <w:noProof/>
            <w:webHidden/>
          </w:rPr>
          <w:fldChar w:fldCharType="separate"/>
        </w:r>
        <w:r>
          <w:rPr>
            <w:noProof/>
            <w:webHidden/>
          </w:rPr>
          <w:t>19</w:t>
        </w:r>
        <w:r>
          <w:rPr>
            <w:noProof/>
            <w:webHidden/>
          </w:rPr>
          <w:fldChar w:fldCharType="end"/>
        </w:r>
      </w:hyperlink>
    </w:p>
    <w:p w14:paraId="3A013A61" w14:textId="4D67141E"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3" w:history="1">
        <w:r w:rsidRPr="007E7FB5">
          <w:rPr>
            <w:rStyle w:val="Hyperlink"/>
            <w:noProof/>
          </w:rPr>
          <w:t>1.4</w:t>
        </w:r>
        <w:r>
          <w:rPr>
            <w:rFonts w:asciiTheme="minorHAnsi" w:eastAsiaTheme="minorEastAsia" w:hAnsiTheme="minorHAnsi" w:cstheme="minorBidi"/>
            <w:noProof/>
            <w:color w:val="auto"/>
            <w:kern w:val="2"/>
            <w:szCs w:val="24"/>
            <w14:ligatures w14:val="standardContextual"/>
          </w:rPr>
          <w:tab/>
        </w:r>
        <w:r w:rsidRPr="007E7FB5">
          <w:rPr>
            <w:rStyle w:val="Hyperlink"/>
            <w:noProof/>
          </w:rPr>
          <w:t>Progress Against the Roadmap</w:t>
        </w:r>
        <w:r>
          <w:rPr>
            <w:noProof/>
            <w:webHidden/>
          </w:rPr>
          <w:tab/>
        </w:r>
        <w:r>
          <w:rPr>
            <w:noProof/>
            <w:webHidden/>
          </w:rPr>
          <w:fldChar w:fldCharType="begin"/>
        </w:r>
        <w:r>
          <w:rPr>
            <w:noProof/>
            <w:webHidden/>
          </w:rPr>
          <w:instrText xml:space="preserve"> PAGEREF _Toc233734293 \h </w:instrText>
        </w:r>
        <w:r>
          <w:rPr>
            <w:noProof/>
            <w:webHidden/>
          </w:rPr>
        </w:r>
        <w:r>
          <w:rPr>
            <w:noProof/>
            <w:webHidden/>
          </w:rPr>
          <w:fldChar w:fldCharType="separate"/>
        </w:r>
        <w:r>
          <w:rPr>
            <w:noProof/>
            <w:webHidden/>
          </w:rPr>
          <w:t>20</w:t>
        </w:r>
        <w:r>
          <w:rPr>
            <w:noProof/>
            <w:webHidden/>
          </w:rPr>
          <w:fldChar w:fldCharType="end"/>
        </w:r>
      </w:hyperlink>
    </w:p>
    <w:p w14:paraId="5C297646" w14:textId="4D530630"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4" w:history="1">
        <w:r w:rsidRPr="007E7FB5">
          <w:rPr>
            <w:rStyle w:val="Hyperlink"/>
            <w:noProof/>
          </w:rPr>
          <w:t>1.5</w:t>
        </w:r>
        <w:r>
          <w:rPr>
            <w:rFonts w:asciiTheme="minorHAnsi" w:eastAsiaTheme="minorEastAsia" w:hAnsiTheme="minorHAnsi" w:cstheme="minorBidi"/>
            <w:noProof/>
            <w:color w:val="auto"/>
            <w:kern w:val="2"/>
            <w:szCs w:val="24"/>
            <w14:ligatures w14:val="standardContextual"/>
          </w:rPr>
          <w:tab/>
        </w:r>
        <w:r w:rsidRPr="007E7FB5">
          <w:rPr>
            <w:rStyle w:val="Hyperlink"/>
            <w:noProof/>
          </w:rPr>
          <w:t>Summary of Stage 5 Research Achievements</w:t>
        </w:r>
        <w:r>
          <w:rPr>
            <w:noProof/>
            <w:webHidden/>
          </w:rPr>
          <w:tab/>
        </w:r>
        <w:r>
          <w:rPr>
            <w:noProof/>
            <w:webHidden/>
          </w:rPr>
          <w:fldChar w:fldCharType="begin"/>
        </w:r>
        <w:r>
          <w:rPr>
            <w:noProof/>
            <w:webHidden/>
          </w:rPr>
          <w:instrText xml:space="preserve"> PAGEREF _Toc233734294 \h </w:instrText>
        </w:r>
        <w:r>
          <w:rPr>
            <w:noProof/>
            <w:webHidden/>
          </w:rPr>
        </w:r>
        <w:r>
          <w:rPr>
            <w:noProof/>
            <w:webHidden/>
          </w:rPr>
          <w:fldChar w:fldCharType="separate"/>
        </w:r>
        <w:r>
          <w:rPr>
            <w:noProof/>
            <w:webHidden/>
          </w:rPr>
          <w:t>22</w:t>
        </w:r>
        <w:r>
          <w:rPr>
            <w:noProof/>
            <w:webHidden/>
          </w:rPr>
          <w:fldChar w:fldCharType="end"/>
        </w:r>
      </w:hyperlink>
    </w:p>
    <w:p w14:paraId="3DAB4FDE" w14:textId="67710106"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295" w:history="1">
        <w:r w:rsidRPr="007E7FB5">
          <w:rPr>
            <w:rStyle w:val="Hyperlink"/>
          </w:rPr>
          <w:t>Part II</w:t>
        </w:r>
        <w:r>
          <w:rPr>
            <w:rFonts w:asciiTheme="minorHAnsi" w:eastAsiaTheme="minorEastAsia" w:hAnsiTheme="minorHAnsi" w:cstheme="minorBidi"/>
            <w:b w:val="0"/>
            <w:color w:val="auto"/>
            <w:kern w:val="2"/>
            <w:szCs w:val="24"/>
            <w14:ligatures w14:val="standardContextual"/>
          </w:rPr>
          <w:tab/>
        </w:r>
        <w:r w:rsidRPr="007E7FB5">
          <w:rPr>
            <w:rStyle w:val="Hyperlink"/>
          </w:rPr>
          <w:t xml:space="preserve">Small-signal Stability </w:t>
        </w:r>
        <w:r>
          <w:rPr>
            <w:webHidden/>
          </w:rPr>
          <w:tab/>
        </w:r>
        <w:r>
          <w:rPr>
            <w:webHidden/>
          </w:rPr>
          <w:fldChar w:fldCharType="begin"/>
        </w:r>
        <w:r>
          <w:rPr>
            <w:webHidden/>
          </w:rPr>
          <w:instrText xml:space="preserve"> PAGEREF _Toc233734295 \h </w:instrText>
        </w:r>
        <w:r>
          <w:rPr>
            <w:webHidden/>
          </w:rPr>
        </w:r>
        <w:r>
          <w:rPr>
            <w:webHidden/>
          </w:rPr>
          <w:fldChar w:fldCharType="separate"/>
        </w:r>
        <w:r>
          <w:rPr>
            <w:webHidden/>
          </w:rPr>
          <w:t>25</w:t>
        </w:r>
        <w:r>
          <w:rPr>
            <w:webHidden/>
          </w:rPr>
          <w:fldChar w:fldCharType="end"/>
        </w:r>
      </w:hyperlink>
    </w:p>
    <w:p w14:paraId="7023DBD3" w14:textId="5EDAB0CA"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296" w:history="1">
        <w:r w:rsidRPr="007E7FB5">
          <w:rPr>
            <w:rStyle w:val="Hyperlink"/>
          </w:rPr>
          <w:t>2</w:t>
        </w:r>
        <w:r>
          <w:rPr>
            <w:rFonts w:asciiTheme="minorHAnsi" w:eastAsiaTheme="minorEastAsia" w:hAnsiTheme="minorHAnsi" w:cstheme="minorBidi"/>
            <w:color w:val="auto"/>
            <w:kern w:val="2"/>
            <w:szCs w:val="24"/>
            <w14:ligatures w14:val="standardContextual"/>
          </w:rPr>
          <w:tab/>
        </w:r>
        <w:r w:rsidRPr="007E7FB5">
          <w:rPr>
            <w:rStyle w:val="Hyperlink"/>
          </w:rPr>
          <w:t>Evaluation of Small-signal Stability of Power Systems with Different Controls of Grid-following and Grid-forming Inverters</w:t>
        </w:r>
        <w:r>
          <w:rPr>
            <w:webHidden/>
          </w:rPr>
          <w:tab/>
        </w:r>
        <w:r>
          <w:rPr>
            <w:webHidden/>
          </w:rPr>
          <w:fldChar w:fldCharType="begin"/>
        </w:r>
        <w:r>
          <w:rPr>
            <w:webHidden/>
          </w:rPr>
          <w:instrText xml:space="preserve"> PAGEREF _Toc233734296 \h </w:instrText>
        </w:r>
        <w:r>
          <w:rPr>
            <w:webHidden/>
          </w:rPr>
        </w:r>
        <w:r>
          <w:rPr>
            <w:webHidden/>
          </w:rPr>
          <w:fldChar w:fldCharType="separate"/>
        </w:r>
        <w:r>
          <w:rPr>
            <w:webHidden/>
          </w:rPr>
          <w:t>26</w:t>
        </w:r>
        <w:r>
          <w:rPr>
            <w:webHidden/>
          </w:rPr>
          <w:fldChar w:fldCharType="end"/>
        </w:r>
      </w:hyperlink>
    </w:p>
    <w:p w14:paraId="2AB5283D" w14:textId="1D9C13C7"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7" w:history="1">
        <w:r w:rsidRPr="007E7FB5">
          <w:rPr>
            <w:rStyle w:val="Hyperlink"/>
            <w:noProof/>
          </w:rPr>
          <w:t>2.1 Introduction</w:t>
        </w:r>
        <w:r>
          <w:rPr>
            <w:noProof/>
            <w:webHidden/>
          </w:rPr>
          <w:tab/>
        </w:r>
        <w:r>
          <w:rPr>
            <w:noProof/>
            <w:webHidden/>
          </w:rPr>
          <w:fldChar w:fldCharType="begin"/>
        </w:r>
        <w:r>
          <w:rPr>
            <w:noProof/>
            <w:webHidden/>
          </w:rPr>
          <w:instrText xml:space="preserve"> PAGEREF _Toc233734297 \h </w:instrText>
        </w:r>
        <w:r>
          <w:rPr>
            <w:noProof/>
            <w:webHidden/>
          </w:rPr>
        </w:r>
        <w:r>
          <w:rPr>
            <w:noProof/>
            <w:webHidden/>
          </w:rPr>
          <w:fldChar w:fldCharType="separate"/>
        </w:r>
        <w:r>
          <w:rPr>
            <w:noProof/>
            <w:webHidden/>
          </w:rPr>
          <w:t>26</w:t>
        </w:r>
        <w:r>
          <w:rPr>
            <w:noProof/>
            <w:webHidden/>
          </w:rPr>
          <w:fldChar w:fldCharType="end"/>
        </w:r>
      </w:hyperlink>
    </w:p>
    <w:p w14:paraId="02D565EF" w14:textId="739B68D1"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8" w:history="1">
        <w:r w:rsidRPr="007E7FB5">
          <w:rPr>
            <w:rStyle w:val="Hyperlink"/>
            <w:noProof/>
          </w:rPr>
          <w:t>2.2 Overview of Small-signal Stability Methods</w:t>
        </w:r>
        <w:r>
          <w:rPr>
            <w:noProof/>
            <w:webHidden/>
          </w:rPr>
          <w:tab/>
        </w:r>
        <w:r>
          <w:rPr>
            <w:noProof/>
            <w:webHidden/>
          </w:rPr>
          <w:fldChar w:fldCharType="begin"/>
        </w:r>
        <w:r>
          <w:rPr>
            <w:noProof/>
            <w:webHidden/>
          </w:rPr>
          <w:instrText xml:space="preserve"> PAGEREF _Toc233734298 \h </w:instrText>
        </w:r>
        <w:r>
          <w:rPr>
            <w:noProof/>
            <w:webHidden/>
          </w:rPr>
        </w:r>
        <w:r>
          <w:rPr>
            <w:noProof/>
            <w:webHidden/>
          </w:rPr>
          <w:fldChar w:fldCharType="separate"/>
        </w:r>
        <w:r>
          <w:rPr>
            <w:noProof/>
            <w:webHidden/>
          </w:rPr>
          <w:t>27</w:t>
        </w:r>
        <w:r>
          <w:rPr>
            <w:noProof/>
            <w:webHidden/>
          </w:rPr>
          <w:fldChar w:fldCharType="end"/>
        </w:r>
      </w:hyperlink>
    </w:p>
    <w:p w14:paraId="4FB43706" w14:textId="25BA0608"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299" w:history="1">
        <w:r w:rsidRPr="007E7FB5">
          <w:rPr>
            <w:rStyle w:val="Hyperlink"/>
            <w:noProof/>
          </w:rPr>
          <w:t>2.3 Impact of Different Voltage Control Strategies on Small-Signal Stability of Grid Forming Inverters</w:t>
        </w:r>
        <w:r>
          <w:rPr>
            <w:noProof/>
            <w:webHidden/>
          </w:rPr>
          <w:tab/>
        </w:r>
        <w:r>
          <w:rPr>
            <w:noProof/>
            <w:webHidden/>
          </w:rPr>
          <w:fldChar w:fldCharType="begin"/>
        </w:r>
        <w:r>
          <w:rPr>
            <w:noProof/>
            <w:webHidden/>
          </w:rPr>
          <w:instrText xml:space="preserve"> PAGEREF _Toc233734299 \h </w:instrText>
        </w:r>
        <w:r>
          <w:rPr>
            <w:noProof/>
            <w:webHidden/>
          </w:rPr>
        </w:r>
        <w:r>
          <w:rPr>
            <w:noProof/>
            <w:webHidden/>
          </w:rPr>
          <w:fldChar w:fldCharType="separate"/>
        </w:r>
        <w:r>
          <w:rPr>
            <w:noProof/>
            <w:webHidden/>
          </w:rPr>
          <w:t>33</w:t>
        </w:r>
        <w:r>
          <w:rPr>
            <w:noProof/>
            <w:webHidden/>
          </w:rPr>
          <w:fldChar w:fldCharType="end"/>
        </w:r>
      </w:hyperlink>
    </w:p>
    <w:p w14:paraId="4FAFB9AC" w14:textId="72D67696"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0" w:history="1">
        <w:r w:rsidRPr="007E7FB5">
          <w:rPr>
            <w:rStyle w:val="Hyperlink"/>
            <w:noProof/>
          </w:rPr>
          <w:t>2.4 Enhancing Small-Signal Stability of AVR-based Grid-Forming Inverters</w:t>
        </w:r>
        <w:r>
          <w:rPr>
            <w:noProof/>
            <w:webHidden/>
          </w:rPr>
          <w:tab/>
        </w:r>
        <w:r>
          <w:rPr>
            <w:noProof/>
            <w:webHidden/>
          </w:rPr>
          <w:fldChar w:fldCharType="begin"/>
        </w:r>
        <w:r>
          <w:rPr>
            <w:noProof/>
            <w:webHidden/>
          </w:rPr>
          <w:instrText xml:space="preserve"> PAGEREF _Toc233734300 \h </w:instrText>
        </w:r>
        <w:r>
          <w:rPr>
            <w:noProof/>
            <w:webHidden/>
          </w:rPr>
        </w:r>
        <w:r>
          <w:rPr>
            <w:noProof/>
            <w:webHidden/>
          </w:rPr>
          <w:fldChar w:fldCharType="separate"/>
        </w:r>
        <w:r>
          <w:rPr>
            <w:noProof/>
            <w:webHidden/>
          </w:rPr>
          <w:t>38</w:t>
        </w:r>
        <w:r>
          <w:rPr>
            <w:noProof/>
            <w:webHidden/>
          </w:rPr>
          <w:fldChar w:fldCharType="end"/>
        </w:r>
      </w:hyperlink>
    </w:p>
    <w:p w14:paraId="2372D9D2" w14:textId="401E2AA9"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1" w:history="1">
        <w:r w:rsidRPr="007E7FB5">
          <w:rPr>
            <w:rStyle w:val="Hyperlink"/>
            <w:noProof/>
          </w:rPr>
          <w:t>2.5 Modal/Eigenvalue-Based Small-Signal Stability Analysis</w:t>
        </w:r>
        <w:r>
          <w:rPr>
            <w:noProof/>
            <w:webHidden/>
          </w:rPr>
          <w:tab/>
        </w:r>
        <w:r>
          <w:rPr>
            <w:noProof/>
            <w:webHidden/>
          </w:rPr>
          <w:fldChar w:fldCharType="begin"/>
        </w:r>
        <w:r>
          <w:rPr>
            <w:noProof/>
            <w:webHidden/>
          </w:rPr>
          <w:instrText xml:space="preserve"> PAGEREF _Toc233734301 \h </w:instrText>
        </w:r>
        <w:r>
          <w:rPr>
            <w:noProof/>
            <w:webHidden/>
          </w:rPr>
        </w:r>
        <w:r>
          <w:rPr>
            <w:noProof/>
            <w:webHidden/>
          </w:rPr>
          <w:fldChar w:fldCharType="separate"/>
        </w:r>
        <w:r>
          <w:rPr>
            <w:noProof/>
            <w:webHidden/>
          </w:rPr>
          <w:t>42</w:t>
        </w:r>
        <w:r>
          <w:rPr>
            <w:noProof/>
            <w:webHidden/>
          </w:rPr>
          <w:fldChar w:fldCharType="end"/>
        </w:r>
      </w:hyperlink>
    </w:p>
    <w:p w14:paraId="081B1B12" w14:textId="12D7DF0E"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2" w:history="1">
        <w:r w:rsidRPr="007E7FB5">
          <w:rPr>
            <w:rStyle w:val="Hyperlink"/>
            <w:noProof/>
          </w:rPr>
          <w:t>2.6 Data-Driven Time-Domain Model-Based Small-Signal Stability Analysis</w:t>
        </w:r>
        <w:r>
          <w:rPr>
            <w:noProof/>
            <w:webHidden/>
          </w:rPr>
          <w:tab/>
        </w:r>
        <w:r>
          <w:rPr>
            <w:noProof/>
            <w:webHidden/>
          </w:rPr>
          <w:fldChar w:fldCharType="begin"/>
        </w:r>
        <w:r>
          <w:rPr>
            <w:noProof/>
            <w:webHidden/>
          </w:rPr>
          <w:instrText xml:space="preserve"> PAGEREF _Toc233734302 \h </w:instrText>
        </w:r>
        <w:r>
          <w:rPr>
            <w:noProof/>
            <w:webHidden/>
          </w:rPr>
        </w:r>
        <w:r>
          <w:rPr>
            <w:noProof/>
            <w:webHidden/>
          </w:rPr>
          <w:fldChar w:fldCharType="separate"/>
        </w:r>
        <w:r>
          <w:rPr>
            <w:noProof/>
            <w:webHidden/>
          </w:rPr>
          <w:t>51</w:t>
        </w:r>
        <w:r>
          <w:rPr>
            <w:noProof/>
            <w:webHidden/>
          </w:rPr>
          <w:fldChar w:fldCharType="end"/>
        </w:r>
      </w:hyperlink>
    </w:p>
    <w:p w14:paraId="12EA237C" w14:textId="2C5C0AF6"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3" w:history="1">
        <w:r w:rsidRPr="007E7FB5">
          <w:rPr>
            <w:rStyle w:val="Hyperlink"/>
            <w:noProof/>
          </w:rPr>
          <w:t>2.7 Chapter Summary</w:t>
        </w:r>
        <w:r>
          <w:rPr>
            <w:noProof/>
            <w:webHidden/>
          </w:rPr>
          <w:tab/>
        </w:r>
        <w:r>
          <w:rPr>
            <w:noProof/>
            <w:webHidden/>
          </w:rPr>
          <w:fldChar w:fldCharType="begin"/>
        </w:r>
        <w:r>
          <w:rPr>
            <w:noProof/>
            <w:webHidden/>
          </w:rPr>
          <w:instrText xml:space="preserve"> PAGEREF _Toc233734303 \h </w:instrText>
        </w:r>
        <w:r>
          <w:rPr>
            <w:noProof/>
            <w:webHidden/>
          </w:rPr>
        </w:r>
        <w:r>
          <w:rPr>
            <w:noProof/>
            <w:webHidden/>
          </w:rPr>
          <w:fldChar w:fldCharType="separate"/>
        </w:r>
        <w:r>
          <w:rPr>
            <w:noProof/>
            <w:webHidden/>
          </w:rPr>
          <w:t>62</w:t>
        </w:r>
        <w:r>
          <w:rPr>
            <w:noProof/>
            <w:webHidden/>
          </w:rPr>
          <w:fldChar w:fldCharType="end"/>
        </w:r>
      </w:hyperlink>
    </w:p>
    <w:p w14:paraId="3B600A63" w14:textId="1A811D1A"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304" w:history="1">
        <w:r w:rsidRPr="007E7FB5">
          <w:rPr>
            <w:rStyle w:val="Hyperlink"/>
          </w:rPr>
          <w:t>Part II</w:t>
        </w:r>
        <w:r>
          <w:rPr>
            <w:rFonts w:asciiTheme="minorHAnsi" w:eastAsiaTheme="minorEastAsia" w:hAnsiTheme="minorHAnsi" w:cstheme="minorBidi"/>
            <w:b w:val="0"/>
            <w:color w:val="auto"/>
            <w:kern w:val="2"/>
            <w:szCs w:val="24"/>
            <w14:ligatures w14:val="standardContextual"/>
          </w:rPr>
          <w:tab/>
        </w:r>
        <w:r w:rsidRPr="007E7FB5">
          <w:rPr>
            <w:rStyle w:val="Hyperlink"/>
          </w:rPr>
          <w:t>Dynamic Signature of the Power System through Stability Indices</w:t>
        </w:r>
        <w:r>
          <w:rPr>
            <w:webHidden/>
          </w:rPr>
          <w:tab/>
        </w:r>
        <w:r>
          <w:rPr>
            <w:webHidden/>
          </w:rPr>
          <w:fldChar w:fldCharType="begin"/>
        </w:r>
        <w:r>
          <w:rPr>
            <w:webHidden/>
          </w:rPr>
          <w:instrText xml:space="preserve"> PAGEREF _Toc233734304 \h </w:instrText>
        </w:r>
        <w:r>
          <w:rPr>
            <w:webHidden/>
          </w:rPr>
        </w:r>
        <w:r>
          <w:rPr>
            <w:webHidden/>
          </w:rPr>
          <w:fldChar w:fldCharType="separate"/>
        </w:r>
        <w:r>
          <w:rPr>
            <w:webHidden/>
          </w:rPr>
          <w:t>63</w:t>
        </w:r>
        <w:r>
          <w:rPr>
            <w:webHidden/>
          </w:rPr>
          <w:fldChar w:fldCharType="end"/>
        </w:r>
      </w:hyperlink>
    </w:p>
    <w:p w14:paraId="6E7B5699" w14:textId="2D33D987"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05" w:history="1">
        <w:r w:rsidRPr="007E7FB5">
          <w:rPr>
            <w:rStyle w:val="Hyperlink"/>
          </w:rPr>
          <w:t>3</w:t>
        </w:r>
        <w:r>
          <w:rPr>
            <w:rFonts w:asciiTheme="minorHAnsi" w:eastAsiaTheme="minorEastAsia" w:hAnsiTheme="minorHAnsi" w:cstheme="minorBidi"/>
            <w:color w:val="auto"/>
            <w:kern w:val="2"/>
            <w:szCs w:val="24"/>
            <w14:ligatures w14:val="standardContextual"/>
          </w:rPr>
          <w:tab/>
        </w:r>
        <w:r w:rsidRPr="007E7FB5">
          <w:rPr>
            <w:rStyle w:val="Hyperlink"/>
          </w:rPr>
          <w:t>Dynamic Signature of the Power System through Voltage and Small Signal Stability Indices</w:t>
        </w:r>
        <w:r>
          <w:rPr>
            <w:webHidden/>
          </w:rPr>
          <w:tab/>
        </w:r>
        <w:r>
          <w:rPr>
            <w:webHidden/>
          </w:rPr>
          <w:fldChar w:fldCharType="begin"/>
        </w:r>
        <w:r>
          <w:rPr>
            <w:webHidden/>
          </w:rPr>
          <w:instrText xml:space="preserve"> PAGEREF _Toc233734305 \h </w:instrText>
        </w:r>
        <w:r>
          <w:rPr>
            <w:webHidden/>
          </w:rPr>
        </w:r>
        <w:r>
          <w:rPr>
            <w:webHidden/>
          </w:rPr>
          <w:fldChar w:fldCharType="separate"/>
        </w:r>
        <w:r>
          <w:rPr>
            <w:webHidden/>
          </w:rPr>
          <w:t>64</w:t>
        </w:r>
        <w:r>
          <w:rPr>
            <w:webHidden/>
          </w:rPr>
          <w:fldChar w:fldCharType="end"/>
        </w:r>
      </w:hyperlink>
    </w:p>
    <w:p w14:paraId="0CB6153C" w14:textId="071602D1"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6" w:history="1">
        <w:r w:rsidRPr="007E7FB5">
          <w:rPr>
            <w:rStyle w:val="Hyperlink"/>
            <w:noProof/>
          </w:rPr>
          <w:t>3.1</w:t>
        </w:r>
        <w:r>
          <w:rPr>
            <w:rFonts w:asciiTheme="minorHAnsi" w:eastAsiaTheme="minorEastAsia" w:hAnsiTheme="minorHAnsi" w:cstheme="minorBidi"/>
            <w:noProof/>
            <w:color w:val="auto"/>
            <w:kern w:val="2"/>
            <w:szCs w:val="24"/>
            <w14:ligatures w14:val="standardContextual"/>
          </w:rPr>
          <w:tab/>
        </w:r>
        <w:r w:rsidRPr="007E7FB5">
          <w:rPr>
            <w:rStyle w:val="Hyperlink"/>
            <w:noProof/>
          </w:rPr>
          <w:t>Introduction</w:t>
        </w:r>
        <w:r>
          <w:rPr>
            <w:noProof/>
            <w:webHidden/>
          </w:rPr>
          <w:tab/>
        </w:r>
        <w:r>
          <w:rPr>
            <w:noProof/>
            <w:webHidden/>
          </w:rPr>
          <w:fldChar w:fldCharType="begin"/>
        </w:r>
        <w:r>
          <w:rPr>
            <w:noProof/>
            <w:webHidden/>
          </w:rPr>
          <w:instrText xml:space="preserve"> PAGEREF _Toc233734306 \h </w:instrText>
        </w:r>
        <w:r>
          <w:rPr>
            <w:noProof/>
            <w:webHidden/>
          </w:rPr>
        </w:r>
        <w:r>
          <w:rPr>
            <w:noProof/>
            <w:webHidden/>
          </w:rPr>
          <w:fldChar w:fldCharType="separate"/>
        </w:r>
        <w:r>
          <w:rPr>
            <w:noProof/>
            <w:webHidden/>
          </w:rPr>
          <w:t>64</w:t>
        </w:r>
        <w:r>
          <w:rPr>
            <w:noProof/>
            <w:webHidden/>
          </w:rPr>
          <w:fldChar w:fldCharType="end"/>
        </w:r>
      </w:hyperlink>
    </w:p>
    <w:p w14:paraId="405956C5" w14:textId="51ECD4D4"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7" w:history="1">
        <w:r w:rsidRPr="007E7FB5">
          <w:rPr>
            <w:rStyle w:val="Hyperlink"/>
            <w:noProof/>
            <w:lang w:val="en-US"/>
          </w:rPr>
          <w:t>3.2</w:t>
        </w:r>
        <w:r>
          <w:rPr>
            <w:rFonts w:asciiTheme="minorHAnsi" w:eastAsiaTheme="minorEastAsia" w:hAnsiTheme="minorHAnsi" w:cstheme="minorBidi"/>
            <w:noProof/>
            <w:color w:val="auto"/>
            <w:kern w:val="2"/>
            <w:szCs w:val="24"/>
            <w14:ligatures w14:val="standardContextual"/>
          </w:rPr>
          <w:tab/>
        </w:r>
        <w:r w:rsidRPr="007E7FB5">
          <w:rPr>
            <w:rStyle w:val="Hyperlink"/>
            <w:noProof/>
            <w:lang w:val="en-US"/>
          </w:rPr>
          <w:t>Overview of Power System Stability Indices</w:t>
        </w:r>
        <w:r>
          <w:rPr>
            <w:noProof/>
            <w:webHidden/>
          </w:rPr>
          <w:tab/>
        </w:r>
        <w:r>
          <w:rPr>
            <w:noProof/>
            <w:webHidden/>
          </w:rPr>
          <w:fldChar w:fldCharType="begin"/>
        </w:r>
        <w:r>
          <w:rPr>
            <w:noProof/>
            <w:webHidden/>
          </w:rPr>
          <w:instrText xml:space="preserve"> PAGEREF _Toc233734307 \h </w:instrText>
        </w:r>
        <w:r>
          <w:rPr>
            <w:noProof/>
            <w:webHidden/>
          </w:rPr>
        </w:r>
        <w:r>
          <w:rPr>
            <w:noProof/>
            <w:webHidden/>
          </w:rPr>
          <w:fldChar w:fldCharType="separate"/>
        </w:r>
        <w:r>
          <w:rPr>
            <w:noProof/>
            <w:webHidden/>
          </w:rPr>
          <w:t>64</w:t>
        </w:r>
        <w:r>
          <w:rPr>
            <w:noProof/>
            <w:webHidden/>
          </w:rPr>
          <w:fldChar w:fldCharType="end"/>
        </w:r>
      </w:hyperlink>
    </w:p>
    <w:p w14:paraId="3E629158" w14:textId="73196889"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8" w:history="1">
        <w:r w:rsidRPr="007E7FB5">
          <w:rPr>
            <w:rStyle w:val="Hyperlink"/>
            <w:noProof/>
          </w:rPr>
          <w:t>3.3</w:t>
        </w:r>
        <w:r>
          <w:rPr>
            <w:rFonts w:asciiTheme="minorHAnsi" w:eastAsiaTheme="minorEastAsia" w:hAnsiTheme="minorHAnsi" w:cstheme="minorBidi"/>
            <w:noProof/>
            <w:color w:val="auto"/>
            <w:kern w:val="2"/>
            <w:szCs w:val="24"/>
            <w14:ligatures w14:val="standardContextual"/>
          </w:rPr>
          <w:tab/>
        </w:r>
        <w:r w:rsidRPr="007E7FB5">
          <w:rPr>
            <w:rStyle w:val="Hyperlink"/>
            <w:noProof/>
          </w:rPr>
          <w:t>System Modelling</w:t>
        </w:r>
        <w:r>
          <w:rPr>
            <w:noProof/>
            <w:webHidden/>
          </w:rPr>
          <w:tab/>
        </w:r>
        <w:r>
          <w:rPr>
            <w:noProof/>
            <w:webHidden/>
          </w:rPr>
          <w:fldChar w:fldCharType="begin"/>
        </w:r>
        <w:r>
          <w:rPr>
            <w:noProof/>
            <w:webHidden/>
          </w:rPr>
          <w:instrText xml:space="preserve"> PAGEREF _Toc233734308 \h </w:instrText>
        </w:r>
        <w:r>
          <w:rPr>
            <w:noProof/>
            <w:webHidden/>
          </w:rPr>
        </w:r>
        <w:r>
          <w:rPr>
            <w:noProof/>
            <w:webHidden/>
          </w:rPr>
          <w:fldChar w:fldCharType="separate"/>
        </w:r>
        <w:r>
          <w:rPr>
            <w:noProof/>
            <w:webHidden/>
          </w:rPr>
          <w:t>68</w:t>
        </w:r>
        <w:r>
          <w:rPr>
            <w:noProof/>
            <w:webHidden/>
          </w:rPr>
          <w:fldChar w:fldCharType="end"/>
        </w:r>
      </w:hyperlink>
    </w:p>
    <w:p w14:paraId="666EA546" w14:textId="27FFA266"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09" w:history="1">
        <w:r w:rsidRPr="007E7FB5">
          <w:rPr>
            <w:rStyle w:val="Hyperlink"/>
            <w:noProof/>
          </w:rPr>
          <w:t>3.4</w:t>
        </w:r>
        <w:r>
          <w:rPr>
            <w:rFonts w:asciiTheme="minorHAnsi" w:eastAsiaTheme="minorEastAsia" w:hAnsiTheme="minorHAnsi" w:cstheme="minorBidi"/>
            <w:noProof/>
            <w:color w:val="auto"/>
            <w:kern w:val="2"/>
            <w:szCs w:val="24"/>
            <w14:ligatures w14:val="standardContextual"/>
          </w:rPr>
          <w:tab/>
        </w:r>
        <w:r w:rsidRPr="007E7FB5">
          <w:rPr>
            <w:rStyle w:val="Hyperlink"/>
            <w:noProof/>
          </w:rPr>
          <w:t>Development of Large Disturbance Voltage Stability Index</w:t>
        </w:r>
        <w:r>
          <w:rPr>
            <w:noProof/>
            <w:webHidden/>
          </w:rPr>
          <w:tab/>
        </w:r>
        <w:r>
          <w:rPr>
            <w:noProof/>
            <w:webHidden/>
          </w:rPr>
          <w:fldChar w:fldCharType="begin"/>
        </w:r>
        <w:r>
          <w:rPr>
            <w:noProof/>
            <w:webHidden/>
          </w:rPr>
          <w:instrText xml:space="preserve"> PAGEREF _Toc233734309 \h </w:instrText>
        </w:r>
        <w:r>
          <w:rPr>
            <w:noProof/>
            <w:webHidden/>
          </w:rPr>
        </w:r>
        <w:r>
          <w:rPr>
            <w:noProof/>
            <w:webHidden/>
          </w:rPr>
          <w:fldChar w:fldCharType="separate"/>
        </w:r>
        <w:r>
          <w:rPr>
            <w:noProof/>
            <w:webHidden/>
          </w:rPr>
          <w:t>70</w:t>
        </w:r>
        <w:r>
          <w:rPr>
            <w:noProof/>
            <w:webHidden/>
          </w:rPr>
          <w:fldChar w:fldCharType="end"/>
        </w:r>
      </w:hyperlink>
    </w:p>
    <w:p w14:paraId="3DC75322" w14:textId="1CBEC8AD"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0" w:history="1">
        <w:r w:rsidRPr="007E7FB5">
          <w:rPr>
            <w:rStyle w:val="Hyperlink"/>
            <w:noProof/>
          </w:rPr>
          <w:t>3.5</w:t>
        </w:r>
        <w:r>
          <w:rPr>
            <w:rFonts w:asciiTheme="minorHAnsi" w:eastAsiaTheme="minorEastAsia" w:hAnsiTheme="minorHAnsi" w:cstheme="minorBidi"/>
            <w:noProof/>
            <w:color w:val="auto"/>
            <w:kern w:val="2"/>
            <w:szCs w:val="24"/>
            <w14:ligatures w14:val="standardContextual"/>
          </w:rPr>
          <w:tab/>
        </w:r>
        <w:r w:rsidRPr="007E7FB5">
          <w:rPr>
            <w:rStyle w:val="Hyperlink"/>
            <w:noProof/>
          </w:rPr>
          <w:t>Development of Small Disturbance Voltage Stability Index</w:t>
        </w:r>
        <w:r>
          <w:rPr>
            <w:noProof/>
            <w:webHidden/>
          </w:rPr>
          <w:tab/>
        </w:r>
        <w:r>
          <w:rPr>
            <w:noProof/>
            <w:webHidden/>
          </w:rPr>
          <w:fldChar w:fldCharType="begin"/>
        </w:r>
        <w:r>
          <w:rPr>
            <w:noProof/>
            <w:webHidden/>
          </w:rPr>
          <w:instrText xml:space="preserve"> PAGEREF _Toc233734310 \h </w:instrText>
        </w:r>
        <w:r>
          <w:rPr>
            <w:noProof/>
            <w:webHidden/>
          </w:rPr>
        </w:r>
        <w:r>
          <w:rPr>
            <w:noProof/>
            <w:webHidden/>
          </w:rPr>
          <w:fldChar w:fldCharType="separate"/>
        </w:r>
        <w:r>
          <w:rPr>
            <w:noProof/>
            <w:webHidden/>
          </w:rPr>
          <w:t>80</w:t>
        </w:r>
        <w:r>
          <w:rPr>
            <w:noProof/>
            <w:webHidden/>
          </w:rPr>
          <w:fldChar w:fldCharType="end"/>
        </w:r>
      </w:hyperlink>
    </w:p>
    <w:p w14:paraId="22CD1DFD" w14:textId="575D096F"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1" w:history="1">
        <w:r w:rsidRPr="007E7FB5">
          <w:rPr>
            <w:rStyle w:val="Hyperlink"/>
            <w:noProof/>
          </w:rPr>
          <w:t>3.6</w:t>
        </w:r>
        <w:r>
          <w:rPr>
            <w:rFonts w:asciiTheme="minorHAnsi" w:eastAsiaTheme="minorEastAsia" w:hAnsiTheme="minorHAnsi" w:cstheme="minorBidi"/>
            <w:noProof/>
            <w:color w:val="auto"/>
            <w:kern w:val="2"/>
            <w:szCs w:val="24"/>
            <w14:ligatures w14:val="standardContextual"/>
          </w:rPr>
          <w:tab/>
        </w:r>
        <w:r w:rsidRPr="007E7FB5">
          <w:rPr>
            <w:rStyle w:val="Hyperlink"/>
            <w:noProof/>
          </w:rPr>
          <w:t>Development of Small Signal Stability Index</w:t>
        </w:r>
        <w:r>
          <w:rPr>
            <w:noProof/>
            <w:webHidden/>
          </w:rPr>
          <w:tab/>
        </w:r>
        <w:r>
          <w:rPr>
            <w:noProof/>
            <w:webHidden/>
          </w:rPr>
          <w:fldChar w:fldCharType="begin"/>
        </w:r>
        <w:r>
          <w:rPr>
            <w:noProof/>
            <w:webHidden/>
          </w:rPr>
          <w:instrText xml:space="preserve"> PAGEREF _Toc233734311 \h </w:instrText>
        </w:r>
        <w:r>
          <w:rPr>
            <w:noProof/>
            <w:webHidden/>
          </w:rPr>
        </w:r>
        <w:r>
          <w:rPr>
            <w:noProof/>
            <w:webHidden/>
          </w:rPr>
          <w:fldChar w:fldCharType="separate"/>
        </w:r>
        <w:r>
          <w:rPr>
            <w:noProof/>
            <w:webHidden/>
          </w:rPr>
          <w:t>87</w:t>
        </w:r>
        <w:r>
          <w:rPr>
            <w:noProof/>
            <w:webHidden/>
          </w:rPr>
          <w:fldChar w:fldCharType="end"/>
        </w:r>
      </w:hyperlink>
    </w:p>
    <w:p w14:paraId="32043632" w14:textId="57B66DD4"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2" w:history="1">
        <w:r w:rsidRPr="007E7FB5">
          <w:rPr>
            <w:rStyle w:val="Hyperlink"/>
            <w:noProof/>
          </w:rPr>
          <w:t>3.7</w:t>
        </w:r>
        <w:r>
          <w:rPr>
            <w:rFonts w:asciiTheme="minorHAnsi" w:eastAsiaTheme="minorEastAsia" w:hAnsiTheme="minorHAnsi" w:cstheme="minorBidi"/>
            <w:noProof/>
            <w:color w:val="auto"/>
            <w:kern w:val="2"/>
            <w:szCs w:val="24"/>
            <w14:ligatures w14:val="standardContextual"/>
          </w:rPr>
          <w:tab/>
        </w:r>
        <w:r w:rsidRPr="007E7FB5">
          <w:rPr>
            <w:rStyle w:val="Hyperlink"/>
            <w:noProof/>
          </w:rPr>
          <w:t>Chapter Summary</w:t>
        </w:r>
        <w:r>
          <w:rPr>
            <w:noProof/>
            <w:webHidden/>
          </w:rPr>
          <w:tab/>
        </w:r>
        <w:r>
          <w:rPr>
            <w:noProof/>
            <w:webHidden/>
          </w:rPr>
          <w:fldChar w:fldCharType="begin"/>
        </w:r>
        <w:r>
          <w:rPr>
            <w:noProof/>
            <w:webHidden/>
          </w:rPr>
          <w:instrText xml:space="preserve"> PAGEREF _Toc233734312 \h </w:instrText>
        </w:r>
        <w:r>
          <w:rPr>
            <w:noProof/>
            <w:webHidden/>
          </w:rPr>
        </w:r>
        <w:r>
          <w:rPr>
            <w:noProof/>
            <w:webHidden/>
          </w:rPr>
          <w:fldChar w:fldCharType="separate"/>
        </w:r>
        <w:r>
          <w:rPr>
            <w:noProof/>
            <w:webHidden/>
          </w:rPr>
          <w:t>89</w:t>
        </w:r>
        <w:r>
          <w:rPr>
            <w:noProof/>
            <w:webHidden/>
          </w:rPr>
          <w:fldChar w:fldCharType="end"/>
        </w:r>
      </w:hyperlink>
    </w:p>
    <w:p w14:paraId="669FFA59" w14:textId="7B99A68F"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313" w:history="1">
        <w:r w:rsidRPr="007E7FB5">
          <w:rPr>
            <w:rStyle w:val="Hyperlink"/>
          </w:rPr>
          <w:t>Part II</w:t>
        </w:r>
        <w:r>
          <w:rPr>
            <w:rFonts w:asciiTheme="minorHAnsi" w:eastAsiaTheme="minorEastAsia" w:hAnsiTheme="minorHAnsi" w:cstheme="minorBidi"/>
            <w:b w:val="0"/>
            <w:color w:val="auto"/>
            <w:kern w:val="2"/>
            <w:szCs w:val="24"/>
            <w14:ligatures w14:val="standardContextual"/>
          </w:rPr>
          <w:tab/>
        </w:r>
        <w:r w:rsidRPr="007E7FB5">
          <w:rPr>
            <w:rStyle w:val="Hyperlink"/>
          </w:rPr>
          <w:t>Voltage Stability</w:t>
        </w:r>
        <w:r>
          <w:rPr>
            <w:webHidden/>
          </w:rPr>
          <w:tab/>
        </w:r>
        <w:r>
          <w:rPr>
            <w:webHidden/>
          </w:rPr>
          <w:fldChar w:fldCharType="begin"/>
        </w:r>
        <w:r>
          <w:rPr>
            <w:webHidden/>
          </w:rPr>
          <w:instrText xml:space="preserve"> PAGEREF _Toc233734313 \h </w:instrText>
        </w:r>
        <w:r>
          <w:rPr>
            <w:webHidden/>
          </w:rPr>
        </w:r>
        <w:r>
          <w:rPr>
            <w:webHidden/>
          </w:rPr>
          <w:fldChar w:fldCharType="separate"/>
        </w:r>
        <w:r>
          <w:rPr>
            <w:webHidden/>
          </w:rPr>
          <w:t>91</w:t>
        </w:r>
        <w:r>
          <w:rPr>
            <w:webHidden/>
          </w:rPr>
          <w:fldChar w:fldCharType="end"/>
        </w:r>
      </w:hyperlink>
    </w:p>
    <w:p w14:paraId="22540E89" w14:textId="69FFBFFB"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14" w:history="1">
        <w:r w:rsidRPr="007E7FB5">
          <w:rPr>
            <w:rStyle w:val="Hyperlink"/>
          </w:rPr>
          <w:t>4</w:t>
        </w:r>
        <w:r>
          <w:rPr>
            <w:rFonts w:asciiTheme="minorHAnsi" w:eastAsiaTheme="minorEastAsia" w:hAnsiTheme="minorHAnsi" w:cstheme="minorBidi"/>
            <w:color w:val="auto"/>
            <w:kern w:val="2"/>
            <w:szCs w:val="24"/>
            <w14:ligatures w14:val="standardContextual"/>
          </w:rPr>
          <w:tab/>
        </w:r>
        <w:r w:rsidRPr="007E7FB5">
          <w:rPr>
            <w:rStyle w:val="Hyperlink"/>
          </w:rPr>
          <w:t>Large-Disturbance Voltage Stability</w:t>
        </w:r>
        <w:r>
          <w:rPr>
            <w:webHidden/>
          </w:rPr>
          <w:tab/>
        </w:r>
        <w:r>
          <w:rPr>
            <w:webHidden/>
          </w:rPr>
          <w:fldChar w:fldCharType="begin"/>
        </w:r>
        <w:r>
          <w:rPr>
            <w:webHidden/>
          </w:rPr>
          <w:instrText xml:space="preserve"> PAGEREF _Toc233734314 \h </w:instrText>
        </w:r>
        <w:r>
          <w:rPr>
            <w:webHidden/>
          </w:rPr>
        </w:r>
        <w:r>
          <w:rPr>
            <w:webHidden/>
          </w:rPr>
          <w:fldChar w:fldCharType="separate"/>
        </w:r>
        <w:r>
          <w:rPr>
            <w:webHidden/>
          </w:rPr>
          <w:t>92</w:t>
        </w:r>
        <w:r>
          <w:rPr>
            <w:webHidden/>
          </w:rPr>
          <w:fldChar w:fldCharType="end"/>
        </w:r>
      </w:hyperlink>
    </w:p>
    <w:p w14:paraId="0DBE6E52" w14:textId="09A852A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5" w:history="1">
        <w:r w:rsidRPr="007E7FB5">
          <w:rPr>
            <w:rStyle w:val="Hyperlink"/>
            <w:noProof/>
          </w:rPr>
          <w:t>4.1</w:t>
        </w:r>
        <w:r>
          <w:rPr>
            <w:rFonts w:asciiTheme="minorHAnsi" w:eastAsiaTheme="minorEastAsia" w:hAnsiTheme="minorHAnsi" w:cstheme="minorBidi"/>
            <w:noProof/>
            <w:color w:val="auto"/>
            <w:kern w:val="2"/>
            <w:szCs w:val="24"/>
            <w14:ligatures w14:val="standardContextual"/>
          </w:rPr>
          <w:tab/>
        </w:r>
        <w:r w:rsidRPr="007E7FB5">
          <w:rPr>
            <w:rStyle w:val="Hyperlink"/>
            <w:noProof/>
          </w:rPr>
          <w:t>Introduction</w:t>
        </w:r>
        <w:r>
          <w:rPr>
            <w:noProof/>
            <w:webHidden/>
          </w:rPr>
          <w:tab/>
        </w:r>
        <w:r>
          <w:rPr>
            <w:noProof/>
            <w:webHidden/>
          </w:rPr>
          <w:fldChar w:fldCharType="begin"/>
        </w:r>
        <w:r>
          <w:rPr>
            <w:noProof/>
            <w:webHidden/>
          </w:rPr>
          <w:instrText xml:space="preserve"> PAGEREF _Toc233734315 \h </w:instrText>
        </w:r>
        <w:r>
          <w:rPr>
            <w:noProof/>
            <w:webHidden/>
          </w:rPr>
        </w:r>
        <w:r>
          <w:rPr>
            <w:noProof/>
            <w:webHidden/>
          </w:rPr>
          <w:fldChar w:fldCharType="separate"/>
        </w:r>
        <w:r>
          <w:rPr>
            <w:noProof/>
            <w:webHidden/>
          </w:rPr>
          <w:t>92</w:t>
        </w:r>
        <w:r>
          <w:rPr>
            <w:noProof/>
            <w:webHidden/>
          </w:rPr>
          <w:fldChar w:fldCharType="end"/>
        </w:r>
      </w:hyperlink>
    </w:p>
    <w:p w14:paraId="5D9AFD61" w14:textId="7D05F44C"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6" w:history="1">
        <w:r w:rsidRPr="007E7FB5">
          <w:rPr>
            <w:rStyle w:val="Hyperlink"/>
            <w:noProof/>
          </w:rPr>
          <w:t>4.2</w:t>
        </w:r>
        <w:r>
          <w:rPr>
            <w:rFonts w:asciiTheme="minorHAnsi" w:eastAsiaTheme="minorEastAsia" w:hAnsiTheme="minorHAnsi" w:cstheme="minorBidi"/>
            <w:noProof/>
            <w:color w:val="auto"/>
            <w:kern w:val="2"/>
            <w:szCs w:val="24"/>
            <w14:ligatures w14:val="standardContextual"/>
          </w:rPr>
          <w:tab/>
        </w:r>
        <w:r w:rsidRPr="007E7FB5">
          <w:rPr>
            <w:rStyle w:val="Hyperlink"/>
            <w:noProof/>
          </w:rPr>
          <w:t>Penetration of PV Generators and Voltage Stability</w:t>
        </w:r>
        <w:r>
          <w:rPr>
            <w:noProof/>
            <w:webHidden/>
          </w:rPr>
          <w:tab/>
        </w:r>
        <w:r>
          <w:rPr>
            <w:noProof/>
            <w:webHidden/>
          </w:rPr>
          <w:fldChar w:fldCharType="begin"/>
        </w:r>
        <w:r>
          <w:rPr>
            <w:noProof/>
            <w:webHidden/>
          </w:rPr>
          <w:instrText xml:space="preserve"> PAGEREF _Toc233734316 \h </w:instrText>
        </w:r>
        <w:r>
          <w:rPr>
            <w:noProof/>
            <w:webHidden/>
          </w:rPr>
        </w:r>
        <w:r>
          <w:rPr>
            <w:noProof/>
            <w:webHidden/>
          </w:rPr>
          <w:fldChar w:fldCharType="separate"/>
        </w:r>
        <w:r>
          <w:rPr>
            <w:noProof/>
            <w:webHidden/>
          </w:rPr>
          <w:t>92</w:t>
        </w:r>
        <w:r>
          <w:rPr>
            <w:noProof/>
            <w:webHidden/>
          </w:rPr>
          <w:fldChar w:fldCharType="end"/>
        </w:r>
      </w:hyperlink>
    </w:p>
    <w:p w14:paraId="1DF757EB" w14:textId="294BCDC3"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7" w:history="1">
        <w:r w:rsidRPr="007E7FB5">
          <w:rPr>
            <w:rStyle w:val="Hyperlink"/>
            <w:noProof/>
          </w:rPr>
          <w:t>4.3</w:t>
        </w:r>
        <w:r>
          <w:rPr>
            <w:rFonts w:asciiTheme="minorHAnsi" w:eastAsiaTheme="minorEastAsia" w:hAnsiTheme="minorHAnsi" w:cstheme="minorBidi"/>
            <w:noProof/>
            <w:color w:val="auto"/>
            <w:kern w:val="2"/>
            <w:szCs w:val="24"/>
            <w14:ligatures w14:val="standardContextual"/>
          </w:rPr>
          <w:tab/>
        </w:r>
        <w:r w:rsidRPr="007E7FB5">
          <w:rPr>
            <w:rStyle w:val="Hyperlink"/>
            <w:noProof/>
          </w:rPr>
          <w:t>Penetration of Wind Farms and Voltage Stability</w:t>
        </w:r>
        <w:r>
          <w:rPr>
            <w:noProof/>
            <w:webHidden/>
          </w:rPr>
          <w:tab/>
        </w:r>
        <w:r>
          <w:rPr>
            <w:noProof/>
            <w:webHidden/>
          </w:rPr>
          <w:fldChar w:fldCharType="begin"/>
        </w:r>
        <w:r>
          <w:rPr>
            <w:noProof/>
            <w:webHidden/>
          </w:rPr>
          <w:instrText xml:space="preserve"> PAGEREF _Toc233734317 \h </w:instrText>
        </w:r>
        <w:r>
          <w:rPr>
            <w:noProof/>
            <w:webHidden/>
          </w:rPr>
        </w:r>
        <w:r>
          <w:rPr>
            <w:noProof/>
            <w:webHidden/>
          </w:rPr>
          <w:fldChar w:fldCharType="separate"/>
        </w:r>
        <w:r>
          <w:rPr>
            <w:noProof/>
            <w:webHidden/>
          </w:rPr>
          <w:t>93</w:t>
        </w:r>
        <w:r>
          <w:rPr>
            <w:noProof/>
            <w:webHidden/>
          </w:rPr>
          <w:fldChar w:fldCharType="end"/>
        </w:r>
      </w:hyperlink>
    </w:p>
    <w:p w14:paraId="34F49881" w14:textId="0A802BD9"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8" w:history="1">
        <w:r w:rsidRPr="007E7FB5">
          <w:rPr>
            <w:rStyle w:val="Hyperlink"/>
            <w:noProof/>
          </w:rPr>
          <w:t>4.4</w:t>
        </w:r>
        <w:r>
          <w:rPr>
            <w:rFonts w:asciiTheme="minorHAnsi" w:eastAsiaTheme="minorEastAsia" w:hAnsiTheme="minorHAnsi" w:cstheme="minorBidi"/>
            <w:noProof/>
            <w:color w:val="auto"/>
            <w:kern w:val="2"/>
            <w:szCs w:val="24"/>
            <w14:ligatures w14:val="standardContextual"/>
          </w:rPr>
          <w:tab/>
        </w:r>
        <w:r w:rsidRPr="007E7FB5">
          <w:rPr>
            <w:rStyle w:val="Hyperlink"/>
            <w:noProof/>
          </w:rPr>
          <w:t>Short-Term Voltage Stability</w:t>
        </w:r>
        <w:r>
          <w:rPr>
            <w:noProof/>
            <w:webHidden/>
          </w:rPr>
          <w:tab/>
        </w:r>
        <w:r>
          <w:rPr>
            <w:noProof/>
            <w:webHidden/>
          </w:rPr>
          <w:fldChar w:fldCharType="begin"/>
        </w:r>
        <w:r>
          <w:rPr>
            <w:noProof/>
            <w:webHidden/>
          </w:rPr>
          <w:instrText xml:space="preserve"> PAGEREF _Toc233734318 \h </w:instrText>
        </w:r>
        <w:r>
          <w:rPr>
            <w:noProof/>
            <w:webHidden/>
          </w:rPr>
        </w:r>
        <w:r>
          <w:rPr>
            <w:noProof/>
            <w:webHidden/>
          </w:rPr>
          <w:fldChar w:fldCharType="separate"/>
        </w:r>
        <w:r>
          <w:rPr>
            <w:noProof/>
            <w:webHidden/>
          </w:rPr>
          <w:t>95</w:t>
        </w:r>
        <w:r>
          <w:rPr>
            <w:noProof/>
            <w:webHidden/>
          </w:rPr>
          <w:fldChar w:fldCharType="end"/>
        </w:r>
      </w:hyperlink>
    </w:p>
    <w:p w14:paraId="268B674E" w14:textId="25421759"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19" w:history="1">
        <w:r w:rsidRPr="007E7FB5">
          <w:rPr>
            <w:rStyle w:val="Hyperlink"/>
            <w:noProof/>
          </w:rPr>
          <w:t>4.5</w:t>
        </w:r>
        <w:r>
          <w:rPr>
            <w:rFonts w:asciiTheme="minorHAnsi" w:eastAsiaTheme="minorEastAsia" w:hAnsiTheme="minorHAnsi" w:cstheme="minorBidi"/>
            <w:noProof/>
            <w:color w:val="auto"/>
            <w:kern w:val="2"/>
            <w:szCs w:val="24"/>
            <w14:ligatures w14:val="standardContextual"/>
          </w:rPr>
          <w:tab/>
        </w:r>
        <w:r w:rsidRPr="007E7FB5">
          <w:rPr>
            <w:rStyle w:val="Hyperlink"/>
            <w:noProof/>
          </w:rPr>
          <w:t>Motivation for Short-Term Voltage Stability Assessment</w:t>
        </w:r>
        <w:r>
          <w:rPr>
            <w:noProof/>
            <w:webHidden/>
          </w:rPr>
          <w:tab/>
        </w:r>
        <w:r>
          <w:rPr>
            <w:noProof/>
            <w:webHidden/>
          </w:rPr>
          <w:fldChar w:fldCharType="begin"/>
        </w:r>
        <w:r>
          <w:rPr>
            <w:noProof/>
            <w:webHidden/>
          </w:rPr>
          <w:instrText xml:space="preserve"> PAGEREF _Toc233734319 \h </w:instrText>
        </w:r>
        <w:r>
          <w:rPr>
            <w:noProof/>
            <w:webHidden/>
          </w:rPr>
        </w:r>
        <w:r>
          <w:rPr>
            <w:noProof/>
            <w:webHidden/>
          </w:rPr>
          <w:fldChar w:fldCharType="separate"/>
        </w:r>
        <w:r>
          <w:rPr>
            <w:noProof/>
            <w:webHidden/>
          </w:rPr>
          <w:t>96</w:t>
        </w:r>
        <w:r>
          <w:rPr>
            <w:noProof/>
            <w:webHidden/>
          </w:rPr>
          <w:fldChar w:fldCharType="end"/>
        </w:r>
      </w:hyperlink>
    </w:p>
    <w:p w14:paraId="4D06D807" w14:textId="05D62AE0"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0" w:history="1">
        <w:r w:rsidRPr="007E7FB5">
          <w:rPr>
            <w:rStyle w:val="Hyperlink"/>
            <w:noProof/>
          </w:rPr>
          <w:t>4.6</w:t>
        </w:r>
        <w:r>
          <w:rPr>
            <w:rFonts w:asciiTheme="minorHAnsi" w:eastAsiaTheme="minorEastAsia" w:hAnsiTheme="minorHAnsi" w:cstheme="minorBidi"/>
            <w:noProof/>
            <w:color w:val="auto"/>
            <w:kern w:val="2"/>
            <w:szCs w:val="24"/>
            <w14:ligatures w14:val="standardContextual"/>
          </w:rPr>
          <w:tab/>
        </w:r>
        <w:r w:rsidRPr="007E7FB5">
          <w:rPr>
            <w:rStyle w:val="Hyperlink"/>
            <w:noProof/>
          </w:rPr>
          <w:t>Criteria for Assessing Short-Term Voltage Stability</w:t>
        </w:r>
        <w:r>
          <w:rPr>
            <w:noProof/>
            <w:webHidden/>
          </w:rPr>
          <w:tab/>
        </w:r>
        <w:r>
          <w:rPr>
            <w:noProof/>
            <w:webHidden/>
          </w:rPr>
          <w:fldChar w:fldCharType="begin"/>
        </w:r>
        <w:r>
          <w:rPr>
            <w:noProof/>
            <w:webHidden/>
          </w:rPr>
          <w:instrText xml:space="preserve"> PAGEREF _Toc233734320 \h </w:instrText>
        </w:r>
        <w:r>
          <w:rPr>
            <w:noProof/>
            <w:webHidden/>
          </w:rPr>
        </w:r>
        <w:r>
          <w:rPr>
            <w:noProof/>
            <w:webHidden/>
          </w:rPr>
          <w:fldChar w:fldCharType="separate"/>
        </w:r>
        <w:r>
          <w:rPr>
            <w:noProof/>
            <w:webHidden/>
          </w:rPr>
          <w:t>96</w:t>
        </w:r>
        <w:r>
          <w:rPr>
            <w:noProof/>
            <w:webHidden/>
          </w:rPr>
          <w:fldChar w:fldCharType="end"/>
        </w:r>
      </w:hyperlink>
    </w:p>
    <w:p w14:paraId="1A9A6354" w14:textId="6131AB6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1" w:history="1">
        <w:r w:rsidRPr="007E7FB5">
          <w:rPr>
            <w:rStyle w:val="Hyperlink"/>
            <w:noProof/>
          </w:rPr>
          <w:t>4.7</w:t>
        </w:r>
        <w:r>
          <w:rPr>
            <w:rFonts w:asciiTheme="minorHAnsi" w:eastAsiaTheme="minorEastAsia" w:hAnsiTheme="minorHAnsi" w:cstheme="minorBidi"/>
            <w:noProof/>
            <w:color w:val="auto"/>
            <w:kern w:val="2"/>
            <w:szCs w:val="24"/>
            <w14:ligatures w14:val="standardContextual"/>
          </w:rPr>
          <w:tab/>
        </w:r>
        <w:r w:rsidRPr="007E7FB5">
          <w:rPr>
            <w:rStyle w:val="Hyperlink"/>
            <w:noProof/>
          </w:rPr>
          <w:t>Short-Term Voltage Stability Assessment Methods</w:t>
        </w:r>
        <w:r>
          <w:rPr>
            <w:noProof/>
            <w:webHidden/>
          </w:rPr>
          <w:tab/>
        </w:r>
        <w:r>
          <w:rPr>
            <w:noProof/>
            <w:webHidden/>
          </w:rPr>
          <w:fldChar w:fldCharType="begin"/>
        </w:r>
        <w:r>
          <w:rPr>
            <w:noProof/>
            <w:webHidden/>
          </w:rPr>
          <w:instrText xml:space="preserve"> PAGEREF _Toc233734321 \h </w:instrText>
        </w:r>
        <w:r>
          <w:rPr>
            <w:noProof/>
            <w:webHidden/>
          </w:rPr>
        </w:r>
        <w:r>
          <w:rPr>
            <w:noProof/>
            <w:webHidden/>
          </w:rPr>
          <w:fldChar w:fldCharType="separate"/>
        </w:r>
        <w:r>
          <w:rPr>
            <w:noProof/>
            <w:webHidden/>
          </w:rPr>
          <w:t>97</w:t>
        </w:r>
        <w:r>
          <w:rPr>
            <w:noProof/>
            <w:webHidden/>
          </w:rPr>
          <w:fldChar w:fldCharType="end"/>
        </w:r>
      </w:hyperlink>
    </w:p>
    <w:p w14:paraId="2FE15EBD" w14:textId="1D19ED0D"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2" w:history="1">
        <w:r w:rsidRPr="007E7FB5">
          <w:rPr>
            <w:rStyle w:val="Hyperlink"/>
            <w:noProof/>
          </w:rPr>
          <w:t>4.8</w:t>
        </w:r>
        <w:r>
          <w:rPr>
            <w:rFonts w:asciiTheme="minorHAnsi" w:eastAsiaTheme="minorEastAsia" w:hAnsiTheme="minorHAnsi" w:cstheme="minorBidi"/>
            <w:noProof/>
            <w:color w:val="auto"/>
            <w:kern w:val="2"/>
            <w:szCs w:val="24"/>
            <w14:ligatures w14:val="standardContextual"/>
          </w:rPr>
          <w:tab/>
        </w:r>
        <w:r w:rsidRPr="007E7FB5">
          <w:rPr>
            <w:rStyle w:val="Hyperlink"/>
            <w:noProof/>
          </w:rPr>
          <w:t>Long-Term Voltage Stability</w:t>
        </w:r>
        <w:r>
          <w:rPr>
            <w:noProof/>
            <w:webHidden/>
          </w:rPr>
          <w:tab/>
        </w:r>
        <w:r>
          <w:rPr>
            <w:noProof/>
            <w:webHidden/>
          </w:rPr>
          <w:fldChar w:fldCharType="begin"/>
        </w:r>
        <w:r>
          <w:rPr>
            <w:noProof/>
            <w:webHidden/>
          </w:rPr>
          <w:instrText xml:space="preserve"> PAGEREF _Toc233734322 \h </w:instrText>
        </w:r>
        <w:r>
          <w:rPr>
            <w:noProof/>
            <w:webHidden/>
          </w:rPr>
        </w:r>
        <w:r>
          <w:rPr>
            <w:noProof/>
            <w:webHidden/>
          </w:rPr>
          <w:fldChar w:fldCharType="separate"/>
        </w:r>
        <w:r>
          <w:rPr>
            <w:noProof/>
            <w:webHidden/>
          </w:rPr>
          <w:t>109</w:t>
        </w:r>
        <w:r>
          <w:rPr>
            <w:noProof/>
            <w:webHidden/>
          </w:rPr>
          <w:fldChar w:fldCharType="end"/>
        </w:r>
      </w:hyperlink>
    </w:p>
    <w:p w14:paraId="73FC4E9A" w14:textId="6C5ED93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3" w:history="1">
        <w:r w:rsidRPr="007E7FB5">
          <w:rPr>
            <w:rStyle w:val="Hyperlink"/>
            <w:noProof/>
          </w:rPr>
          <w:t>4.9</w:t>
        </w:r>
        <w:r>
          <w:rPr>
            <w:rFonts w:asciiTheme="minorHAnsi" w:eastAsiaTheme="minorEastAsia" w:hAnsiTheme="minorHAnsi" w:cstheme="minorBidi"/>
            <w:noProof/>
            <w:color w:val="auto"/>
            <w:kern w:val="2"/>
            <w:szCs w:val="24"/>
            <w14:ligatures w14:val="standardContextual"/>
          </w:rPr>
          <w:tab/>
        </w:r>
        <w:r w:rsidRPr="007E7FB5">
          <w:rPr>
            <w:rStyle w:val="Hyperlink"/>
            <w:noProof/>
          </w:rPr>
          <w:t>Motivation for Long-Term Voltage Stability Assessment</w:t>
        </w:r>
        <w:r>
          <w:rPr>
            <w:noProof/>
            <w:webHidden/>
          </w:rPr>
          <w:tab/>
        </w:r>
        <w:r>
          <w:rPr>
            <w:noProof/>
            <w:webHidden/>
          </w:rPr>
          <w:fldChar w:fldCharType="begin"/>
        </w:r>
        <w:r>
          <w:rPr>
            <w:noProof/>
            <w:webHidden/>
          </w:rPr>
          <w:instrText xml:space="preserve"> PAGEREF _Toc233734323 \h </w:instrText>
        </w:r>
        <w:r>
          <w:rPr>
            <w:noProof/>
            <w:webHidden/>
          </w:rPr>
        </w:r>
        <w:r>
          <w:rPr>
            <w:noProof/>
            <w:webHidden/>
          </w:rPr>
          <w:fldChar w:fldCharType="separate"/>
        </w:r>
        <w:r>
          <w:rPr>
            <w:noProof/>
            <w:webHidden/>
          </w:rPr>
          <w:t>110</w:t>
        </w:r>
        <w:r>
          <w:rPr>
            <w:noProof/>
            <w:webHidden/>
          </w:rPr>
          <w:fldChar w:fldCharType="end"/>
        </w:r>
      </w:hyperlink>
    </w:p>
    <w:p w14:paraId="316050E6" w14:textId="7FDCCFAB"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4" w:history="1">
        <w:r w:rsidRPr="007E7FB5">
          <w:rPr>
            <w:rStyle w:val="Hyperlink"/>
            <w:noProof/>
          </w:rPr>
          <w:t>4.10</w:t>
        </w:r>
        <w:r>
          <w:rPr>
            <w:rFonts w:asciiTheme="minorHAnsi" w:eastAsiaTheme="minorEastAsia" w:hAnsiTheme="minorHAnsi" w:cstheme="minorBidi"/>
            <w:noProof/>
            <w:color w:val="auto"/>
            <w:kern w:val="2"/>
            <w:szCs w:val="24"/>
            <w14:ligatures w14:val="standardContextual"/>
          </w:rPr>
          <w:tab/>
        </w:r>
        <w:r w:rsidRPr="007E7FB5">
          <w:rPr>
            <w:rStyle w:val="Hyperlink"/>
            <w:noProof/>
          </w:rPr>
          <w:t>Long-Term Voltage Stability Assessment Methods</w:t>
        </w:r>
        <w:r>
          <w:rPr>
            <w:noProof/>
            <w:webHidden/>
          </w:rPr>
          <w:tab/>
        </w:r>
        <w:r>
          <w:rPr>
            <w:noProof/>
            <w:webHidden/>
          </w:rPr>
          <w:fldChar w:fldCharType="begin"/>
        </w:r>
        <w:r>
          <w:rPr>
            <w:noProof/>
            <w:webHidden/>
          </w:rPr>
          <w:instrText xml:space="preserve"> PAGEREF _Toc233734324 \h </w:instrText>
        </w:r>
        <w:r>
          <w:rPr>
            <w:noProof/>
            <w:webHidden/>
          </w:rPr>
        </w:r>
        <w:r>
          <w:rPr>
            <w:noProof/>
            <w:webHidden/>
          </w:rPr>
          <w:fldChar w:fldCharType="separate"/>
        </w:r>
        <w:r>
          <w:rPr>
            <w:noProof/>
            <w:webHidden/>
          </w:rPr>
          <w:t>110</w:t>
        </w:r>
        <w:r>
          <w:rPr>
            <w:noProof/>
            <w:webHidden/>
          </w:rPr>
          <w:fldChar w:fldCharType="end"/>
        </w:r>
      </w:hyperlink>
    </w:p>
    <w:p w14:paraId="570C5135" w14:textId="0D01D51D"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5" w:history="1">
        <w:r w:rsidRPr="007E7FB5">
          <w:rPr>
            <w:rStyle w:val="Hyperlink"/>
            <w:noProof/>
          </w:rPr>
          <w:t>4.11</w:t>
        </w:r>
        <w:r>
          <w:rPr>
            <w:rFonts w:asciiTheme="minorHAnsi" w:eastAsiaTheme="minorEastAsia" w:hAnsiTheme="minorHAnsi" w:cstheme="minorBidi"/>
            <w:noProof/>
            <w:color w:val="auto"/>
            <w:kern w:val="2"/>
            <w:szCs w:val="24"/>
            <w14:ligatures w14:val="standardContextual"/>
          </w:rPr>
          <w:tab/>
        </w:r>
        <w:r w:rsidRPr="007E7FB5">
          <w:rPr>
            <w:rStyle w:val="Hyperlink"/>
            <w:noProof/>
          </w:rPr>
          <w:t>Chapter Summary</w:t>
        </w:r>
        <w:r>
          <w:rPr>
            <w:noProof/>
            <w:webHidden/>
          </w:rPr>
          <w:tab/>
        </w:r>
        <w:r>
          <w:rPr>
            <w:noProof/>
            <w:webHidden/>
          </w:rPr>
          <w:fldChar w:fldCharType="begin"/>
        </w:r>
        <w:r>
          <w:rPr>
            <w:noProof/>
            <w:webHidden/>
          </w:rPr>
          <w:instrText xml:space="preserve"> PAGEREF _Toc233734325 \h </w:instrText>
        </w:r>
        <w:r>
          <w:rPr>
            <w:noProof/>
            <w:webHidden/>
          </w:rPr>
        </w:r>
        <w:r>
          <w:rPr>
            <w:noProof/>
            <w:webHidden/>
          </w:rPr>
          <w:fldChar w:fldCharType="separate"/>
        </w:r>
        <w:r>
          <w:rPr>
            <w:noProof/>
            <w:webHidden/>
          </w:rPr>
          <w:t>113</w:t>
        </w:r>
        <w:r>
          <w:rPr>
            <w:noProof/>
            <w:webHidden/>
          </w:rPr>
          <w:fldChar w:fldCharType="end"/>
        </w:r>
      </w:hyperlink>
    </w:p>
    <w:p w14:paraId="0E944D4D" w14:textId="74D470F5"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26" w:history="1">
        <w:r w:rsidRPr="007E7FB5">
          <w:rPr>
            <w:rStyle w:val="Hyperlink"/>
          </w:rPr>
          <w:t>5</w:t>
        </w:r>
        <w:r>
          <w:rPr>
            <w:rFonts w:asciiTheme="minorHAnsi" w:eastAsiaTheme="minorEastAsia" w:hAnsiTheme="minorHAnsi" w:cstheme="minorBidi"/>
            <w:color w:val="auto"/>
            <w:kern w:val="2"/>
            <w:szCs w:val="24"/>
            <w14:ligatures w14:val="standardContextual"/>
          </w:rPr>
          <w:tab/>
        </w:r>
        <w:r w:rsidRPr="007E7FB5">
          <w:rPr>
            <w:rStyle w:val="Hyperlink"/>
          </w:rPr>
          <w:t>Small-Disturbance Voltage Stability</w:t>
        </w:r>
        <w:r>
          <w:rPr>
            <w:webHidden/>
          </w:rPr>
          <w:tab/>
        </w:r>
        <w:r>
          <w:rPr>
            <w:webHidden/>
          </w:rPr>
          <w:fldChar w:fldCharType="begin"/>
        </w:r>
        <w:r>
          <w:rPr>
            <w:webHidden/>
          </w:rPr>
          <w:instrText xml:space="preserve"> PAGEREF _Toc233734326 \h </w:instrText>
        </w:r>
        <w:r>
          <w:rPr>
            <w:webHidden/>
          </w:rPr>
        </w:r>
        <w:r>
          <w:rPr>
            <w:webHidden/>
          </w:rPr>
          <w:fldChar w:fldCharType="separate"/>
        </w:r>
        <w:r>
          <w:rPr>
            <w:webHidden/>
          </w:rPr>
          <w:t>114</w:t>
        </w:r>
        <w:r>
          <w:rPr>
            <w:webHidden/>
          </w:rPr>
          <w:fldChar w:fldCharType="end"/>
        </w:r>
      </w:hyperlink>
    </w:p>
    <w:p w14:paraId="6A663DCA" w14:textId="7B12B8BB"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7" w:history="1">
        <w:r w:rsidRPr="007E7FB5">
          <w:rPr>
            <w:rStyle w:val="Hyperlink"/>
            <w:noProof/>
          </w:rPr>
          <w:t>5.1</w:t>
        </w:r>
        <w:r>
          <w:rPr>
            <w:rFonts w:asciiTheme="minorHAnsi" w:eastAsiaTheme="minorEastAsia" w:hAnsiTheme="minorHAnsi" w:cstheme="minorBidi"/>
            <w:noProof/>
            <w:color w:val="auto"/>
            <w:kern w:val="2"/>
            <w:szCs w:val="24"/>
            <w14:ligatures w14:val="standardContextual"/>
          </w:rPr>
          <w:tab/>
        </w:r>
        <w:r w:rsidRPr="007E7FB5">
          <w:rPr>
            <w:rStyle w:val="Hyperlink"/>
            <w:noProof/>
          </w:rPr>
          <w:t>Introduction</w:t>
        </w:r>
        <w:r>
          <w:rPr>
            <w:noProof/>
            <w:webHidden/>
          </w:rPr>
          <w:tab/>
        </w:r>
        <w:r>
          <w:rPr>
            <w:noProof/>
            <w:webHidden/>
          </w:rPr>
          <w:fldChar w:fldCharType="begin"/>
        </w:r>
        <w:r>
          <w:rPr>
            <w:noProof/>
            <w:webHidden/>
          </w:rPr>
          <w:instrText xml:space="preserve"> PAGEREF _Toc233734327 \h </w:instrText>
        </w:r>
        <w:r>
          <w:rPr>
            <w:noProof/>
            <w:webHidden/>
          </w:rPr>
        </w:r>
        <w:r>
          <w:rPr>
            <w:noProof/>
            <w:webHidden/>
          </w:rPr>
          <w:fldChar w:fldCharType="separate"/>
        </w:r>
        <w:r>
          <w:rPr>
            <w:noProof/>
            <w:webHidden/>
          </w:rPr>
          <w:t>114</w:t>
        </w:r>
        <w:r>
          <w:rPr>
            <w:noProof/>
            <w:webHidden/>
          </w:rPr>
          <w:fldChar w:fldCharType="end"/>
        </w:r>
      </w:hyperlink>
    </w:p>
    <w:p w14:paraId="6F5D5EC6" w14:textId="48C9F4AB"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8" w:history="1">
        <w:r w:rsidRPr="007E7FB5">
          <w:rPr>
            <w:rStyle w:val="Hyperlink"/>
            <w:noProof/>
          </w:rPr>
          <w:t>5.2</w:t>
        </w:r>
        <w:r>
          <w:rPr>
            <w:rFonts w:asciiTheme="minorHAnsi" w:eastAsiaTheme="minorEastAsia" w:hAnsiTheme="minorHAnsi" w:cstheme="minorBidi"/>
            <w:noProof/>
            <w:color w:val="auto"/>
            <w:kern w:val="2"/>
            <w:szCs w:val="24"/>
            <w14:ligatures w14:val="standardContextual"/>
          </w:rPr>
          <w:tab/>
        </w:r>
        <w:r w:rsidRPr="007E7FB5">
          <w:rPr>
            <w:rStyle w:val="Hyperlink"/>
            <w:noProof/>
          </w:rPr>
          <w:t>Definition of Small-Disturbance Voltage Stability</w:t>
        </w:r>
        <w:r>
          <w:rPr>
            <w:noProof/>
            <w:webHidden/>
          </w:rPr>
          <w:tab/>
        </w:r>
        <w:r>
          <w:rPr>
            <w:noProof/>
            <w:webHidden/>
          </w:rPr>
          <w:fldChar w:fldCharType="begin"/>
        </w:r>
        <w:r>
          <w:rPr>
            <w:noProof/>
            <w:webHidden/>
          </w:rPr>
          <w:instrText xml:space="preserve"> PAGEREF _Toc233734328 \h </w:instrText>
        </w:r>
        <w:r>
          <w:rPr>
            <w:noProof/>
            <w:webHidden/>
          </w:rPr>
        </w:r>
        <w:r>
          <w:rPr>
            <w:noProof/>
            <w:webHidden/>
          </w:rPr>
          <w:fldChar w:fldCharType="separate"/>
        </w:r>
        <w:r>
          <w:rPr>
            <w:noProof/>
            <w:webHidden/>
          </w:rPr>
          <w:t>114</w:t>
        </w:r>
        <w:r>
          <w:rPr>
            <w:noProof/>
            <w:webHidden/>
          </w:rPr>
          <w:fldChar w:fldCharType="end"/>
        </w:r>
      </w:hyperlink>
    </w:p>
    <w:p w14:paraId="6C09BD73" w14:textId="7C06BED1"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29" w:history="1">
        <w:r w:rsidRPr="007E7FB5">
          <w:rPr>
            <w:rStyle w:val="Hyperlink"/>
            <w:noProof/>
          </w:rPr>
          <w:t>5.3</w:t>
        </w:r>
        <w:r>
          <w:rPr>
            <w:rFonts w:asciiTheme="minorHAnsi" w:eastAsiaTheme="minorEastAsia" w:hAnsiTheme="minorHAnsi" w:cstheme="minorBidi"/>
            <w:noProof/>
            <w:color w:val="auto"/>
            <w:kern w:val="2"/>
            <w:szCs w:val="24"/>
            <w14:ligatures w14:val="standardContextual"/>
          </w:rPr>
          <w:tab/>
        </w:r>
        <w:r w:rsidRPr="007E7FB5">
          <w:rPr>
            <w:rStyle w:val="Hyperlink"/>
            <w:noProof/>
          </w:rPr>
          <w:t>Methodology for Small-Disturbance Voltage Stability Assessment</w:t>
        </w:r>
        <w:r>
          <w:rPr>
            <w:noProof/>
            <w:webHidden/>
          </w:rPr>
          <w:tab/>
        </w:r>
        <w:r>
          <w:rPr>
            <w:noProof/>
            <w:webHidden/>
          </w:rPr>
          <w:fldChar w:fldCharType="begin"/>
        </w:r>
        <w:r>
          <w:rPr>
            <w:noProof/>
            <w:webHidden/>
          </w:rPr>
          <w:instrText xml:space="preserve"> PAGEREF _Toc233734329 \h </w:instrText>
        </w:r>
        <w:r>
          <w:rPr>
            <w:noProof/>
            <w:webHidden/>
          </w:rPr>
        </w:r>
        <w:r>
          <w:rPr>
            <w:noProof/>
            <w:webHidden/>
          </w:rPr>
          <w:fldChar w:fldCharType="separate"/>
        </w:r>
        <w:r>
          <w:rPr>
            <w:noProof/>
            <w:webHidden/>
          </w:rPr>
          <w:t>114</w:t>
        </w:r>
        <w:r>
          <w:rPr>
            <w:noProof/>
            <w:webHidden/>
          </w:rPr>
          <w:fldChar w:fldCharType="end"/>
        </w:r>
      </w:hyperlink>
    </w:p>
    <w:p w14:paraId="4CB5D7CB" w14:textId="2C2518F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0" w:history="1">
        <w:r w:rsidRPr="007E7FB5">
          <w:rPr>
            <w:rStyle w:val="Hyperlink"/>
            <w:noProof/>
          </w:rPr>
          <w:t>5.4</w:t>
        </w:r>
        <w:r>
          <w:rPr>
            <w:rFonts w:asciiTheme="minorHAnsi" w:eastAsiaTheme="minorEastAsia" w:hAnsiTheme="minorHAnsi" w:cstheme="minorBidi"/>
            <w:noProof/>
            <w:color w:val="auto"/>
            <w:kern w:val="2"/>
            <w:szCs w:val="24"/>
            <w14:ligatures w14:val="standardContextual"/>
          </w:rPr>
          <w:tab/>
        </w:r>
        <w:r w:rsidRPr="007E7FB5">
          <w:rPr>
            <w:rStyle w:val="Hyperlink"/>
            <w:noProof/>
          </w:rPr>
          <w:t>Results and Discussion: Renewable Penetration, Small Load Changes, and AI Data Center Load</w:t>
        </w:r>
        <w:r>
          <w:rPr>
            <w:noProof/>
            <w:webHidden/>
          </w:rPr>
          <w:tab/>
        </w:r>
        <w:r>
          <w:rPr>
            <w:noProof/>
            <w:webHidden/>
          </w:rPr>
          <w:fldChar w:fldCharType="begin"/>
        </w:r>
        <w:r>
          <w:rPr>
            <w:noProof/>
            <w:webHidden/>
          </w:rPr>
          <w:instrText xml:space="preserve"> PAGEREF _Toc233734330 \h </w:instrText>
        </w:r>
        <w:r>
          <w:rPr>
            <w:noProof/>
            <w:webHidden/>
          </w:rPr>
        </w:r>
        <w:r>
          <w:rPr>
            <w:noProof/>
            <w:webHidden/>
          </w:rPr>
          <w:fldChar w:fldCharType="separate"/>
        </w:r>
        <w:r>
          <w:rPr>
            <w:noProof/>
            <w:webHidden/>
          </w:rPr>
          <w:t>117</w:t>
        </w:r>
        <w:r>
          <w:rPr>
            <w:noProof/>
            <w:webHidden/>
          </w:rPr>
          <w:fldChar w:fldCharType="end"/>
        </w:r>
      </w:hyperlink>
    </w:p>
    <w:p w14:paraId="772459B0" w14:textId="389D5081"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1" w:history="1">
        <w:r w:rsidRPr="007E7FB5">
          <w:rPr>
            <w:rStyle w:val="Hyperlink"/>
            <w:noProof/>
          </w:rPr>
          <w:t>5.5</w:t>
        </w:r>
        <w:r>
          <w:rPr>
            <w:rFonts w:asciiTheme="minorHAnsi" w:eastAsiaTheme="minorEastAsia" w:hAnsiTheme="minorHAnsi" w:cstheme="minorBidi"/>
            <w:noProof/>
            <w:color w:val="auto"/>
            <w:kern w:val="2"/>
            <w:szCs w:val="24"/>
            <w14:ligatures w14:val="standardContextual"/>
          </w:rPr>
          <w:tab/>
        </w:r>
        <w:r w:rsidRPr="007E7FB5">
          <w:rPr>
            <w:rStyle w:val="Hyperlink"/>
            <w:noProof/>
          </w:rPr>
          <w:t>Chapter Summary</w:t>
        </w:r>
        <w:r>
          <w:rPr>
            <w:noProof/>
            <w:webHidden/>
          </w:rPr>
          <w:tab/>
        </w:r>
        <w:r>
          <w:rPr>
            <w:noProof/>
            <w:webHidden/>
          </w:rPr>
          <w:fldChar w:fldCharType="begin"/>
        </w:r>
        <w:r>
          <w:rPr>
            <w:noProof/>
            <w:webHidden/>
          </w:rPr>
          <w:instrText xml:space="preserve"> PAGEREF _Toc233734331 \h </w:instrText>
        </w:r>
        <w:r>
          <w:rPr>
            <w:noProof/>
            <w:webHidden/>
          </w:rPr>
        </w:r>
        <w:r>
          <w:rPr>
            <w:noProof/>
            <w:webHidden/>
          </w:rPr>
          <w:fldChar w:fldCharType="separate"/>
        </w:r>
        <w:r>
          <w:rPr>
            <w:noProof/>
            <w:webHidden/>
          </w:rPr>
          <w:t>121</w:t>
        </w:r>
        <w:r>
          <w:rPr>
            <w:noProof/>
            <w:webHidden/>
          </w:rPr>
          <w:fldChar w:fldCharType="end"/>
        </w:r>
      </w:hyperlink>
    </w:p>
    <w:p w14:paraId="4891B810" w14:textId="028E4498"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332" w:history="1">
        <w:r w:rsidRPr="007E7FB5">
          <w:rPr>
            <w:rStyle w:val="Hyperlink"/>
          </w:rPr>
          <w:t>Part II</w:t>
        </w:r>
        <w:r>
          <w:rPr>
            <w:rFonts w:asciiTheme="minorHAnsi" w:eastAsiaTheme="minorEastAsia" w:hAnsiTheme="minorHAnsi" w:cstheme="minorBidi"/>
            <w:b w:val="0"/>
            <w:color w:val="auto"/>
            <w:kern w:val="2"/>
            <w:szCs w:val="24"/>
            <w14:ligatures w14:val="standardContextual"/>
          </w:rPr>
          <w:tab/>
        </w:r>
        <w:r w:rsidRPr="007E7FB5">
          <w:rPr>
            <w:rStyle w:val="Hyperlink"/>
          </w:rPr>
          <w:t>Large Load Model</w:t>
        </w:r>
        <w:r>
          <w:rPr>
            <w:webHidden/>
          </w:rPr>
          <w:tab/>
        </w:r>
        <w:r>
          <w:rPr>
            <w:webHidden/>
          </w:rPr>
          <w:fldChar w:fldCharType="begin"/>
        </w:r>
        <w:r>
          <w:rPr>
            <w:webHidden/>
          </w:rPr>
          <w:instrText xml:space="preserve"> PAGEREF _Toc233734332 \h </w:instrText>
        </w:r>
        <w:r>
          <w:rPr>
            <w:webHidden/>
          </w:rPr>
        </w:r>
        <w:r>
          <w:rPr>
            <w:webHidden/>
          </w:rPr>
          <w:fldChar w:fldCharType="separate"/>
        </w:r>
        <w:r>
          <w:rPr>
            <w:webHidden/>
          </w:rPr>
          <w:t>122</w:t>
        </w:r>
        <w:r>
          <w:rPr>
            <w:webHidden/>
          </w:rPr>
          <w:fldChar w:fldCharType="end"/>
        </w:r>
      </w:hyperlink>
    </w:p>
    <w:p w14:paraId="194F12DC" w14:textId="0241C681"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33" w:history="1">
        <w:r w:rsidRPr="007E7FB5">
          <w:rPr>
            <w:rStyle w:val="Hyperlink"/>
          </w:rPr>
          <w:t>6</w:t>
        </w:r>
        <w:r>
          <w:rPr>
            <w:rFonts w:asciiTheme="minorHAnsi" w:eastAsiaTheme="minorEastAsia" w:hAnsiTheme="minorHAnsi" w:cstheme="minorBidi"/>
            <w:color w:val="auto"/>
            <w:kern w:val="2"/>
            <w:szCs w:val="24"/>
            <w14:ligatures w14:val="standardContextual"/>
          </w:rPr>
          <w:tab/>
        </w:r>
        <w:r w:rsidRPr="007E7FB5">
          <w:rPr>
            <w:rStyle w:val="Hyperlink"/>
          </w:rPr>
          <w:t>Large Load Model</w:t>
        </w:r>
        <w:r>
          <w:rPr>
            <w:webHidden/>
          </w:rPr>
          <w:tab/>
        </w:r>
        <w:r>
          <w:rPr>
            <w:webHidden/>
          </w:rPr>
          <w:fldChar w:fldCharType="begin"/>
        </w:r>
        <w:r>
          <w:rPr>
            <w:webHidden/>
          </w:rPr>
          <w:instrText xml:space="preserve"> PAGEREF _Toc233734333 \h </w:instrText>
        </w:r>
        <w:r>
          <w:rPr>
            <w:webHidden/>
          </w:rPr>
        </w:r>
        <w:r>
          <w:rPr>
            <w:webHidden/>
          </w:rPr>
          <w:fldChar w:fldCharType="separate"/>
        </w:r>
        <w:r>
          <w:rPr>
            <w:webHidden/>
          </w:rPr>
          <w:t>123</w:t>
        </w:r>
        <w:r>
          <w:rPr>
            <w:webHidden/>
          </w:rPr>
          <w:fldChar w:fldCharType="end"/>
        </w:r>
      </w:hyperlink>
    </w:p>
    <w:p w14:paraId="09933B9F" w14:textId="46493312"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4" w:history="1">
        <w:r w:rsidRPr="007E7FB5">
          <w:rPr>
            <w:rStyle w:val="Hyperlink"/>
            <w:noProof/>
          </w:rPr>
          <w:t>6.1</w:t>
        </w:r>
        <w:r>
          <w:rPr>
            <w:rFonts w:asciiTheme="minorHAnsi" w:eastAsiaTheme="minorEastAsia" w:hAnsiTheme="minorHAnsi" w:cstheme="minorBidi"/>
            <w:noProof/>
            <w:color w:val="auto"/>
            <w:kern w:val="2"/>
            <w:szCs w:val="24"/>
            <w14:ligatures w14:val="standardContextual"/>
          </w:rPr>
          <w:tab/>
        </w:r>
        <w:r w:rsidRPr="007E7FB5">
          <w:rPr>
            <w:rStyle w:val="Hyperlink"/>
            <w:noProof/>
          </w:rPr>
          <w:t>Introduction</w:t>
        </w:r>
        <w:r>
          <w:rPr>
            <w:noProof/>
            <w:webHidden/>
          </w:rPr>
          <w:tab/>
        </w:r>
        <w:r>
          <w:rPr>
            <w:noProof/>
            <w:webHidden/>
          </w:rPr>
          <w:fldChar w:fldCharType="begin"/>
        </w:r>
        <w:r>
          <w:rPr>
            <w:noProof/>
            <w:webHidden/>
          </w:rPr>
          <w:instrText xml:space="preserve"> PAGEREF _Toc233734334 \h </w:instrText>
        </w:r>
        <w:r>
          <w:rPr>
            <w:noProof/>
            <w:webHidden/>
          </w:rPr>
        </w:r>
        <w:r>
          <w:rPr>
            <w:noProof/>
            <w:webHidden/>
          </w:rPr>
          <w:fldChar w:fldCharType="separate"/>
        </w:r>
        <w:r>
          <w:rPr>
            <w:noProof/>
            <w:webHidden/>
          </w:rPr>
          <w:t>123</w:t>
        </w:r>
        <w:r>
          <w:rPr>
            <w:noProof/>
            <w:webHidden/>
          </w:rPr>
          <w:fldChar w:fldCharType="end"/>
        </w:r>
      </w:hyperlink>
    </w:p>
    <w:p w14:paraId="7062F0FD" w14:textId="08248555"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5" w:history="1">
        <w:r w:rsidRPr="007E7FB5">
          <w:rPr>
            <w:rStyle w:val="Hyperlink"/>
            <w:noProof/>
          </w:rPr>
          <w:t>6.2</w:t>
        </w:r>
        <w:r>
          <w:rPr>
            <w:rFonts w:asciiTheme="minorHAnsi" w:eastAsiaTheme="minorEastAsia" w:hAnsiTheme="minorHAnsi" w:cstheme="minorBidi"/>
            <w:noProof/>
            <w:color w:val="auto"/>
            <w:kern w:val="2"/>
            <w:szCs w:val="24"/>
            <w14:ligatures w14:val="standardContextual"/>
          </w:rPr>
          <w:tab/>
        </w:r>
        <w:r w:rsidRPr="007E7FB5">
          <w:rPr>
            <w:rStyle w:val="Hyperlink"/>
            <w:noProof/>
          </w:rPr>
          <w:t>Large Load Model for Power System Studies</w:t>
        </w:r>
        <w:r>
          <w:rPr>
            <w:noProof/>
            <w:webHidden/>
          </w:rPr>
          <w:tab/>
        </w:r>
        <w:r>
          <w:rPr>
            <w:noProof/>
            <w:webHidden/>
          </w:rPr>
          <w:fldChar w:fldCharType="begin"/>
        </w:r>
        <w:r>
          <w:rPr>
            <w:noProof/>
            <w:webHidden/>
          </w:rPr>
          <w:instrText xml:space="preserve"> PAGEREF _Toc233734335 \h </w:instrText>
        </w:r>
        <w:r>
          <w:rPr>
            <w:noProof/>
            <w:webHidden/>
          </w:rPr>
        </w:r>
        <w:r>
          <w:rPr>
            <w:noProof/>
            <w:webHidden/>
          </w:rPr>
          <w:fldChar w:fldCharType="separate"/>
        </w:r>
        <w:r>
          <w:rPr>
            <w:noProof/>
            <w:webHidden/>
          </w:rPr>
          <w:t>124</w:t>
        </w:r>
        <w:r>
          <w:rPr>
            <w:noProof/>
            <w:webHidden/>
          </w:rPr>
          <w:fldChar w:fldCharType="end"/>
        </w:r>
      </w:hyperlink>
    </w:p>
    <w:p w14:paraId="1EC41CE3" w14:textId="5142ACCF"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6" w:history="1">
        <w:r w:rsidRPr="007E7FB5">
          <w:rPr>
            <w:rStyle w:val="Hyperlink"/>
            <w:noProof/>
          </w:rPr>
          <w:t>6.3</w:t>
        </w:r>
        <w:r>
          <w:rPr>
            <w:rFonts w:asciiTheme="minorHAnsi" w:eastAsiaTheme="minorEastAsia" w:hAnsiTheme="minorHAnsi" w:cstheme="minorBidi"/>
            <w:noProof/>
            <w:color w:val="auto"/>
            <w:kern w:val="2"/>
            <w:szCs w:val="24"/>
            <w14:ligatures w14:val="standardContextual"/>
          </w:rPr>
          <w:tab/>
        </w:r>
        <w:r w:rsidRPr="007E7FB5">
          <w:rPr>
            <w:rStyle w:val="Hyperlink"/>
            <w:noProof/>
          </w:rPr>
          <w:t>Methodology</w:t>
        </w:r>
        <w:r>
          <w:rPr>
            <w:noProof/>
            <w:webHidden/>
          </w:rPr>
          <w:tab/>
        </w:r>
        <w:r>
          <w:rPr>
            <w:noProof/>
            <w:webHidden/>
          </w:rPr>
          <w:fldChar w:fldCharType="begin"/>
        </w:r>
        <w:r>
          <w:rPr>
            <w:noProof/>
            <w:webHidden/>
          </w:rPr>
          <w:instrText xml:space="preserve"> PAGEREF _Toc233734336 \h </w:instrText>
        </w:r>
        <w:r>
          <w:rPr>
            <w:noProof/>
            <w:webHidden/>
          </w:rPr>
        </w:r>
        <w:r>
          <w:rPr>
            <w:noProof/>
            <w:webHidden/>
          </w:rPr>
          <w:fldChar w:fldCharType="separate"/>
        </w:r>
        <w:r>
          <w:rPr>
            <w:noProof/>
            <w:webHidden/>
          </w:rPr>
          <w:t>128</w:t>
        </w:r>
        <w:r>
          <w:rPr>
            <w:noProof/>
            <w:webHidden/>
          </w:rPr>
          <w:fldChar w:fldCharType="end"/>
        </w:r>
      </w:hyperlink>
    </w:p>
    <w:p w14:paraId="6494F76C" w14:textId="55E0B227"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7" w:history="1">
        <w:r w:rsidRPr="007E7FB5">
          <w:rPr>
            <w:rStyle w:val="Hyperlink"/>
            <w:noProof/>
          </w:rPr>
          <w:t>6.4</w:t>
        </w:r>
        <w:r>
          <w:rPr>
            <w:rFonts w:asciiTheme="minorHAnsi" w:eastAsiaTheme="minorEastAsia" w:hAnsiTheme="minorHAnsi" w:cstheme="minorBidi"/>
            <w:noProof/>
            <w:color w:val="auto"/>
            <w:kern w:val="2"/>
            <w:szCs w:val="24"/>
            <w14:ligatures w14:val="standardContextual"/>
          </w:rPr>
          <w:tab/>
        </w:r>
        <w:r w:rsidRPr="007E7FB5">
          <w:rPr>
            <w:rStyle w:val="Hyperlink"/>
            <w:noProof/>
          </w:rPr>
          <w:t>Test System and Numerical Simulations</w:t>
        </w:r>
        <w:r>
          <w:rPr>
            <w:noProof/>
            <w:webHidden/>
          </w:rPr>
          <w:tab/>
        </w:r>
        <w:r>
          <w:rPr>
            <w:noProof/>
            <w:webHidden/>
          </w:rPr>
          <w:fldChar w:fldCharType="begin"/>
        </w:r>
        <w:r>
          <w:rPr>
            <w:noProof/>
            <w:webHidden/>
          </w:rPr>
          <w:instrText xml:space="preserve"> PAGEREF _Toc233734337 \h </w:instrText>
        </w:r>
        <w:r>
          <w:rPr>
            <w:noProof/>
            <w:webHidden/>
          </w:rPr>
        </w:r>
        <w:r>
          <w:rPr>
            <w:noProof/>
            <w:webHidden/>
          </w:rPr>
          <w:fldChar w:fldCharType="separate"/>
        </w:r>
        <w:r>
          <w:rPr>
            <w:noProof/>
            <w:webHidden/>
          </w:rPr>
          <w:t>129</w:t>
        </w:r>
        <w:r>
          <w:rPr>
            <w:noProof/>
            <w:webHidden/>
          </w:rPr>
          <w:fldChar w:fldCharType="end"/>
        </w:r>
      </w:hyperlink>
    </w:p>
    <w:p w14:paraId="41E4C499" w14:textId="550596D0"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38" w:history="1">
        <w:r w:rsidRPr="007E7FB5">
          <w:rPr>
            <w:rStyle w:val="Hyperlink"/>
            <w:noProof/>
          </w:rPr>
          <w:t>6.5</w:t>
        </w:r>
        <w:r>
          <w:rPr>
            <w:rFonts w:asciiTheme="minorHAnsi" w:eastAsiaTheme="minorEastAsia" w:hAnsiTheme="minorHAnsi" w:cstheme="minorBidi"/>
            <w:noProof/>
            <w:color w:val="auto"/>
            <w:kern w:val="2"/>
            <w:szCs w:val="24"/>
            <w14:ligatures w14:val="standardContextual"/>
          </w:rPr>
          <w:tab/>
        </w:r>
        <w:r w:rsidRPr="007E7FB5">
          <w:rPr>
            <w:rStyle w:val="Hyperlink"/>
            <w:noProof/>
          </w:rPr>
          <w:t>Chapter Summary</w:t>
        </w:r>
        <w:r>
          <w:rPr>
            <w:noProof/>
            <w:webHidden/>
          </w:rPr>
          <w:tab/>
        </w:r>
        <w:r>
          <w:rPr>
            <w:noProof/>
            <w:webHidden/>
          </w:rPr>
          <w:fldChar w:fldCharType="begin"/>
        </w:r>
        <w:r>
          <w:rPr>
            <w:noProof/>
            <w:webHidden/>
          </w:rPr>
          <w:instrText xml:space="preserve"> PAGEREF _Toc233734338 \h </w:instrText>
        </w:r>
        <w:r>
          <w:rPr>
            <w:noProof/>
            <w:webHidden/>
          </w:rPr>
        </w:r>
        <w:r>
          <w:rPr>
            <w:noProof/>
            <w:webHidden/>
          </w:rPr>
          <w:fldChar w:fldCharType="separate"/>
        </w:r>
        <w:r>
          <w:rPr>
            <w:noProof/>
            <w:webHidden/>
          </w:rPr>
          <w:t>137</w:t>
        </w:r>
        <w:r>
          <w:rPr>
            <w:noProof/>
            <w:webHidden/>
          </w:rPr>
          <w:fldChar w:fldCharType="end"/>
        </w:r>
      </w:hyperlink>
    </w:p>
    <w:p w14:paraId="0056FDAC" w14:textId="4FB3842C" w:rsidR="004048A1" w:rsidRDefault="004048A1">
      <w:pPr>
        <w:pStyle w:val="TOC1"/>
        <w:rPr>
          <w:rFonts w:asciiTheme="minorHAnsi" w:eastAsiaTheme="minorEastAsia" w:hAnsiTheme="minorHAnsi" w:cstheme="minorBidi"/>
          <w:b w:val="0"/>
          <w:color w:val="auto"/>
          <w:kern w:val="2"/>
          <w:szCs w:val="24"/>
          <w14:ligatures w14:val="standardContextual"/>
        </w:rPr>
      </w:pPr>
      <w:hyperlink w:anchor="_Toc233734339" w:history="1">
        <w:r w:rsidRPr="007E7FB5">
          <w:rPr>
            <w:rStyle w:val="Hyperlink"/>
          </w:rPr>
          <w:t>Part III</w:t>
        </w:r>
        <w:r>
          <w:rPr>
            <w:rFonts w:asciiTheme="minorHAnsi" w:eastAsiaTheme="minorEastAsia" w:hAnsiTheme="minorHAnsi" w:cstheme="minorBidi"/>
            <w:b w:val="0"/>
            <w:color w:val="auto"/>
            <w:kern w:val="2"/>
            <w:szCs w:val="24"/>
            <w14:ligatures w14:val="standardContextual"/>
          </w:rPr>
          <w:tab/>
        </w:r>
        <w:r w:rsidRPr="007E7FB5">
          <w:rPr>
            <w:rStyle w:val="Hyperlink"/>
          </w:rPr>
          <w:t>Conclusions and Future Work</w:t>
        </w:r>
        <w:r>
          <w:rPr>
            <w:webHidden/>
          </w:rPr>
          <w:tab/>
        </w:r>
        <w:r>
          <w:rPr>
            <w:webHidden/>
          </w:rPr>
          <w:fldChar w:fldCharType="begin"/>
        </w:r>
        <w:r>
          <w:rPr>
            <w:webHidden/>
          </w:rPr>
          <w:instrText xml:space="preserve"> PAGEREF _Toc233734339 \h </w:instrText>
        </w:r>
        <w:r>
          <w:rPr>
            <w:webHidden/>
          </w:rPr>
        </w:r>
        <w:r>
          <w:rPr>
            <w:webHidden/>
          </w:rPr>
          <w:fldChar w:fldCharType="separate"/>
        </w:r>
        <w:r>
          <w:rPr>
            <w:webHidden/>
          </w:rPr>
          <w:t>138</w:t>
        </w:r>
        <w:r>
          <w:rPr>
            <w:webHidden/>
          </w:rPr>
          <w:fldChar w:fldCharType="end"/>
        </w:r>
      </w:hyperlink>
    </w:p>
    <w:p w14:paraId="244E6C07" w14:textId="6EF883D6"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40" w:history="1">
        <w:r w:rsidRPr="007E7FB5">
          <w:rPr>
            <w:rStyle w:val="Hyperlink"/>
          </w:rPr>
          <w:t>7</w:t>
        </w:r>
        <w:r>
          <w:rPr>
            <w:rFonts w:asciiTheme="minorHAnsi" w:eastAsiaTheme="minorEastAsia" w:hAnsiTheme="minorHAnsi" w:cstheme="minorBidi"/>
            <w:color w:val="auto"/>
            <w:kern w:val="2"/>
            <w:szCs w:val="24"/>
            <w14:ligatures w14:val="standardContextual"/>
          </w:rPr>
          <w:tab/>
        </w:r>
        <w:r w:rsidRPr="007E7FB5">
          <w:rPr>
            <w:rStyle w:val="Hyperlink"/>
          </w:rPr>
          <w:t>Conclusions and Future Work</w:t>
        </w:r>
        <w:r>
          <w:rPr>
            <w:webHidden/>
          </w:rPr>
          <w:tab/>
        </w:r>
        <w:r>
          <w:rPr>
            <w:webHidden/>
          </w:rPr>
          <w:fldChar w:fldCharType="begin"/>
        </w:r>
        <w:r>
          <w:rPr>
            <w:webHidden/>
          </w:rPr>
          <w:instrText xml:space="preserve"> PAGEREF _Toc233734340 \h </w:instrText>
        </w:r>
        <w:r>
          <w:rPr>
            <w:webHidden/>
          </w:rPr>
        </w:r>
        <w:r>
          <w:rPr>
            <w:webHidden/>
          </w:rPr>
          <w:fldChar w:fldCharType="separate"/>
        </w:r>
        <w:r>
          <w:rPr>
            <w:webHidden/>
          </w:rPr>
          <w:t>139</w:t>
        </w:r>
        <w:r>
          <w:rPr>
            <w:webHidden/>
          </w:rPr>
          <w:fldChar w:fldCharType="end"/>
        </w:r>
      </w:hyperlink>
    </w:p>
    <w:p w14:paraId="6F931964" w14:textId="7F067F06"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41" w:history="1">
        <w:r w:rsidRPr="007E7FB5">
          <w:rPr>
            <w:rStyle w:val="Hyperlink"/>
            <w:noProof/>
          </w:rPr>
          <w:t>7.1</w:t>
        </w:r>
        <w:r>
          <w:rPr>
            <w:rFonts w:asciiTheme="minorHAnsi" w:eastAsiaTheme="minorEastAsia" w:hAnsiTheme="minorHAnsi" w:cstheme="minorBidi"/>
            <w:noProof/>
            <w:color w:val="auto"/>
            <w:kern w:val="2"/>
            <w:szCs w:val="24"/>
            <w14:ligatures w14:val="standardContextual"/>
          </w:rPr>
          <w:tab/>
        </w:r>
        <w:r w:rsidRPr="007E7FB5">
          <w:rPr>
            <w:rStyle w:val="Hyperlink"/>
            <w:noProof/>
          </w:rPr>
          <w:t>Conclusions</w:t>
        </w:r>
        <w:r>
          <w:rPr>
            <w:noProof/>
            <w:webHidden/>
          </w:rPr>
          <w:tab/>
        </w:r>
        <w:r>
          <w:rPr>
            <w:noProof/>
            <w:webHidden/>
          </w:rPr>
          <w:fldChar w:fldCharType="begin"/>
        </w:r>
        <w:r>
          <w:rPr>
            <w:noProof/>
            <w:webHidden/>
          </w:rPr>
          <w:instrText xml:space="preserve"> PAGEREF _Toc233734341 \h </w:instrText>
        </w:r>
        <w:r>
          <w:rPr>
            <w:noProof/>
            <w:webHidden/>
          </w:rPr>
        </w:r>
        <w:r>
          <w:rPr>
            <w:noProof/>
            <w:webHidden/>
          </w:rPr>
          <w:fldChar w:fldCharType="separate"/>
        </w:r>
        <w:r>
          <w:rPr>
            <w:noProof/>
            <w:webHidden/>
          </w:rPr>
          <w:t>139</w:t>
        </w:r>
        <w:r>
          <w:rPr>
            <w:noProof/>
            <w:webHidden/>
          </w:rPr>
          <w:fldChar w:fldCharType="end"/>
        </w:r>
      </w:hyperlink>
    </w:p>
    <w:p w14:paraId="7941F92D" w14:textId="477F2DE7" w:rsidR="004048A1" w:rsidRDefault="004048A1">
      <w:pPr>
        <w:pStyle w:val="TOC3"/>
        <w:rPr>
          <w:rFonts w:asciiTheme="minorHAnsi" w:eastAsiaTheme="minorEastAsia" w:hAnsiTheme="minorHAnsi" w:cstheme="minorBidi"/>
          <w:noProof/>
          <w:color w:val="auto"/>
          <w:kern w:val="2"/>
          <w:szCs w:val="24"/>
          <w14:ligatures w14:val="standardContextual"/>
        </w:rPr>
      </w:pPr>
      <w:hyperlink w:anchor="_Toc233734342" w:history="1">
        <w:r w:rsidRPr="007E7FB5">
          <w:rPr>
            <w:rStyle w:val="Hyperlink"/>
            <w:noProof/>
          </w:rPr>
          <w:t>7.2</w:t>
        </w:r>
        <w:r>
          <w:rPr>
            <w:rFonts w:asciiTheme="minorHAnsi" w:eastAsiaTheme="minorEastAsia" w:hAnsiTheme="minorHAnsi" w:cstheme="minorBidi"/>
            <w:noProof/>
            <w:color w:val="auto"/>
            <w:kern w:val="2"/>
            <w:szCs w:val="24"/>
            <w14:ligatures w14:val="standardContextual"/>
          </w:rPr>
          <w:tab/>
        </w:r>
        <w:r w:rsidRPr="007E7FB5">
          <w:rPr>
            <w:rStyle w:val="Hyperlink"/>
            <w:noProof/>
          </w:rPr>
          <w:t>Future Work</w:t>
        </w:r>
        <w:r>
          <w:rPr>
            <w:noProof/>
            <w:webHidden/>
          </w:rPr>
          <w:tab/>
        </w:r>
        <w:r>
          <w:rPr>
            <w:noProof/>
            <w:webHidden/>
          </w:rPr>
          <w:fldChar w:fldCharType="begin"/>
        </w:r>
        <w:r>
          <w:rPr>
            <w:noProof/>
            <w:webHidden/>
          </w:rPr>
          <w:instrText xml:space="preserve"> PAGEREF _Toc233734342 \h </w:instrText>
        </w:r>
        <w:r>
          <w:rPr>
            <w:noProof/>
            <w:webHidden/>
          </w:rPr>
        </w:r>
        <w:r>
          <w:rPr>
            <w:noProof/>
            <w:webHidden/>
          </w:rPr>
          <w:fldChar w:fldCharType="separate"/>
        </w:r>
        <w:r>
          <w:rPr>
            <w:noProof/>
            <w:webHidden/>
          </w:rPr>
          <w:t>140</w:t>
        </w:r>
        <w:r>
          <w:rPr>
            <w:noProof/>
            <w:webHidden/>
          </w:rPr>
          <w:fldChar w:fldCharType="end"/>
        </w:r>
      </w:hyperlink>
    </w:p>
    <w:p w14:paraId="73012A42" w14:textId="23057E8E"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43" w:history="1">
        <w:r w:rsidRPr="007E7FB5">
          <w:rPr>
            <w:rStyle w:val="Hyperlink"/>
          </w:rPr>
          <w:t>Appendix</w:t>
        </w:r>
        <w:r>
          <w:rPr>
            <w:webHidden/>
          </w:rPr>
          <w:tab/>
        </w:r>
        <w:r>
          <w:rPr>
            <w:webHidden/>
          </w:rPr>
          <w:fldChar w:fldCharType="begin"/>
        </w:r>
        <w:r>
          <w:rPr>
            <w:webHidden/>
          </w:rPr>
          <w:instrText xml:space="preserve"> PAGEREF _Toc233734343 \h </w:instrText>
        </w:r>
        <w:r>
          <w:rPr>
            <w:webHidden/>
          </w:rPr>
        </w:r>
        <w:r>
          <w:rPr>
            <w:webHidden/>
          </w:rPr>
          <w:fldChar w:fldCharType="separate"/>
        </w:r>
        <w:r>
          <w:rPr>
            <w:webHidden/>
          </w:rPr>
          <w:t>144</w:t>
        </w:r>
        <w:r>
          <w:rPr>
            <w:webHidden/>
          </w:rPr>
          <w:fldChar w:fldCharType="end"/>
        </w:r>
      </w:hyperlink>
    </w:p>
    <w:p w14:paraId="0EBF0A02" w14:textId="114A1120"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44" w:history="1">
        <w:r w:rsidRPr="007E7FB5">
          <w:rPr>
            <w:rStyle w:val="Hyperlink"/>
          </w:rPr>
          <w:t>Glossary</w:t>
        </w:r>
        <w:r>
          <w:rPr>
            <w:webHidden/>
          </w:rPr>
          <w:tab/>
        </w:r>
        <w:r>
          <w:rPr>
            <w:webHidden/>
          </w:rPr>
          <w:fldChar w:fldCharType="begin"/>
        </w:r>
        <w:r>
          <w:rPr>
            <w:webHidden/>
          </w:rPr>
          <w:instrText xml:space="preserve"> PAGEREF _Toc233734344 \h </w:instrText>
        </w:r>
        <w:r>
          <w:rPr>
            <w:webHidden/>
          </w:rPr>
        </w:r>
        <w:r>
          <w:rPr>
            <w:webHidden/>
          </w:rPr>
          <w:fldChar w:fldCharType="separate"/>
        </w:r>
        <w:r>
          <w:rPr>
            <w:webHidden/>
          </w:rPr>
          <w:t>154</w:t>
        </w:r>
        <w:r>
          <w:rPr>
            <w:webHidden/>
          </w:rPr>
          <w:fldChar w:fldCharType="end"/>
        </w:r>
      </w:hyperlink>
    </w:p>
    <w:p w14:paraId="51EFB515" w14:textId="7B19A62E" w:rsidR="004048A1" w:rsidRDefault="004048A1">
      <w:pPr>
        <w:pStyle w:val="TOC2"/>
        <w:rPr>
          <w:rFonts w:asciiTheme="minorHAnsi" w:eastAsiaTheme="minorEastAsia" w:hAnsiTheme="minorHAnsi" w:cstheme="minorBidi"/>
          <w:color w:val="auto"/>
          <w:kern w:val="2"/>
          <w:szCs w:val="24"/>
          <w14:ligatures w14:val="standardContextual"/>
        </w:rPr>
      </w:pPr>
      <w:hyperlink w:anchor="_Toc233734345" w:history="1">
        <w:r w:rsidRPr="007E7FB5">
          <w:rPr>
            <w:rStyle w:val="Hyperlink"/>
          </w:rPr>
          <w:t>References</w:t>
        </w:r>
        <w:r>
          <w:rPr>
            <w:webHidden/>
          </w:rPr>
          <w:tab/>
        </w:r>
        <w:r>
          <w:rPr>
            <w:webHidden/>
          </w:rPr>
          <w:fldChar w:fldCharType="begin"/>
        </w:r>
        <w:r>
          <w:rPr>
            <w:webHidden/>
          </w:rPr>
          <w:instrText xml:space="preserve"> PAGEREF _Toc233734345 \h </w:instrText>
        </w:r>
        <w:r>
          <w:rPr>
            <w:webHidden/>
          </w:rPr>
        </w:r>
        <w:r>
          <w:rPr>
            <w:webHidden/>
          </w:rPr>
          <w:fldChar w:fldCharType="separate"/>
        </w:r>
        <w:r>
          <w:rPr>
            <w:webHidden/>
          </w:rPr>
          <w:t>156</w:t>
        </w:r>
        <w:r>
          <w:rPr>
            <w:webHidden/>
          </w:rPr>
          <w:fldChar w:fldCharType="end"/>
        </w:r>
      </w:hyperlink>
    </w:p>
    <w:p w14:paraId="00701CA8" w14:textId="7402D5F8" w:rsidR="003053C7" w:rsidRDefault="009959BB" w:rsidP="00CD4F3A">
      <w:pPr>
        <w:pStyle w:val="BodyText"/>
        <w:spacing w:line="240" w:lineRule="auto"/>
      </w:pPr>
      <w:r w:rsidRPr="00E27D3B">
        <w:fldChar w:fldCharType="end"/>
      </w:r>
    </w:p>
    <w:p w14:paraId="6808040A" w14:textId="77777777" w:rsidR="00A943B2" w:rsidRPr="00E27D3B" w:rsidRDefault="004D139E" w:rsidP="00CD4F3A">
      <w:pPr>
        <w:pStyle w:val="ListofFiguresandTablesTOCHeading"/>
        <w:spacing w:line="240" w:lineRule="auto"/>
      </w:pPr>
      <w:r w:rsidRPr="00E27D3B">
        <w:t>F</w:t>
      </w:r>
      <w:r w:rsidR="00A943B2" w:rsidRPr="00E27D3B">
        <w:t>igures</w:t>
      </w:r>
    </w:p>
    <w:p w14:paraId="48CCE5A8" w14:textId="732C0795" w:rsidR="008D79C2" w:rsidRDefault="009959BB">
      <w:pPr>
        <w:pStyle w:val="TableofFigures"/>
        <w:rPr>
          <w:rFonts w:asciiTheme="minorHAnsi" w:eastAsiaTheme="minorEastAsia" w:hAnsiTheme="minorHAnsi" w:cstheme="minorBidi"/>
          <w:noProof/>
          <w:color w:val="auto"/>
          <w:kern w:val="2"/>
          <w:szCs w:val="24"/>
          <w14:ligatures w14:val="standardContextual"/>
        </w:rPr>
      </w:pPr>
      <w:r w:rsidRPr="007D13CA">
        <w:fldChar w:fldCharType="begin"/>
      </w:r>
      <w:r w:rsidR="00A943B2" w:rsidRPr="007D13CA">
        <w:instrText xml:space="preserve"> TOC \h \z \c "Figure" </w:instrText>
      </w:r>
      <w:r w:rsidRPr="007D13CA">
        <w:fldChar w:fldCharType="separate"/>
      </w:r>
      <w:hyperlink w:anchor="_Toc233735007" w:history="1">
        <w:r w:rsidR="008D79C2" w:rsidRPr="00C66866">
          <w:rPr>
            <w:rStyle w:val="Hyperlink"/>
            <w:noProof/>
          </w:rPr>
          <w:t xml:space="preserve">Figure 1: Classification of modern power system stability </w:t>
        </w:r>
        <w:r w:rsidR="008D79C2" w:rsidRPr="00C66866">
          <w:rPr>
            <w:rStyle w:val="Hyperlink"/>
            <w:noProof/>
            <w:cs/>
          </w:rPr>
          <w:t>‎</w:t>
        </w:r>
        <w:r w:rsidR="008D79C2" w:rsidRPr="00C66866">
          <w:rPr>
            <w:rStyle w:val="Hyperlink"/>
            <w:noProof/>
          </w:rPr>
          <w:t>[1].</w:t>
        </w:r>
        <w:r w:rsidR="008D79C2">
          <w:rPr>
            <w:noProof/>
            <w:webHidden/>
          </w:rPr>
          <w:tab/>
        </w:r>
        <w:r w:rsidR="008D79C2">
          <w:rPr>
            <w:noProof/>
            <w:webHidden/>
          </w:rPr>
          <w:fldChar w:fldCharType="begin"/>
        </w:r>
        <w:r w:rsidR="008D79C2">
          <w:rPr>
            <w:noProof/>
            <w:webHidden/>
          </w:rPr>
          <w:instrText xml:space="preserve"> PAGEREF _Toc233735007 \h </w:instrText>
        </w:r>
        <w:r w:rsidR="008D79C2">
          <w:rPr>
            <w:noProof/>
            <w:webHidden/>
          </w:rPr>
        </w:r>
        <w:r w:rsidR="008D79C2">
          <w:rPr>
            <w:noProof/>
            <w:webHidden/>
          </w:rPr>
          <w:fldChar w:fldCharType="separate"/>
        </w:r>
        <w:r w:rsidR="008D79C2">
          <w:rPr>
            <w:noProof/>
            <w:webHidden/>
          </w:rPr>
          <w:t>17</w:t>
        </w:r>
        <w:r w:rsidR="008D79C2">
          <w:rPr>
            <w:noProof/>
            <w:webHidden/>
          </w:rPr>
          <w:fldChar w:fldCharType="end"/>
        </w:r>
      </w:hyperlink>
    </w:p>
    <w:p w14:paraId="779332EC" w14:textId="59B9B8F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08" w:history="1">
        <w:r w:rsidRPr="00C66866">
          <w:rPr>
            <w:rStyle w:val="Hyperlink"/>
            <w:noProof/>
          </w:rPr>
          <w:t xml:space="preserve">Figure 2: Time scale of modern power system stability </w:t>
        </w:r>
        <w:r w:rsidRPr="00C66866">
          <w:rPr>
            <w:rStyle w:val="Hyperlink"/>
            <w:noProof/>
            <w:cs/>
          </w:rPr>
          <w:t>‎</w:t>
        </w:r>
        <w:r w:rsidRPr="00C66866">
          <w:rPr>
            <w:rStyle w:val="Hyperlink"/>
            <w:noProof/>
          </w:rPr>
          <w:t>[2].</w:t>
        </w:r>
        <w:r>
          <w:rPr>
            <w:noProof/>
            <w:webHidden/>
          </w:rPr>
          <w:tab/>
        </w:r>
        <w:r>
          <w:rPr>
            <w:noProof/>
            <w:webHidden/>
          </w:rPr>
          <w:fldChar w:fldCharType="begin"/>
        </w:r>
        <w:r>
          <w:rPr>
            <w:noProof/>
            <w:webHidden/>
          </w:rPr>
          <w:instrText xml:space="preserve"> PAGEREF _Toc233735008 \h </w:instrText>
        </w:r>
        <w:r>
          <w:rPr>
            <w:noProof/>
            <w:webHidden/>
          </w:rPr>
        </w:r>
        <w:r>
          <w:rPr>
            <w:noProof/>
            <w:webHidden/>
          </w:rPr>
          <w:fldChar w:fldCharType="separate"/>
        </w:r>
        <w:r>
          <w:rPr>
            <w:noProof/>
            <w:webHidden/>
          </w:rPr>
          <w:t>18</w:t>
        </w:r>
        <w:r>
          <w:rPr>
            <w:noProof/>
            <w:webHidden/>
          </w:rPr>
          <w:fldChar w:fldCharType="end"/>
        </w:r>
      </w:hyperlink>
    </w:p>
    <w:p w14:paraId="65158038" w14:textId="173C0C62"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09" w:history="1">
        <w:r w:rsidRPr="00C66866">
          <w:rPr>
            <w:rStyle w:val="Hyperlink"/>
            <w:noProof/>
          </w:rPr>
          <w:t xml:space="preserve">Figure 3: Block diagram of the VSG-based GFMI implementing three different voltage control strategies under investigation: Fixed voltage control (FVC), primary voltage control (PVC), and automatic voltage regulation (AVR) </w:t>
        </w:r>
        <w:r w:rsidRPr="00C66866">
          <w:rPr>
            <w:rStyle w:val="Hyperlink"/>
            <w:noProof/>
            <w:cs/>
          </w:rPr>
          <w:t>‎</w:t>
        </w:r>
        <w:r w:rsidRPr="00C66866">
          <w:rPr>
            <w:rStyle w:val="Hyperlink"/>
            <w:noProof/>
          </w:rPr>
          <w:t>[47].</w:t>
        </w:r>
        <w:r>
          <w:rPr>
            <w:noProof/>
            <w:webHidden/>
          </w:rPr>
          <w:tab/>
        </w:r>
        <w:r>
          <w:rPr>
            <w:noProof/>
            <w:webHidden/>
          </w:rPr>
          <w:fldChar w:fldCharType="begin"/>
        </w:r>
        <w:r>
          <w:rPr>
            <w:noProof/>
            <w:webHidden/>
          </w:rPr>
          <w:instrText xml:space="preserve"> PAGEREF _Toc233735009 \h </w:instrText>
        </w:r>
        <w:r>
          <w:rPr>
            <w:noProof/>
            <w:webHidden/>
          </w:rPr>
        </w:r>
        <w:r>
          <w:rPr>
            <w:noProof/>
            <w:webHidden/>
          </w:rPr>
          <w:fldChar w:fldCharType="separate"/>
        </w:r>
        <w:r>
          <w:rPr>
            <w:noProof/>
            <w:webHidden/>
          </w:rPr>
          <w:t>34</w:t>
        </w:r>
        <w:r>
          <w:rPr>
            <w:noProof/>
            <w:webHidden/>
          </w:rPr>
          <w:fldChar w:fldCharType="end"/>
        </w:r>
      </w:hyperlink>
    </w:p>
    <w:p w14:paraId="04E4C12F" w14:textId="0E3FD6B7"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0" w:history="1">
        <w:r w:rsidRPr="00C66866">
          <w:rPr>
            <w:rStyle w:val="Hyperlink"/>
            <w:noProof/>
          </w:rPr>
          <w:t xml:space="preserve">Figure 4: DQ-domain output impedances and Nyquist plots of the VSG-based GFMI under three voltage control methods: (a) and (d) Very weak grid (SCR=1.2), (b) and (e) Weak grid (SCR=2.5), and (c) and (f) Strong grid (SCR=4.0) </w:t>
        </w:r>
        <w:r w:rsidRPr="00C66866">
          <w:rPr>
            <w:rStyle w:val="Hyperlink"/>
            <w:noProof/>
            <w:cs/>
          </w:rPr>
          <w:t>‎</w:t>
        </w:r>
        <w:r w:rsidRPr="00C66866">
          <w:rPr>
            <w:rStyle w:val="Hyperlink"/>
            <w:noProof/>
          </w:rPr>
          <w:t>[47].</w:t>
        </w:r>
        <w:r>
          <w:rPr>
            <w:noProof/>
            <w:webHidden/>
          </w:rPr>
          <w:tab/>
        </w:r>
        <w:r>
          <w:rPr>
            <w:noProof/>
            <w:webHidden/>
          </w:rPr>
          <w:fldChar w:fldCharType="begin"/>
        </w:r>
        <w:r>
          <w:rPr>
            <w:noProof/>
            <w:webHidden/>
          </w:rPr>
          <w:instrText xml:space="preserve"> PAGEREF _Toc233735010 \h </w:instrText>
        </w:r>
        <w:r>
          <w:rPr>
            <w:noProof/>
            <w:webHidden/>
          </w:rPr>
        </w:r>
        <w:r>
          <w:rPr>
            <w:noProof/>
            <w:webHidden/>
          </w:rPr>
          <w:fldChar w:fldCharType="separate"/>
        </w:r>
        <w:r>
          <w:rPr>
            <w:noProof/>
            <w:webHidden/>
          </w:rPr>
          <w:t>36</w:t>
        </w:r>
        <w:r>
          <w:rPr>
            <w:noProof/>
            <w:webHidden/>
          </w:rPr>
          <w:fldChar w:fldCharType="end"/>
        </w:r>
      </w:hyperlink>
    </w:p>
    <w:p w14:paraId="56D3DD92" w14:textId="66D264D0"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1" w:history="1">
        <w:r w:rsidRPr="00C66866">
          <w:rPr>
            <w:rStyle w:val="Hyperlink"/>
            <w:noProof/>
          </w:rPr>
          <w:t>Figure 5: Dynamic performance comparison of FVC, PVC, and AVR strategies of GMFI under identical operating conditions. The first, second, and third columns correspond to FVC, PVC, and AVR strategies, respectively.</w:t>
        </w:r>
        <w:r>
          <w:rPr>
            <w:noProof/>
            <w:webHidden/>
          </w:rPr>
          <w:tab/>
        </w:r>
        <w:r>
          <w:rPr>
            <w:noProof/>
            <w:webHidden/>
          </w:rPr>
          <w:fldChar w:fldCharType="begin"/>
        </w:r>
        <w:r>
          <w:rPr>
            <w:noProof/>
            <w:webHidden/>
          </w:rPr>
          <w:instrText xml:space="preserve"> PAGEREF _Toc233735011 \h </w:instrText>
        </w:r>
        <w:r>
          <w:rPr>
            <w:noProof/>
            <w:webHidden/>
          </w:rPr>
        </w:r>
        <w:r>
          <w:rPr>
            <w:noProof/>
            <w:webHidden/>
          </w:rPr>
          <w:fldChar w:fldCharType="separate"/>
        </w:r>
        <w:r>
          <w:rPr>
            <w:noProof/>
            <w:webHidden/>
          </w:rPr>
          <w:t>37</w:t>
        </w:r>
        <w:r>
          <w:rPr>
            <w:noProof/>
            <w:webHidden/>
          </w:rPr>
          <w:fldChar w:fldCharType="end"/>
        </w:r>
      </w:hyperlink>
    </w:p>
    <w:p w14:paraId="18E81E68" w14:textId="32F59B6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2" w:history="1">
        <w:r w:rsidRPr="00C66866">
          <w:rPr>
            <w:rStyle w:val="Hyperlink"/>
            <w:noProof/>
          </w:rPr>
          <w:t xml:space="preserve">Figure 6: FFT of PCC phase-A current (ipcc,a) of the GMFI under FVC, PVC, and AVR strategies for SCR = 5 and Xg/Rg = 8: (a) FVC; (b) PVC; (c) AVR </w:t>
        </w:r>
        <w:r w:rsidRPr="00C66866">
          <w:rPr>
            <w:rStyle w:val="Hyperlink"/>
            <w:noProof/>
            <w:cs/>
          </w:rPr>
          <w:t>‎</w:t>
        </w:r>
        <w:r w:rsidRPr="00C66866">
          <w:rPr>
            <w:rStyle w:val="Hyperlink"/>
            <w:noProof/>
          </w:rPr>
          <w:t>[47].</w:t>
        </w:r>
        <w:r>
          <w:rPr>
            <w:noProof/>
            <w:webHidden/>
          </w:rPr>
          <w:tab/>
        </w:r>
        <w:r>
          <w:rPr>
            <w:noProof/>
            <w:webHidden/>
          </w:rPr>
          <w:fldChar w:fldCharType="begin"/>
        </w:r>
        <w:r>
          <w:rPr>
            <w:noProof/>
            <w:webHidden/>
          </w:rPr>
          <w:instrText xml:space="preserve"> PAGEREF _Toc233735012 \h </w:instrText>
        </w:r>
        <w:r>
          <w:rPr>
            <w:noProof/>
            <w:webHidden/>
          </w:rPr>
        </w:r>
        <w:r>
          <w:rPr>
            <w:noProof/>
            <w:webHidden/>
          </w:rPr>
          <w:fldChar w:fldCharType="separate"/>
        </w:r>
        <w:r>
          <w:rPr>
            <w:noProof/>
            <w:webHidden/>
          </w:rPr>
          <w:t>37</w:t>
        </w:r>
        <w:r>
          <w:rPr>
            <w:noProof/>
            <w:webHidden/>
          </w:rPr>
          <w:fldChar w:fldCharType="end"/>
        </w:r>
      </w:hyperlink>
    </w:p>
    <w:p w14:paraId="1BE332A2" w14:textId="7B7CAEA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3" w:history="1">
        <w:r w:rsidRPr="00C66866">
          <w:rPr>
            <w:rStyle w:val="Hyperlink"/>
            <w:noProof/>
          </w:rPr>
          <w:t xml:space="preserve">Figure 7: Improving the performance of AVR using a virtual impedance loop and adaptive tuning of the </w:t>
        </w:r>
        <w:r w:rsidRPr="00C66866">
          <w:rPr>
            <w:rStyle w:val="Hyperlink"/>
            <w:i/>
            <w:iCs/>
            <w:noProof/>
          </w:rPr>
          <w:t>K</w:t>
        </w:r>
        <w:r w:rsidRPr="00C66866">
          <w:rPr>
            <w:rStyle w:val="Hyperlink"/>
            <w:i/>
            <w:iCs/>
            <w:noProof/>
            <w:vertAlign w:val="subscript"/>
          </w:rPr>
          <w:t>i-q</w:t>
        </w:r>
        <w:r w:rsidRPr="00C66866">
          <w:rPr>
            <w:rStyle w:val="Hyperlink"/>
            <w:noProof/>
          </w:rPr>
          <w:t xml:space="preserve"> values based on the grid SCR.</w:t>
        </w:r>
        <w:r>
          <w:rPr>
            <w:noProof/>
            <w:webHidden/>
          </w:rPr>
          <w:tab/>
        </w:r>
        <w:r>
          <w:rPr>
            <w:noProof/>
            <w:webHidden/>
          </w:rPr>
          <w:fldChar w:fldCharType="begin"/>
        </w:r>
        <w:r>
          <w:rPr>
            <w:noProof/>
            <w:webHidden/>
          </w:rPr>
          <w:instrText xml:space="preserve"> PAGEREF _Toc233735013 \h </w:instrText>
        </w:r>
        <w:r>
          <w:rPr>
            <w:noProof/>
            <w:webHidden/>
          </w:rPr>
        </w:r>
        <w:r>
          <w:rPr>
            <w:noProof/>
            <w:webHidden/>
          </w:rPr>
          <w:fldChar w:fldCharType="separate"/>
        </w:r>
        <w:r>
          <w:rPr>
            <w:noProof/>
            <w:webHidden/>
          </w:rPr>
          <w:t>38</w:t>
        </w:r>
        <w:r>
          <w:rPr>
            <w:noProof/>
            <w:webHidden/>
          </w:rPr>
          <w:fldChar w:fldCharType="end"/>
        </w:r>
      </w:hyperlink>
    </w:p>
    <w:p w14:paraId="761A22D3" w14:textId="013D04F7"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4" w:history="1">
        <w:r w:rsidRPr="00C66866">
          <w:rPr>
            <w:rStyle w:val="Hyperlink"/>
            <w:noProof/>
          </w:rPr>
          <w:t xml:space="preserve">Figure 8: DQ-domain output impedances &amp; Nyquist plots of the VSG-based GFMI under AVR Control (approach 1) (@ SCR = 4, </w:t>
        </w:r>
        <w:r w:rsidRPr="00C66866">
          <w:rPr>
            <w:rStyle w:val="Hyperlink"/>
            <w:rFonts w:ascii="Cambria Math" w:hAnsi="Cambria Math" w:cs="Cambria Math"/>
            <w:noProof/>
          </w:rPr>
          <w:t>𝑋</w:t>
        </w:r>
        <w:r w:rsidRPr="00C66866">
          <w:rPr>
            <w:rStyle w:val="Hyperlink"/>
            <w:noProof/>
          </w:rPr>
          <w:t xml:space="preserve">_g  / </w:t>
        </w:r>
        <w:r w:rsidRPr="00C66866">
          <w:rPr>
            <w:rStyle w:val="Hyperlink"/>
            <w:rFonts w:ascii="Cambria Math" w:hAnsi="Cambria Math" w:cs="Cambria Math"/>
            <w:noProof/>
          </w:rPr>
          <w:t>𝑅</w:t>
        </w:r>
        <w:r w:rsidRPr="00C66866">
          <w:rPr>
            <w:rStyle w:val="Hyperlink"/>
            <w:noProof/>
          </w:rPr>
          <w:t>_g = 7) : (a) &amp; (d): Virtual resistance only (</w:t>
        </w:r>
        <m:oMath>
          <m:r>
            <m:rPr>
              <m:sty m:val="p"/>
            </m:rPr>
            <w:rPr>
              <w:rStyle w:val="Hyperlink"/>
              <w:rFonts w:ascii="Cambria Math" w:hAnsi="Cambria Math"/>
              <w:noProof/>
            </w:rPr>
            <m:t>0, 0.5</m:t>
          </m:r>
          <m:r>
            <w:rPr>
              <w:rStyle w:val="Hyperlink"/>
              <w:rFonts w:ascii="Cambria Math" w:hAnsi="Cambria Math"/>
              <w:noProof/>
            </w:rPr>
            <m:t>R</m:t>
          </m:r>
          <m:r>
            <m:rPr>
              <m:sty m:val="p"/>
            </m:rPr>
            <w:rPr>
              <w:rStyle w:val="Hyperlink"/>
              <w:rFonts w:ascii="Cambria Math" w:hAnsi="Cambria Math"/>
              <w:noProof/>
            </w:rPr>
            <m:t>vir,</m:t>
          </m:r>
          <m:r>
            <w:rPr>
              <w:rStyle w:val="Hyperlink"/>
              <w:rFonts w:ascii="Cambria Math" w:hAnsi="Cambria Math"/>
              <w:noProof/>
            </w:rPr>
            <m:t>R</m:t>
          </m:r>
          <m:r>
            <m:rPr>
              <m:sty m:val="p"/>
            </m:rPr>
            <w:rPr>
              <w:rStyle w:val="Hyperlink"/>
              <w:rFonts w:ascii="Cambria Math" w:hAnsi="Cambria Math"/>
              <w:noProof/>
            </w:rPr>
            <m:t>vir)</m:t>
          </m:r>
        </m:oMath>
        <w:r w:rsidRPr="00C66866">
          <w:rPr>
            <w:rStyle w:val="Hyperlink"/>
            <w:noProof/>
          </w:rPr>
          <w:t>, (b) &amp; (e): Virtual inductance only (</w:t>
        </w:r>
        <m:oMath>
          <m:r>
            <m:rPr>
              <m:sty m:val="p"/>
            </m:rPr>
            <w:rPr>
              <w:rStyle w:val="Hyperlink"/>
              <w:rFonts w:ascii="Cambria Math" w:hAnsi="Cambria Math"/>
              <w:noProof/>
            </w:rPr>
            <m:t>0, 0.5</m:t>
          </m:r>
          <m:r>
            <w:rPr>
              <w:rStyle w:val="Hyperlink"/>
              <w:rFonts w:ascii="Cambria Math" w:hAnsi="Cambria Math"/>
              <w:noProof/>
            </w:rPr>
            <m:t>L</m:t>
          </m:r>
          <m:r>
            <m:rPr>
              <m:sty m:val="p"/>
            </m:rPr>
            <w:rPr>
              <w:rStyle w:val="Hyperlink"/>
              <w:rFonts w:ascii="Cambria Math" w:hAnsi="Cambria Math"/>
              <w:noProof/>
            </w:rPr>
            <m:t>vir,</m:t>
          </m:r>
          <m:r>
            <w:rPr>
              <w:rStyle w:val="Hyperlink"/>
              <w:rFonts w:ascii="Cambria Math" w:hAnsi="Cambria Math"/>
              <w:noProof/>
            </w:rPr>
            <m:t>L</m:t>
          </m:r>
          <m:r>
            <m:rPr>
              <m:sty m:val="p"/>
            </m:rPr>
            <w:rPr>
              <w:rStyle w:val="Hyperlink"/>
              <w:rFonts w:ascii="Cambria Math" w:hAnsi="Cambria Math"/>
              <w:noProof/>
            </w:rPr>
            <m:t>vir)</m:t>
          </m:r>
        </m:oMath>
        <w:r w:rsidRPr="00C66866">
          <w:rPr>
            <w:rStyle w:val="Hyperlink"/>
            <w:noProof/>
          </w:rPr>
          <w:t>, and (c) &amp; (f): Virtual impedance (resistance + inductance)(</w:t>
        </w:r>
        <m:oMath>
          <m:r>
            <m:rPr>
              <m:sty m:val="p"/>
            </m:rPr>
            <w:rPr>
              <w:rStyle w:val="Hyperlink"/>
              <w:rFonts w:ascii="Cambria Math" w:hAnsi="Cambria Math"/>
              <w:noProof/>
            </w:rPr>
            <m:t>0, 0.5</m:t>
          </m:r>
          <m:r>
            <w:rPr>
              <w:rStyle w:val="Hyperlink"/>
              <w:rFonts w:ascii="Cambria Math" w:hAnsi="Cambria Math"/>
              <w:noProof/>
            </w:rPr>
            <m:t>Z</m:t>
          </m:r>
          <m:r>
            <m:rPr>
              <m:sty m:val="p"/>
            </m:rPr>
            <w:rPr>
              <w:rStyle w:val="Hyperlink"/>
              <w:rFonts w:ascii="Cambria Math" w:hAnsi="Cambria Math"/>
              <w:noProof/>
            </w:rPr>
            <m:t>vir,</m:t>
          </m:r>
          <m:r>
            <w:rPr>
              <w:rStyle w:val="Hyperlink"/>
              <w:rFonts w:ascii="Cambria Math" w:hAnsi="Cambria Math"/>
              <w:noProof/>
            </w:rPr>
            <m:t>Z</m:t>
          </m:r>
          <m:r>
            <m:rPr>
              <m:sty m:val="p"/>
            </m:rPr>
            <w:rPr>
              <w:rStyle w:val="Hyperlink"/>
              <w:rFonts w:ascii="Cambria Math" w:hAnsi="Cambria Math"/>
              <w:noProof/>
            </w:rPr>
            <m:t>vir</m:t>
          </m:r>
        </m:oMath>
        <w:r w:rsidRPr="00C66866">
          <w:rPr>
            <w:rStyle w:val="Hyperlink"/>
            <w:noProof/>
          </w:rPr>
          <w:t>).</w:t>
        </w:r>
        <w:r>
          <w:rPr>
            <w:noProof/>
            <w:webHidden/>
          </w:rPr>
          <w:tab/>
        </w:r>
        <w:r>
          <w:rPr>
            <w:noProof/>
            <w:webHidden/>
          </w:rPr>
          <w:fldChar w:fldCharType="begin"/>
        </w:r>
        <w:r>
          <w:rPr>
            <w:noProof/>
            <w:webHidden/>
          </w:rPr>
          <w:instrText xml:space="preserve"> PAGEREF _Toc233735014 \h </w:instrText>
        </w:r>
        <w:r>
          <w:rPr>
            <w:noProof/>
            <w:webHidden/>
          </w:rPr>
        </w:r>
        <w:r>
          <w:rPr>
            <w:noProof/>
            <w:webHidden/>
          </w:rPr>
          <w:fldChar w:fldCharType="separate"/>
        </w:r>
        <w:r>
          <w:rPr>
            <w:noProof/>
            <w:webHidden/>
          </w:rPr>
          <w:t>39</w:t>
        </w:r>
        <w:r>
          <w:rPr>
            <w:noProof/>
            <w:webHidden/>
          </w:rPr>
          <w:fldChar w:fldCharType="end"/>
        </w:r>
      </w:hyperlink>
    </w:p>
    <w:p w14:paraId="63B6FEC6" w14:textId="5B7E40B5"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5" w:history="1">
        <w:r w:rsidRPr="00C66866">
          <w:rPr>
            <w:rStyle w:val="Hyperlink"/>
            <w:noProof/>
          </w:rPr>
          <w:t xml:space="preserve">Figure 9: DQ-domain output impedances &amp; Nyquist plots of the VSG-based GFMI under AVR Control (approach 2) (@ SCR = 4, </w:t>
        </w:r>
        <w:r w:rsidRPr="00C66866">
          <w:rPr>
            <w:rStyle w:val="Hyperlink"/>
            <w:rFonts w:ascii="Cambria Math" w:hAnsi="Cambria Math" w:cs="Cambria Math"/>
            <w:noProof/>
          </w:rPr>
          <w:t>𝑋</w:t>
        </w:r>
        <w:r w:rsidRPr="00C66866">
          <w:rPr>
            <w:rStyle w:val="Hyperlink"/>
            <w:noProof/>
          </w:rPr>
          <w:t xml:space="preserve">_g  / </w:t>
        </w:r>
        <w:r w:rsidRPr="00C66866">
          <w:rPr>
            <w:rStyle w:val="Hyperlink"/>
            <w:rFonts w:ascii="Cambria Math" w:hAnsi="Cambria Math" w:cs="Cambria Math"/>
            <w:noProof/>
          </w:rPr>
          <w:t>𝑅</w:t>
        </w:r>
        <w:r w:rsidRPr="00C66866">
          <w:rPr>
            <w:rStyle w:val="Hyperlink"/>
            <w:noProof/>
          </w:rPr>
          <w:t xml:space="preserve">_g  = 7) and with different </w:t>
        </w:r>
        <w:r w:rsidRPr="00C66866">
          <w:rPr>
            <w:rStyle w:val="Hyperlink"/>
            <w:rFonts w:ascii="Cambria Math" w:hAnsi="Cambria Math" w:cs="Cambria Math"/>
            <w:noProof/>
          </w:rPr>
          <w:t>𝐾</w:t>
        </w:r>
        <w:r w:rsidRPr="00C66866">
          <w:rPr>
            <w:rStyle w:val="Hyperlink"/>
            <w:noProof/>
          </w:rPr>
          <w:t>i-q values: (a) magnitude and phase angle of the impedances and (b) Nyquist plots.</w:t>
        </w:r>
        <w:r>
          <w:rPr>
            <w:noProof/>
            <w:webHidden/>
          </w:rPr>
          <w:tab/>
        </w:r>
        <w:r>
          <w:rPr>
            <w:noProof/>
            <w:webHidden/>
          </w:rPr>
          <w:fldChar w:fldCharType="begin"/>
        </w:r>
        <w:r>
          <w:rPr>
            <w:noProof/>
            <w:webHidden/>
          </w:rPr>
          <w:instrText xml:space="preserve"> PAGEREF _Toc233735015 \h </w:instrText>
        </w:r>
        <w:r>
          <w:rPr>
            <w:noProof/>
            <w:webHidden/>
          </w:rPr>
        </w:r>
        <w:r>
          <w:rPr>
            <w:noProof/>
            <w:webHidden/>
          </w:rPr>
          <w:fldChar w:fldCharType="separate"/>
        </w:r>
        <w:r>
          <w:rPr>
            <w:noProof/>
            <w:webHidden/>
          </w:rPr>
          <w:t>40</w:t>
        </w:r>
        <w:r>
          <w:rPr>
            <w:noProof/>
            <w:webHidden/>
          </w:rPr>
          <w:fldChar w:fldCharType="end"/>
        </w:r>
      </w:hyperlink>
    </w:p>
    <w:p w14:paraId="7E58D129" w14:textId="32292790"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6" w:history="1">
        <w:r w:rsidRPr="00C66866">
          <w:rPr>
            <w:rStyle w:val="Hyperlink"/>
            <w:noProof/>
          </w:rPr>
          <w:t xml:space="preserve">Figure 10: Time-domain verification of the performance of AVR strategy using virtual impedance loop (approach 1) control for GMFI under different values of the virtual impedance parameters at: </w:t>
        </w:r>
        <w:r w:rsidRPr="00C66866">
          <w:rPr>
            <w:rStyle w:val="Hyperlink"/>
            <w:i/>
            <w:iCs/>
            <w:noProof/>
          </w:rPr>
          <w:t>f</w:t>
        </w:r>
        <w:r w:rsidRPr="00C66866">
          <w:rPr>
            <w:rStyle w:val="Hyperlink"/>
            <w:noProof/>
          </w:rPr>
          <w:t>(R</w:t>
        </w:r>
        <w:r w:rsidRPr="00C66866">
          <w:rPr>
            <w:rStyle w:val="Hyperlink"/>
            <w:noProof/>
            <w:vertAlign w:val="subscript"/>
          </w:rPr>
          <w:t>vir</w:t>
        </w:r>
        <w:r w:rsidRPr="00C66866">
          <w:rPr>
            <w:rStyle w:val="Hyperlink"/>
            <w:noProof/>
          </w:rPr>
          <w:t xml:space="preserve">) (left column), </w:t>
        </w:r>
        <w:r w:rsidRPr="00C66866">
          <w:rPr>
            <w:rStyle w:val="Hyperlink"/>
            <w:i/>
            <w:iCs/>
            <w:noProof/>
          </w:rPr>
          <w:t>f</w:t>
        </w:r>
        <w:r w:rsidRPr="00C66866">
          <w:rPr>
            <w:rStyle w:val="Hyperlink"/>
            <w:noProof/>
          </w:rPr>
          <w:t>(L</w:t>
        </w:r>
        <w:r w:rsidRPr="00C66866">
          <w:rPr>
            <w:rStyle w:val="Hyperlink"/>
            <w:noProof/>
            <w:vertAlign w:val="subscript"/>
          </w:rPr>
          <w:t>vir</w:t>
        </w:r>
        <w:r w:rsidRPr="00C66866">
          <w:rPr>
            <w:rStyle w:val="Hyperlink"/>
            <w:noProof/>
          </w:rPr>
          <w:t xml:space="preserve">) (middle column), and </w:t>
        </w:r>
        <w:r w:rsidRPr="00C66866">
          <w:rPr>
            <w:rStyle w:val="Hyperlink"/>
            <w:i/>
            <w:iCs/>
            <w:noProof/>
          </w:rPr>
          <w:t>f</w:t>
        </w:r>
        <w:r w:rsidRPr="00C66866">
          <w:rPr>
            <w:rStyle w:val="Hyperlink"/>
            <w:noProof/>
          </w:rPr>
          <w:t>(Z</w:t>
        </w:r>
        <w:r w:rsidRPr="00C66866">
          <w:rPr>
            <w:rStyle w:val="Hyperlink"/>
            <w:noProof/>
            <w:vertAlign w:val="subscript"/>
          </w:rPr>
          <w:t>vir</w:t>
        </w:r>
        <w:r w:rsidRPr="00C66866">
          <w:rPr>
            <w:rStyle w:val="Hyperlink"/>
            <w:noProof/>
          </w:rPr>
          <w:t>) (right column).</w:t>
        </w:r>
        <w:r>
          <w:rPr>
            <w:noProof/>
            <w:webHidden/>
          </w:rPr>
          <w:tab/>
        </w:r>
        <w:r>
          <w:rPr>
            <w:noProof/>
            <w:webHidden/>
          </w:rPr>
          <w:fldChar w:fldCharType="begin"/>
        </w:r>
        <w:r>
          <w:rPr>
            <w:noProof/>
            <w:webHidden/>
          </w:rPr>
          <w:instrText xml:space="preserve"> PAGEREF _Toc233735016 \h </w:instrText>
        </w:r>
        <w:r>
          <w:rPr>
            <w:noProof/>
            <w:webHidden/>
          </w:rPr>
        </w:r>
        <w:r>
          <w:rPr>
            <w:noProof/>
            <w:webHidden/>
          </w:rPr>
          <w:fldChar w:fldCharType="separate"/>
        </w:r>
        <w:r>
          <w:rPr>
            <w:noProof/>
            <w:webHidden/>
          </w:rPr>
          <w:t>41</w:t>
        </w:r>
        <w:r>
          <w:rPr>
            <w:noProof/>
            <w:webHidden/>
          </w:rPr>
          <w:fldChar w:fldCharType="end"/>
        </w:r>
      </w:hyperlink>
    </w:p>
    <w:p w14:paraId="305D0CEE" w14:textId="707BF96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7" w:history="1">
        <w:r w:rsidRPr="00C66866">
          <w:rPr>
            <w:rStyle w:val="Hyperlink"/>
            <w:noProof/>
          </w:rPr>
          <w:t>Figure 11: Time-domain verification of the performance of AVR strategy using adaptive tuning of Ki-q based on grid side SCR (approach 2) control for GMFI under different values of the virtual impedance parameters at: 1*Kip (left column), 0.1*Kip (middle column), and 0.01*Kip (right column).</w:t>
        </w:r>
        <w:r>
          <w:rPr>
            <w:noProof/>
            <w:webHidden/>
          </w:rPr>
          <w:tab/>
        </w:r>
        <w:r>
          <w:rPr>
            <w:noProof/>
            <w:webHidden/>
          </w:rPr>
          <w:fldChar w:fldCharType="begin"/>
        </w:r>
        <w:r>
          <w:rPr>
            <w:noProof/>
            <w:webHidden/>
          </w:rPr>
          <w:instrText xml:space="preserve"> PAGEREF _Toc233735017 \h </w:instrText>
        </w:r>
        <w:r>
          <w:rPr>
            <w:noProof/>
            <w:webHidden/>
          </w:rPr>
        </w:r>
        <w:r>
          <w:rPr>
            <w:noProof/>
            <w:webHidden/>
          </w:rPr>
          <w:fldChar w:fldCharType="separate"/>
        </w:r>
        <w:r>
          <w:rPr>
            <w:noProof/>
            <w:webHidden/>
          </w:rPr>
          <w:t>42</w:t>
        </w:r>
        <w:r>
          <w:rPr>
            <w:noProof/>
            <w:webHidden/>
          </w:rPr>
          <w:fldChar w:fldCharType="end"/>
        </w:r>
      </w:hyperlink>
    </w:p>
    <w:p w14:paraId="7CC5C3D3" w14:textId="4EDBD9F4"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8" w:history="1">
        <w:r w:rsidRPr="00C66866">
          <w:rPr>
            <w:rStyle w:val="Hyperlink"/>
            <w:noProof/>
          </w:rPr>
          <w:t>Figure 12: Typical block diagram of a grid-connected IBRs.</w:t>
        </w:r>
        <w:r>
          <w:rPr>
            <w:noProof/>
            <w:webHidden/>
          </w:rPr>
          <w:tab/>
        </w:r>
        <w:r>
          <w:rPr>
            <w:noProof/>
            <w:webHidden/>
          </w:rPr>
          <w:fldChar w:fldCharType="begin"/>
        </w:r>
        <w:r>
          <w:rPr>
            <w:noProof/>
            <w:webHidden/>
          </w:rPr>
          <w:instrText xml:space="preserve"> PAGEREF _Toc233735018 \h </w:instrText>
        </w:r>
        <w:r>
          <w:rPr>
            <w:noProof/>
            <w:webHidden/>
          </w:rPr>
        </w:r>
        <w:r>
          <w:rPr>
            <w:noProof/>
            <w:webHidden/>
          </w:rPr>
          <w:fldChar w:fldCharType="separate"/>
        </w:r>
        <w:r>
          <w:rPr>
            <w:noProof/>
            <w:webHidden/>
          </w:rPr>
          <w:t>43</w:t>
        </w:r>
        <w:r>
          <w:rPr>
            <w:noProof/>
            <w:webHidden/>
          </w:rPr>
          <w:fldChar w:fldCharType="end"/>
        </w:r>
      </w:hyperlink>
    </w:p>
    <w:p w14:paraId="49F66CCA" w14:textId="7264C612"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19" w:history="1">
        <w:r w:rsidRPr="00C66866">
          <w:rPr>
            <w:rStyle w:val="Hyperlink"/>
            <w:noProof/>
          </w:rPr>
          <w:t>Figure 13: Modified IEEE 39-bus testing system DIgSILENT PowerFactory.</w:t>
        </w:r>
        <w:r>
          <w:rPr>
            <w:noProof/>
            <w:webHidden/>
          </w:rPr>
          <w:tab/>
        </w:r>
        <w:r>
          <w:rPr>
            <w:noProof/>
            <w:webHidden/>
          </w:rPr>
          <w:fldChar w:fldCharType="begin"/>
        </w:r>
        <w:r>
          <w:rPr>
            <w:noProof/>
            <w:webHidden/>
          </w:rPr>
          <w:instrText xml:space="preserve"> PAGEREF _Toc233735019 \h </w:instrText>
        </w:r>
        <w:r>
          <w:rPr>
            <w:noProof/>
            <w:webHidden/>
          </w:rPr>
        </w:r>
        <w:r>
          <w:rPr>
            <w:noProof/>
            <w:webHidden/>
          </w:rPr>
          <w:fldChar w:fldCharType="separate"/>
        </w:r>
        <w:r>
          <w:rPr>
            <w:noProof/>
            <w:webHidden/>
          </w:rPr>
          <w:t>43</w:t>
        </w:r>
        <w:r>
          <w:rPr>
            <w:noProof/>
            <w:webHidden/>
          </w:rPr>
          <w:fldChar w:fldCharType="end"/>
        </w:r>
      </w:hyperlink>
    </w:p>
    <w:p w14:paraId="0DB85408" w14:textId="313DFCBF"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0" w:history="1">
        <w:r w:rsidRPr="00C66866">
          <w:rPr>
            <w:rStyle w:val="Hyperlink"/>
            <w:noProof/>
          </w:rPr>
          <w:t>Figure 14: Composite Model of the WECC BESS with power-controlled GFLI in DIgSILENT PowerFactory.</w:t>
        </w:r>
        <w:r>
          <w:rPr>
            <w:noProof/>
            <w:webHidden/>
          </w:rPr>
          <w:tab/>
        </w:r>
        <w:r>
          <w:rPr>
            <w:noProof/>
            <w:webHidden/>
          </w:rPr>
          <w:fldChar w:fldCharType="begin"/>
        </w:r>
        <w:r>
          <w:rPr>
            <w:noProof/>
            <w:webHidden/>
          </w:rPr>
          <w:instrText xml:space="preserve"> PAGEREF _Toc233735020 \h </w:instrText>
        </w:r>
        <w:r>
          <w:rPr>
            <w:noProof/>
            <w:webHidden/>
          </w:rPr>
        </w:r>
        <w:r>
          <w:rPr>
            <w:noProof/>
            <w:webHidden/>
          </w:rPr>
          <w:fldChar w:fldCharType="separate"/>
        </w:r>
        <w:r>
          <w:rPr>
            <w:noProof/>
            <w:webHidden/>
          </w:rPr>
          <w:t>45</w:t>
        </w:r>
        <w:r>
          <w:rPr>
            <w:noProof/>
            <w:webHidden/>
          </w:rPr>
          <w:fldChar w:fldCharType="end"/>
        </w:r>
      </w:hyperlink>
    </w:p>
    <w:p w14:paraId="737C77CB" w14:textId="0F4C90D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1" w:history="1">
        <w:r w:rsidRPr="00C66866">
          <w:rPr>
            <w:rStyle w:val="Hyperlink"/>
            <w:noProof/>
          </w:rPr>
          <w:t>Figure 15: Composite Model of the virtual synchronous machine DIgSILENT PowerFactory [48].</w:t>
        </w:r>
        <w:r>
          <w:rPr>
            <w:noProof/>
            <w:webHidden/>
          </w:rPr>
          <w:tab/>
        </w:r>
        <w:r>
          <w:rPr>
            <w:noProof/>
            <w:webHidden/>
          </w:rPr>
          <w:fldChar w:fldCharType="begin"/>
        </w:r>
        <w:r>
          <w:rPr>
            <w:noProof/>
            <w:webHidden/>
          </w:rPr>
          <w:instrText xml:space="preserve"> PAGEREF _Toc233735021 \h </w:instrText>
        </w:r>
        <w:r>
          <w:rPr>
            <w:noProof/>
            <w:webHidden/>
          </w:rPr>
        </w:r>
        <w:r>
          <w:rPr>
            <w:noProof/>
            <w:webHidden/>
          </w:rPr>
          <w:fldChar w:fldCharType="separate"/>
        </w:r>
        <w:r>
          <w:rPr>
            <w:noProof/>
            <w:webHidden/>
          </w:rPr>
          <w:t>46</w:t>
        </w:r>
        <w:r>
          <w:rPr>
            <w:noProof/>
            <w:webHidden/>
          </w:rPr>
          <w:fldChar w:fldCharType="end"/>
        </w:r>
      </w:hyperlink>
    </w:p>
    <w:p w14:paraId="090C8C21" w14:textId="256C281D"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2" w:history="1">
        <w:r w:rsidRPr="00C66866">
          <w:rPr>
            <w:rStyle w:val="Hyperlink"/>
            <w:noProof/>
          </w:rPr>
          <w:t>Figure 16: Eigenvalue plots of the SMIB system with power-controlled GFLI: (a) SCR=1.2, (b) SCR=2.5, and (c)  SCR=4.0.</w:t>
        </w:r>
        <w:r>
          <w:rPr>
            <w:noProof/>
            <w:webHidden/>
          </w:rPr>
          <w:tab/>
        </w:r>
        <w:r>
          <w:rPr>
            <w:noProof/>
            <w:webHidden/>
          </w:rPr>
          <w:fldChar w:fldCharType="begin"/>
        </w:r>
        <w:r>
          <w:rPr>
            <w:noProof/>
            <w:webHidden/>
          </w:rPr>
          <w:instrText xml:space="preserve"> PAGEREF _Toc233735022 \h </w:instrText>
        </w:r>
        <w:r>
          <w:rPr>
            <w:noProof/>
            <w:webHidden/>
          </w:rPr>
        </w:r>
        <w:r>
          <w:rPr>
            <w:noProof/>
            <w:webHidden/>
          </w:rPr>
          <w:fldChar w:fldCharType="separate"/>
        </w:r>
        <w:r>
          <w:rPr>
            <w:noProof/>
            <w:webHidden/>
          </w:rPr>
          <w:t>47</w:t>
        </w:r>
        <w:r>
          <w:rPr>
            <w:noProof/>
            <w:webHidden/>
          </w:rPr>
          <w:fldChar w:fldCharType="end"/>
        </w:r>
      </w:hyperlink>
    </w:p>
    <w:p w14:paraId="41687853" w14:textId="0D2095C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3" w:history="1">
        <w:r w:rsidRPr="00C66866">
          <w:rPr>
            <w:rStyle w:val="Hyperlink"/>
            <w:noProof/>
          </w:rPr>
          <w:t>Figure 17: Frequency, voltage, and respective eigenvalue plots of the SMIB system with droop-controlled GFMI: (a), (d) SCR=1.2, (b), (e) SCR=2.5, and (c), (f) SCR=4.0.</w:t>
        </w:r>
        <w:r>
          <w:rPr>
            <w:noProof/>
            <w:webHidden/>
          </w:rPr>
          <w:tab/>
        </w:r>
        <w:r>
          <w:rPr>
            <w:noProof/>
            <w:webHidden/>
          </w:rPr>
          <w:fldChar w:fldCharType="begin"/>
        </w:r>
        <w:r>
          <w:rPr>
            <w:noProof/>
            <w:webHidden/>
          </w:rPr>
          <w:instrText xml:space="preserve"> PAGEREF _Toc233735023 \h </w:instrText>
        </w:r>
        <w:r>
          <w:rPr>
            <w:noProof/>
            <w:webHidden/>
          </w:rPr>
        </w:r>
        <w:r>
          <w:rPr>
            <w:noProof/>
            <w:webHidden/>
          </w:rPr>
          <w:fldChar w:fldCharType="separate"/>
        </w:r>
        <w:r>
          <w:rPr>
            <w:noProof/>
            <w:webHidden/>
          </w:rPr>
          <w:t>47</w:t>
        </w:r>
        <w:r>
          <w:rPr>
            <w:noProof/>
            <w:webHidden/>
          </w:rPr>
          <w:fldChar w:fldCharType="end"/>
        </w:r>
      </w:hyperlink>
    </w:p>
    <w:p w14:paraId="5FDCD3AE" w14:textId="2F948577"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4" w:history="1">
        <w:r w:rsidRPr="00C66866">
          <w:rPr>
            <w:rStyle w:val="Hyperlink"/>
            <w:noProof/>
          </w:rPr>
          <w:t>Figure 18: Frequency, voltage, and respective eigenvalue plots of the SMIB system with VSM-controlled GFMI: (a), (d) SCR=1.2, (b), (e) SCR=2.5, and (c), (f) SCR=4.0.</w:t>
        </w:r>
        <w:r>
          <w:rPr>
            <w:noProof/>
            <w:webHidden/>
          </w:rPr>
          <w:tab/>
        </w:r>
        <w:r>
          <w:rPr>
            <w:noProof/>
            <w:webHidden/>
          </w:rPr>
          <w:fldChar w:fldCharType="begin"/>
        </w:r>
        <w:r>
          <w:rPr>
            <w:noProof/>
            <w:webHidden/>
          </w:rPr>
          <w:instrText xml:space="preserve"> PAGEREF _Toc233735024 \h </w:instrText>
        </w:r>
        <w:r>
          <w:rPr>
            <w:noProof/>
            <w:webHidden/>
          </w:rPr>
        </w:r>
        <w:r>
          <w:rPr>
            <w:noProof/>
            <w:webHidden/>
          </w:rPr>
          <w:fldChar w:fldCharType="separate"/>
        </w:r>
        <w:r>
          <w:rPr>
            <w:noProof/>
            <w:webHidden/>
          </w:rPr>
          <w:t>48</w:t>
        </w:r>
        <w:r>
          <w:rPr>
            <w:noProof/>
            <w:webHidden/>
          </w:rPr>
          <w:fldChar w:fldCharType="end"/>
        </w:r>
      </w:hyperlink>
    </w:p>
    <w:p w14:paraId="35B197A6" w14:textId="40C89B07"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5" w:history="1">
        <w:r w:rsidRPr="00C66866">
          <w:rPr>
            <w:rStyle w:val="Hyperlink"/>
            <w:noProof/>
          </w:rPr>
          <w:t>Figure 19: Controllability and participation plots: (a) and (b) Power-controlled GFLI, (c) and (d) droop-controlled GFMI, and (e) and (f) VSM-controlled GFMI.</w:t>
        </w:r>
        <w:r>
          <w:rPr>
            <w:noProof/>
            <w:webHidden/>
          </w:rPr>
          <w:tab/>
        </w:r>
        <w:r>
          <w:rPr>
            <w:noProof/>
            <w:webHidden/>
          </w:rPr>
          <w:fldChar w:fldCharType="begin"/>
        </w:r>
        <w:r>
          <w:rPr>
            <w:noProof/>
            <w:webHidden/>
          </w:rPr>
          <w:instrText xml:space="preserve"> PAGEREF _Toc233735025 \h </w:instrText>
        </w:r>
        <w:r>
          <w:rPr>
            <w:noProof/>
            <w:webHidden/>
          </w:rPr>
        </w:r>
        <w:r>
          <w:rPr>
            <w:noProof/>
            <w:webHidden/>
          </w:rPr>
          <w:fldChar w:fldCharType="separate"/>
        </w:r>
        <w:r>
          <w:rPr>
            <w:noProof/>
            <w:webHidden/>
          </w:rPr>
          <w:t>49</w:t>
        </w:r>
        <w:r>
          <w:rPr>
            <w:noProof/>
            <w:webHidden/>
          </w:rPr>
          <w:fldChar w:fldCharType="end"/>
        </w:r>
      </w:hyperlink>
    </w:p>
    <w:p w14:paraId="7913822F" w14:textId="1E536A39"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6" w:history="1">
        <w:r w:rsidRPr="00C66866">
          <w:rPr>
            <w:rStyle w:val="Hyperlink"/>
            <w:noProof/>
          </w:rPr>
          <w:t>Figure 20: Eigenvalue plots: (a) Power-controlled GFLI, (b) VSM-controlled GFMI, Controllability and participation plots: (c) and (d) Power-controlled GFLI, and (e) and (f) VSM-controlled GFMI.</w:t>
        </w:r>
        <w:r>
          <w:rPr>
            <w:noProof/>
            <w:webHidden/>
          </w:rPr>
          <w:tab/>
        </w:r>
        <w:r>
          <w:rPr>
            <w:noProof/>
            <w:webHidden/>
          </w:rPr>
          <w:fldChar w:fldCharType="begin"/>
        </w:r>
        <w:r>
          <w:rPr>
            <w:noProof/>
            <w:webHidden/>
          </w:rPr>
          <w:instrText xml:space="preserve"> PAGEREF _Toc233735026 \h </w:instrText>
        </w:r>
        <w:r>
          <w:rPr>
            <w:noProof/>
            <w:webHidden/>
          </w:rPr>
        </w:r>
        <w:r>
          <w:rPr>
            <w:noProof/>
            <w:webHidden/>
          </w:rPr>
          <w:fldChar w:fldCharType="separate"/>
        </w:r>
        <w:r>
          <w:rPr>
            <w:noProof/>
            <w:webHidden/>
          </w:rPr>
          <w:t>50</w:t>
        </w:r>
        <w:r>
          <w:rPr>
            <w:noProof/>
            <w:webHidden/>
          </w:rPr>
          <w:fldChar w:fldCharType="end"/>
        </w:r>
      </w:hyperlink>
    </w:p>
    <w:p w14:paraId="7C763ED4" w14:textId="13CB1C3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7" w:history="1">
        <w:r w:rsidRPr="00C66866">
          <w:rPr>
            <w:rStyle w:val="Hyperlink"/>
            <w:noProof/>
          </w:rPr>
          <w:t>Figure 21: (a) Eigenvalue plot of the entire system, (b) Controllability plot (c) Observability plot and (d) Participation plots of Mode 3.</w:t>
        </w:r>
        <w:r>
          <w:rPr>
            <w:noProof/>
            <w:webHidden/>
          </w:rPr>
          <w:tab/>
        </w:r>
        <w:r>
          <w:rPr>
            <w:noProof/>
            <w:webHidden/>
          </w:rPr>
          <w:fldChar w:fldCharType="begin"/>
        </w:r>
        <w:r>
          <w:rPr>
            <w:noProof/>
            <w:webHidden/>
          </w:rPr>
          <w:instrText xml:space="preserve"> PAGEREF _Toc233735027 \h </w:instrText>
        </w:r>
        <w:r>
          <w:rPr>
            <w:noProof/>
            <w:webHidden/>
          </w:rPr>
        </w:r>
        <w:r>
          <w:rPr>
            <w:noProof/>
            <w:webHidden/>
          </w:rPr>
          <w:fldChar w:fldCharType="separate"/>
        </w:r>
        <w:r>
          <w:rPr>
            <w:noProof/>
            <w:webHidden/>
          </w:rPr>
          <w:t>50</w:t>
        </w:r>
        <w:r>
          <w:rPr>
            <w:noProof/>
            <w:webHidden/>
          </w:rPr>
          <w:fldChar w:fldCharType="end"/>
        </w:r>
      </w:hyperlink>
    </w:p>
    <w:p w14:paraId="5F5551A9" w14:textId="09DA00D6"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8" w:history="1">
        <w:r w:rsidRPr="00C66866">
          <w:rPr>
            <w:rStyle w:val="Hyperlink"/>
            <w:noProof/>
          </w:rPr>
          <w:t>Figure 22: Proposed DDTD approach, comprising GRP and ERA.</w:t>
        </w:r>
        <w:r>
          <w:rPr>
            <w:noProof/>
            <w:webHidden/>
          </w:rPr>
          <w:tab/>
        </w:r>
        <w:r>
          <w:rPr>
            <w:noProof/>
            <w:webHidden/>
          </w:rPr>
          <w:fldChar w:fldCharType="begin"/>
        </w:r>
        <w:r>
          <w:rPr>
            <w:noProof/>
            <w:webHidden/>
          </w:rPr>
          <w:instrText xml:space="preserve"> PAGEREF _Toc233735028 \h </w:instrText>
        </w:r>
        <w:r>
          <w:rPr>
            <w:noProof/>
            <w:webHidden/>
          </w:rPr>
        </w:r>
        <w:r>
          <w:rPr>
            <w:noProof/>
            <w:webHidden/>
          </w:rPr>
          <w:fldChar w:fldCharType="separate"/>
        </w:r>
        <w:r>
          <w:rPr>
            <w:noProof/>
            <w:webHidden/>
          </w:rPr>
          <w:t>51</w:t>
        </w:r>
        <w:r>
          <w:rPr>
            <w:noProof/>
            <w:webHidden/>
          </w:rPr>
          <w:fldChar w:fldCharType="end"/>
        </w:r>
      </w:hyperlink>
    </w:p>
    <w:p w14:paraId="672AA9F7" w14:textId="4BBB5E4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29" w:history="1">
        <w:r w:rsidRPr="00C66866">
          <w:rPr>
            <w:rStyle w:val="Hyperlink"/>
            <w:noProof/>
          </w:rPr>
          <w:t>Figure 23: Dynamic behaviour of (a) droop-controlled and (b) VSM-controlled GFMI at different SCR and it is assumed that the converter was assumed to operate as stable at t=30 s.</w:t>
        </w:r>
        <w:r>
          <w:rPr>
            <w:noProof/>
            <w:webHidden/>
          </w:rPr>
          <w:tab/>
        </w:r>
        <w:r>
          <w:rPr>
            <w:noProof/>
            <w:webHidden/>
          </w:rPr>
          <w:fldChar w:fldCharType="begin"/>
        </w:r>
        <w:r>
          <w:rPr>
            <w:noProof/>
            <w:webHidden/>
          </w:rPr>
          <w:instrText xml:space="preserve"> PAGEREF _Toc233735029 \h </w:instrText>
        </w:r>
        <w:r>
          <w:rPr>
            <w:noProof/>
            <w:webHidden/>
          </w:rPr>
        </w:r>
        <w:r>
          <w:rPr>
            <w:noProof/>
            <w:webHidden/>
          </w:rPr>
          <w:fldChar w:fldCharType="separate"/>
        </w:r>
        <w:r>
          <w:rPr>
            <w:noProof/>
            <w:webHidden/>
          </w:rPr>
          <w:t>52</w:t>
        </w:r>
        <w:r>
          <w:rPr>
            <w:noProof/>
            <w:webHidden/>
          </w:rPr>
          <w:fldChar w:fldCharType="end"/>
        </w:r>
      </w:hyperlink>
    </w:p>
    <w:p w14:paraId="6AC7664F" w14:textId="749A713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0" w:history="1">
        <w:r w:rsidRPr="00C66866">
          <w:rPr>
            <w:rStyle w:val="Hyperlink"/>
            <w:noProof/>
          </w:rPr>
          <w:t>Figure 24: DDTD model validation and SSS evaluation with droop-controlled GFMI at: (a) SCR=9, Pref=0.50 MW, Vset=1.0 p.u., (b) SCR=9, Pref=0.70 MW, Vset=1.0 p.u., and (c) SCR=3, Pref=0.50 MW, Vset=1.0 p.u.</w:t>
        </w:r>
        <w:r>
          <w:rPr>
            <w:noProof/>
            <w:webHidden/>
          </w:rPr>
          <w:tab/>
        </w:r>
        <w:r>
          <w:rPr>
            <w:noProof/>
            <w:webHidden/>
          </w:rPr>
          <w:fldChar w:fldCharType="begin"/>
        </w:r>
        <w:r>
          <w:rPr>
            <w:noProof/>
            <w:webHidden/>
          </w:rPr>
          <w:instrText xml:space="preserve"> PAGEREF _Toc233735030 \h </w:instrText>
        </w:r>
        <w:r>
          <w:rPr>
            <w:noProof/>
            <w:webHidden/>
          </w:rPr>
        </w:r>
        <w:r>
          <w:rPr>
            <w:noProof/>
            <w:webHidden/>
          </w:rPr>
          <w:fldChar w:fldCharType="separate"/>
        </w:r>
        <w:r>
          <w:rPr>
            <w:noProof/>
            <w:webHidden/>
          </w:rPr>
          <w:t>54</w:t>
        </w:r>
        <w:r>
          <w:rPr>
            <w:noProof/>
            <w:webHidden/>
          </w:rPr>
          <w:fldChar w:fldCharType="end"/>
        </w:r>
      </w:hyperlink>
    </w:p>
    <w:p w14:paraId="7EACCF05" w14:textId="59169EC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1" w:history="1">
        <w:r w:rsidRPr="00C66866">
          <w:rPr>
            <w:rStyle w:val="Hyperlink"/>
            <w:noProof/>
          </w:rPr>
          <w:t>Figure 25: DDTD model validation and SSS evaluation with VSM-controlled GFMI at: (a) SCR=9, Pref=0.50 MW, Vset=1.0 p.u., (b) SCR=9, Pref=0.70 MW, Vset=1.0 p.u., and (c) SCR=3, Pref=0.50 MW, Vset=1.0 p.u.</w:t>
        </w:r>
        <w:r>
          <w:rPr>
            <w:noProof/>
            <w:webHidden/>
          </w:rPr>
          <w:tab/>
        </w:r>
        <w:r>
          <w:rPr>
            <w:noProof/>
            <w:webHidden/>
          </w:rPr>
          <w:fldChar w:fldCharType="begin"/>
        </w:r>
        <w:r>
          <w:rPr>
            <w:noProof/>
            <w:webHidden/>
          </w:rPr>
          <w:instrText xml:space="preserve"> PAGEREF _Toc233735031 \h </w:instrText>
        </w:r>
        <w:r>
          <w:rPr>
            <w:noProof/>
            <w:webHidden/>
          </w:rPr>
        </w:r>
        <w:r>
          <w:rPr>
            <w:noProof/>
            <w:webHidden/>
          </w:rPr>
          <w:fldChar w:fldCharType="separate"/>
        </w:r>
        <w:r>
          <w:rPr>
            <w:noProof/>
            <w:webHidden/>
          </w:rPr>
          <w:t>54</w:t>
        </w:r>
        <w:r>
          <w:rPr>
            <w:noProof/>
            <w:webHidden/>
          </w:rPr>
          <w:fldChar w:fldCharType="end"/>
        </w:r>
      </w:hyperlink>
    </w:p>
    <w:p w14:paraId="468EE96E" w14:textId="42D376B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2" w:history="1">
        <w:r w:rsidRPr="00C66866">
          <w:rPr>
            <w:rStyle w:val="Hyperlink"/>
            <w:noProof/>
          </w:rPr>
          <w:t>Figure 26: Comparative study between ANN, SVM, and the proposed GPR-based DDTD model for SMIB testing system with VSM-controlled GFMI system at SCR=2, Pref=0.25 MW, Vset=1.0.</w:t>
        </w:r>
        <w:r>
          <w:rPr>
            <w:noProof/>
            <w:webHidden/>
          </w:rPr>
          <w:tab/>
        </w:r>
        <w:r>
          <w:rPr>
            <w:noProof/>
            <w:webHidden/>
          </w:rPr>
          <w:fldChar w:fldCharType="begin"/>
        </w:r>
        <w:r>
          <w:rPr>
            <w:noProof/>
            <w:webHidden/>
          </w:rPr>
          <w:instrText xml:space="preserve"> PAGEREF _Toc233735032 \h </w:instrText>
        </w:r>
        <w:r>
          <w:rPr>
            <w:noProof/>
            <w:webHidden/>
          </w:rPr>
        </w:r>
        <w:r>
          <w:rPr>
            <w:noProof/>
            <w:webHidden/>
          </w:rPr>
          <w:fldChar w:fldCharType="separate"/>
        </w:r>
        <w:r>
          <w:rPr>
            <w:noProof/>
            <w:webHidden/>
          </w:rPr>
          <w:t>54</w:t>
        </w:r>
        <w:r>
          <w:rPr>
            <w:noProof/>
            <w:webHidden/>
          </w:rPr>
          <w:fldChar w:fldCharType="end"/>
        </w:r>
      </w:hyperlink>
    </w:p>
    <w:p w14:paraId="739DE91D" w14:textId="2BFAF2D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3" w:history="1">
        <w:r w:rsidRPr="00C66866">
          <w:rPr>
            <w:rStyle w:val="Hyperlink"/>
            <w:noProof/>
          </w:rPr>
          <w:t>Figure 27: A comparative study between ANN, SVM, and GPR-based DDTD models with: (a) 100 % (b) 50 % (c) 25 % and, (d) 5 % of dataset.</w:t>
        </w:r>
        <w:r>
          <w:rPr>
            <w:noProof/>
            <w:webHidden/>
          </w:rPr>
          <w:tab/>
        </w:r>
        <w:r>
          <w:rPr>
            <w:noProof/>
            <w:webHidden/>
          </w:rPr>
          <w:fldChar w:fldCharType="begin"/>
        </w:r>
        <w:r>
          <w:rPr>
            <w:noProof/>
            <w:webHidden/>
          </w:rPr>
          <w:instrText xml:space="preserve"> PAGEREF _Toc233735033 \h </w:instrText>
        </w:r>
        <w:r>
          <w:rPr>
            <w:noProof/>
            <w:webHidden/>
          </w:rPr>
        </w:r>
        <w:r>
          <w:rPr>
            <w:noProof/>
            <w:webHidden/>
          </w:rPr>
          <w:fldChar w:fldCharType="separate"/>
        </w:r>
        <w:r>
          <w:rPr>
            <w:noProof/>
            <w:webHidden/>
          </w:rPr>
          <w:t>57</w:t>
        </w:r>
        <w:r>
          <w:rPr>
            <w:noProof/>
            <w:webHidden/>
          </w:rPr>
          <w:fldChar w:fldCharType="end"/>
        </w:r>
      </w:hyperlink>
    </w:p>
    <w:p w14:paraId="0C04FAAB" w14:textId="60B78F7D"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4" w:history="1">
        <w:r w:rsidRPr="00C66866">
          <w:rPr>
            <w:rStyle w:val="Hyperlink"/>
            <w:noProof/>
          </w:rPr>
          <w:t>Figure 28: Percentage of error in eigenvalue prediction with 100 % data in the training process for: (a) ANN, (b) SVM, and (c) GPR-based DDTD models.</w:t>
        </w:r>
        <w:r>
          <w:rPr>
            <w:noProof/>
            <w:webHidden/>
          </w:rPr>
          <w:tab/>
        </w:r>
        <w:r>
          <w:rPr>
            <w:noProof/>
            <w:webHidden/>
          </w:rPr>
          <w:fldChar w:fldCharType="begin"/>
        </w:r>
        <w:r>
          <w:rPr>
            <w:noProof/>
            <w:webHidden/>
          </w:rPr>
          <w:instrText xml:space="preserve"> PAGEREF _Toc233735034 \h </w:instrText>
        </w:r>
        <w:r>
          <w:rPr>
            <w:noProof/>
            <w:webHidden/>
          </w:rPr>
        </w:r>
        <w:r>
          <w:rPr>
            <w:noProof/>
            <w:webHidden/>
          </w:rPr>
          <w:fldChar w:fldCharType="separate"/>
        </w:r>
        <w:r>
          <w:rPr>
            <w:noProof/>
            <w:webHidden/>
          </w:rPr>
          <w:t>58</w:t>
        </w:r>
        <w:r>
          <w:rPr>
            <w:noProof/>
            <w:webHidden/>
          </w:rPr>
          <w:fldChar w:fldCharType="end"/>
        </w:r>
      </w:hyperlink>
    </w:p>
    <w:p w14:paraId="361132C9" w14:textId="4EC109FF"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5" w:history="1">
        <w:r w:rsidRPr="00C66866">
          <w:rPr>
            <w:rStyle w:val="Hyperlink"/>
            <w:noProof/>
          </w:rPr>
          <w:t>Figure 29: Performance analysis the proposed GPR-based DDTD model with noise to the inputs: (a) without any noise (b) 1 % and 0.1 % noise to noise to voltage magnitude and phase angle, respectively, (c) with 10 % reduction in the noise and (d) with 200 % increase in noise to the inputs.</w:t>
        </w:r>
        <w:r>
          <w:rPr>
            <w:noProof/>
            <w:webHidden/>
          </w:rPr>
          <w:tab/>
        </w:r>
        <w:r>
          <w:rPr>
            <w:noProof/>
            <w:webHidden/>
          </w:rPr>
          <w:fldChar w:fldCharType="begin"/>
        </w:r>
        <w:r>
          <w:rPr>
            <w:noProof/>
            <w:webHidden/>
          </w:rPr>
          <w:instrText xml:space="preserve"> PAGEREF _Toc233735035 \h </w:instrText>
        </w:r>
        <w:r>
          <w:rPr>
            <w:noProof/>
            <w:webHidden/>
          </w:rPr>
        </w:r>
        <w:r>
          <w:rPr>
            <w:noProof/>
            <w:webHidden/>
          </w:rPr>
          <w:fldChar w:fldCharType="separate"/>
        </w:r>
        <w:r>
          <w:rPr>
            <w:noProof/>
            <w:webHidden/>
          </w:rPr>
          <w:t>59</w:t>
        </w:r>
        <w:r>
          <w:rPr>
            <w:noProof/>
            <w:webHidden/>
          </w:rPr>
          <w:fldChar w:fldCharType="end"/>
        </w:r>
      </w:hyperlink>
    </w:p>
    <w:p w14:paraId="4CD6197E" w14:textId="1F4711C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6" w:history="1">
        <w:r w:rsidRPr="00C66866">
          <w:rPr>
            <w:rStyle w:val="Hyperlink"/>
            <w:noProof/>
          </w:rPr>
          <w:t>Figure 30: EMT results for: (a) V1mag and f (b) P and Q at POCs, (c) id and iq of GFMIs and (d) θpoc in the modified IEEE 39-bus system (it is assumed that the system operates at steady-state at t=40 s).</w:t>
        </w:r>
        <w:r>
          <w:rPr>
            <w:noProof/>
            <w:webHidden/>
          </w:rPr>
          <w:tab/>
        </w:r>
        <w:r>
          <w:rPr>
            <w:noProof/>
            <w:webHidden/>
          </w:rPr>
          <w:fldChar w:fldCharType="begin"/>
        </w:r>
        <w:r>
          <w:rPr>
            <w:noProof/>
            <w:webHidden/>
          </w:rPr>
          <w:instrText xml:space="preserve"> PAGEREF _Toc233735036 \h </w:instrText>
        </w:r>
        <w:r>
          <w:rPr>
            <w:noProof/>
            <w:webHidden/>
          </w:rPr>
        </w:r>
        <w:r>
          <w:rPr>
            <w:noProof/>
            <w:webHidden/>
          </w:rPr>
          <w:fldChar w:fldCharType="separate"/>
        </w:r>
        <w:r>
          <w:rPr>
            <w:noProof/>
            <w:webHidden/>
          </w:rPr>
          <w:t>60</w:t>
        </w:r>
        <w:r>
          <w:rPr>
            <w:noProof/>
            <w:webHidden/>
          </w:rPr>
          <w:fldChar w:fldCharType="end"/>
        </w:r>
      </w:hyperlink>
    </w:p>
    <w:p w14:paraId="4C9CD3C2" w14:textId="615A134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7" w:history="1">
        <w:r w:rsidRPr="00C66866">
          <w:rPr>
            <w:rStyle w:val="Hyperlink"/>
            <w:noProof/>
          </w:rPr>
          <w:t>Figure 31: Implementation and validation of the proposed model in modified IEEE 39-bus testing system: (a) Model validation and (b) estimation of eigenvalues.</w:t>
        </w:r>
        <w:r>
          <w:rPr>
            <w:noProof/>
            <w:webHidden/>
          </w:rPr>
          <w:tab/>
        </w:r>
        <w:r>
          <w:rPr>
            <w:noProof/>
            <w:webHidden/>
          </w:rPr>
          <w:fldChar w:fldCharType="begin"/>
        </w:r>
        <w:r>
          <w:rPr>
            <w:noProof/>
            <w:webHidden/>
          </w:rPr>
          <w:instrText xml:space="preserve"> PAGEREF _Toc233735037 \h </w:instrText>
        </w:r>
        <w:r>
          <w:rPr>
            <w:noProof/>
            <w:webHidden/>
          </w:rPr>
        </w:r>
        <w:r>
          <w:rPr>
            <w:noProof/>
            <w:webHidden/>
          </w:rPr>
          <w:fldChar w:fldCharType="separate"/>
        </w:r>
        <w:r>
          <w:rPr>
            <w:noProof/>
            <w:webHidden/>
          </w:rPr>
          <w:t>60</w:t>
        </w:r>
        <w:r>
          <w:rPr>
            <w:noProof/>
            <w:webHidden/>
          </w:rPr>
          <w:fldChar w:fldCharType="end"/>
        </w:r>
      </w:hyperlink>
    </w:p>
    <w:p w14:paraId="3774A347" w14:textId="2783AF6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8" w:history="1">
        <w:r w:rsidRPr="00C66866">
          <w:rPr>
            <w:rStyle w:val="Hyperlink"/>
            <w:noProof/>
          </w:rPr>
          <w:t>Figure 32: EMT results for: (a) V</w:t>
        </w:r>
        <w:r w:rsidRPr="00C66866">
          <w:rPr>
            <w:rStyle w:val="Hyperlink"/>
            <w:noProof/>
            <w:vertAlign w:val="subscript"/>
          </w:rPr>
          <w:t>1mag</w:t>
        </w:r>
        <w:r w:rsidRPr="00C66866">
          <w:rPr>
            <w:rStyle w:val="Hyperlink"/>
            <w:noProof/>
          </w:rPr>
          <w:t xml:space="preserve"> and f (b) P and Q at POCs, (c) i</w:t>
        </w:r>
        <w:r w:rsidRPr="00C66866">
          <w:rPr>
            <w:rStyle w:val="Hyperlink"/>
            <w:noProof/>
            <w:vertAlign w:val="subscript"/>
          </w:rPr>
          <w:t>d</w:t>
        </w:r>
        <w:r w:rsidRPr="00C66866">
          <w:rPr>
            <w:rStyle w:val="Hyperlink"/>
            <w:noProof/>
          </w:rPr>
          <w:t xml:space="preserve"> and i</w:t>
        </w:r>
        <w:r w:rsidRPr="00C66866">
          <w:rPr>
            <w:rStyle w:val="Hyperlink"/>
            <w:noProof/>
            <w:vertAlign w:val="subscript"/>
          </w:rPr>
          <w:t>q</w:t>
        </w:r>
        <w:r w:rsidRPr="00C66866">
          <w:rPr>
            <w:rStyle w:val="Hyperlink"/>
            <w:noProof/>
          </w:rPr>
          <w:t xml:space="preserve"> of GFMIs and (d) θ</w:t>
        </w:r>
        <w:r w:rsidRPr="00C66866">
          <w:rPr>
            <w:rStyle w:val="Hyperlink"/>
            <w:noProof/>
            <w:vertAlign w:val="subscript"/>
          </w:rPr>
          <w:t>poc</w:t>
        </w:r>
        <w:r w:rsidRPr="00C66866">
          <w:rPr>
            <w:rStyle w:val="Hyperlink"/>
            <w:noProof/>
          </w:rPr>
          <w:t xml:space="preserve"> in the modified and simplified 14-generator Australian power system with VSM-controlled GFMI (it is assumed that the system operates at steady-state at t=60 s).</w:t>
        </w:r>
        <w:r>
          <w:rPr>
            <w:noProof/>
            <w:webHidden/>
          </w:rPr>
          <w:tab/>
        </w:r>
        <w:r>
          <w:rPr>
            <w:noProof/>
            <w:webHidden/>
          </w:rPr>
          <w:fldChar w:fldCharType="begin"/>
        </w:r>
        <w:r>
          <w:rPr>
            <w:noProof/>
            <w:webHidden/>
          </w:rPr>
          <w:instrText xml:space="preserve"> PAGEREF _Toc233735038 \h </w:instrText>
        </w:r>
        <w:r>
          <w:rPr>
            <w:noProof/>
            <w:webHidden/>
          </w:rPr>
        </w:r>
        <w:r>
          <w:rPr>
            <w:noProof/>
            <w:webHidden/>
          </w:rPr>
          <w:fldChar w:fldCharType="separate"/>
        </w:r>
        <w:r>
          <w:rPr>
            <w:noProof/>
            <w:webHidden/>
          </w:rPr>
          <w:t>61</w:t>
        </w:r>
        <w:r>
          <w:rPr>
            <w:noProof/>
            <w:webHidden/>
          </w:rPr>
          <w:fldChar w:fldCharType="end"/>
        </w:r>
      </w:hyperlink>
    </w:p>
    <w:p w14:paraId="10A8A08E" w14:textId="0B6DF3F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39" w:history="1">
        <w:r w:rsidRPr="00C66866">
          <w:rPr>
            <w:rStyle w:val="Hyperlink"/>
            <w:noProof/>
          </w:rPr>
          <w:t>Figure 33: Implementation and validation of the proposed model in the modified and simplified 14-generator Australian power system with VSM-controlled GFMI: (a) Model validation and (b) estimation of eigenvalues.</w:t>
        </w:r>
        <w:r>
          <w:rPr>
            <w:noProof/>
            <w:webHidden/>
          </w:rPr>
          <w:tab/>
        </w:r>
        <w:r>
          <w:rPr>
            <w:noProof/>
            <w:webHidden/>
          </w:rPr>
          <w:fldChar w:fldCharType="begin"/>
        </w:r>
        <w:r>
          <w:rPr>
            <w:noProof/>
            <w:webHidden/>
          </w:rPr>
          <w:instrText xml:space="preserve"> PAGEREF _Toc233735039 \h </w:instrText>
        </w:r>
        <w:r>
          <w:rPr>
            <w:noProof/>
            <w:webHidden/>
          </w:rPr>
        </w:r>
        <w:r>
          <w:rPr>
            <w:noProof/>
            <w:webHidden/>
          </w:rPr>
          <w:fldChar w:fldCharType="separate"/>
        </w:r>
        <w:r>
          <w:rPr>
            <w:noProof/>
            <w:webHidden/>
          </w:rPr>
          <w:t>62</w:t>
        </w:r>
        <w:r>
          <w:rPr>
            <w:noProof/>
            <w:webHidden/>
          </w:rPr>
          <w:fldChar w:fldCharType="end"/>
        </w:r>
      </w:hyperlink>
    </w:p>
    <w:p w14:paraId="30241F2F" w14:textId="3C2F049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0" w:history="1">
        <w:r w:rsidRPr="00C66866">
          <w:rPr>
            <w:rStyle w:val="Hyperlink"/>
            <w:noProof/>
          </w:rPr>
          <w:t xml:space="preserve">Figure 34: </w:t>
        </w:r>
        <w:r w:rsidRPr="00C66866">
          <w:rPr>
            <w:rStyle w:val="Hyperlink"/>
            <w:rFonts w:cstheme="minorHAnsi"/>
            <w:noProof/>
          </w:rPr>
          <w:t>A fictitious post-fault waveform. The black line violates WECC short-term voltage criteria but meets long-term requirements, while the red line shows acceptable short-term response followed by long-term voltage instability.</w:t>
        </w:r>
        <w:r>
          <w:rPr>
            <w:noProof/>
            <w:webHidden/>
          </w:rPr>
          <w:tab/>
        </w:r>
        <w:r>
          <w:rPr>
            <w:noProof/>
            <w:webHidden/>
          </w:rPr>
          <w:fldChar w:fldCharType="begin"/>
        </w:r>
        <w:r>
          <w:rPr>
            <w:noProof/>
            <w:webHidden/>
          </w:rPr>
          <w:instrText xml:space="preserve"> PAGEREF _Toc233735040 \h </w:instrText>
        </w:r>
        <w:r>
          <w:rPr>
            <w:noProof/>
            <w:webHidden/>
          </w:rPr>
        </w:r>
        <w:r>
          <w:rPr>
            <w:noProof/>
            <w:webHidden/>
          </w:rPr>
          <w:fldChar w:fldCharType="separate"/>
        </w:r>
        <w:r>
          <w:rPr>
            <w:noProof/>
            <w:webHidden/>
          </w:rPr>
          <w:t>67</w:t>
        </w:r>
        <w:r>
          <w:rPr>
            <w:noProof/>
            <w:webHidden/>
          </w:rPr>
          <w:fldChar w:fldCharType="end"/>
        </w:r>
      </w:hyperlink>
    </w:p>
    <w:p w14:paraId="74CD1F5E" w14:textId="0D1D3F5E"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1" w:history="1">
        <w:r w:rsidRPr="00C66866">
          <w:rPr>
            <w:rStyle w:val="Hyperlink"/>
            <w:noProof/>
          </w:rPr>
          <w:t>Figure 35: Modified NEM 14-generators area 5 (South Australia) test system.</w:t>
        </w:r>
        <w:r>
          <w:rPr>
            <w:noProof/>
            <w:webHidden/>
          </w:rPr>
          <w:tab/>
        </w:r>
        <w:r>
          <w:rPr>
            <w:noProof/>
            <w:webHidden/>
          </w:rPr>
          <w:fldChar w:fldCharType="begin"/>
        </w:r>
        <w:r>
          <w:rPr>
            <w:noProof/>
            <w:webHidden/>
          </w:rPr>
          <w:instrText xml:space="preserve"> PAGEREF _Toc233735041 \h </w:instrText>
        </w:r>
        <w:r>
          <w:rPr>
            <w:noProof/>
            <w:webHidden/>
          </w:rPr>
        </w:r>
        <w:r>
          <w:rPr>
            <w:noProof/>
            <w:webHidden/>
          </w:rPr>
          <w:fldChar w:fldCharType="separate"/>
        </w:r>
        <w:r>
          <w:rPr>
            <w:noProof/>
            <w:webHidden/>
          </w:rPr>
          <w:t>69</w:t>
        </w:r>
        <w:r>
          <w:rPr>
            <w:noProof/>
            <w:webHidden/>
          </w:rPr>
          <w:fldChar w:fldCharType="end"/>
        </w:r>
      </w:hyperlink>
    </w:p>
    <w:p w14:paraId="7C395C6B" w14:textId="5182CF8E"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2" w:history="1">
        <w:r w:rsidRPr="00C66866">
          <w:rPr>
            <w:rStyle w:val="Hyperlink"/>
            <w:noProof/>
          </w:rPr>
          <w:t>Figure 36: (a) Post-disturbance recovery voltage waveform, and (b) Heatmap of weighting factor showing the impact of a fault at a given location (y-axis) on different buses (x-axis).</w:t>
        </w:r>
        <w:r>
          <w:rPr>
            <w:noProof/>
            <w:webHidden/>
          </w:rPr>
          <w:tab/>
        </w:r>
        <w:r>
          <w:rPr>
            <w:noProof/>
            <w:webHidden/>
          </w:rPr>
          <w:fldChar w:fldCharType="begin"/>
        </w:r>
        <w:r>
          <w:rPr>
            <w:noProof/>
            <w:webHidden/>
          </w:rPr>
          <w:instrText xml:space="preserve"> PAGEREF _Toc233735042 \h </w:instrText>
        </w:r>
        <w:r>
          <w:rPr>
            <w:noProof/>
            <w:webHidden/>
          </w:rPr>
        </w:r>
        <w:r>
          <w:rPr>
            <w:noProof/>
            <w:webHidden/>
          </w:rPr>
          <w:fldChar w:fldCharType="separate"/>
        </w:r>
        <w:r>
          <w:rPr>
            <w:noProof/>
            <w:webHidden/>
          </w:rPr>
          <w:t>73</w:t>
        </w:r>
        <w:r>
          <w:rPr>
            <w:noProof/>
            <w:webHidden/>
          </w:rPr>
          <w:fldChar w:fldCharType="end"/>
        </w:r>
      </w:hyperlink>
    </w:p>
    <w:p w14:paraId="3F9B7E11" w14:textId="0D6ECE90"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3" w:history="1">
        <w:r w:rsidRPr="00C66866">
          <w:rPr>
            <w:rStyle w:val="Hyperlink"/>
            <w:noProof/>
          </w:rPr>
          <w:t>Figure 37: Flowchart of proposed system-level DVRI (sysDVRI) with an accompanying algorithm to classify oscillatory and non-oscillatory voltage response waveforms for the quantification of LDVS.</w:t>
        </w:r>
        <w:r>
          <w:rPr>
            <w:noProof/>
            <w:webHidden/>
          </w:rPr>
          <w:tab/>
        </w:r>
        <w:r>
          <w:rPr>
            <w:noProof/>
            <w:webHidden/>
          </w:rPr>
          <w:fldChar w:fldCharType="begin"/>
        </w:r>
        <w:r>
          <w:rPr>
            <w:noProof/>
            <w:webHidden/>
          </w:rPr>
          <w:instrText xml:space="preserve"> PAGEREF _Toc233735043 \h </w:instrText>
        </w:r>
        <w:r>
          <w:rPr>
            <w:noProof/>
            <w:webHidden/>
          </w:rPr>
        </w:r>
        <w:r>
          <w:rPr>
            <w:noProof/>
            <w:webHidden/>
          </w:rPr>
          <w:fldChar w:fldCharType="separate"/>
        </w:r>
        <w:r>
          <w:rPr>
            <w:noProof/>
            <w:webHidden/>
          </w:rPr>
          <w:t>74</w:t>
        </w:r>
        <w:r>
          <w:rPr>
            <w:noProof/>
            <w:webHidden/>
          </w:rPr>
          <w:fldChar w:fldCharType="end"/>
        </w:r>
      </w:hyperlink>
    </w:p>
    <w:p w14:paraId="4B401C21" w14:textId="1A0D96BF"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4" w:history="1">
        <w:r w:rsidRPr="00C66866">
          <w:rPr>
            <w:rStyle w:val="Hyperlink"/>
            <w:noProof/>
          </w:rPr>
          <w:t>Figure 38: Post-disturbance voltage waveforms for a fault at bus 507: (a) Gen. Cases and (b) Load Cases.</w:t>
        </w:r>
        <w:r>
          <w:rPr>
            <w:noProof/>
            <w:webHidden/>
          </w:rPr>
          <w:tab/>
        </w:r>
        <w:r>
          <w:rPr>
            <w:noProof/>
            <w:webHidden/>
          </w:rPr>
          <w:fldChar w:fldCharType="begin"/>
        </w:r>
        <w:r>
          <w:rPr>
            <w:noProof/>
            <w:webHidden/>
          </w:rPr>
          <w:instrText xml:space="preserve"> PAGEREF _Toc233735044 \h </w:instrText>
        </w:r>
        <w:r>
          <w:rPr>
            <w:noProof/>
            <w:webHidden/>
          </w:rPr>
        </w:r>
        <w:r>
          <w:rPr>
            <w:noProof/>
            <w:webHidden/>
          </w:rPr>
          <w:fldChar w:fldCharType="separate"/>
        </w:r>
        <w:r>
          <w:rPr>
            <w:noProof/>
            <w:webHidden/>
          </w:rPr>
          <w:t>76</w:t>
        </w:r>
        <w:r>
          <w:rPr>
            <w:noProof/>
            <w:webHidden/>
          </w:rPr>
          <w:fldChar w:fldCharType="end"/>
        </w:r>
      </w:hyperlink>
    </w:p>
    <w:p w14:paraId="7584028A" w14:textId="0340EEE4"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5" w:history="1">
        <w:r w:rsidRPr="00C66866">
          <w:rPr>
            <w:rStyle w:val="Hyperlink"/>
            <w:noProof/>
          </w:rPr>
          <w:t>Figure 39: The impact of fault at bus 507 on other buses for (a) Gen. Case 1, (b) Gen. Case 2, (c) Gen. Case 3, and (d) Gen. Case 4.</w:t>
        </w:r>
        <w:r>
          <w:rPr>
            <w:noProof/>
            <w:webHidden/>
          </w:rPr>
          <w:tab/>
        </w:r>
        <w:r>
          <w:rPr>
            <w:noProof/>
            <w:webHidden/>
          </w:rPr>
          <w:fldChar w:fldCharType="begin"/>
        </w:r>
        <w:r>
          <w:rPr>
            <w:noProof/>
            <w:webHidden/>
          </w:rPr>
          <w:instrText xml:space="preserve"> PAGEREF _Toc233735045 \h </w:instrText>
        </w:r>
        <w:r>
          <w:rPr>
            <w:noProof/>
            <w:webHidden/>
          </w:rPr>
        </w:r>
        <w:r>
          <w:rPr>
            <w:noProof/>
            <w:webHidden/>
          </w:rPr>
          <w:fldChar w:fldCharType="separate"/>
        </w:r>
        <w:r>
          <w:rPr>
            <w:noProof/>
            <w:webHidden/>
          </w:rPr>
          <w:t>76</w:t>
        </w:r>
        <w:r>
          <w:rPr>
            <w:noProof/>
            <w:webHidden/>
          </w:rPr>
          <w:fldChar w:fldCharType="end"/>
        </w:r>
      </w:hyperlink>
    </w:p>
    <w:p w14:paraId="64625F31" w14:textId="7EAA52AE"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6" w:history="1">
        <w:r w:rsidRPr="00C66866">
          <w:rPr>
            <w:rStyle w:val="Hyperlink"/>
            <w:noProof/>
          </w:rPr>
          <w:t>Figure 40: Impact of fault at bus 507 on other buses for (a) Load Case 1, (b) Load Case 2, and (c) Load Case 3.</w:t>
        </w:r>
        <w:r>
          <w:rPr>
            <w:noProof/>
            <w:webHidden/>
          </w:rPr>
          <w:tab/>
        </w:r>
        <w:r>
          <w:rPr>
            <w:noProof/>
            <w:webHidden/>
          </w:rPr>
          <w:fldChar w:fldCharType="begin"/>
        </w:r>
        <w:r>
          <w:rPr>
            <w:noProof/>
            <w:webHidden/>
          </w:rPr>
          <w:instrText xml:space="preserve"> PAGEREF _Toc233735046 \h </w:instrText>
        </w:r>
        <w:r>
          <w:rPr>
            <w:noProof/>
            <w:webHidden/>
          </w:rPr>
        </w:r>
        <w:r>
          <w:rPr>
            <w:noProof/>
            <w:webHidden/>
          </w:rPr>
          <w:fldChar w:fldCharType="separate"/>
        </w:r>
        <w:r>
          <w:rPr>
            <w:noProof/>
            <w:webHidden/>
          </w:rPr>
          <w:t>77</w:t>
        </w:r>
        <w:r>
          <w:rPr>
            <w:noProof/>
            <w:webHidden/>
          </w:rPr>
          <w:fldChar w:fldCharType="end"/>
        </w:r>
      </w:hyperlink>
    </w:p>
    <w:p w14:paraId="2CEACCC5" w14:textId="2611757F"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7" w:history="1">
        <w:r w:rsidRPr="00C66866">
          <w:rPr>
            <w:rStyle w:val="Hyperlink"/>
            <w:noProof/>
          </w:rPr>
          <w:t>Figure 41: Quantification of bus voltage signatures through the proposed DVRI under different renewable generation percentages (a) STVI, and (b) LTVI.</w:t>
        </w:r>
        <w:r>
          <w:rPr>
            <w:noProof/>
            <w:webHidden/>
          </w:rPr>
          <w:tab/>
        </w:r>
        <w:r>
          <w:rPr>
            <w:noProof/>
            <w:webHidden/>
          </w:rPr>
          <w:fldChar w:fldCharType="begin"/>
        </w:r>
        <w:r>
          <w:rPr>
            <w:noProof/>
            <w:webHidden/>
          </w:rPr>
          <w:instrText xml:space="preserve"> PAGEREF _Toc233735047 \h </w:instrText>
        </w:r>
        <w:r>
          <w:rPr>
            <w:noProof/>
            <w:webHidden/>
          </w:rPr>
        </w:r>
        <w:r>
          <w:rPr>
            <w:noProof/>
            <w:webHidden/>
          </w:rPr>
          <w:fldChar w:fldCharType="separate"/>
        </w:r>
        <w:r>
          <w:rPr>
            <w:noProof/>
            <w:webHidden/>
          </w:rPr>
          <w:t>77</w:t>
        </w:r>
        <w:r>
          <w:rPr>
            <w:noProof/>
            <w:webHidden/>
          </w:rPr>
          <w:fldChar w:fldCharType="end"/>
        </w:r>
      </w:hyperlink>
    </w:p>
    <w:p w14:paraId="46BE5F9B" w14:textId="41AD94B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8" w:history="1">
        <w:r w:rsidRPr="00C66866">
          <w:rPr>
            <w:rStyle w:val="Hyperlink"/>
            <w:noProof/>
          </w:rPr>
          <w:t>Figure 42: Quantification of bus voltage signatures through the proposed DVRI under different load dynamics percentages (a) STVI, and (b) LTVI.</w:t>
        </w:r>
        <w:r>
          <w:rPr>
            <w:noProof/>
            <w:webHidden/>
          </w:rPr>
          <w:tab/>
        </w:r>
        <w:r>
          <w:rPr>
            <w:noProof/>
            <w:webHidden/>
          </w:rPr>
          <w:fldChar w:fldCharType="begin"/>
        </w:r>
        <w:r>
          <w:rPr>
            <w:noProof/>
            <w:webHidden/>
          </w:rPr>
          <w:instrText xml:space="preserve"> PAGEREF _Toc233735048 \h </w:instrText>
        </w:r>
        <w:r>
          <w:rPr>
            <w:noProof/>
            <w:webHidden/>
          </w:rPr>
        </w:r>
        <w:r>
          <w:rPr>
            <w:noProof/>
            <w:webHidden/>
          </w:rPr>
          <w:fldChar w:fldCharType="separate"/>
        </w:r>
        <w:r>
          <w:rPr>
            <w:noProof/>
            <w:webHidden/>
          </w:rPr>
          <w:t>78</w:t>
        </w:r>
        <w:r>
          <w:rPr>
            <w:noProof/>
            <w:webHidden/>
          </w:rPr>
          <w:fldChar w:fldCharType="end"/>
        </w:r>
      </w:hyperlink>
    </w:p>
    <w:p w14:paraId="1066A670" w14:textId="28B14DE5"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49" w:history="1">
        <w:r w:rsidRPr="00C66866">
          <w:rPr>
            <w:rStyle w:val="Hyperlink"/>
            <w:noProof/>
          </w:rPr>
          <w:t>Figure 43: Quantification of system-level voltage signatures through the proposed sysDVRI under different renewable generation percentages (a) Gen. Case 1, (b) Gen. Case 2, (c) Gen. Case 3, and (d) Gen. Case 4.</w:t>
        </w:r>
        <w:r>
          <w:rPr>
            <w:noProof/>
            <w:webHidden/>
          </w:rPr>
          <w:tab/>
        </w:r>
        <w:r>
          <w:rPr>
            <w:noProof/>
            <w:webHidden/>
          </w:rPr>
          <w:fldChar w:fldCharType="begin"/>
        </w:r>
        <w:r>
          <w:rPr>
            <w:noProof/>
            <w:webHidden/>
          </w:rPr>
          <w:instrText xml:space="preserve"> PAGEREF _Toc233735049 \h </w:instrText>
        </w:r>
        <w:r>
          <w:rPr>
            <w:noProof/>
            <w:webHidden/>
          </w:rPr>
        </w:r>
        <w:r>
          <w:rPr>
            <w:noProof/>
            <w:webHidden/>
          </w:rPr>
          <w:fldChar w:fldCharType="separate"/>
        </w:r>
        <w:r>
          <w:rPr>
            <w:noProof/>
            <w:webHidden/>
          </w:rPr>
          <w:t>79</w:t>
        </w:r>
        <w:r>
          <w:rPr>
            <w:noProof/>
            <w:webHidden/>
          </w:rPr>
          <w:fldChar w:fldCharType="end"/>
        </w:r>
      </w:hyperlink>
    </w:p>
    <w:p w14:paraId="4D0BC418" w14:textId="453154A4"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0" w:history="1">
        <w:r w:rsidRPr="00C66866">
          <w:rPr>
            <w:rStyle w:val="Hyperlink"/>
            <w:noProof/>
          </w:rPr>
          <w:t>Figure 44: Quantification of system-level voltage signatures through the proposed sysDVRI under different load dynamics percentages: (a) Load Case 1, (b) Load Case 2, and (c) Load Case 3.</w:t>
        </w:r>
        <w:r>
          <w:rPr>
            <w:noProof/>
            <w:webHidden/>
          </w:rPr>
          <w:tab/>
        </w:r>
        <w:r>
          <w:rPr>
            <w:noProof/>
            <w:webHidden/>
          </w:rPr>
          <w:fldChar w:fldCharType="begin"/>
        </w:r>
        <w:r>
          <w:rPr>
            <w:noProof/>
            <w:webHidden/>
          </w:rPr>
          <w:instrText xml:space="preserve"> PAGEREF _Toc233735050 \h </w:instrText>
        </w:r>
        <w:r>
          <w:rPr>
            <w:noProof/>
            <w:webHidden/>
          </w:rPr>
        </w:r>
        <w:r>
          <w:rPr>
            <w:noProof/>
            <w:webHidden/>
          </w:rPr>
          <w:fldChar w:fldCharType="separate"/>
        </w:r>
        <w:r>
          <w:rPr>
            <w:noProof/>
            <w:webHidden/>
          </w:rPr>
          <w:t>80</w:t>
        </w:r>
        <w:r>
          <w:rPr>
            <w:noProof/>
            <w:webHidden/>
          </w:rPr>
          <w:fldChar w:fldCharType="end"/>
        </w:r>
      </w:hyperlink>
    </w:p>
    <w:p w14:paraId="576EA967" w14:textId="725A33C1"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1" w:history="1">
        <w:r w:rsidRPr="00C66866">
          <w:rPr>
            <w:rStyle w:val="Hyperlink"/>
            <w:noProof/>
          </w:rPr>
          <w:t>Figure 45: The value of SDVPI for the selected buses for (a) 0% renewables in IEEE 39 bus system, (b) 83% renewables in IEEE 39 bus system.</w:t>
        </w:r>
        <w:r>
          <w:rPr>
            <w:noProof/>
            <w:webHidden/>
          </w:rPr>
          <w:tab/>
        </w:r>
        <w:r>
          <w:rPr>
            <w:noProof/>
            <w:webHidden/>
          </w:rPr>
          <w:fldChar w:fldCharType="begin"/>
        </w:r>
        <w:r>
          <w:rPr>
            <w:noProof/>
            <w:webHidden/>
          </w:rPr>
          <w:instrText xml:space="preserve"> PAGEREF _Toc233735051 \h </w:instrText>
        </w:r>
        <w:r>
          <w:rPr>
            <w:noProof/>
            <w:webHidden/>
          </w:rPr>
        </w:r>
        <w:r>
          <w:rPr>
            <w:noProof/>
            <w:webHidden/>
          </w:rPr>
          <w:fldChar w:fldCharType="separate"/>
        </w:r>
        <w:r>
          <w:rPr>
            <w:noProof/>
            <w:webHidden/>
          </w:rPr>
          <w:t>85</w:t>
        </w:r>
        <w:r>
          <w:rPr>
            <w:noProof/>
            <w:webHidden/>
          </w:rPr>
          <w:fldChar w:fldCharType="end"/>
        </w:r>
      </w:hyperlink>
    </w:p>
    <w:p w14:paraId="4B65C8B5" w14:textId="1D4279DE"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2" w:history="1">
        <w:r w:rsidRPr="00C66866">
          <w:rPr>
            <w:rStyle w:val="Hyperlink"/>
            <w:noProof/>
          </w:rPr>
          <w:t>Figure 46: The value of SDVPI for the weakest buses for different loadability point for (a) 0% renewables in IEEE 39 bus system, (b) 83% renewables in IEEE 39 bus system.</w:t>
        </w:r>
        <w:r>
          <w:rPr>
            <w:noProof/>
            <w:webHidden/>
          </w:rPr>
          <w:tab/>
        </w:r>
        <w:r>
          <w:rPr>
            <w:noProof/>
            <w:webHidden/>
          </w:rPr>
          <w:fldChar w:fldCharType="begin"/>
        </w:r>
        <w:r>
          <w:rPr>
            <w:noProof/>
            <w:webHidden/>
          </w:rPr>
          <w:instrText xml:space="preserve"> PAGEREF _Toc233735052 \h </w:instrText>
        </w:r>
        <w:r>
          <w:rPr>
            <w:noProof/>
            <w:webHidden/>
          </w:rPr>
        </w:r>
        <w:r>
          <w:rPr>
            <w:noProof/>
            <w:webHidden/>
          </w:rPr>
          <w:fldChar w:fldCharType="separate"/>
        </w:r>
        <w:r>
          <w:rPr>
            <w:noProof/>
            <w:webHidden/>
          </w:rPr>
          <w:t>86</w:t>
        </w:r>
        <w:r>
          <w:rPr>
            <w:noProof/>
            <w:webHidden/>
          </w:rPr>
          <w:fldChar w:fldCharType="end"/>
        </w:r>
      </w:hyperlink>
    </w:p>
    <w:p w14:paraId="1AD19E00" w14:textId="20D2D98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3" w:history="1">
        <w:r w:rsidRPr="00C66866">
          <w:rPr>
            <w:rStyle w:val="Hyperlink"/>
            <w:noProof/>
          </w:rPr>
          <w:t>Figure 47: Comparison of small signal robustness for different renewable generation levels through the proposed SDVPI.</w:t>
        </w:r>
        <w:r>
          <w:rPr>
            <w:noProof/>
            <w:webHidden/>
          </w:rPr>
          <w:tab/>
        </w:r>
        <w:r>
          <w:rPr>
            <w:noProof/>
            <w:webHidden/>
          </w:rPr>
          <w:fldChar w:fldCharType="begin"/>
        </w:r>
        <w:r>
          <w:rPr>
            <w:noProof/>
            <w:webHidden/>
          </w:rPr>
          <w:instrText xml:space="preserve"> PAGEREF _Toc233735053 \h </w:instrText>
        </w:r>
        <w:r>
          <w:rPr>
            <w:noProof/>
            <w:webHidden/>
          </w:rPr>
        </w:r>
        <w:r>
          <w:rPr>
            <w:noProof/>
            <w:webHidden/>
          </w:rPr>
          <w:fldChar w:fldCharType="separate"/>
        </w:r>
        <w:r>
          <w:rPr>
            <w:noProof/>
            <w:webHidden/>
          </w:rPr>
          <w:t>86</w:t>
        </w:r>
        <w:r>
          <w:rPr>
            <w:noProof/>
            <w:webHidden/>
          </w:rPr>
          <w:fldChar w:fldCharType="end"/>
        </w:r>
      </w:hyperlink>
    </w:p>
    <w:p w14:paraId="76A71C18" w14:textId="39CC082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4" w:history="1">
        <w:r w:rsidRPr="00C66866">
          <w:rPr>
            <w:rStyle w:val="Hyperlink"/>
            <w:noProof/>
          </w:rPr>
          <w:t>Figure 48: Illustration of small signal security, insecurity and unitability area.</w:t>
        </w:r>
        <w:r>
          <w:rPr>
            <w:noProof/>
            <w:webHidden/>
          </w:rPr>
          <w:tab/>
        </w:r>
        <w:r>
          <w:rPr>
            <w:noProof/>
            <w:webHidden/>
          </w:rPr>
          <w:fldChar w:fldCharType="begin"/>
        </w:r>
        <w:r>
          <w:rPr>
            <w:noProof/>
            <w:webHidden/>
          </w:rPr>
          <w:instrText xml:space="preserve"> PAGEREF _Toc233735054 \h </w:instrText>
        </w:r>
        <w:r>
          <w:rPr>
            <w:noProof/>
            <w:webHidden/>
          </w:rPr>
        </w:r>
        <w:r>
          <w:rPr>
            <w:noProof/>
            <w:webHidden/>
          </w:rPr>
          <w:fldChar w:fldCharType="separate"/>
        </w:r>
        <w:r>
          <w:rPr>
            <w:noProof/>
            <w:webHidden/>
          </w:rPr>
          <w:t>87</w:t>
        </w:r>
        <w:r>
          <w:rPr>
            <w:noProof/>
            <w:webHidden/>
          </w:rPr>
          <w:fldChar w:fldCharType="end"/>
        </w:r>
      </w:hyperlink>
    </w:p>
    <w:p w14:paraId="03EDCA78" w14:textId="37B372F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5" w:history="1">
        <w:r w:rsidRPr="00C66866">
          <w:rPr>
            <w:rStyle w:val="Hyperlink"/>
            <w:noProof/>
          </w:rPr>
          <w:t>Figure 49: Small signal security index versus mode damping.</w:t>
        </w:r>
        <w:r>
          <w:rPr>
            <w:noProof/>
            <w:webHidden/>
          </w:rPr>
          <w:tab/>
        </w:r>
        <w:r>
          <w:rPr>
            <w:noProof/>
            <w:webHidden/>
          </w:rPr>
          <w:fldChar w:fldCharType="begin"/>
        </w:r>
        <w:r>
          <w:rPr>
            <w:noProof/>
            <w:webHidden/>
          </w:rPr>
          <w:instrText xml:space="preserve"> PAGEREF _Toc233735055 \h </w:instrText>
        </w:r>
        <w:r>
          <w:rPr>
            <w:noProof/>
            <w:webHidden/>
          </w:rPr>
        </w:r>
        <w:r>
          <w:rPr>
            <w:noProof/>
            <w:webHidden/>
          </w:rPr>
          <w:fldChar w:fldCharType="separate"/>
        </w:r>
        <w:r>
          <w:rPr>
            <w:noProof/>
            <w:webHidden/>
          </w:rPr>
          <w:t>88</w:t>
        </w:r>
        <w:r>
          <w:rPr>
            <w:noProof/>
            <w:webHidden/>
          </w:rPr>
          <w:fldChar w:fldCharType="end"/>
        </w:r>
      </w:hyperlink>
    </w:p>
    <w:p w14:paraId="547D19E9" w14:textId="2DA59DF4"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6" w:history="1">
        <w:r w:rsidRPr="00C66866">
          <w:rPr>
            <w:rStyle w:val="Hyperlink"/>
            <w:noProof/>
          </w:rPr>
          <w:t>Figure 50: Test systems used for STVS studies involving time-domain simulation.</w:t>
        </w:r>
        <w:r>
          <w:rPr>
            <w:noProof/>
            <w:webHidden/>
          </w:rPr>
          <w:tab/>
        </w:r>
        <w:r>
          <w:rPr>
            <w:noProof/>
            <w:webHidden/>
          </w:rPr>
          <w:fldChar w:fldCharType="begin"/>
        </w:r>
        <w:r>
          <w:rPr>
            <w:noProof/>
            <w:webHidden/>
          </w:rPr>
          <w:instrText xml:space="preserve"> PAGEREF _Toc233735056 \h </w:instrText>
        </w:r>
        <w:r>
          <w:rPr>
            <w:noProof/>
            <w:webHidden/>
          </w:rPr>
        </w:r>
        <w:r>
          <w:rPr>
            <w:noProof/>
            <w:webHidden/>
          </w:rPr>
          <w:fldChar w:fldCharType="separate"/>
        </w:r>
        <w:r>
          <w:rPr>
            <w:noProof/>
            <w:webHidden/>
          </w:rPr>
          <w:t>99</w:t>
        </w:r>
        <w:r>
          <w:rPr>
            <w:noProof/>
            <w:webHidden/>
          </w:rPr>
          <w:fldChar w:fldCharType="end"/>
        </w:r>
      </w:hyperlink>
    </w:p>
    <w:p w14:paraId="5E57E1F3" w14:textId="10EE054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7" w:history="1">
        <w:r w:rsidRPr="00C66866">
          <w:rPr>
            <w:rStyle w:val="Hyperlink"/>
            <w:noProof/>
          </w:rPr>
          <w:t>Figure 51: Software tools used for time-domain simulation for STVS assessment.</w:t>
        </w:r>
        <w:r>
          <w:rPr>
            <w:noProof/>
            <w:webHidden/>
          </w:rPr>
          <w:tab/>
        </w:r>
        <w:r>
          <w:rPr>
            <w:noProof/>
            <w:webHidden/>
          </w:rPr>
          <w:fldChar w:fldCharType="begin"/>
        </w:r>
        <w:r>
          <w:rPr>
            <w:noProof/>
            <w:webHidden/>
          </w:rPr>
          <w:instrText xml:space="preserve"> PAGEREF _Toc233735057 \h </w:instrText>
        </w:r>
        <w:r>
          <w:rPr>
            <w:noProof/>
            <w:webHidden/>
          </w:rPr>
        </w:r>
        <w:r>
          <w:rPr>
            <w:noProof/>
            <w:webHidden/>
          </w:rPr>
          <w:fldChar w:fldCharType="separate"/>
        </w:r>
        <w:r>
          <w:rPr>
            <w:noProof/>
            <w:webHidden/>
          </w:rPr>
          <w:t>99</w:t>
        </w:r>
        <w:r>
          <w:rPr>
            <w:noProof/>
            <w:webHidden/>
          </w:rPr>
          <w:fldChar w:fldCharType="end"/>
        </w:r>
      </w:hyperlink>
    </w:p>
    <w:p w14:paraId="6C840D1A" w14:textId="3BDA983F"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8" w:history="1">
        <w:r w:rsidRPr="00C66866">
          <w:rPr>
            <w:rStyle w:val="Hyperlink"/>
            <w:noProof/>
          </w:rPr>
          <w:t>Figure 52: Current through Line 16-19 after fault in the middle of the line.</w:t>
        </w:r>
        <w:r>
          <w:rPr>
            <w:noProof/>
            <w:webHidden/>
          </w:rPr>
          <w:tab/>
        </w:r>
        <w:r>
          <w:rPr>
            <w:noProof/>
            <w:webHidden/>
          </w:rPr>
          <w:fldChar w:fldCharType="begin"/>
        </w:r>
        <w:r>
          <w:rPr>
            <w:noProof/>
            <w:webHidden/>
          </w:rPr>
          <w:instrText xml:space="preserve"> PAGEREF _Toc233735058 \h </w:instrText>
        </w:r>
        <w:r>
          <w:rPr>
            <w:noProof/>
            <w:webHidden/>
          </w:rPr>
        </w:r>
        <w:r>
          <w:rPr>
            <w:noProof/>
            <w:webHidden/>
          </w:rPr>
          <w:fldChar w:fldCharType="separate"/>
        </w:r>
        <w:r>
          <w:rPr>
            <w:noProof/>
            <w:webHidden/>
          </w:rPr>
          <w:t>105</w:t>
        </w:r>
        <w:r>
          <w:rPr>
            <w:noProof/>
            <w:webHidden/>
          </w:rPr>
          <w:fldChar w:fldCharType="end"/>
        </w:r>
      </w:hyperlink>
    </w:p>
    <w:p w14:paraId="20F798E1" w14:textId="0B086062"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59" w:history="1">
        <w:r w:rsidRPr="00C66866">
          <w:rPr>
            <w:rStyle w:val="Hyperlink"/>
            <w:noProof/>
          </w:rPr>
          <w:t>Figure 53: Voltage at Bus 8 due to faults in Line 16-19.</w:t>
        </w:r>
        <w:r>
          <w:rPr>
            <w:noProof/>
            <w:webHidden/>
          </w:rPr>
          <w:tab/>
        </w:r>
        <w:r>
          <w:rPr>
            <w:noProof/>
            <w:webHidden/>
          </w:rPr>
          <w:fldChar w:fldCharType="begin"/>
        </w:r>
        <w:r>
          <w:rPr>
            <w:noProof/>
            <w:webHidden/>
          </w:rPr>
          <w:instrText xml:space="preserve"> PAGEREF _Toc233735059 \h </w:instrText>
        </w:r>
        <w:r>
          <w:rPr>
            <w:noProof/>
            <w:webHidden/>
          </w:rPr>
        </w:r>
        <w:r>
          <w:rPr>
            <w:noProof/>
            <w:webHidden/>
          </w:rPr>
          <w:fldChar w:fldCharType="separate"/>
        </w:r>
        <w:r>
          <w:rPr>
            <w:noProof/>
            <w:webHidden/>
          </w:rPr>
          <w:t>105</w:t>
        </w:r>
        <w:r>
          <w:rPr>
            <w:noProof/>
            <w:webHidden/>
          </w:rPr>
          <w:fldChar w:fldCharType="end"/>
        </w:r>
      </w:hyperlink>
    </w:p>
    <w:p w14:paraId="55B0C215" w14:textId="7CF46A4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0" w:history="1">
        <w:r w:rsidRPr="00C66866">
          <w:rPr>
            <w:rStyle w:val="Hyperlink"/>
            <w:noProof/>
          </w:rPr>
          <w:t>The Western Electricity Coordinating Council (WECC) model of composite load is composed of different types of loads as shown in Figure 54.</w:t>
        </w:r>
        <w:r>
          <w:rPr>
            <w:noProof/>
            <w:webHidden/>
          </w:rPr>
          <w:tab/>
        </w:r>
        <w:r>
          <w:rPr>
            <w:noProof/>
            <w:webHidden/>
          </w:rPr>
          <w:fldChar w:fldCharType="begin"/>
        </w:r>
        <w:r>
          <w:rPr>
            <w:noProof/>
            <w:webHidden/>
          </w:rPr>
          <w:instrText xml:space="preserve"> PAGEREF _Toc233735060 \h </w:instrText>
        </w:r>
        <w:r>
          <w:rPr>
            <w:noProof/>
            <w:webHidden/>
          </w:rPr>
        </w:r>
        <w:r>
          <w:rPr>
            <w:noProof/>
            <w:webHidden/>
          </w:rPr>
          <w:fldChar w:fldCharType="separate"/>
        </w:r>
        <w:r>
          <w:rPr>
            <w:noProof/>
            <w:webHidden/>
          </w:rPr>
          <w:t>105</w:t>
        </w:r>
        <w:r>
          <w:rPr>
            <w:noProof/>
            <w:webHidden/>
          </w:rPr>
          <w:fldChar w:fldCharType="end"/>
        </w:r>
      </w:hyperlink>
    </w:p>
    <w:p w14:paraId="7912915E" w14:textId="01B2876C"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1" w:history="1">
        <w:r w:rsidRPr="00C66866">
          <w:rPr>
            <w:rStyle w:val="Hyperlink"/>
            <w:noProof/>
          </w:rPr>
          <w:t>Figure 54: WECC composite load model.</w:t>
        </w:r>
        <w:r>
          <w:rPr>
            <w:noProof/>
            <w:webHidden/>
          </w:rPr>
          <w:tab/>
        </w:r>
        <w:r>
          <w:rPr>
            <w:noProof/>
            <w:webHidden/>
          </w:rPr>
          <w:fldChar w:fldCharType="begin"/>
        </w:r>
        <w:r>
          <w:rPr>
            <w:noProof/>
            <w:webHidden/>
          </w:rPr>
          <w:instrText xml:space="preserve"> PAGEREF _Toc233735061 \h </w:instrText>
        </w:r>
        <w:r>
          <w:rPr>
            <w:noProof/>
            <w:webHidden/>
          </w:rPr>
        </w:r>
        <w:r>
          <w:rPr>
            <w:noProof/>
            <w:webHidden/>
          </w:rPr>
          <w:fldChar w:fldCharType="separate"/>
        </w:r>
        <w:r>
          <w:rPr>
            <w:noProof/>
            <w:webHidden/>
          </w:rPr>
          <w:t>106</w:t>
        </w:r>
        <w:r>
          <w:rPr>
            <w:noProof/>
            <w:webHidden/>
          </w:rPr>
          <w:fldChar w:fldCharType="end"/>
        </w:r>
      </w:hyperlink>
    </w:p>
    <w:p w14:paraId="585FB902" w14:textId="16F8741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2" w:history="1">
        <w:r w:rsidRPr="00C66866">
          <w:rPr>
            <w:rStyle w:val="Hyperlink"/>
            <w:noProof/>
          </w:rPr>
          <w:t>Figure 55: Impact on voltage using DIgSILENT composite load vs AEMO composite load model for load at bus 20.</w:t>
        </w:r>
        <w:r>
          <w:rPr>
            <w:noProof/>
            <w:webHidden/>
          </w:rPr>
          <w:tab/>
        </w:r>
        <w:r>
          <w:rPr>
            <w:noProof/>
            <w:webHidden/>
          </w:rPr>
          <w:fldChar w:fldCharType="begin"/>
        </w:r>
        <w:r>
          <w:rPr>
            <w:noProof/>
            <w:webHidden/>
          </w:rPr>
          <w:instrText xml:space="preserve"> PAGEREF _Toc233735062 \h </w:instrText>
        </w:r>
        <w:r>
          <w:rPr>
            <w:noProof/>
            <w:webHidden/>
          </w:rPr>
        </w:r>
        <w:r>
          <w:rPr>
            <w:noProof/>
            <w:webHidden/>
          </w:rPr>
          <w:fldChar w:fldCharType="separate"/>
        </w:r>
        <w:r>
          <w:rPr>
            <w:noProof/>
            <w:webHidden/>
          </w:rPr>
          <w:t>107</w:t>
        </w:r>
        <w:r>
          <w:rPr>
            <w:noProof/>
            <w:webHidden/>
          </w:rPr>
          <w:fldChar w:fldCharType="end"/>
        </w:r>
      </w:hyperlink>
    </w:p>
    <w:p w14:paraId="6B497749" w14:textId="6900011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3" w:history="1">
        <w:r w:rsidRPr="00C66866">
          <w:rPr>
            <w:rStyle w:val="Hyperlink"/>
            <w:noProof/>
          </w:rPr>
          <w:t>Figure 56: Impact of fault location on voltage stability.</w:t>
        </w:r>
        <w:r>
          <w:rPr>
            <w:noProof/>
            <w:webHidden/>
          </w:rPr>
          <w:tab/>
        </w:r>
        <w:r>
          <w:rPr>
            <w:noProof/>
            <w:webHidden/>
          </w:rPr>
          <w:fldChar w:fldCharType="begin"/>
        </w:r>
        <w:r>
          <w:rPr>
            <w:noProof/>
            <w:webHidden/>
          </w:rPr>
          <w:instrText xml:space="preserve"> PAGEREF _Toc233735063 \h </w:instrText>
        </w:r>
        <w:r>
          <w:rPr>
            <w:noProof/>
            <w:webHidden/>
          </w:rPr>
        </w:r>
        <w:r>
          <w:rPr>
            <w:noProof/>
            <w:webHidden/>
          </w:rPr>
          <w:fldChar w:fldCharType="separate"/>
        </w:r>
        <w:r>
          <w:rPr>
            <w:noProof/>
            <w:webHidden/>
          </w:rPr>
          <w:t>108</w:t>
        </w:r>
        <w:r>
          <w:rPr>
            <w:noProof/>
            <w:webHidden/>
          </w:rPr>
          <w:fldChar w:fldCharType="end"/>
        </w:r>
      </w:hyperlink>
    </w:p>
    <w:p w14:paraId="7C722B7E" w14:textId="15E1834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4" w:history="1">
        <w:r w:rsidRPr="00C66866">
          <w:rPr>
            <w:rStyle w:val="Hyperlink"/>
            <w:noProof/>
          </w:rPr>
          <w:t>Figure 57: Impact of fault location analysed.</w:t>
        </w:r>
        <w:r>
          <w:rPr>
            <w:noProof/>
            <w:webHidden/>
          </w:rPr>
          <w:tab/>
        </w:r>
        <w:r>
          <w:rPr>
            <w:noProof/>
            <w:webHidden/>
          </w:rPr>
          <w:fldChar w:fldCharType="begin"/>
        </w:r>
        <w:r>
          <w:rPr>
            <w:noProof/>
            <w:webHidden/>
          </w:rPr>
          <w:instrText xml:space="preserve"> PAGEREF _Toc233735064 \h </w:instrText>
        </w:r>
        <w:r>
          <w:rPr>
            <w:noProof/>
            <w:webHidden/>
          </w:rPr>
        </w:r>
        <w:r>
          <w:rPr>
            <w:noProof/>
            <w:webHidden/>
          </w:rPr>
          <w:fldChar w:fldCharType="separate"/>
        </w:r>
        <w:r>
          <w:rPr>
            <w:noProof/>
            <w:webHidden/>
          </w:rPr>
          <w:t>108</w:t>
        </w:r>
        <w:r>
          <w:rPr>
            <w:noProof/>
            <w:webHidden/>
          </w:rPr>
          <w:fldChar w:fldCharType="end"/>
        </w:r>
      </w:hyperlink>
    </w:p>
    <w:p w14:paraId="42FB8A44" w14:textId="675EAB9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5" w:history="1">
        <w:r w:rsidRPr="00C66866">
          <w:rPr>
            <w:rStyle w:val="Hyperlink"/>
            <w:noProof/>
          </w:rPr>
          <w:t>Figure 58: Impact of different fault clearing times on the voltage at Bus 20.</w:t>
        </w:r>
        <w:r>
          <w:rPr>
            <w:noProof/>
            <w:webHidden/>
          </w:rPr>
          <w:tab/>
        </w:r>
        <w:r>
          <w:rPr>
            <w:noProof/>
            <w:webHidden/>
          </w:rPr>
          <w:fldChar w:fldCharType="begin"/>
        </w:r>
        <w:r>
          <w:rPr>
            <w:noProof/>
            <w:webHidden/>
          </w:rPr>
          <w:instrText xml:space="preserve"> PAGEREF _Toc233735065 \h </w:instrText>
        </w:r>
        <w:r>
          <w:rPr>
            <w:noProof/>
            <w:webHidden/>
          </w:rPr>
        </w:r>
        <w:r>
          <w:rPr>
            <w:noProof/>
            <w:webHidden/>
          </w:rPr>
          <w:fldChar w:fldCharType="separate"/>
        </w:r>
        <w:r>
          <w:rPr>
            <w:noProof/>
            <w:webHidden/>
          </w:rPr>
          <w:t>109</w:t>
        </w:r>
        <w:r>
          <w:rPr>
            <w:noProof/>
            <w:webHidden/>
          </w:rPr>
          <w:fldChar w:fldCharType="end"/>
        </w:r>
      </w:hyperlink>
    </w:p>
    <w:p w14:paraId="46F43888" w14:textId="74ECC825"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6" w:history="1">
        <w:r w:rsidRPr="00C66866">
          <w:rPr>
            <w:rStyle w:val="Hyperlink"/>
            <w:noProof/>
          </w:rPr>
          <w:t>Figure 59: Impact of different fault clearing times on the generator (G 03) terminal voltage.</w:t>
        </w:r>
        <w:r>
          <w:rPr>
            <w:noProof/>
            <w:webHidden/>
          </w:rPr>
          <w:tab/>
        </w:r>
        <w:r>
          <w:rPr>
            <w:noProof/>
            <w:webHidden/>
          </w:rPr>
          <w:fldChar w:fldCharType="begin"/>
        </w:r>
        <w:r>
          <w:rPr>
            <w:noProof/>
            <w:webHidden/>
          </w:rPr>
          <w:instrText xml:space="preserve"> PAGEREF _Toc233735066 \h </w:instrText>
        </w:r>
        <w:r>
          <w:rPr>
            <w:noProof/>
            <w:webHidden/>
          </w:rPr>
        </w:r>
        <w:r>
          <w:rPr>
            <w:noProof/>
            <w:webHidden/>
          </w:rPr>
          <w:fldChar w:fldCharType="separate"/>
        </w:r>
        <w:r>
          <w:rPr>
            <w:noProof/>
            <w:webHidden/>
          </w:rPr>
          <w:t>109</w:t>
        </w:r>
        <w:r>
          <w:rPr>
            <w:noProof/>
            <w:webHidden/>
          </w:rPr>
          <w:fldChar w:fldCharType="end"/>
        </w:r>
      </w:hyperlink>
    </w:p>
    <w:p w14:paraId="22298D7A" w14:textId="07658F12" w:rsidR="008D79C2" w:rsidRDefault="008D79C2">
      <w:pPr>
        <w:pStyle w:val="TableofFigures"/>
        <w:rPr>
          <w:rStyle w:val="Hyperlink"/>
          <w:noProof/>
        </w:rPr>
      </w:pPr>
      <w:hyperlink w:anchor="_Toc233735067" w:history="1">
        <w:r w:rsidRPr="00C66866">
          <w:rPr>
            <w:rStyle w:val="Hyperlink"/>
            <w:noProof/>
          </w:rPr>
          <w:t>Figure 60: The impact of different renewable penetration levels on maximum loadability for contingencies.</w:t>
        </w:r>
        <w:r>
          <w:rPr>
            <w:noProof/>
            <w:webHidden/>
          </w:rPr>
          <w:tab/>
        </w:r>
        <w:r>
          <w:rPr>
            <w:noProof/>
            <w:webHidden/>
          </w:rPr>
          <w:fldChar w:fldCharType="begin"/>
        </w:r>
        <w:r>
          <w:rPr>
            <w:noProof/>
            <w:webHidden/>
          </w:rPr>
          <w:instrText xml:space="preserve"> PAGEREF _Toc233735067 \h </w:instrText>
        </w:r>
        <w:r>
          <w:rPr>
            <w:noProof/>
            <w:webHidden/>
          </w:rPr>
        </w:r>
        <w:r>
          <w:rPr>
            <w:noProof/>
            <w:webHidden/>
          </w:rPr>
          <w:fldChar w:fldCharType="separate"/>
        </w:r>
        <w:r>
          <w:rPr>
            <w:noProof/>
            <w:webHidden/>
          </w:rPr>
          <w:t>112</w:t>
        </w:r>
        <w:r>
          <w:rPr>
            <w:noProof/>
            <w:webHidden/>
          </w:rPr>
          <w:fldChar w:fldCharType="end"/>
        </w:r>
      </w:hyperlink>
    </w:p>
    <w:p w14:paraId="3460DDF9" w14:textId="4222876F" w:rsidR="001C34C1" w:rsidRPr="001C34C1" w:rsidRDefault="001C34C1" w:rsidP="001C34C1">
      <w:pPr>
        <w:pStyle w:val="BodyText"/>
      </w:pPr>
      <w:r>
        <w:t xml:space="preserve">Figure 61: </w:t>
      </w:r>
      <w:r>
        <w:t xml:space="preserve">IEEE 39-bus </w:t>
      </w:r>
      <w:r w:rsidRPr="005C746B">
        <w:t>test</w:t>
      </w:r>
      <w:r>
        <w:t xml:space="preserve"> system with highlighted critical contingency and critical buses</w:t>
      </w:r>
      <w:r>
        <w:t>……112</w:t>
      </w:r>
    </w:p>
    <w:p w14:paraId="2F255385" w14:textId="34085564"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8" w:history="1">
        <w:r w:rsidRPr="00C66866">
          <w:rPr>
            <w:rStyle w:val="Hyperlink"/>
            <w:noProof/>
          </w:rPr>
          <w:t>Figure 62: Frequently used small-disturbance voltage stability assessment methods.</w:t>
        </w:r>
        <w:r>
          <w:rPr>
            <w:noProof/>
            <w:webHidden/>
          </w:rPr>
          <w:tab/>
        </w:r>
        <w:r>
          <w:rPr>
            <w:noProof/>
            <w:webHidden/>
          </w:rPr>
          <w:fldChar w:fldCharType="begin"/>
        </w:r>
        <w:r>
          <w:rPr>
            <w:noProof/>
            <w:webHidden/>
          </w:rPr>
          <w:instrText xml:space="preserve"> PAGEREF _Toc233735068 \h </w:instrText>
        </w:r>
        <w:r>
          <w:rPr>
            <w:noProof/>
            <w:webHidden/>
          </w:rPr>
        </w:r>
        <w:r>
          <w:rPr>
            <w:noProof/>
            <w:webHidden/>
          </w:rPr>
          <w:fldChar w:fldCharType="separate"/>
        </w:r>
        <w:r>
          <w:rPr>
            <w:noProof/>
            <w:webHidden/>
          </w:rPr>
          <w:t>115</w:t>
        </w:r>
        <w:r>
          <w:rPr>
            <w:noProof/>
            <w:webHidden/>
          </w:rPr>
          <w:fldChar w:fldCharType="end"/>
        </w:r>
      </w:hyperlink>
    </w:p>
    <w:p w14:paraId="4601D2C2" w14:textId="02AA198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69" w:history="1">
        <w:r w:rsidRPr="00C66866">
          <w:rPr>
            <w:rStyle w:val="Hyperlink"/>
            <w:noProof/>
          </w:rPr>
          <w:t>Figure 63: Modified IEEE 39-bus system for small-disturbance voltage stability studies.</w:t>
        </w:r>
        <w:r>
          <w:rPr>
            <w:noProof/>
            <w:webHidden/>
          </w:rPr>
          <w:tab/>
        </w:r>
        <w:r>
          <w:rPr>
            <w:noProof/>
            <w:webHidden/>
          </w:rPr>
          <w:fldChar w:fldCharType="begin"/>
        </w:r>
        <w:r>
          <w:rPr>
            <w:noProof/>
            <w:webHidden/>
          </w:rPr>
          <w:instrText xml:space="preserve"> PAGEREF _Toc233735069 \h </w:instrText>
        </w:r>
        <w:r>
          <w:rPr>
            <w:noProof/>
            <w:webHidden/>
          </w:rPr>
        </w:r>
        <w:r>
          <w:rPr>
            <w:noProof/>
            <w:webHidden/>
          </w:rPr>
          <w:fldChar w:fldCharType="separate"/>
        </w:r>
        <w:r>
          <w:rPr>
            <w:noProof/>
            <w:webHidden/>
          </w:rPr>
          <w:t>118</w:t>
        </w:r>
        <w:r>
          <w:rPr>
            <w:noProof/>
            <w:webHidden/>
          </w:rPr>
          <w:fldChar w:fldCharType="end"/>
        </w:r>
      </w:hyperlink>
    </w:p>
    <w:p w14:paraId="4EFF3438" w14:textId="1582FEF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0" w:history="1">
        <w:r w:rsidRPr="00C66866">
          <w:rPr>
            <w:rStyle w:val="Hyperlink"/>
            <w:noProof/>
          </w:rPr>
          <w:t>Figure 64: A comparison of voltage stability boundary under different renewable penetrations and load levels.</w:t>
        </w:r>
        <w:r>
          <w:rPr>
            <w:noProof/>
            <w:webHidden/>
          </w:rPr>
          <w:tab/>
        </w:r>
        <w:r>
          <w:rPr>
            <w:noProof/>
            <w:webHidden/>
          </w:rPr>
          <w:fldChar w:fldCharType="begin"/>
        </w:r>
        <w:r>
          <w:rPr>
            <w:noProof/>
            <w:webHidden/>
          </w:rPr>
          <w:instrText xml:space="preserve"> PAGEREF _Toc233735070 \h </w:instrText>
        </w:r>
        <w:r>
          <w:rPr>
            <w:noProof/>
            <w:webHidden/>
          </w:rPr>
        </w:r>
        <w:r>
          <w:rPr>
            <w:noProof/>
            <w:webHidden/>
          </w:rPr>
          <w:fldChar w:fldCharType="separate"/>
        </w:r>
        <w:r>
          <w:rPr>
            <w:noProof/>
            <w:webHidden/>
          </w:rPr>
          <w:t>119</w:t>
        </w:r>
        <w:r>
          <w:rPr>
            <w:noProof/>
            <w:webHidden/>
          </w:rPr>
          <w:fldChar w:fldCharType="end"/>
        </w:r>
      </w:hyperlink>
    </w:p>
    <w:p w14:paraId="2F8316B8" w14:textId="60BD3FA6"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1" w:history="1">
        <w:r w:rsidRPr="00C66866">
          <w:rPr>
            <w:rStyle w:val="Hyperlink"/>
            <w:noProof/>
          </w:rPr>
          <w:t>Figure 65: Deployment of various power system components[159].</w:t>
        </w:r>
        <w:r>
          <w:rPr>
            <w:noProof/>
            <w:webHidden/>
          </w:rPr>
          <w:tab/>
        </w:r>
        <w:r>
          <w:rPr>
            <w:noProof/>
            <w:webHidden/>
          </w:rPr>
          <w:fldChar w:fldCharType="begin"/>
        </w:r>
        <w:r>
          <w:rPr>
            <w:noProof/>
            <w:webHidden/>
          </w:rPr>
          <w:instrText xml:space="preserve"> PAGEREF _Toc233735071 \h </w:instrText>
        </w:r>
        <w:r>
          <w:rPr>
            <w:noProof/>
            <w:webHidden/>
          </w:rPr>
        </w:r>
        <w:r>
          <w:rPr>
            <w:noProof/>
            <w:webHidden/>
          </w:rPr>
          <w:fldChar w:fldCharType="separate"/>
        </w:r>
        <w:r>
          <w:rPr>
            <w:noProof/>
            <w:webHidden/>
          </w:rPr>
          <w:t>123</w:t>
        </w:r>
        <w:r>
          <w:rPr>
            <w:noProof/>
            <w:webHidden/>
          </w:rPr>
          <w:fldChar w:fldCharType="end"/>
        </w:r>
      </w:hyperlink>
    </w:p>
    <w:p w14:paraId="530B6A88" w14:textId="3E8DA556"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2" w:history="1">
        <w:r w:rsidRPr="00C66866">
          <w:rPr>
            <w:rStyle w:val="Hyperlink"/>
            <w:noProof/>
          </w:rPr>
          <w:t>Figure 66: High-level illustrative examples of grid connection for large loads [160].</w:t>
        </w:r>
        <w:r>
          <w:rPr>
            <w:noProof/>
            <w:webHidden/>
          </w:rPr>
          <w:tab/>
        </w:r>
        <w:r>
          <w:rPr>
            <w:noProof/>
            <w:webHidden/>
          </w:rPr>
          <w:fldChar w:fldCharType="begin"/>
        </w:r>
        <w:r>
          <w:rPr>
            <w:noProof/>
            <w:webHidden/>
          </w:rPr>
          <w:instrText xml:space="preserve"> PAGEREF _Toc233735072 \h </w:instrText>
        </w:r>
        <w:r>
          <w:rPr>
            <w:noProof/>
            <w:webHidden/>
          </w:rPr>
        </w:r>
        <w:r>
          <w:rPr>
            <w:noProof/>
            <w:webHidden/>
          </w:rPr>
          <w:fldChar w:fldCharType="separate"/>
        </w:r>
        <w:r>
          <w:rPr>
            <w:noProof/>
            <w:webHidden/>
          </w:rPr>
          <w:t>125</w:t>
        </w:r>
        <w:r>
          <w:rPr>
            <w:noProof/>
            <w:webHidden/>
          </w:rPr>
          <w:fldChar w:fldCharType="end"/>
        </w:r>
      </w:hyperlink>
    </w:p>
    <w:p w14:paraId="7802CD80" w14:textId="1279168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3" w:history="1">
        <w:r w:rsidRPr="00C66866">
          <w:rPr>
            <w:rStyle w:val="Hyperlink"/>
            <w:noProof/>
          </w:rPr>
          <w:t>Figure 67: Generic model of the data centre [160].</w:t>
        </w:r>
        <w:r>
          <w:rPr>
            <w:noProof/>
            <w:webHidden/>
          </w:rPr>
          <w:tab/>
        </w:r>
        <w:r>
          <w:rPr>
            <w:noProof/>
            <w:webHidden/>
          </w:rPr>
          <w:fldChar w:fldCharType="begin"/>
        </w:r>
        <w:r>
          <w:rPr>
            <w:noProof/>
            <w:webHidden/>
          </w:rPr>
          <w:instrText xml:space="preserve"> PAGEREF _Toc233735073 \h </w:instrText>
        </w:r>
        <w:r>
          <w:rPr>
            <w:noProof/>
            <w:webHidden/>
          </w:rPr>
        </w:r>
        <w:r>
          <w:rPr>
            <w:noProof/>
            <w:webHidden/>
          </w:rPr>
          <w:fldChar w:fldCharType="separate"/>
        </w:r>
        <w:r>
          <w:rPr>
            <w:noProof/>
            <w:webHidden/>
          </w:rPr>
          <w:t>126</w:t>
        </w:r>
        <w:r>
          <w:rPr>
            <w:noProof/>
            <w:webHidden/>
          </w:rPr>
          <w:fldChar w:fldCharType="end"/>
        </w:r>
      </w:hyperlink>
    </w:p>
    <w:p w14:paraId="1E92AF7F" w14:textId="41332DB3"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4" w:history="1">
        <w:r w:rsidRPr="00C66866">
          <w:rPr>
            <w:rStyle w:val="Hyperlink"/>
            <w:noProof/>
          </w:rPr>
          <w:t xml:space="preserve">Figure 68: Network for dynamic model acceptance test: (a) Network with wind turbine; (b) Network with Synchronous generator </w:t>
        </w:r>
        <w:r w:rsidRPr="00C66866">
          <w:rPr>
            <w:rStyle w:val="Hyperlink"/>
            <w:noProof/>
            <w:cs/>
          </w:rPr>
          <w:t>‎</w:t>
        </w:r>
        <w:r w:rsidRPr="00C66866">
          <w:rPr>
            <w:rStyle w:val="Hyperlink"/>
            <w:noProof/>
          </w:rPr>
          <w:t>[150].</w:t>
        </w:r>
        <w:r>
          <w:rPr>
            <w:noProof/>
            <w:webHidden/>
          </w:rPr>
          <w:tab/>
        </w:r>
        <w:r>
          <w:rPr>
            <w:noProof/>
            <w:webHidden/>
          </w:rPr>
          <w:fldChar w:fldCharType="begin"/>
        </w:r>
        <w:r>
          <w:rPr>
            <w:noProof/>
            <w:webHidden/>
          </w:rPr>
          <w:instrText xml:space="preserve"> PAGEREF _Toc233735074 \h </w:instrText>
        </w:r>
        <w:r>
          <w:rPr>
            <w:noProof/>
            <w:webHidden/>
          </w:rPr>
        </w:r>
        <w:r>
          <w:rPr>
            <w:noProof/>
            <w:webHidden/>
          </w:rPr>
          <w:fldChar w:fldCharType="separate"/>
        </w:r>
        <w:r>
          <w:rPr>
            <w:noProof/>
            <w:webHidden/>
          </w:rPr>
          <w:t>130</w:t>
        </w:r>
        <w:r>
          <w:rPr>
            <w:noProof/>
            <w:webHidden/>
          </w:rPr>
          <w:fldChar w:fldCharType="end"/>
        </w:r>
      </w:hyperlink>
    </w:p>
    <w:p w14:paraId="7C6368AF" w14:textId="658489FA"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5" w:history="1">
        <w:r w:rsidRPr="00C66866">
          <w:rPr>
            <w:rStyle w:val="Hyperlink"/>
            <w:noProof/>
          </w:rPr>
          <w:t>Figure 69: Simplified 14 Generator Australian Power System.</w:t>
        </w:r>
        <w:r>
          <w:rPr>
            <w:noProof/>
            <w:webHidden/>
          </w:rPr>
          <w:tab/>
        </w:r>
        <w:r>
          <w:rPr>
            <w:noProof/>
            <w:webHidden/>
          </w:rPr>
          <w:fldChar w:fldCharType="begin"/>
        </w:r>
        <w:r>
          <w:rPr>
            <w:noProof/>
            <w:webHidden/>
          </w:rPr>
          <w:instrText xml:space="preserve"> PAGEREF _Toc233735075 \h </w:instrText>
        </w:r>
        <w:r>
          <w:rPr>
            <w:noProof/>
            <w:webHidden/>
          </w:rPr>
        </w:r>
        <w:r>
          <w:rPr>
            <w:noProof/>
            <w:webHidden/>
          </w:rPr>
          <w:fldChar w:fldCharType="separate"/>
        </w:r>
        <w:r>
          <w:rPr>
            <w:noProof/>
            <w:webHidden/>
          </w:rPr>
          <w:t>132</w:t>
        </w:r>
        <w:r>
          <w:rPr>
            <w:noProof/>
            <w:webHidden/>
          </w:rPr>
          <w:fldChar w:fldCharType="end"/>
        </w:r>
      </w:hyperlink>
    </w:p>
    <w:p w14:paraId="0CB401B4" w14:textId="3DF9D298"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6" w:history="1">
        <w:r w:rsidRPr="00C66866">
          <w:rPr>
            <w:rStyle w:val="Hyperlink"/>
            <w:noProof/>
          </w:rPr>
          <w:t>Figure 70: Simple model [165].</w:t>
        </w:r>
        <w:r>
          <w:rPr>
            <w:noProof/>
            <w:webHidden/>
          </w:rPr>
          <w:tab/>
        </w:r>
        <w:r>
          <w:rPr>
            <w:noProof/>
            <w:webHidden/>
          </w:rPr>
          <w:fldChar w:fldCharType="begin"/>
        </w:r>
        <w:r>
          <w:rPr>
            <w:noProof/>
            <w:webHidden/>
          </w:rPr>
          <w:instrText xml:space="preserve"> PAGEREF _Toc233735076 \h </w:instrText>
        </w:r>
        <w:r>
          <w:rPr>
            <w:noProof/>
            <w:webHidden/>
          </w:rPr>
        </w:r>
        <w:r>
          <w:rPr>
            <w:noProof/>
            <w:webHidden/>
          </w:rPr>
          <w:fldChar w:fldCharType="separate"/>
        </w:r>
        <w:r>
          <w:rPr>
            <w:noProof/>
            <w:webHidden/>
          </w:rPr>
          <w:t>134</w:t>
        </w:r>
        <w:r>
          <w:rPr>
            <w:noProof/>
            <w:webHidden/>
          </w:rPr>
          <w:fldChar w:fldCharType="end"/>
        </w:r>
      </w:hyperlink>
    </w:p>
    <w:p w14:paraId="70B2213E" w14:textId="096F609B" w:rsidR="008D79C2" w:rsidRDefault="008D79C2">
      <w:pPr>
        <w:pStyle w:val="TableofFigures"/>
        <w:rPr>
          <w:rFonts w:asciiTheme="minorHAnsi" w:eastAsiaTheme="minorEastAsia" w:hAnsiTheme="minorHAnsi" w:cstheme="minorBidi"/>
          <w:noProof/>
          <w:color w:val="auto"/>
          <w:kern w:val="2"/>
          <w:szCs w:val="24"/>
          <w14:ligatures w14:val="standardContextual"/>
        </w:rPr>
      </w:pPr>
      <w:hyperlink w:anchor="_Toc233735077" w:history="1">
        <w:r w:rsidRPr="00C66866">
          <w:rPr>
            <w:rStyle w:val="Hyperlink"/>
            <w:noProof/>
          </w:rPr>
          <w:t>Figure 71: Data centre model with LV DC distribution [165].</w:t>
        </w:r>
        <w:r>
          <w:rPr>
            <w:noProof/>
            <w:webHidden/>
          </w:rPr>
          <w:tab/>
        </w:r>
        <w:r>
          <w:rPr>
            <w:noProof/>
            <w:webHidden/>
          </w:rPr>
          <w:fldChar w:fldCharType="begin"/>
        </w:r>
        <w:r>
          <w:rPr>
            <w:noProof/>
            <w:webHidden/>
          </w:rPr>
          <w:instrText xml:space="preserve"> PAGEREF _Toc233735077 \h </w:instrText>
        </w:r>
        <w:r>
          <w:rPr>
            <w:noProof/>
            <w:webHidden/>
          </w:rPr>
        </w:r>
        <w:r>
          <w:rPr>
            <w:noProof/>
            <w:webHidden/>
          </w:rPr>
          <w:fldChar w:fldCharType="separate"/>
        </w:r>
        <w:r>
          <w:rPr>
            <w:noProof/>
            <w:webHidden/>
          </w:rPr>
          <w:t>134</w:t>
        </w:r>
        <w:r>
          <w:rPr>
            <w:noProof/>
            <w:webHidden/>
          </w:rPr>
          <w:fldChar w:fldCharType="end"/>
        </w:r>
      </w:hyperlink>
    </w:p>
    <w:p w14:paraId="5EF73087" w14:textId="7CB232F8" w:rsidR="00891554" w:rsidRPr="00891554" w:rsidRDefault="009959BB" w:rsidP="00CD4F3A">
      <w:pPr>
        <w:pStyle w:val="TableofFigures"/>
        <w:spacing w:line="240" w:lineRule="auto"/>
        <w:rPr>
          <w:szCs w:val="24"/>
        </w:rPr>
      </w:pPr>
      <w:r w:rsidRPr="007D13CA">
        <w:lastRenderedPageBreak/>
        <w:fldChar w:fldCharType="end"/>
      </w:r>
      <w:proofErr w:type="spellStart"/>
      <w:r w:rsidR="00891554" w:rsidRPr="00891554">
        <w:rPr>
          <w:szCs w:val="24"/>
        </w:rPr>
        <w:t>Apx</w:t>
      </w:r>
      <w:proofErr w:type="spellEnd"/>
      <w:r w:rsidR="00891554" w:rsidRPr="00891554">
        <w:rPr>
          <w:szCs w:val="24"/>
        </w:rPr>
        <w:t xml:space="preserve"> Figure 1: The value of SDVPI for the selected buses for (a) 6% renewables, (b) 13% renewables, (c) 26% renewables, (d) 35% renewables, (e) 44% renewables, (f) 52% renewables, (g) 63% renewables, and (h) 72% renewables in IEEE 39 bus system…………………………….……</w:t>
      </w:r>
      <w:r w:rsidR="00BB6858">
        <w:rPr>
          <w:szCs w:val="24"/>
        </w:rPr>
        <w:t>…</w:t>
      </w:r>
      <w:r w:rsidR="00891554" w:rsidRPr="00891554">
        <w:rPr>
          <w:szCs w:val="24"/>
        </w:rPr>
        <w:t>.14</w:t>
      </w:r>
      <w:r w:rsidR="00F06ADD">
        <w:rPr>
          <w:szCs w:val="24"/>
        </w:rPr>
        <w:t>7</w:t>
      </w:r>
    </w:p>
    <w:p w14:paraId="4C0D96F0" w14:textId="3AE7C965" w:rsidR="00891554" w:rsidRPr="00891554" w:rsidRDefault="00891554" w:rsidP="00CD4F3A">
      <w:pPr>
        <w:pStyle w:val="TableofFigures"/>
        <w:spacing w:line="240" w:lineRule="auto"/>
        <w:rPr>
          <w:szCs w:val="24"/>
        </w:rPr>
      </w:pPr>
      <w:proofErr w:type="spellStart"/>
      <w:r w:rsidRPr="00891554">
        <w:rPr>
          <w:szCs w:val="24"/>
        </w:rPr>
        <w:t>Apx</w:t>
      </w:r>
      <w:proofErr w:type="spellEnd"/>
      <w:r w:rsidRPr="00891554">
        <w:rPr>
          <w:szCs w:val="24"/>
        </w:rPr>
        <w:t xml:space="preserve"> Figure 2: The value of SDVPI for the weakest buses for different  </w:t>
      </w:r>
      <w:proofErr w:type="spellStart"/>
      <w:r w:rsidRPr="00891554">
        <w:rPr>
          <w:szCs w:val="24"/>
        </w:rPr>
        <w:t>loadability</w:t>
      </w:r>
      <w:proofErr w:type="spellEnd"/>
      <w:r w:rsidRPr="00891554">
        <w:rPr>
          <w:szCs w:val="24"/>
        </w:rPr>
        <w:t xml:space="preserve"> point</w:t>
      </w:r>
      <w:r w:rsidR="00BB6858">
        <w:rPr>
          <w:szCs w:val="24"/>
        </w:rPr>
        <w:t>s</w:t>
      </w:r>
      <w:r w:rsidRPr="00891554">
        <w:rPr>
          <w:szCs w:val="24"/>
        </w:rPr>
        <w:t xml:space="preserve"> for (a) 6% renewables, (b) 13% renewables, (c) 26% renewables, (d) 35% renewables, (e) 44% renewables, (f) 52% renewables, (g) 63% renewables, and (h) 72% renewables in IEEE 39 bus system………………………………………………………………………………………………………………………….…</w:t>
      </w:r>
      <w:r w:rsidR="00BB6858">
        <w:rPr>
          <w:szCs w:val="24"/>
        </w:rPr>
        <w:t>….</w:t>
      </w:r>
      <w:r w:rsidRPr="00891554">
        <w:rPr>
          <w:szCs w:val="24"/>
        </w:rPr>
        <w:t>…14</w:t>
      </w:r>
      <w:r w:rsidR="00F06ADD">
        <w:rPr>
          <w:szCs w:val="24"/>
        </w:rPr>
        <w:t>8</w:t>
      </w:r>
    </w:p>
    <w:p w14:paraId="75ADF0F1" w14:textId="77777777" w:rsidR="00561571" w:rsidRDefault="00891554" w:rsidP="00CD4F3A">
      <w:pPr>
        <w:pStyle w:val="TableofFigures"/>
        <w:spacing w:line="240" w:lineRule="auto"/>
        <w:rPr>
          <w:noProof/>
        </w:rPr>
      </w:pPr>
      <w:proofErr w:type="spellStart"/>
      <w:r w:rsidRPr="00891554">
        <w:rPr>
          <w:szCs w:val="24"/>
        </w:rPr>
        <w:t>Apx</w:t>
      </w:r>
      <w:proofErr w:type="spellEnd"/>
      <w:r w:rsidRPr="00891554">
        <w:rPr>
          <w:szCs w:val="24"/>
        </w:rPr>
        <w:t xml:space="preserve"> Figure 3: (a) Moving Standard Deviation of ORVW (blue </w:t>
      </w:r>
      <w:proofErr w:type="spellStart"/>
      <w:r w:rsidRPr="00891554">
        <w:rPr>
          <w:szCs w:val="24"/>
        </w:rPr>
        <w:t>color</w:t>
      </w:r>
      <w:proofErr w:type="spellEnd"/>
      <w:r w:rsidRPr="00891554">
        <w:rPr>
          <w:szCs w:val="24"/>
        </w:rPr>
        <w:t xml:space="preserve">) and NRVW (red </w:t>
      </w:r>
      <w:proofErr w:type="spellStart"/>
      <w:r w:rsidRPr="00891554">
        <w:rPr>
          <w:szCs w:val="24"/>
        </w:rPr>
        <w:t>color</w:t>
      </w:r>
      <w:proofErr w:type="spellEnd"/>
      <w:r w:rsidRPr="00891554">
        <w:rPr>
          <w:szCs w:val="24"/>
        </w:rPr>
        <w:t xml:space="preserve">), and (b) Cumulative distribution function of ORVW (blue </w:t>
      </w:r>
      <w:proofErr w:type="spellStart"/>
      <w:r w:rsidRPr="00891554">
        <w:rPr>
          <w:szCs w:val="24"/>
        </w:rPr>
        <w:t>color</w:t>
      </w:r>
      <w:proofErr w:type="spellEnd"/>
      <w:r w:rsidRPr="00891554">
        <w:rPr>
          <w:szCs w:val="24"/>
        </w:rPr>
        <w:t xml:space="preserve">) and NRVW (red </w:t>
      </w:r>
      <w:proofErr w:type="spellStart"/>
      <w:r w:rsidRPr="00891554">
        <w:rPr>
          <w:szCs w:val="24"/>
        </w:rPr>
        <w:t>color</w:t>
      </w:r>
      <w:proofErr w:type="spellEnd"/>
      <w:r w:rsidRPr="00891554">
        <w:rPr>
          <w:szCs w:val="24"/>
        </w:rPr>
        <w:t>). …………………………………………………………………………………………………………………………………….……</w:t>
      </w:r>
      <w:proofErr w:type="gramStart"/>
      <w:r w:rsidR="00BB6858">
        <w:rPr>
          <w:szCs w:val="24"/>
        </w:rPr>
        <w:t>…..</w:t>
      </w:r>
      <w:proofErr w:type="gramEnd"/>
      <w:r w:rsidRPr="00891554">
        <w:rPr>
          <w:szCs w:val="24"/>
        </w:rPr>
        <w:t>14</w:t>
      </w:r>
      <w:r w:rsidR="00F06ADD">
        <w:rPr>
          <w:szCs w:val="24"/>
        </w:rPr>
        <w:t>9</w:t>
      </w:r>
      <w:r w:rsidR="009959BB" w:rsidRPr="00E27D3B">
        <w:rPr>
          <w:sz w:val="22"/>
        </w:rPr>
        <w:fldChar w:fldCharType="begin"/>
      </w:r>
      <w:r w:rsidR="003053C7" w:rsidRPr="00E27D3B">
        <w:instrText xml:space="preserve"> TOC \h \z \c "Apx Figure" </w:instrText>
      </w:r>
      <w:r w:rsidR="009959BB" w:rsidRPr="00E27D3B">
        <w:rPr>
          <w:sz w:val="22"/>
        </w:rPr>
        <w:fldChar w:fldCharType="separate"/>
      </w:r>
    </w:p>
    <w:p w14:paraId="1BD367F4" w14:textId="22EC6058" w:rsidR="00A943B2" w:rsidRPr="00E27D3B" w:rsidRDefault="009959BB" w:rsidP="00CD4F3A">
      <w:pPr>
        <w:pStyle w:val="ListofFiguresandTablesTOCHeading"/>
        <w:spacing w:line="240" w:lineRule="auto"/>
      </w:pPr>
      <w:r w:rsidRPr="00E27D3B">
        <w:fldChar w:fldCharType="end"/>
      </w:r>
      <w:r w:rsidR="004D139E" w:rsidRPr="00E27D3B">
        <w:t>T</w:t>
      </w:r>
      <w:r w:rsidR="00A943B2" w:rsidRPr="00E27D3B">
        <w:t>ables</w:t>
      </w:r>
    </w:p>
    <w:p w14:paraId="5830867C" w14:textId="01BB9A4F" w:rsidR="003A3ECF" w:rsidRDefault="009959BB">
      <w:pPr>
        <w:pStyle w:val="TableofFigures"/>
        <w:rPr>
          <w:rFonts w:asciiTheme="minorHAnsi" w:eastAsiaTheme="minorEastAsia" w:hAnsiTheme="minorHAnsi" w:cstheme="minorBidi"/>
          <w:noProof/>
          <w:color w:val="auto"/>
          <w:kern w:val="2"/>
          <w:szCs w:val="24"/>
          <w14:ligatures w14:val="standardContextual"/>
        </w:rPr>
      </w:pPr>
      <w:r w:rsidRPr="00E27D3B">
        <w:fldChar w:fldCharType="begin"/>
      </w:r>
      <w:r w:rsidR="00A943B2" w:rsidRPr="00E27D3B">
        <w:instrText xml:space="preserve"> TOC \h \z \c "Table" </w:instrText>
      </w:r>
      <w:r w:rsidRPr="00E27D3B">
        <w:fldChar w:fldCharType="separate"/>
      </w:r>
      <w:hyperlink w:anchor="_Toc233735295" w:history="1">
        <w:r w:rsidR="003A3ECF" w:rsidRPr="001400BF">
          <w:rPr>
            <w:rStyle w:val="Hyperlink"/>
            <w:noProof/>
          </w:rPr>
          <w:t>Table 1: Research Progress against the Roadmap of CSIRO-AR-PST.</w:t>
        </w:r>
        <w:r w:rsidR="003A3ECF">
          <w:rPr>
            <w:noProof/>
            <w:webHidden/>
          </w:rPr>
          <w:tab/>
        </w:r>
        <w:r w:rsidR="003A3ECF">
          <w:rPr>
            <w:noProof/>
            <w:webHidden/>
          </w:rPr>
          <w:fldChar w:fldCharType="begin"/>
        </w:r>
        <w:r w:rsidR="003A3ECF">
          <w:rPr>
            <w:noProof/>
            <w:webHidden/>
          </w:rPr>
          <w:instrText xml:space="preserve"> PAGEREF _Toc233735295 \h </w:instrText>
        </w:r>
        <w:r w:rsidR="003A3ECF">
          <w:rPr>
            <w:noProof/>
            <w:webHidden/>
          </w:rPr>
        </w:r>
        <w:r w:rsidR="003A3ECF">
          <w:rPr>
            <w:noProof/>
            <w:webHidden/>
          </w:rPr>
          <w:fldChar w:fldCharType="separate"/>
        </w:r>
        <w:r w:rsidR="003A3ECF">
          <w:rPr>
            <w:noProof/>
            <w:webHidden/>
          </w:rPr>
          <w:t>21</w:t>
        </w:r>
        <w:r w:rsidR="003A3ECF">
          <w:rPr>
            <w:noProof/>
            <w:webHidden/>
          </w:rPr>
          <w:fldChar w:fldCharType="end"/>
        </w:r>
      </w:hyperlink>
    </w:p>
    <w:p w14:paraId="58A42367" w14:textId="5AC81866"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296" w:history="1">
        <w:r w:rsidRPr="001400BF">
          <w:rPr>
            <w:rStyle w:val="Hyperlink"/>
            <w:noProof/>
          </w:rPr>
          <w:t>Table 2: Modelling methods of small-signal stability.</w:t>
        </w:r>
        <w:r>
          <w:rPr>
            <w:noProof/>
            <w:webHidden/>
          </w:rPr>
          <w:tab/>
        </w:r>
        <w:r>
          <w:rPr>
            <w:noProof/>
            <w:webHidden/>
          </w:rPr>
          <w:fldChar w:fldCharType="begin"/>
        </w:r>
        <w:r>
          <w:rPr>
            <w:noProof/>
            <w:webHidden/>
          </w:rPr>
          <w:instrText xml:space="preserve"> PAGEREF _Toc233735296 \h </w:instrText>
        </w:r>
        <w:r>
          <w:rPr>
            <w:noProof/>
            <w:webHidden/>
          </w:rPr>
        </w:r>
        <w:r>
          <w:rPr>
            <w:noProof/>
            <w:webHidden/>
          </w:rPr>
          <w:fldChar w:fldCharType="separate"/>
        </w:r>
        <w:r>
          <w:rPr>
            <w:noProof/>
            <w:webHidden/>
          </w:rPr>
          <w:t>31</w:t>
        </w:r>
        <w:r>
          <w:rPr>
            <w:noProof/>
            <w:webHidden/>
          </w:rPr>
          <w:fldChar w:fldCharType="end"/>
        </w:r>
      </w:hyperlink>
    </w:p>
    <w:p w14:paraId="2BEF16E3" w14:textId="0D9C0E75"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297" w:history="1">
        <w:r w:rsidRPr="001400BF">
          <w:rPr>
            <w:rStyle w:val="Hyperlink"/>
            <w:noProof/>
          </w:rPr>
          <w:t>Table 3: A summary of data-driven methods for small-signal stability analysis.</w:t>
        </w:r>
        <w:r>
          <w:rPr>
            <w:noProof/>
            <w:webHidden/>
          </w:rPr>
          <w:tab/>
        </w:r>
        <w:r>
          <w:rPr>
            <w:noProof/>
            <w:webHidden/>
          </w:rPr>
          <w:fldChar w:fldCharType="begin"/>
        </w:r>
        <w:r>
          <w:rPr>
            <w:noProof/>
            <w:webHidden/>
          </w:rPr>
          <w:instrText xml:space="preserve"> PAGEREF _Toc233735297 \h </w:instrText>
        </w:r>
        <w:r>
          <w:rPr>
            <w:noProof/>
            <w:webHidden/>
          </w:rPr>
        </w:r>
        <w:r>
          <w:rPr>
            <w:noProof/>
            <w:webHidden/>
          </w:rPr>
          <w:fldChar w:fldCharType="separate"/>
        </w:r>
        <w:r>
          <w:rPr>
            <w:noProof/>
            <w:webHidden/>
          </w:rPr>
          <w:t>31</w:t>
        </w:r>
        <w:r>
          <w:rPr>
            <w:noProof/>
            <w:webHidden/>
          </w:rPr>
          <w:fldChar w:fldCharType="end"/>
        </w:r>
      </w:hyperlink>
    </w:p>
    <w:p w14:paraId="0E4DCE98" w14:textId="4A48764B"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298" w:history="1">
        <w:r w:rsidRPr="001400BF">
          <w:rPr>
            <w:rStyle w:val="Hyperlink"/>
            <w:noProof/>
          </w:rPr>
          <w:t>Table 4: System parameters used in the study.</w:t>
        </w:r>
        <w:r>
          <w:rPr>
            <w:noProof/>
            <w:webHidden/>
          </w:rPr>
          <w:tab/>
        </w:r>
        <w:r>
          <w:rPr>
            <w:noProof/>
            <w:webHidden/>
          </w:rPr>
          <w:fldChar w:fldCharType="begin"/>
        </w:r>
        <w:r>
          <w:rPr>
            <w:noProof/>
            <w:webHidden/>
          </w:rPr>
          <w:instrText xml:space="preserve"> PAGEREF _Toc233735298 \h </w:instrText>
        </w:r>
        <w:r>
          <w:rPr>
            <w:noProof/>
            <w:webHidden/>
          </w:rPr>
        </w:r>
        <w:r>
          <w:rPr>
            <w:noProof/>
            <w:webHidden/>
          </w:rPr>
          <w:fldChar w:fldCharType="separate"/>
        </w:r>
        <w:r>
          <w:rPr>
            <w:noProof/>
            <w:webHidden/>
          </w:rPr>
          <w:t>35</w:t>
        </w:r>
        <w:r>
          <w:rPr>
            <w:noProof/>
            <w:webHidden/>
          </w:rPr>
          <w:fldChar w:fldCharType="end"/>
        </w:r>
      </w:hyperlink>
    </w:p>
    <w:p w14:paraId="59FB65AC" w14:textId="645C6638"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299" w:history="1">
        <w:r w:rsidRPr="001400BF">
          <w:rPr>
            <w:rStyle w:val="Hyperlink"/>
            <w:noProof/>
          </w:rPr>
          <w:t>Table 5: Parameter of unmodified and modified IEEE 39-bus testing system with three VSM-controlled GFMIs at buses 30, 36, and 37.</w:t>
        </w:r>
        <w:r>
          <w:rPr>
            <w:noProof/>
            <w:webHidden/>
          </w:rPr>
          <w:tab/>
        </w:r>
        <w:r>
          <w:rPr>
            <w:noProof/>
            <w:webHidden/>
          </w:rPr>
          <w:fldChar w:fldCharType="begin"/>
        </w:r>
        <w:r>
          <w:rPr>
            <w:noProof/>
            <w:webHidden/>
          </w:rPr>
          <w:instrText xml:space="preserve"> PAGEREF _Toc233735299 \h </w:instrText>
        </w:r>
        <w:r>
          <w:rPr>
            <w:noProof/>
            <w:webHidden/>
          </w:rPr>
        </w:r>
        <w:r>
          <w:rPr>
            <w:noProof/>
            <w:webHidden/>
          </w:rPr>
          <w:fldChar w:fldCharType="separate"/>
        </w:r>
        <w:r>
          <w:rPr>
            <w:noProof/>
            <w:webHidden/>
          </w:rPr>
          <w:t>44</w:t>
        </w:r>
        <w:r>
          <w:rPr>
            <w:noProof/>
            <w:webHidden/>
          </w:rPr>
          <w:fldChar w:fldCharType="end"/>
        </w:r>
      </w:hyperlink>
    </w:p>
    <w:p w14:paraId="1C786A21" w14:textId="3ACA6B5A"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0" w:history="1">
        <w:r w:rsidRPr="001400BF">
          <w:rPr>
            <w:rStyle w:val="Hyperlink"/>
            <w:noProof/>
          </w:rPr>
          <w:t>Table 6: Parameters of the GFMIs.</w:t>
        </w:r>
        <w:r>
          <w:rPr>
            <w:noProof/>
            <w:webHidden/>
          </w:rPr>
          <w:tab/>
        </w:r>
        <w:r>
          <w:rPr>
            <w:noProof/>
            <w:webHidden/>
          </w:rPr>
          <w:fldChar w:fldCharType="begin"/>
        </w:r>
        <w:r>
          <w:rPr>
            <w:noProof/>
            <w:webHidden/>
          </w:rPr>
          <w:instrText xml:space="preserve"> PAGEREF _Toc233735300 \h </w:instrText>
        </w:r>
        <w:r>
          <w:rPr>
            <w:noProof/>
            <w:webHidden/>
          </w:rPr>
        </w:r>
        <w:r>
          <w:rPr>
            <w:noProof/>
            <w:webHidden/>
          </w:rPr>
          <w:fldChar w:fldCharType="separate"/>
        </w:r>
        <w:r>
          <w:rPr>
            <w:noProof/>
            <w:webHidden/>
          </w:rPr>
          <w:t>45</w:t>
        </w:r>
        <w:r>
          <w:rPr>
            <w:noProof/>
            <w:webHidden/>
          </w:rPr>
          <w:fldChar w:fldCharType="end"/>
        </w:r>
      </w:hyperlink>
    </w:p>
    <w:p w14:paraId="528C2404" w14:textId="4D0467B0"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1" w:history="1">
        <w:r w:rsidRPr="001400BF">
          <w:rPr>
            <w:rStyle w:val="Hyperlink"/>
            <w:noProof/>
          </w:rPr>
          <w:t>Table 7: Comparison of eigenvalues obtained using ANN+ERA, SVM+ERA, GPR+ERA, and DIgSILENT PowerFactory for "SCR"=2, P_ref=0.25 MW, and V_set=1.0 p.u.</w:t>
        </w:r>
        <w:r>
          <w:rPr>
            <w:noProof/>
            <w:webHidden/>
          </w:rPr>
          <w:tab/>
        </w:r>
        <w:r>
          <w:rPr>
            <w:noProof/>
            <w:webHidden/>
          </w:rPr>
          <w:fldChar w:fldCharType="begin"/>
        </w:r>
        <w:r>
          <w:rPr>
            <w:noProof/>
            <w:webHidden/>
          </w:rPr>
          <w:instrText xml:space="preserve"> PAGEREF _Toc233735301 \h </w:instrText>
        </w:r>
        <w:r>
          <w:rPr>
            <w:noProof/>
            <w:webHidden/>
          </w:rPr>
        </w:r>
        <w:r>
          <w:rPr>
            <w:noProof/>
            <w:webHidden/>
          </w:rPr>
          <w:fldChar w:fldCharType="separate"/>
        </w:r>
        <w:r>
          <w:rPr>
            <w:noProof/>
            <w:webHidden/>
          </w:rPr>
          <w:t>55</w:t>
        </w:r>
        <w:r>
          <w:rPr>
            <w:noProof/>
            <w:webHidden/>
          </w:rPr>
          <w:fldChar w:fldCharType="end"/>
        </w:r>
      </w:hyperlink>
    </w:p>
    <w:p w14:paraId="654E97D9" w14:textId="5EBED3AE"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2" w:history="1">
        <w:r w:rsidRPr="001400BF">
          <w:rPr>
            <w:rStyle w:val="Hyperlink"/>
            <w:noProof/>
          </w:rPr>
          <w:t>Table 8: Bus post-recovery voltage performance identification based on the proposed STVS and LTVS.</w:t>
        </w:r>
        <w:r>
          <w:rPr>
            <w:noProof/>
            <w:webHidden/>
          </w:rPr>
          <w:tab/>
        </w:r>
        <w:r>
          <w:rPr>
            <w:noProof/>
            <w:webHidden/>
          </w:rPr>
          <w:fldChar w:fldCharType="begin"/>
        </w:r>
        <w:r>
          <w:rPr>
            <w:noProof/>
            <w:webHidden/>
          </w:rPr>
          <w:instrText xml:space="preserve"> PAGEREF _Toc233735302 \h </w:instrText>
        </w:r>
        <w:r>
          <w:rPr>
            <w:noProof/>
            <w:webHidden/>
          </w:rPr>
        </w:r>
        <w:r>
          <w:rPr>
            <w:noProof/>
            <w:webHidden/>
          </w:rPr>
          <w:fldChar w:fldCharType="separate"/>
        </w:r>
        <w:r>
          <w:rPr>
            <w:noProof/>
            <w:webHidden/>
          </w:rPr>
          <w:t>70</w:t>
        </w:r>
        <w:r>
          <w:rPr>
            <w:noProof/>
            <w:webHidden/>
          </w:rPr>
          <w:fldChar w:fldCharType="end"/>
        </w:r>
      </w:hyperlink>
    </w:p>
    <w:p w14:paraId="13245D57" w14:textId="727A02B4"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3" w:history="1">
        <w:r w:rsidRPr="001400BF">
          <w:rPr>
            <w:rStyle w:val="Hyperlink"/>
            <w:noProof/>
          </w:rPr>
          <w:t>Table 9: Generation cases for evaluating via comprehensive time-domain simulations implemented in the PSS®E simulation environment.</w:t>
        </w:r>
        <w:r>
          <w:rPr>
            <w:noProof/>
            <w:webHidden/>
          </w:rPr>
          <w:tab/>
        </w:r>
        <w:r>
          <w:rPr>
            <w:noProof/>
            <w:webHidden/>
          </w:rPr>
          <w:fldChar w:fldCharType="begin"/>
        </w:r>
        <w:r>
          <w:rPr>
            <w:noProof/>
            <w:webHidden/>
          </w:rPr>
          <w:instrText xml:space="preserve"> PAGEREF _Toc233735303 \h </w:instrText>
        </w:r>
        <w:r>
          <w:rPr>
            <w:noProof/>
            <w:webHidden/>
          </w:rPr>
        </w:r>
        <w:r>
          <w:rPr>
            <w:noProof/>
            <w:webHidden/>
          </w:rPr>
          <w:fldChar w:fldCharType="separate"/>
        </w:r>
        <w:r>
          <w:rPr>
            <w:noProof/>
            <w:webHidden/>
          </w:rPr>
          <w:t>75</w:t>
        </w:r>
        <w:r>
          <w:rPr>
            <w:noProof/>
            <w:webHidden/>
          </w:rPr>
          <w:fldChar w:fldCharType="end"/>
        </w:r>
      </w:hyperlink>
    </w:p>
    <w:p w14:paraId="751D8F98" w14:textId="56A610DA"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4" w:history="1">
        <w:r w:rsidRPr="001400BF">
          <w:rPr>
            <w:rStyle w:val="Hyperlink"/>
            <w:noProof/>
          </w:rPr>
          <w:t>Table 10: Composite load component fractions for Area 5 corresponding to summer and winter evening peak conditions.</w:t>
        </w:r>
        <w:r>
          <w:rPr>
            <w:noProof/>
            <w:webHidden/>
          </w:rPr>
          <w:tab/>
        </w:r>
        <w:r>
          <w:rPr>
            <w:noProof/>
            <w:webHidden/>
          </w:rPr>
          <w:fldChar w:fldCharType="begin"/>
        </w:r>
        <w:r>
          <w:rPr>
            <w:noProof/>
            <w:webHidden/>
          </w:rPr>
          <w:instrText xml:space="preserve"> PAGEREF _Toc233735304 \h </w:instrText>
        </w:r>
        <w:r>
          <w:rPr>
            <w:noProof/>
            <w:webHidden/>
          </w:rPr>
        </w:r>
        <w:r>
          <w:rPr>
            <w:noProof/>
            <w:webHidden/>
          </w:rPr>
          <w:fldChar w:fldCharType="separate"/>
        </w:r>
        <w:r>
          <w:rPr>
            <w:noProof/>
            <w:webHidden/>
          </w:rPr>
          <w:t>75</w:t>
        </w:r>
        <w:r>
          <w:rPr>
            <w:noProof/>
            <w:webHidden/>
          </w:rPr>
          <w:fldChar w:fldCharType="end"/>
        </w:r>
      </w:hyperlink>
    </w:p>
    <w:p w14:paraId="0A1AB4E1" w14:textId="4D3D7AD0"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5" w:history="1">
        <w:r w:rsidRPr="001400BF">
          <w:rPr>
            <w:rStyle w:val="Hyperlink"/>
            <w:noProof/>
          </w:rPr>
          <w:t>Table 11: Load cases for evaluating via comprehensive time-domain simulations implemented in the PSS®E simulation environment.</w:t>
        </w:r>
        <w:r>
          <w:rPr>
            <w:noProof/>
            <w:webHidden/>
          </w:rPr>
          <w:tab/>
        </w:r>
        <w:r>
          <w:rPr>
            <w:noProof/>
            <w:webHidden/>
          </w:rPr>
          <w:fldChar w:fldCharType="begin"/>
        </w:r>
        <w:r>
          <w:rPr>
            <w:noProof/>
            <w:webHidden/>
          </w:rPr>
          <w:instrText xml:space="preserve"> PAGEREF _Toc233735305 \h </w:instrText>
        </w:r>
        <w:r>
          <w:rPr>
            <w:noProof/>
            <w:webHidden/>
          </w:rPr>
        </w:r>
        <w:r>
          <w:rPr>
            <w:noProof/>
            <w:webHidden/>
          </w:rPr>
          <w:fldChar w:fldCharType="separate"/>
        </w:r>
        <w:r>
          <w:rPr>
            <w:noProof/>
            <w:webHidden/>
          </w:rPr>
          <w:t>75</w:t>
        </w:r>
        <w:r>
          <w:rPr>
            <w:noProof/>
            <w:webHidden/>
          </w:rPr>
          <w:fldChar w:fldCharType="end"/>
        </w:r>
      </w:hyperlink>
    </w:p>
    <w:p w14:paraId="3D99DC8D" w14:textId="1325E576"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6" w:history="1">
        <w:r w:rsidRPr="001400BF">
          <w:rPr>
            <w:rStyle w:val="Hyperlink"/>
            <w:noProof/>
          </w:rPr>
          <w:t>Table 12: The local dynamic voltage signature for all buses of the test system.</w:t>
        </w:r>
        <w:r>
          <w:rPr>
            <w:noProof/>
            <w:webHidden/>
          </w:rPr>
          <w:tab/>
        </w:r>
        <w:r>
          <w:rPr>
            <w:noProof/>
            <w:webHidden/>
          </w:rPr>
          <w:fldChar w:fldCharType="begin"/>
        </w:r>
        <w:r>
          <w:rPr>
            <w:noProof/>
            <w:webHidden/>
          </w:rPr>
          <w:instrText xml:space="preserve"> PAGEREF _Toc233735306 \h </w:instrText>
        </w:r>
        <w:r>
          <w:rPr>
            <w:noProof/>
            <w:webHidden/>
          </w:rPr>
        </w:r>
        <w:r>
          <w:rPr>
            <w:noProof/>
            <w:webHidden/>
          </w:rPr>
          <w:fldChar w:fldCharType="separate"/>
        </w:r>
        <w:r>
          <w:rPr>
            <w:noProof/>
            <w:webHidden/>
          </w:rPr>
          <w:t>78</w:t>
        </w:r>
        <w:r>
          <w:rPr>
            <w:noProof/>
            <w:webHidden/>
          </w:rPr>
          <w:fldChar w:fldCharType="end"/>
        </w:r>
      </w:hyperlink>
    </w:p>
    <w:p w14:paraId="52AEEBA2" w14:textId="56983C18"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7" w:history="1">
        <w:r w:rsidRPr="001400BF">
          <w:rPr>
            <w:rStyle w:val="Hyperlink"/>
            <w:noProof/>
          </w:rPr>
          <w:t>Table 13: Different penetration levels of renewable power by replacing synchronous generators in IEEE 39 bus system.</w:t>
        </w:r>
        <w:r>
          <w:rPr>
            <w:noProof/>
            <w:webHidden/>
          </w:rPr>
          <w:tab/>
        </w:r>
        <w:r>
          <w:rPr>
            <w:noProof/>
            <w:webHidden/>
          </w:rPr>
          <w:fldChar w:fldCharType="begin"/>
        </w:r>
        <w:r>
          <w:rPr>
            <w:noProof/>
            <w:webHidden/>
          </w:rPr>
          <w:instrText xml:space="preserve"> PAGEREF _Toc233735307 \h </w:instrText>
        </w:r>
        <w:r>
          <w:rPr>
            <w:noProof/>
            <w:webHidden/>
          </w:rPr>
        </w:r>
        <w:r>
          <w:rPr>
            <w:noProof/>
            <w:webHidden/>
          </w:rPr>
          <w:fldChar w:fldCharType="separate"/>
        </w:r>
        <w:r>
          <w:rPr>
            <w:noProof/>
            <w:webHidden/>
          </w:rPr>
          <w:t>82</w:t>
        </w:r>
        <w:r>
          <w:rPr>
            <w:noProof/>
            <w:webHidden/>
          </w:rPr>
          <w:fldChar w:fldCharType="end"/>
        </w:r>
      </w:hyperlink>
    </w:p>
    <w:p w14:paraId="1B927A99" w14:textId="0A1F3FFE"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8" w:history="1">
        <w:r w:rsidRPr="001400BF">
          <w:rPr>
            <w:rStyle w:val="Hyperlink"/>
            <w:noProof/>
          </w:rPr>
          <w:t>Table 14: The value of SDVPI of different buses for 0% renewables in IEEE 39 bus system.</w:t>
        </w:r>
        <w:r>
          <w:rPr>
            <w:noProof/>
            <w:webHidden/>
          </w:rPr>
          <w:tab/>
        </w:r>
        <w:r>
          <w:rPr>
            <w:noProof/>
            <w:webHidden/>
          </w:rPr>
          <w:fldChar w:fldCharType="begin"/>
        </w:r>
        <w:r>
          <w:rPr>
            <w:noProof/>
            <w:webHidden/>
          </w:rPr>
          <w:instrText xml:space="preserve"> PAGEREF _Toc233735308 \h </w:instrText>
        </w:r>
        <w:r>
          <w:rPr>
            <w:noProof/>
            <w:webHidden/>
          </w:rPr>
        </w:r>
        <w:r>
          <w:rPr>
            <w:noProof/>
            <w:webHidden/>
          </w:rPr>
          <w:fldChar w:fldCharType="separate"/>
        </w:r>
        <w:r>
          <w:rPr>
            <w:noProof/>
            <w:webHidden/>
          </w:rPr>
          <w:t>83</w:t>
        </w:r>
        <w:r>
          <w:rPr>
            <w:noProof/>
            <w:webHidden/>
          </w:rPr>
          <w:fldChar w:fldCharType="end"/>
        </w:r>
      </w:hyperlink>
    </w:p>
    <w:p w14:paraId="5D7603C4" w14:textId="09085767"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09" w:history="1">
        <w:r w:rsidRPr="001400BF">
          <w:rPr>
            <w:rStyle w:val="Hyperlink"/>
            <w:noProof/>
          </w:rPr>
          <w:t>Table 15: The value of SDVPI of different buses for 83% renewables in IEEE 39 bus system.</w:t>
        </w:r>
        <w:r>
          <w:rPr>
            <w:noProof/>
            <w:webHidden/>
          </w:rPr>
          <w:tab/>
        </w:r>
        <w:r>
          <w:rPr>
            <w:noProof/>
            <w:webHidden/>
          </w:rPr>
          <w:fldChar w:fldCharType="begin"/>
        </w:r>
        <w:r>
          <w:rPr>
            <w:noProof/>
            <w:webHidden/>
          </w:rPr>
          <w:instrText xml:space="preserve"> PAGEREF _Toc233735309 \h </w:instrText>
        </w:r>
        <w:r>
          <w:rPr>
            <w:noProof/>
            <w:webHidden/>
          </w:rPr>
        </w:r>
        <w:r>
          <w:rPr>
            <w:noProof/>
            <w:webHidden/>
          </w:rPr>
          <w:fldChar w:fldCharType="separate"/>
        </w:r>
        <w:r>
          <w:rPr>
            <w:noProof/>
            <w:webHidden/>
          </w:rPr>
          <w:t>83</w:t>
        </w:r>
        <w:r>
          <w:rPr>
            <w:noProof/>
            <w:webHidden/>
          </w:rPr>
          <w:fldChar w:fldCharType="end"/>
        </w:r>
      </w:hyperlink>
    </w:p>
    <w:p w14:paraId="137B5B49" w14:textId="49C7D109"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0" w:history="1">
        <w:r w:rsidRPr="001400BF">
          <w:rPr>
            <w:rStyle w:val="Hyperlink"/>
            <w:noProof/>
          </w:rPr>
          <w:t>Table 16: The value of SSOASI for different level of renewables in IEEE 39 bus system.</w:t>
        </w:r>
        <w:r>
          <w:rPr>
            <w:noProof/>
            <w:webHidden/>
          </w:rPr>
          <w:tab/>
        </w:r>
        <w:r>
          <w:rPr>
            <w:noProof/>
            <w:webHidden/>
          </w:rPr>
          <w:fldChar w:fldCharType="begin"/>
        </w:r>
        <w:r>
          <w:rPr>
            <w:noProof/>
            <w:webHidden/>
          </w:rPr>
          <w:instrText xml:space="preserve"> PAGEREF _Toc233735310 \h </w:instrText>
        </w:r>
        <w:r>
          <w:rPr>
            <w:noProof/>
            <w:webHidden/>
          </w:rPr>
        </w:r>
        <w:r>
          <w:rPr>
            <w:noProof/>
            <w:webHidden/>
          </w:rPr>
          <w:fldChar w:fldCharType="separate"/>
        </w:r>
        <w:r>
          <w:rPr>
            <w:noProof/>
            <w:webHidden/>
          </w:rPr>
          <w:t>88</w:t>
        </w:r>
        <w:r>
          <w:rPr>
            <w:noProof/>
            <w:webHidden/>
          </w:rPr>
          <w:fldChar w:fldCharType="end"/>
        </w:r>
      </w:hyperlink>
    </w:p>
    <w:p w14:paraId="7E69B444" w14:textId="6E9F50F6"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1" w:history="1">
        <w:r w:rsidRPr="001400BF">
          <w:rPr>
            <w:rStyle w:val="Hyperlink"/>
            <w:noProof/>
          </w:rPr>
          <w:t>Table 17: PV/Wind penetration for voltage stability studies.</w:t>
        </w:r>
        <w:r>
          <w:rPr>
            <w:noProof/>
            <w:webHidden/>
          </w:rPr>
          <w:tab/>
        </w:r>
        <w:r>
          <w:rPr>
            <w:noProof/>
            <w:webHidden/>
          </w:rPr>
          <w:fldChar w:fldCharType="begin"/>
        </w:r>
        <w:r>
          <w:rPr>
            <w:noProof/>
            <w:webHidden/>
          </w:rPr>
          <w:instrText xml:space="preserve"> PAGEREF _Toc233735311 \h </w:instrText>
        </w:r>
        <w:r>
          <w:rPr>
            <w:noProof/>
            <w:webHidden/>
          </w:rPr>
        </w:r>
        <w:r>
          <w:rPr>
            <w:noProof/>
            <w:webHidden/>
          </w:rPr>
          <w:fldChar w:fldCharType="separate"/>
        </w:r>
        <w:r>
          <w:rPr>
            <w:noProof/>
            <w:webHidden/>
          </w:rPr>
          <w:t>94</w:t>
        </w:r>
        <w:r>
          <w:rPr>
            <w:noProof/>
            <w:webHidden/>
          </w:rPr>
          <w:fldChar w:fldCharType="end"/>
        </w:r>
      </w:hyperlink>
    </w:p>
    <w:p w14:paraId="3835901C" w14:textId="083479D4"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2" w:history="1">
        <w:r w:rsidRPr="001400BF">
          <w:rPr>
            <w:rStyle w:val="Hyperlink"/>
            <w:noProof/>
          </w:rPr>
          <w:t>Short-term voltage stability criteria, used in different parts of the world, are listed in Table 18 [107]:</w:t>
        </w:r>
        <w:r>
          <w:rPr>
            <w:noProof/>
            <w:webHidden/>
          </w:rPr>
          <w:tab/>
        </w:r>
        <w:r>
          <w:rPr>
            <w:noProof/>
            <w:webHidden/>
          </w:rPr>
          <w:fldChar w:fldCharType="begin"/>
        </w:r>
        <w:r>
          <w:rPr>
            <w:noProof/>
            <w:webHidden/>
          </w:rPr>
          <w:instrText xml:space="preserve"> PAGEREF _Toc233735312 \h </w:instrText>
        </w:r>
        <w:r>
          <w:rPr>
            <w:noProof/>
            <w:webHidden/>
          </w:rPr>
        </w:r>
        <w:r>
          <w:rPr>
            <w:noProof/>
            <w:webHidden/>
          </w:rPr>
          <w:fldChar w:fldCharType="separate"/>
        </w:r>
        <w:r>
          <w:rPr>
            <w:noProof/>
            <w:webHidden/>
          </w:rPr>
          <w:t>96</w:t>
        </w:r>
        <w:r>
          <w:rPr>
            <w:noProof/>
            <w:webHidden/>
          </w:rPr>
          <w:fldChar w:fldCharType="end"/>
        </w:r>
      </w:hyperlink>
    </w:p>
    <w:p w14:paraId="165625E7" w14:textId="4F53A60C"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3" w:history="1">
        <w:r w:rsidRPr="001400BF">
          <w:rPr>
            <w:rStyle w:val="Hyperlink"/>
            <w:noProof/>
          </w:rPr>
          <w:t>Table 18: Short-term voltage stability criteria.</w:t>
        </w:r>
        <w:r>
          <w:rPr>
            <w:noProof/>
            <w:webHidden/>
          </w:rPr>
          <w:tab/>
        </w:r>
        <w:r>
          <w:rPr>
            <w:noProof/>
            <w:webHidden/>
          </w:rPr>
          <w:fldChar w:fldCharType="begin"/>
        </w:r>
        <w:r>
          <w:rPr>
            <w:noProof/>
            <w:webHidden/>
          </w:rPr>
          <w:instrText xml:space="preserve"> PAGEREF _Toc233735313 \h </w:instrText>
        </w:r>
        <w:r>
          <w:rPr>
            <w:noProof/>
            <w:webHidden/>
          </w:rPr>
        </w:r>
        <w:r>
          <w:rPr>
            <w:noProof/>
            <w:webHidden/>
          </w:rPr>
          <w:fldChar w:fldCharType="separate"/>
        </w:r>
        <w:r>
          <w:rPr>
            <w:noProof/>
            <w:webHidden/>
          </w:rPr>
          <w:t>96</w:t>
        </w:r>
        <w:r>
          <w:rPr>
            <w:noProof/>
            <w:webHidden/>
          </w:rPr>
          <w:fldChar w:fldCharType="end"/>
        </w:r>
      </w:hyperlink>
    </w:p>
    <w:p w14:paraId="01F8C133" w14:textId="52C742E5"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5" w:history="1">
        <w:r w:rsidRPr="001400BF">
          <w:rPr>
            <w:rStyle w:val="Hyperlink"/>
            <w:noProof/>
          </w:rPr>
          <w:t>Table 19: A comparison of STVS assessment methods [111][112].</w:t>
        </w:r>
        <w:r>
          <w:rPr>
            <w:noProof/>
            <w:webHidden/>
          </w:rPr>
          <w:tab/>
        </w:r>
        <w:r>
          <w:rPr>
            <w:noProof/>
            <w:webHidden/>
          </w:rPr>
          <w:fldChar w:fldCharType="begin"/>
        </w:r>
        <w:r>
          <w:rPr>
            <w:noProof/>
            <w:webHidden/>
          </w:rPr>
          <w:instrText xml:space="preserve"> PAGEREF _Toc233735315 \h </w:instrText>
        </w:r>
        <w:r>
          <w:rPr>
            <w:noProof/>
            <w:webHidden/>
          </w:rPr>
        </w:r>
        <w:r>
          <w:rPr>
            <w:noProof/>
            <w:webHidden/>
          </w:rPr>
          <w:fldChar w:fldCharType="separate"/>
        </w:r>
        <w:r>
          <w:rPr>
            <w:noProof/>
            <w:webHidden/>
          </w:rPr>
          <w:t>97</w:t>
        </w:r>
        <w:r>
          <w:rPr>
            <w:noProof/>
            <w:webHidden/>
          </w:rPr>
          <w:fldChar w:fldCharType="end"/>
        </w:r>
      </w:hyperlink>
    </w:p>
    <w:p w14:paraId="3F18706F" w14:textId="521EA854"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6" w:history="1">
        <w:r w:rsidRPr="001400BF">
          <w:rPr>
            <w:rStyle w:val="Hyperlink"/>
            <w:noProof/>
          </w:rPr>
          <w:t>Table 20: Summary of Time-domain Simulation Works for STVS.</w:t>
        </w:r>
        <w:r>
          <w:rPr>
            <w:noProof/>
            <w:webHidden/>
          </w:rPr>
          <w:tab/>
        </w:r>
        <w:r>
          <w:rPr>
            <w:noProof/>
            <w:webHidden/>
          </w:rPr>
          <w:fldChar w:fldCharType="begin"/>
        </w:r>
        <w:r>
          <w:rPr>
            <w:noProof/>
            <w:webHidden/>
          </w:rPr>
          <w:instrText xml:space="preserve"> PAGEREF _Toc233735316 \h </w:instrText>
        </w:r>
        <w:r>
          <w:rPr>
            <w:noProof/>
            <w:webHidden/>
          </w:rPr>
        </w:r>
        <w:r>
          <w:rPr>
            <w:noProof/>
            <w:webHidden/>
          </w:rPr>
          <w:fldChar w:fldCharType="separate"/>
        </w:r>
        <w:r>
          <w:rPr>
            <w:noProof/>
            <w:webHidden/>
          </w:rPr>
          <w:t>100</w:t>
        </w:r>
        <w:r>
          <w:rPr>
            <w:noProof/>
            <w:webHidden/>
          </w:rPr>
          <w:fldChar w:fldCharType="end"/>
        </w:r>
      </w:hyperlink>
    </w:p>
    <w:p w14:paraId="279E20EE" w14:textId="3150C75B"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7" w:history="1">
        <w:r w:rsidRPr="001400BF">
          <w:rPr>
            <w:rStyle w:val="Hyperlink"/>
            <w:noProof/>
          </w:rPr>
          <w:t>Table 21: DIgSILENT Default Composite Load Model vs AEMO Composite Load Model 2024 for Victoria.</w:t>
        </w:r>
        <w:r>
          <w:rPr>
            <w:noProof/>
            <w:webHidden/>
          </w:rPr>
          <w:tab/>
        </w:r>
        <w:r>
          <w:rPr>
            <w:noProof/>
            <w:webHidden/>
          </w:rPr>
          <w:fldChar w:fldCharType="begin"/>
        </w:r>
        <w:r>
          <w:rPr>
            <w:noProof/>
            <w:webHidden/>
          </w:rPr>
          <w:instrText xml:space="preserve"> PAGEREF _Toc233735317 \h </w:instrText>
        </w:r>
        <w:r>
          <w:rPr>
            <w:noProof/>
            <w:webHidden/>
          </w:rPr>
        </w:r>
        <w:r>
          <w:rPr>
            <w:noProof/>
            <w:webHidden/>
          </w:rPr>
          <w:fldChar w:fldCharType="separate"/>
        </w:r>
        <w:r>
          <w:rPr>
            <w:noProof/>
            <w:webHidden/>
          </w:rPr>
          <w:t>106</w:t>
        </w:r>
        <w:r>
          <w:rPr>
            <w:noProof/>
            <w:webHidden/>
          </w:rPr>
          <w:fldChar w:fldCharType="end"/>
        </w:r>
      </w:hyperlink>
    </w:p>
    <w:p w14:paraId="78620354" w14:textId="363D17D9"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18" w:history="1">
        <w:r w:rsidRPr="001400BF">
          <w:rPr>
            <w:rStyle w:val="Hyperlink"/>
            <w:noProof/>
          </w:rPr>
          <w:t>Table 22: Motor D performance parameters.</w:t>
        </w:r>
        <w:r>
          <w:rPr>
            <w:noProof/>
            <w:webHidden/>
          </w:rPr>
          <w:tab/>
        </w:r>
        <w:r>
          <w:rPr>
            <w:noProof/>
            <w:webHidden/>
          </w:rPr>
          <w:fldChar w:fldCharType="begin"/>
        </w:r>
        <w:r>
          <w:rPr>
            <w:noProof/>
            <w:webHidden/>
          </w:rPr>
          <w:instrText xml:space="preserve"> PAGEREF _Toc233735318 \h </w:instrText>
        </w:r>
        <w:r>
          <w:rPr>
            <w:noProof/>
            <w:webHidden/>
          </w:rPr>
        </w:r>
        <w:r>
          <w:rPr>
            <w:noProof/>
            <w:webHidden/>
          </w:rPr>
          <w:fldChar w:fldCharType="separate"/>
        </w:r>
        <w:r>
          <w:rPr>
            <w:noProof/>
            <w:webHidden/>
          </w:rPr>
          <w:t>106</w:t>
        </w:r>
        <w:r>
          <w:rPr>
            <w:noProof/>
            <w:webHidden/>
          </w:rPr>
          <w:fldChar w:fldCharType="end"/>
        </w:r>
      </w:hyperlink>
    </w:p>
    <w:p w14:paraId="5D1CE696" w14:textId="5BC397FC"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0" w:history="1">
        <w:r w:rsidRPr="001400BF">
          <w:rPr>
            <w:rStyle w:val="Hyperlink"/>
            <w:noProof/>
          </w:rPr>
          <w:t>Table 23: A comparison of LTVS assessment methods [111][112].</w:t>
        </w:r>
        <w:r>
          <w:rPr>
            <w:noProof/>
            <w:webHidden/>
          </w:rPr>
          <w:tab/>
        </w:r>
        <w:r>
          <w:rPr>
            <w:noProof/>
            <w:webHidden/>
          </w:rPr>
          <w:fldChar w:fldCharType="begin"/>
        </w:r>
        <w:r>
          <w:rPr>
            <w:noProof/>
            <w:webHidden/>
          </w:rPr>
          <w:instrText xml:space="preserve"> PAGEREF _Toc233735320 \h </w:instrText>
        </w:r>
        <w:r>
          <w:rPr>
            <w:noProof/>
            <w:webHidden/>
          </w:rPr>
        </w:r>
        <w:r>
          <w:rPr>
            <w:noProof/>
            <w:webHidden/>
          </w:rPr>
          <w:fldChar w:fldCharType="separate"/>
        </w:r>
        <w:r>
          <w:rPr>
            <w:noProof/>
            <w:webHidden/>
          </w:rPr>
          <w:t>111</w:t>
        </w:r>
        <w:r>
          <w:rPr>
            <w:noProof/>
            <w:webHidden/>
          </w:rPr>
          <w:fldChar w:fldCharType="end"/>
        </w:r>
      </w:hyperlink>
    </w:p>
    <w:p w14:paraId="38C6FFA1" w14:textId="2087E9B6"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1" w:history="1">
        <w:r w:rsidRPr="001400BF">
          <w:rPr>
            <w:rStyle w:val="Hyperlink"/>
            <w:noProof/>
          </w:rPr>
          <w:t>Table 24: Different penetration levels of wind power by replacing synchronous generators.</w:t>
        </w:r>
        <w:r>
          <w:rPr>
            <w:noProof/>
            <w:webHidden/>
          </w:rPr>
          <w:tab/>
        </w:r>
        <w:r>
          <w:rPr>
            <w:noProof/>
            <w:webHidden/>
          </w:rPr>
          <w:fldChar w:fldCharType="begin"/>
        </w:r>
        <w:r>
          <w:rPr>
            <w:noProof/>
            <w:webHidden/>
          </w:rPr>
          <w:instrText xml:space="preserve"> PAGEREF _Toc233735321 \h </w:instrText>
        </w:r>
        <w:r>
          <w:rPr>
            <w:noProof/>
            <w:webHidden/>
          </w:rPr>
        </w:r>
        <w:r>
          <w:rPr>
            <w:noProof/>
            <w:webHidden/>
          </w:rPr>
          <w:fldChar w:fldCharType="separate"/>
        </w:r>
        <w:r>
          <w:rPr>
            <w:noProof/>
            <w:webHidden/>
          </w:rPr>
          <w:t>111</w:t>
        </w:r>
        <w:r>
          <w:rPr>
            <w:noProof/>
            <w:webHidden/>
          </w:rPr>
          <w:fldChar w:fldCharType="end"/>
        </w:r>
      </w:hyperlink>
    </w:p>
    <w:p w14:paraId="454995FC" w14:textId="217971F6" w:rsidR="003A3ECF" w:rsidRPr="00832441"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2" w:history="1">
        <w:r w:rsidRPr="00832441">
          <w:rPr>
            <w:rStyle w:val="Hyperlink"/>
            <w:noProof/>
          </w:rPr>
          <w:t>Table 25: A comparison of voltage stability margin under different renewable penetration and load levels.</w:t>
        </w:r>
        <w:r w:rsidRPr="00832441">
          <w:rPr>
            <w:noProof/>
            <w:webHidden/>
          </w:rPr>
          <w:tab/>
        </w:r>
        <w:r w:rsidRPr="00832441">
          <w:rPr>
            <w:noProof/>
            <w:webHidden/>
          </w:rPr>
          <w:fldChar w:fldCharType="begin"/>
        </w:r>
        <w:r w:rsidRPr="00832441">
          <w:rPr>
            <w:noProof/>
            <w:webHidden/>
          </w:rPr>
          <w:instrText xml:space="preserve"> PAGEREF _Toc233735322 \h </w:instrText>
        </w:r>
        <w:r w:rsidRPr="00832441">
          <w:rPr>
            <w:noProof/>
            <w:webHidden/>
          </w:rPr>
        </w:r>
        <w:r w:rsidRPr="00832441">
          <w:rPr>
            <w:noProof/>
            <w:webHidden/>
          </w:rPr>
          <w:fldChar w:fldCharType="separate"/>
        </w:r>
        <w:r w:rsidRPr="00832441">
          <w:rPr>
            <w:noProof/>
            <w:webHidden/>
          </w:rPr>
          <w:t>118</w:t>
        </w:r>
        <w:r w:rsidRPr="00832441">
          <w:rPr>
            <w:noProof/>
            <w:webHidden/>
          </w:rPr>
          <w:fldChar w:fldCharType="end"/>
        </w:r>
      </w:hyperlink>
    </w:p>
    <w:p w14:paraId="330BBDDD" w14:textId="18BF68D9"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3" w:history="1">
        <w:r w:rsidRPr="001400BF">
          <w:rPr>
            <w:rStyle w:val="Hyperlink"/>
            <w:noProof/>
          </w:rPr>
          <w:t>Table 26: A comparison of voltage stability margins under different renewable, traditional load, and AI data centre penetration levels.</w:t>
        </w:r>
        <w:r>
          <w:rPr>
            <w:noProof/>
            <w:webHidden/>
          </w:rPr>
          <w:tab/>
        </w:r>
        <w:r>
          <w:rPr>
            <w:noProof/>
            <w:webHidden/>
          </w:rPr>
          <w:fldChar w:fldCharType="begin"/>
        </w:r>
        <w:r>
          <w:rPr>
            <w:noProof/>
            <w:webHidden/>
          </w:rPr>
          <w:instrText xml:space="preserve"> PAGEREF _Toc233735323 \h </w:instrText>
        </w:r>
        <w:r>
          <w:rPr>
            <w:noProof/>
            <w:webHidden/>
          </w:rPr>
        </w:r>
        <w:r>
          <w:rPr>
            <w:noProof/>
            <w:webHidden/>
          </w:rPr>
          <w:fldChar w:fldCharType="separate"/>
        </w:r>
        <w:r>
          <w:rPr>
            <w:noProof/>
            <w:webHidden/>
          </w:rPr>
          <w:t>120</w:t>
        </w:r>
        <w:r>
          <w:rPr>
            <w:noProof/>
            <w:webHidden/>
          </w:rPr>
          <w:fldChar w:fldCharType="end"/>
        </w:r>
      </w:hyperlink>
    </w:p>
    <w:p w14:paraId="647F8E8A" w14:textId="09818A5F"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4" w:history="1">
        <w:r w:rsidRPr="001400BF">
          <w:rPr>
            <w:rStyle w:val="Hyperlink"/>
            <w:noProof/>
          </w:rPr>
          <w:t xml:space="preserve">Table 27: Impact of large load on power systems </w:t>
        </w:r>
        <w:r w:rsidRPr="001400BF">
          <w:rPr>
            <w:rStyle w:val="Hyperlink"/>
            <w:noProof/>
            <w:cs/>
          </w:rPr>
          <w:t>‎</w:t>
        </w:r>
        <w:r w:rsidRPr="001400BF">
          <w:rPr>
            <w:rStyle w:val="Hyperlink"/>
            <w:noProof/>
          </w:rPr>
          <w:t>[160].</w:t>
        </w:r>
        <w:r>
          <w:rPr>
            <w:noProof/>
            <w:webHidden/>
          </w:rPr>
          <w:tab/>
        </w:r>
        <w:r>
          <w:rPr>
            <w:noProof/>
            <w:webHidden/>
          </w:rPr>
          <w:fldChar w:fldCharType="begin"/>
        </w:r>
        <w:r>
          <w:rPr>
            <w:noProof/>
            <w:webHidden/>
          </w:rPr>
          <w:instrText xml:space="preserve"> PAGEREF _Toc233735324 \h </w:instrText>
        </w:r>
        <w:r>
          <w:rPr>
            <w:noProof/>
            <w:webHidden/>
          </w:rPr>
        </w:r>
        <w:r>
          <w:rPr>
            <w:noProof/>
            <w:webHidden/>
          </w:rPr>
          <w:fldChar w:fldCharType="separate"/>
        </w:r>
        <w:r>
          <w:rPr>
            <w:noProof/>
            <w:webHidden/>
          </w:rPr>
          <w:t>124</w:t>
        </w:r>
        <w:r>
          <w:rPr>
            <w:noProof/>
            <w:webHidden/>
          </w:rPr>
          <w:fldChar w:fldCharType="end"/>
        </w:r>
      </w:hyperlink>
    </w:p>
    <w:p w14:paraId="0C8C3A60" w14:textId="036EBB2F"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5" w:history="1">
        <w:r w:rsidRPr="001400BF">
          <w:rPr>
            <w:rStyle w:val="Hyperlink"/>
            <w:noProof/>
          </w:rPr>
          <w:t>Table 28: Dynamic model acceptance tests for large loads.</w:t>
        </w:r>
        <w:r>
          <w:rPr>
            <w:noProof/>
            <w:webHidden/>
          </w:rPr>
          <w:tab/>
        </w:r>
        <w:r>
          <w:rPr>
            <w:noProof/>
            <w:webHidden/>
          </w:rPr>
          <w:fldChar w:fldCharType="begin"/>
        </w:r>
        <w:r>
          <w:rPr>
            <w:noProof/>
            <w:webHidden/>
          </w:rPr>
          <w:instrText xml:space="preserve"> PAGEREF _Toc233735325 \h </w:instrText>
        </w:r>
        <w:r>
          <w:rPr>
            <w:noProof/>
            <w:webHidden/>
          </w:rPr>
        </w:r>
        <w:r>
          <w:rPr>
            <w:noProof/>
            <w:webHidden/>
          </w:rPr>
          <w:fldChar w:fldCharType="separate"/>
        </w:r>
        <w:r>
          <w:rPr>
            <w:noProof/>
            <w:webHidden/>
          </w:rPr>
          <w:t>131</w:t>
        </w:r>
        <w:r>
          <w:rPr>
            <w:noProof/>
            <w:webHidden/>
          </w:rPr>
          <w:fldChar w:fldCharType="end"/>
        </w:r>
      </w:hyperlink>
    </w:p>
    <w:p w14:paraId="7AA81A1C" w14:textId="54C9FFAE"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6" w:history="1">
        <w:r w:rsidRPr="001400BF">
          <w:rPr>
            <w:rStyle w:val="Hyperlink"/>
            <w:noProof/>
          </w:rPr>
          <w:t>Table 29: Operation scenarios.</w:t>
        </w:r>
        <w:r>
          <w:rPr>
            <w:noProof/>
            <w:webHidden/>
          </w:rPr>
          <w:tab/>
        </w:r>
        <w:r>
          <w:rPr>
            <w:noProof/>
            <w:webHidden/>
          </w:rPr>
          <w:fldChar w:fldCharType="begin"/>
        </w:r>
        <w:r>
          <w:rPr>
            <w:noProof/>
            <w:webHidden/>
          </w:rPr>
          <w:instrText xml:space="preserve"> PAGEREF _Toc233735326 \h </w:instrText>
        </w:r>
        <w:r>
          <w:rPr>
            <w:noProof/>
            <w:webHidden/>
          </w:rPr>
        </w:r>
        <w:r>
          <w:rPr>
            <w:noProof/>
            <w:webHidden/>
          </w:rPr>
          <w:fldChar w:fldCharType="separate"/>
        </w:r>
        <w:r>
          <w:rPr>
            <w:noProof/>
            <w:webHidden/>
          </w:rPr>
          <w:t>132</w:t>
        </w:r>
        <w:r>
          <w:rPr>
            <w:noProof/>
            <w:webHidden/>
          </w:rPr>
          <w:fldChar w:fldCharType="end"/>
        </w:r>
      </w:hyperlink>
    </w:p>
    <w:p w14:paraId="1DFEAEF1" w14:textId="36ACD855"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7" w:history="1">
        <w:r w:rsidRPr="001400BF">
          <w:rPr>
            <w:rStyle w:val="Hyperlink"/>
            <w:noProof/>
          </w:rPr>
          <w:t>Table 30: Stability results.</w:t>
        </w:r>
        <w:r>
          <w:rPr>
            <w:noProof/>
            <w:webHidden/>
          </w:rPr>
          <w:tab/>
        </w:r>
        <w:r>
          <w:rPr>
            <w:noProof/>
            <w:webHidden/>
          </w:rPr>
          <w:fldChar w:fldCharType="begin"/>
        </w:r>
        <w:r>
          <w:rPr>
            <w:noProof/>
            <w:webHidden/>
          </w:rPr>
          <w:instrText xml:space="preserve"> PAGEREF _Toc233735327 \h </w:instrText>
        </w:r>
        <w:r>
          <w:rPr>
            <w:noProof/>
            <w:webHidden/>
          </w:rPr>
        </w:r>
        <w:r>
          <w:rPr>
            <w:noProof/>
            <w:webHidden/>
          </w:rPr>
          <w:fldChar w:fldCharType="separate"/>
        </w:r>
        <w:r>
          <w:rPr>
            <w:noProof/>
            <w:webHidden/>
          </w:rPr>
          <w:t>133</w:t>
        </w:r>
        <w:r>
          <w:rPr>
            <w:noProof/>
            <w:webHidden/>
          </w:rPr>
          <w:fldChar w:fldCharType="end"/>
        </w:r>
      </w:hyperlink>
    </w:p>
    <w:p w14:paraId="4E8A1650" w14:textId="6F0B2FDA"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8" w:history="1">
        <w:r w:rsidRPr="001400BF">
          <w:rPr>
            <w:rStyle w:val="Hyperlink"/>
            <w:noProof/>
          </w:rPr>
          <w:t>Table 31: Different data centre load models [165].</w:t>
        </w:r>
        <w:r>
          <w:rPr>
            <w:noProof/>
            <w:webHidden/>
          </w:rPr>
          <w:tab/>
        </w:r>
        <w:r>
          <w:rPr>
            <w:noProof/>
            <w:webHidden/>
          </w:rPr>
          <w:fldChar w:fldCharType="begin"/>
        </w:r>
        <w:r>
          <w:rPr>
            <w:noProof/>
            <w:webHidden/>
          </w:rPr>
          <w:instrText xml:space="preserve"> PAGEREF _Toc233735328 \h </w:instrText>
        </w:r>
        <w:r>
          <w:rPr>
            <w:noProof/>
            <w:webHidden/>
          </w:rPr>
        </w:r>
        <w:r>
          <w:rPr>
            <w:noProof/>
            <w:webHidden/>
          </w:rPr>
          <w:fldChar w:fldCharType="separate"/>
        </w:r>
        <w:r>
          <w:rPr>
            <w:noProof/>
            <w:webHidden/>
          </w:rPr>
          <w:t>133</w:t>
        </w:r>
        <w:r>
          <w:rPr>
            <w:noProof/>
            <w:webHidden/>
          </w:rPr>
          <w:fldChar w:fldCharType="end"/>
        </w:r>
      </w:hyperlink>
    </w:p>
    <w:p w14:paraId="2286CED6" w14:textId="42E993BD"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29" w:history="1">
        <w:r w:rsidRPr="001400BF">
          <w:rPr>
            <w:rStyle w:val="Hyperlink"/>
            <w:noProof/>
          </w:rPr>
          <w:t>Table 32: Five data centre load models used for stability studies.</w:t>
        </w:r>
        <w:r>
          <w:rPr>
            <w:noProof/>
            <w:webHidden/>
          </w:rPr>
          <w:tab/>
        </w:r>
        <w:r>
          <w:rPr>
            <w:noProof/>
            <w:webHidden/>
          </w:rPr>
          <w:fldChar w:fldCharType="begin"/>
        </w:r>
        <w:r>
          <w:rPr>
            <w:noProof/>
            <w:webHidden/>
          </w:rPr>
          <w:instrText xml:space="preserve"> PAGEREF _Toc233735329 \h </w:instrText>
        </w:r>
        <w:r>
          <w:rPr>
            <w:noProof/>
            <w:webHidden/>
          </w:rPr>
        </w:r>
        <w:r>
          <w:rPr>
            <w:noProof/>
            <w:webHidden/>
          </w:rPr>
          <w:fldChar w:fldCharType="separate"/>
        </w:r>
        <w:r>
          <w:rPr>
            <w:noProof/>
            <w:webHidden/>
          </w:rPr>
          <w:t>135</w:t>
        </w:r>
        <w:r>
          <w:rPr>
            <w:noProof/>
            <w:webHidden/>
          </w:rPr>
          <w:fldChar w:fldCharType="end"/>
        </w:r>
      </w:hyperlink>
    </w:p>
    <w:p w14:paraId="28B99E11" w14:textId="3C4395C9"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30" w:history="1">
        <w:r w:rsidRPr="001400BF">
          <w:rPr>
            <w:rStyle w:val="Hyperlink"/>
            <w:noProof/>
          </w:rPr>
          <w:t>Table 33: TVSI values for five different load models.</w:t>
        </w:r>
        <w:r>
          <w:rPr>
            <w:noProof/>
            <w:webHidden/>
          </w:rPr>
          <w:tab/>
        </w:r>
        <w:r>
          <w:rPr>
            <w:noProof/>
            <w:webHidden/>
          </w:rPr>
          <w:fldChar w:fldCharType="begin"/>
        </w:r>
        <w:r>
          <w:rPr>
            <w:noProof/>
            <w:webHidden/>
          </w:rPr>
          <w:instrText xml:space="preserve"> PAGEREF _Toc233735330 \h </w:instrText>
        </w:r>
        <w:r>
          <w:rPr>
            <w:noProof/>
            <w:webHidden/>
          </w:rPr>
        </w:r>
        <w:r>
          <w:rPr>
            <w:noProof/>
            <w:webHidden/>
          </w:rPr>
          <w:fldChar w:fldCharType="separate"/>
        </w:r>
        <w:r>
          <w:rPr>
            <w:noProof/>
            <w:webHidden/>
          </w:rPr>
          <w:t>136</w:t>
        </w:r>
        <w:r>
          <w:rPr>
            <w:noProof/>
            <w:webHidden/>
          </w:rPr>
          <w:fldChar w:fldCharType="end"/>
        </w:r>
      </w:hyperlink>
    </w:p>
    <w:p w14:paraId="73F1C019" w14:textId="3C65B630" w:rsidR="003A3ECF" w:rsidRDefault="003A3ECF">
      <w:pPr>
        <w:pStyle w:val="TableofFigures"/>
        <w:rPr>
          <w:rFonts w:asciiTheme="minorHAnsi" w:eastAsiaTheme="minorEastAsia" w:hAnsiTheme="minorHAnsi" w:cstheme="minorBidi"/>
          <w:noProof/>
          <w:color w:val="auto"/>
          <w:kern w:val="2"/>
          <w:szCs w:val="24"/>
          <w14:ligatures w14:val="standardContextual"/>
        </w:rPr>
      </w:pPr>
      <w:hyperlink w:anchor="_Toc233735331" w:history="1">
        <w:r w:rsidRPr="001400BF">
          <w:rPr>
            <w:rStyle w:val="Hyperlink"/>
            <w:noProof/>
          </w:rPr>
          <w:t>Table 34: TSI values for five different load models.</w:t>
        </w:r>
        <w:r>
          <w:rPr>
            <w:noProof/>
            <w:webHidden/>
          </w:rPr>
          <w:tab/>
        </w:r>
        <w:r>
          <w:rPr>
            <w:noProof/>
            <w:webHidden/>
          </w:rPr>
          <w:fldChar w:fldCharType="begin"/>
        </w:r>
        <w:r>
          <w:rPr>
            <w:noProof/>
            <w:webHidden/>
          </w:rPr>
          <w:instrText xml:space="preserve"> PAGEREF _Toc233735331 \h </w:instrText>
        </w:r>
        <w:r>
          <w:rPr>
            <w:noProof/>
            <w:webHidden/>
          </w:rPr>
        </w:r>
        <w:r>
          <w:rPr>
            <w:noProof/>
            <w:webHidden/>
          </w:rPr>
          <w:fldChar w:fldCharType="separate"/>
        </w:r>
        <w:r>
          <w:rPr>
            <w:noProof/>
            <w:webHidden/>
          </w:rPr>
          <w:t>137</w:t>
        </w:r>
        <w:r>
          <w:rPr>
            <w:noProof/>
            <w:webHidden/>
          </w:rPr>
          <w:fldChar w:fldCharType="end"/>
        </w:r>
      </w:hyperlink>
    </w:p>
    <w:p w14:paraId="6E8CCC72" w14:textId="1C637BB1" w:rsidR="0000258F" w:rsidRDefault="009959BB" w:rsidP="00CD4F3A">
      <w:pPr>
        <w:pStyle w:val="TableofFigures"/>
        <w:spacing w:line="240" w:lineRule="auto"/>
        <w:rPr>
          <w:noProof/>
        </w:rPr>
      </w:pPr>
      <w:r w:rsidRPr="00E27D3B">
        <w:fldChar w:fldCharType="end"/>
      </w:r>
      <w:r w:rsidRPr="00E27D3B">
        <w:fldChar w:fldCharType="begin"/>
      </w:r>
      <w:r w:rsidR="003053C7" w:rsidRPr="00E27D3B">
        <w:instrText xml:space="preserve"> TOC \h \z \c "Apx Table" </w:instrText>
      </w:r>
      <w:r w:rsidRPr="00E27D3B">
        <w:fldChar w:fldCharType="separate"/>
      </w:r>
    </w:p>
    <w:p w14:paraId="2A8C2508" w14:textId="38BC272D"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4" w:history="1">
        <w:r w:rsidRPr="00963814">
          <w:rPr>
            <w:rStyle w:val="Hyperlink"/>
            <w:noProof/>
          </w:rPr>
          <w:t>Apx Table 1: Power system dynamic voltage signature of kth bus.</w:t>
        </w:r>
        <w:r>
          <w:rPr>
            <w:noProof/>
            <w:webHidden/>
          </w:rPr>
          <w:tab/>
        </w:r>
        <w:r>
          <w:rPr>
            <w:noProof/>
            <w:webHidden/>
          </w:rPr>
          <w:fldChar w:fldCharType="begin"/>
        </w:r>
        <w:r>
          <w:rPr>
            <w:noProof/>
            <w:webHidden/>
          </w:rPr>
          <w:instrText xml:space="preserve"> PAGEREF _Toc233728984 \h </w:instrText>
        </w:r>
        <w:r>
          <w:rPr>
            <w:noProof/>
            <w:webHidden/>
          </w:rPr>
        </w:r>
        <w:r>
          <w:rPr>
            <w:noProof/>
            <w:webHidden/>
          </w:rPr>
          <w:fldChar w:fldCharType="separate"/>
        </w:r>
        <w:r>
          <w:rPr>
            <w:noProof/>
            <w:webHidden/>
          </w:rPr>
          <w:t>144</w:t>
        </w:r>
        <w:r>
          <w:rPr>
            <w:noProof/>
            <w:webHidden/>
          </w:rPr>
          <w:fldChar w:fldCharType="end"/>
        </w:r>
      </w:hyperlink>
    </w:p>
    <w:p w14:paraId="5D7561DF" w14:textId="60F356FD"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5" w:history="1">
        <w:r w:rsidRPr="00963814">
          <w:rPr>
            <w:rStyle w:val="Hyperlink"/>
            <w:noProof/>
          </w:rPr>
          <w:t xml:space="preserve">Apx Table 2: Pseudocode of the entire calculation process of </w:t>
        </w:r>
        <m:oMath>
          <m:r>
            <m:rPr>
              <m:sty m:val="p"/>
            </m:rPr>
            <w:rPr>
              <w:rStyle w:val="Hyperlink"/>
              <w:rFonts w:ascii="Cambria Math" w:hAnsi="Cambria Math"/>
              <w:noProof/>
              <w:lang w:val="en-US"/>
            </w:rPr>
            <m:t>sys</m:t>
          </m:r>
          <m:r>
            <w:rPr>
              <w:rStyle w:val="Hyperlink"/>
              <w:rFonts w:ascii="Cambria Math" w:hAnsi="Cambria Math"/>
              <w:noProof/>
              <w:lang w:val="en-US"/>
            </w:rPr>
            <m:t>k</m:t>
          </m:r>
          <m:r>
            <w:rPr>
              <w:rStyle w:val="Hyperlink"/>
              <w:rFonts w:ascii="Cambria Math" w:hAnsi="Cambria Math"/>
              <w:noProof/>
            </w:rPr>
            <m:t>DVRI</m:t>
          </m:r>
        </m:oMath>
        <w:r w:rsidRPr="00963814">
          <w:rPr>
            <w:rStyle w:val="Hyperlink"/>
            <w:noProof/>
            <w:lang w:val="en-US"/>
          </w:rPr>
          <w:t>.</w:t>
        </w:r>
        <w:r>
          <w:rPr>
            <w:noProof/>
            <w:webHidden/>
          </w:rPr>
          <w:tab/>
        </w:r>
        <w:r>
          <w:rPr>
            <w:noProof/>
            <w:webHidden/>
          </w:rPr>
          <w:fldChar w:fldCharType="begin"/>
        </w:r>
        <w:r>
          <w:rPr>
            <w:noProof/>
            <w:webHidden/>
          </w:rPr>
          <w:instrText xml:space="preserve"> PAGEREF _Toc233728985 \h </w:instrText>
        </w:r>
        <w:r>
          <w:rPr>
            <w:noProof/>
            <w:webHidden/>
          </w:rPr>
        </w:r>
        <w:r>
          <w:rPr>
            <w:noProof/>
            <w:webHidden/>
          </w:rPr>
          <w:fldChar w:fldCharType="separate"/>
        </w:r>
        <w:r>
          <w:rPr>
            <w:noProof/>
            <w:webHidden/>
          </w:rPr>
          <w:t>144</w:t>
        </w:r>
        <w:r>
          <w:rPr>
            <w:noProof/>
            <w:webHidden/>
          </w:rPr>
          <w:fldChar w:fldCharType="end"/>
        </w:r>
      </w:hyperlink>
    </w:p>
    <w:p w14:paraId="7B388A2A" w14:textId="5D1FB5A3"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6" w:history="1">
        <w:r w:rsidRPr="00963814">
          <w:rPr>
            <w:rStyle w:val="Hyperlink"/>
            <w:noProof/>
          </w:rPr>
          <w:t>Apx Table 3: The value of SDVPI of different buses for 6% renewables in IEEE 39 bus system.</w:t>
        </w:r>
        <w:r>
          <w:rPr>
            <w:noProof/>
            <w:webHidden/>
          </w:rPr>
          <w:tab/>
        </w:r>
        <w:r>
          <w:rPr>
            <w:noProof/>
            <w:webHidden/>
          </w:rPr>
          <w:fldChar w:fldCharType="begin"/>
        </w:r>
        <w:r>
          <w:rPr>
            <w:noProof/>
            <w:webHidden/>
          </w:rPr>
          <w:instrText xml:space="preserve"> PAGEREF _Toc233728986 \h </w:instrText>
        </w:r>
        <w:r>
          <w:rPr>
            <w:noProof/>
            <w:webHidden/>
          </w:rPr>
        </w:r>
        <w:r>
          <w:rPr>
            <w:noProof/>
            <w:webHidden/>
          </w:rPr>
          <w:fldChar w:fldCharType="separate"/>
        </w:r>
        <w:r>
          <w:rPr>
            <w:noProof/>
            <w:webHidden/>
          </w:rPr>
          <w:t>145</w:t>
        </w:r>
        <w:r>
          <w:rPr>
            <w:noProof/>
            <w:webHidden/>
          </w:rPr>
          <w:fldChar w:fldCharType="end"/>
        </w:r>
      </w:hyperlink>
    </w:p>
    <w:p w14:paraId="43196B83" w14:textId="14CEAE8D"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7" w:history="1">
        <w:r w:rsidRPr="00963814">
          <w:rPr>
            <w:rStyle w:val="Hyperlink"/>
            <w:noProof/>
          </w:rPr>
          <w:t>Apx Table 4: The value of SDVPI of different buses for 13% renewables in IEEE 39 bus system.</w:t>
        </w:r>
        <w:r>
          <w:rPr>
            <w:noProof/>
            <w:webHidden/>
          </w:rPr>
          <w:tab/>
        </w:r>
        <w:r>
          <w:rPr>
            <w:noProof/>
            <w:webHidden/>
          </w:rPr>
          <w:fldChar w:fldCharType="begin"/>
        </w:r>
        <w:r>
          <w:rPr>
            <w:noProof/>
            <w:webHidden/>
          </w:rPr>
          <w:instrText xml:space="preserve"> PAGEREF _Toc233728987 \h </w:instrText>
        </w:r>
        <w:r>
          <w:rPr>
            <w:noProof/>
            <w:webHidden/>
          </w:rPr>
        </w:r>
        <w:r>
          <w:rPr>
            <w:noProof/>
            <w:webHidden/>
          </w:rPr>
          <w:fldChar w:fldCharType="separate"/>
        </w:r>
        <w:r>
          <w:rPr>
            <w:noProof/>
            <w:webHidden/>
          </w:rPr>
          <w:t>146</w:t>
        </w:r>
        <w:r>
          <w:rPr>
            <w:noProof/>
            <w:webHidden/>
          </w:rPr>
          <w:fldChar w:fldCharType="end"/>
        </w:r>
      </w:hyperlink>
    </w:p>
    <w:p w14:paraId="413E5CFA" w14:textId="3A220CA6"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8" w:history="1">
        <w:r w:rsidRPr="00963814">
          <w:rPr>
            <w:rStyle w:val="Hyperlink"/>
            <w:noProof/>
          </w:rPr>
          <w:t>Apx Table 5: The value of SDVPI of different buses for 26% renewables in IEEE 39 bus system.</w:t>
        </w:r>
        <w:r>
          <w:rPr>
            <w:noProof/>
            <w:webHidden/>
          </w:rPr>
          <w:tab/>
        </w:r>
        <w:r>
          <w:rPr>
            <w:noProof/>
            <w:webHidden/>
          </w:rPr>
          <w:fldChar w:fldCharType="begin"/>
        </w:r>
        <w:r>
          <w:rPr>
            <w:noProof/>
            <w:webHidden/>
          </w:rPr>
          <w:instrText xml:space="preserve"> PAGEREF _Toc233728988 \h </w:instrText>
        </w:r>
        <w:r>
          <w:rPr>
            <w:noProof/>
            <w:webHidden/>
          </w:rPr>
        </w:r>
        <w:r>
          <w:rPr>
            <w:noProof/>
            <w:webHidden/>
          </w:rPr>
          <w:fldChar w:fldCharType="separate"/>
        </w:r>
        <w:r>
          <w:rPr>
            <w:noProof/>
            <w:webHidden/>
          </w:rPr>
          <w:t>146</w:t>
        </w:r>
        <w:r>
          <w:rPr>
            <w:noProof/>
            <w:webHidden/>
          </w:rPr>
          <w:fldChar w:fldCharType="end"/>
        </w:r>
      </w:hyperlink>
    </w:p>
    <w:p w14:paraId="1081BB3D" w14:textId="4C92DFC5"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89" w:history="1">
        <w:r w:rsidRPr="00963814">
          <w:rPr>
            <w:rStyle w:val="Hyperlink"/>
            <w:noProof/>
          </w:rPr>
          <w:t>Apx Table 6: The value of SDVPI of different buses for 35% renewables in IEEE 39 bus system.</w:t>
        </w:r>
        <w:r>
          <w:rPr>
            <w:noProof/>
            <w:webHidden/>
          </w:rPr>
          <w:tab/>
        </w:r>
        <w:r>
          <w:rPr>
            <w:noProof/>
            <w:webHidden/>
          </w:rPr>
          <w:fldChar w:fldCharType="begin"/>
        </w:r>
        <w:r>
          <w:rPr>
            <w:noProof/>
            <w:webHidden/>
          </w:rPr>
          <w:instrText xml:space="preserve"> PAGEREF _Toc233728989 \h </w:instrText>
        </w:r>
        <w:r>
          <w:rPr>
            <w:noProof/>
            <w:webHidden/>
          </w:rPr>
        </w:r>
        <w:r>
          <w:rPr>
            <w:noProof/>
            <w:webHidden/>
          </w:rPr>
          <w:fldChar w:fldCharType="separate"/>
        </w:r>
        <w:r>
          <w:rPr>
            <w:noProof/>
            <w:webHidden/>
          </w:rPr>
          <w:t>147</w:t>
        </w:r>
        <w:r>
          <w:rPr>
            <w:noProof/>
            <w:webHidden/>
          </w:rPr>
          <w:fldChar w:fldCharType="end"/>
        </w:r>
      </w:hyperlink>
    </w:p>
    <w:p w14:paraId="5BF8D386" w14:textId="31BA4B06"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90" w:history="1">
        <w:r w:rsidRPr="00963814">
          <w:rPr>
            <w:rStyle w:val="Hyperlink"/>
            <w:noProof/>
          </w:rPr>
          <w:t>Apx Table 7: The value of SDVPI of different buses for 44% renewables in IEEE 39 bus system.</w:t>
        </w:r>
        <w:r>
          <w:rPr>
            <w:noProof/>
            <w:webHidden/>
          </w:rPr>
          <w:tab/>
        </w:r>
        <w:r>
          <w:rPr>
            <w:noProof/>
            <w:webHidden/>
          </w:rPr>
          <w:fldChar w:fldCharType="begin"/>
        </w:r>
        <w:r>
          <w:rPr>
            <w:noProof/>
            <w:webHidden/>
          </w:rPr>
          <w:instrText xml:space="preserve"> PAGEREF _Toc233728990 \h </w:instrText>
        </w:r>
        <w:r>
          <w:rPr>
            <w:noProof/>
            <w:webHidden/>
          </w:rPr>
        </w:r>
        <w:r>
          <w:rPr>
            <w:noProof/>
            <w:webHidden/>
          </w:rPr>
          <w:fldChar w:fldCharType="separate"/>
        </w:r>
        <w:r>
          <w:rPr>
            <w:noProof/>
            <w:webHidden/>
          </w:rPr>
          <w:t>147</w:t>
        </w:r>
        <w:r>
          <w:rPr>
            <w:noProof/>
            <w:webHidden/>
          </w:rPr>
          <w:fldChar w:fldCharType="end"/>
        </w:r>
      </w:hyperlink>
    </w:p>
    <w:p w14:paraId="73D796A4" w14:textId="02D438A1"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91" w:history="1">
        <w:r w:rsidRPr="00963814">
          <w:rPr>
            <w:rStyle w:val="Hyperlink"/>
            <w:noProof/>
          </w:rPr>
          <w:t>Apx Table 8: The value of SDVPI of different buses for 52% renewables in IEEE 39 bus system.</w:t>
        </w:r>
        <w:r>
          <w:rPr>
            <w:noProof/>
            <w:webHidden/>
          </w:rPr>
          <w:tab/>
        </w:r>
        <w:r>
          <w:rPr>
            <w:noProof/>
            <w:webHidden/>
          </w:rPr>
          <w:fldChar w:fldCharType="begin"/>
        </w:r>
        <w:r>
          <w:rPr>
            <w:noProof/>
            <w:webHidden/>
          </w:rPr>
          <w:instrText xml:space="preserve"> PAGEREF _Toc233728991 \h </w:instrText>
        </w:r>
        <w:r>
          <w:rPr>
            <w:noProof/>
            <w:webHidden/>
          </w:rPr>
        </w:r>
        <w:r>
          <w:rPr>
            <w:noProof/>
            <w:webHidden/>
          </w:rPr>
          <w:fldChar w:fldCharType="separate"/>
        </w:r>
        <w:r>
          <w:rPr>
            <w:noProof/>
            <w:webHidden/>
          </w:rPr>
          <w:t>148</w:t>
        </w:r>
        <w:r>
          <w:rPr>
            <w:noProof/>
            <w:webHidden/>
          </w:rPr>
          <w:fldChar w:fldCharType="end"/>
        </w:r>
      </w:hyperlink>
    </w:p>
    <w:p w14:paraId="30BAFF0D" w14:textId="1F4F1837"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92" w:history="1">
        <w:r w:rsidRPr="00963814">
          <w:rPr>
            <w:rStyle w:val="Hyperlink"/>
            <w:noProof/>
          </w:rPr>
          <w:t>Apx Table 9: The value of SDVPI of different buses for 63% renewables in IEEE 39 bus system.</w:t>
        </w:r>
        <w:r>
          <w:rPr>
            <w:noProof/>
            <w:webHidden/>
          </w:rPr>
          <w:tab/>
        </w:r>
        <w:r>
          <w:rPr>
            <w:noProof/>
            <w:webHidden/>
          </w:rPr>
          <w:fldChar w:fldCharType="begin"/>
        </w:r>
        <w:r>
          <w:rPr>
            <w:noProof/>
            <w:webHidden/>
          </w:rPr>
          <w:instrText xml:space="preserve"> PAGEREF _Toc233728992 \h </w:instrText>
        </w:r>
        <w:r>
          <w:rPr>
            <w:noProof/>
            <w:webHidden/>
          </w:rPr>
        </w:r>
        <w:r>
          <w:rPr>
            <w:noProof/>
            <w:webHidden/>
          </w:rPr>
          <w:fldChar w:fldCharType="separate"/>
        </w:r>
        <w:r>
          <w:rPr>
            <w:noProof/>
            <w:webHidden/>
          </w:rPr>
          <w:t>148</w:t>
        </w:r>
        <w:r>
          <w:rPr>
            <w:noProof/>
            <w:webHidden/>
          </w:rPr>
          <w:fldChar w:fldCharType="end"/>
        </w:r>
      </w:hyperlink>
    </w:p>
    <w:p w14:paraId="10D757BD" w14:textId="704BD3EC"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93" w:history="1">
        <w:r w:rsidRPr="00963814">
          <w:rPr>
            <w:rStyle w:val="Hyperlink"/>
            <w:noProof/>
          </w:rPr>
          <w:t>Apx Table 10: The value of SDVPI of different buses for 72% renewables in IEEE 39 bus system.</w:t>
        </w:r>
        <w:r>
          <w:rPr>
            <w:noProof/>
            <w:webHidden/>
          </w:rPr>
          <w:tab/>
        </w:r>
        <w:r>
          <w:rPr>
            <w:noProof/>
            <w:webHidden/>
          </w:rPr>
          <w:fldChar w:fldCharType="begin"/>
        </w:r>
        <w:r>
          <w:rPr>
            <w:noProof/>
            <w:webHidden/>
          </w:rPr>
          <w:instrText xml:space="preserve"> PAGEREF _Toc233728993 \h </w:instrText>
        </w:r>
        <w:r>
          <w:rPr>
            <w:noProof/>
            <w:webHidden/>
          </w:rPr>
        </w:r>
        <w:r>
          <w:rPr>
            <w:noProof/>
            <w:webHidden/>
          </w:rPr>
          <w:fldChar w:fldCharType="separate"/>
        </w:r>
        <w:r>
          <w:rPr>
            <w:noProof/>
            <w:webHidden/>
          </w:rPr>
          <w:t>149</w:t>
        </w:r>
        <w:r>
          <w:rPr>
            <w:noProof/>
            <w:webHidden/>
          </w:rPr>
          <w:fldChar w:fldCharType="end"/>
        </w:r>
      </w:hyperlink>
    </w:p>
    <w:p w14:paraId="304DA21C" w14:textId="3AD23487" w:rsidR="0000258F" w:rsidRDefault="0000258F">
      <w:pPr>
        <w:pStyle w:val="TableofFigures"/>
        <w:rPr>
          <w:rFonts w:asciiTheme="minorHAnsi" w:eastAsiaTheme="minorEastAsia" w:hAnsiTheme="minorHAnsi" w:cstheme="minorBidi"/>
          <w:noProof/>
          <w:color w:val="auto"/>
          <w:kern w:val="2"/>
          <w:szCs w:val="24"/>
          <w14:ligatures w14:val="standardContextual"/>
        </w:rPr>
      </w:pPr>
      <w:hyperlink w:anchor="_Toc233728994" w:history="1">
        <w:r w:rsidRPr="00963814">
          <w:rPr>
            <w:rStyle w:val="Hyperlink"/>
            <w:noProof/>
          </w:rPr>
          <w:t>Apx Table 11: NERC FAC 002 Interconnection Standards for Transmission Planners for Large Load.</w:t>
        </w:r>
        <w:r>
          <w:rPr>
            <w:noProof/>
            <w:webHidden/>
          </w:rPr>
          <w:tab/>
        </w:r>
        <w:r>
          <w:rPr>
            <w:noProof/>
            <w:webHidden/>
          </w:rPr>
          <w:fldChar w:fldCharType="begin"/>
        </w:r>
        <w:r>
          <w:rPr>
            <w:noProof/>
            <w:webHidden/>
          </w:rPr>
          <w:instrText xml:space="preserve"> PAGEREF _Toc233728994 \h </w:instrText>
        </w:r>
        <w:r>
          <w:rPr>
            <w:noProof/>
            <w:webHidden/>
          </w:rPr>
        </w:r>
        <w:r>
          <w:rPr>
            <w:noProof/>
            <w:webHidden/>
          </w:rPr>
          <w:fldChar w:fldCharType="separate"/>
        </w:r>
        <w:r>
          <w:rPr>
            <w:noProof/>
            <w:webHidden/>
          </w:rPr>
          <w:t>149</w:t>
        </w:r>
        <w:r>
          <w:rPr>
            <w:noProof/>
            <w:webHidden/>
          </w:rPr>
          <w:fldChar w:fldCharType="end"/>
        </w:r>
      </w:hyperlink>
    </w:p>
    <w:p w14:paraId="0FBE3808" w14:textId="7F1361F0" w:rsidR="00A943B2" w:rsidRPr="00E27D3B" w:rsidRDefault="009959BB" w:rsidP="00CD4F3A">
      <w:pPr>
        <w:pStyle w:val="Heading1notnumbered"/>
        <w:spacing w:line="240" w:lineRule="auto"/>
      </w:pPr>
      <w:r w:rsidRPr="00E27D3B">
        <w:lastRenderedPageBreak/>
        <w:fldChar w:fldCharType="end"/>
      </w:r>
      <w:bookmarkStart w:id="1" w:name="_Toc315694429"/>
      <w:bookmarkStart w:id="2" w:name="_Toc233734286"/>
      <w:r w:rsidR="5248538F">
        <w:t>Acknowledgments</w:t>
      </w:r>
      <w:bookmarkEnd w:id="1"/>
      <w:bookmarkEnd w:id="2"/>
    </w:p>
    <w:p w14:paraId="63225D5D" w14:textId="77777777" w:rsidR="00A26B5F" w:rsidRPr="00E27D3B" w:rsidRDefault="00A26B5F" w:rsidP="00CD4F3A">
      <w:pPr>
        <w:pStyle w:val="BodyText"/>
        <w:spacing w:line="240" w:lineRule="auto"/>
      </w:pPr>
      <w:r w:rsidRPr="00E27D3B">
        <w:t>The research presented in this report, Evaluation of Small and Large Disturbance Voltage Stabilities for Power Systems with a High Penetration of Inverter-based Resources (AR-PST Stage 5 – Topic 2 2025/26), was funded by CSIRO, Australia’s national science agency, as part of its contribution to the Australian Power Systems Renewables Transition (AR-PST) initiative. This work supports Australia’s transition to a stable, secure, and affordable power system and contributes to the critical research priorities identified by the AR-PST Consortium to accelerate the decarbonisation of the electricity grid.</w:t>
      </w:r>
    </w:p>
    <w:p w14:paraId="3864B5B1" w14:textId="77777777" w:rsidR="00A26B5F" w:rsidRPr="00E27D3B" w:rsidRDefault="00A26B5F" w:rsidP="00CD4F3A">
      <w:pPr>
        <w:pStyle w:val="BodyText"/>
        <w:spacing w:line="240" w:lineRule="auto"/>
      </w:pPr>
    </w:p>
    <w:p w14:paraId="3F0B9E25" w14:textId="75CADD13" w:rsidR="00D26097" w:rsidRDefault="00D26097" w:rsidP="00CD4F3A">
      <w:pPr>
        <w:pStyle w:val="BodyText"/>
        <w:spacing w:line="240" w:lineRule="auto"/>
      </w:pPr>
      <w:r w:rsidRPr="00E27D3B">
        <w:t>The project was carried out with the support and collaboration of subject matter experts from CSIRO and the Australian Energy Market Operator (</w:t>
      </w:r>
      <w:r w:rsidRPr="00E050AE">
        <w:t>AEMO)</w:t>
      </w:r>
      <w:r w:rsidR="00EF10E2" w:rsidRPr="00E050AE">
        <w:t>, and GHD</w:t>
      </w:r>
      <w:r w:rsidRPr="00E050AE">
        <w:t>.</w:t>
      </w:r>
      <w:r w:rsidRPr="00E27D3B">
        <w:t xml:space="preserve"> The authors gratefully acknowledge their valuable guidance, technical expertise, and feedback, which were instrumental to this work.</w:t>
      </w:r>
    </w:p>
    <w:p w14:paraId="16B99726" w14:textId="77777777" w:rsidR="00EF10E2" w:rsidRDefault="00EF10E2" w:rsidP="00CD4F3A">
      <w:pPr>
        <w:pStyle w:val="BodyText"/>
        <w:spacing w:line="240" w:lineRule="auto"/>
      </w:pPr>
    </w:p>
    <w:p w14:paraId="357C931D" w14:textId="03AC9D05" w:rsidR="00D836A6" w:rsidRDefault="00D836A6" w:rsidP="00CD4F3A">
      <w:pPr>
        <w:pStyle w:val="BodyText"/>
        <w:spacing w:line="240" w:lineRule="auto"/>
      </w:pPr>
      <w:proofErr w:type="gramStart"/>
      <w:r w:rsidRPr="00E050AE">
        <w:t>In particular, we</w:t>
      </w:r>
      <w:proofErr w:type="gramEnd"/>
      <w:r w:rsidRPr="00E050AE">
        <w:t xml:space="preserve"> would like to acknowledge Dr John Ward, Dr Thomas Brinsmead, and Dr Wang Yunqi from CSIRO; Christian Schaefer and Liam Landman from GHD; and Rajesh Nighot and Teresa Smit from AEMO. We sincerely thank them for their contributions, which helped shape the methodologies and outcomes of this work.</w:t>
      </w:r>
    </w:p>
    <w:p w14:paraId="62CC631B" w14:textId="77777777" w:rsidR="00D836A6" w:rsidRDefault="00D836A6" w:rsidP="00CD4F3A">
      <w:pPr>
        <w:pStyle w:val="BodyText"/>
        <w:spacing w:line="240" w:lineRule="auto"/>
      </w:pPr>
    </w:p>
    <w:p w14:paraId="11549A6B" w14:textId="6FD747E1" w:rsidR="00A943B2" w:rsidRPr="00E27D3B" w:rsidRDefault="5248538F" w:rsidP="00CD4F3A">
      <w:pPr>
        <w:pStyle w:val="Heading1notnumbered"/>
        <w:spacing w:line="240" w:lineRule="auto"/>
      </w:pPr>
      <w:bookmarkStart w:id="3" w:name="_Toc315694430"/>
      <w:bookmarkStart w:id="4" w:name="_Toc233734287"/>
      <w:r>
        <w:lastRenderedPageBreak/>
        <w:t xml:space="preserve">Executive </w:t>
      </w:r>
      <w:r w:rsidR="385D9154">
        <w:t>S</w:t>
      </w:r>
      <w:r>
        <w:t>ummary</w:t>
      </w:r>
      <w:bookmarkEnd w:id="3"/>
      <w:bookmarkEnd w:id="4"/>
    </w:p>
    <w:p w14:paraId="238164AB" w14:textId="7CE129FD" w:rsidR="008D1B82" w:rsidRDefault="00AD49BB" w:rsidP="004724AD">
      <w:pPr>
        <w:pStyle w:val="BodyText"/>
        <w:spacing w:line="240" w:lineRule="auto"/>
      </w:pPr>
      <w:r w:rsidRPr="00E27D3B">
        <w:t xml:space="preserve">Australian power system is undergoing a rapid transformation due to the increasing penetration of inverter-based resources (IBRs) and the emergence of high-density, converter-dominated loads, such as AI data </w:t>
      </w:r>
      <w:proofErr w:type="spellStart"/>
      <w:r w:rsidRPr="00E27D3B">
        <w:t>centers</w:t>
      </w:r>
      <w:proofErr w:type="spellEnd"/>
      <w:r w:rsidRPr="00E27D3B">
        <w:t xml:space="preserve">, and green hydrogen plants. These changes introduce fast, control-dominated dynamics, reduced system inertia, and altered voltage and </w:t>
      </w:r>
      <w:r w:rsidR="00F72EC4" w:rsidRPr="00E27D3B">
        <w:t>frequency</w:t>
      </w:r>
      <w:r w:rsidRPr="00E27D3B">
        <w:t xml:space="preserve"> </w:t>
      </w:r>
      <w:r w:rsidR="00B307C9" w:rsidRPr="00E27D3B">
        <w:t>behaviour</w:t>
      </w:r>
      <w:r w:rsidRPr="00E27D3B">
        <w:t xml:space="preserve">, which challenge traditional stability assessment methods. </w:t>
      </w:r>
      <w:r w:rsidR="00AD387D" w:rsidRPr="00E27D3B">
        <w:rPr>
          <w:b/>
          <w:bCs/>
        </w:rPr>
        <w:t>Stage 5 of the CSIRO AR-PST Topic 2 project</w:t>
      </w:r>
      <w:r w:rsidR="00AD387D" w:rsidRPr="00E27D3B">
        <w:t xml:space="preserve">, </w:t>
      </w:r>
      <w:r w:rsidR="00AD387D" w:rsidRPr="00E27D3B">
        <w:rPr>
          <w:i/>
          <w:iCs/>
        </w:rPr>
        <w:t>“Evaluation of Small and Large Disturbance Voltage Stabilities for Power Systems with a High Penetration of Inverter-Based Resources,”</w:t>
      </w:r>
      <w:r w:rsidR="00AD387D" w:rsidRPr="00E27D3B">
        <w:t xml:space="preserve"> addresses these challenges by developing</w:t>
      </w:r>
      <w:r w:rsidR="009E7210" w:rsidRPr="00E27D3B">
        <w:t>/implementing</w:t>
      </w:r>
      <w:r w:rsidR="00AD387D" w:rsidRPr="00E27D3B">
        <w:t xml:space="preserve"> advanced tools and methodologies to assess both small- and large-disturbance voltage stability in modern power systems, and by proposing enhancement solutions and recommendations.</w:t>
      </w:r>
      <w:r w:rsidR="00465F6D">
        <w:t xml:space="preserve"> </w:t>
      </w:r>
    </w:p>
    <w:p w14:paraId="14DD3F7C" w14:textId="61104257" w:rsidR="008D1B82" w:rsidRDefault="001C73C4" w:rsidP="00F973AA">
      <w:pPr>
        <w:pStyle w:val="BodyText"/>
        <w:rPr>
          <w:color w:val="000000" w:themeColor="text1"/>
        </w:rPr>
      </w:pPr>
      <w:r w:rsidRPr="00E27D3B">
        <w:t xml:space="preserve">For </w:t>
      </w:r>
      <w:r w:rsidRPr="00E27D3B">
        <w:rPr>
          <w:b/>
          <w:bCs/>
        </w:rPr>
        <w:t>small-signal stability (SSS)</w:t>
      </w:r>
      <w:r w:rsidRPr="00E27D3B">
        <w:t>,</w:t>
      </w:r>
      <w:r w:rsidRPr="00DE04EF">
        <w:rPr>
          <w:color w:val="000000" w:themeColor="text1"/>
        </w:rPr>
        <w:t xml:space="preserve"> </w:t>
      </w:r>
      <w:r w:rsidR="004724AD" w:rsidRPr="004724AD">
        <w:t xml:space="preserve">it has been divided into two distinct tasks. </w:t>
      </w:r>
      <w:r w:rsidR="004724AD" w:rsidRPr="001023C2">
        <w:t>Task 1</w:t>
      </w:r>
      <w:r w:rsidR="004724AD" w:rsidRPr="004724AD">
        <w:rPr>
          <w:b/>
          <w:bCs/>
        </w:rPr>
        <w:t xml:space="preserve"> </w:t>
      </w:r>
      <w:r w:rsidR="004724AD" w:rsidRPr="005F1D86">
        <w:t>focused on the evaluation and enhancement of grid-forming inverter (GFMI) control strategies for improved stability performance. This task investigated the impact of different GFMI voltage control strategies on system stability under varying grid conditions, with particular focus on Fixed Voltage Control (FVC), Primary Voltage Control (PVC), and Automatic Voltage Regulator (AVR)-based control approaches. Based on the stability assessment results, an AVR enhancement method was developed to improve GFMI stability performance and support reliable operation under different grid strength conditions. The key contributions of Task 1 include:</w:t>
      </w:r>
    </w:p>
    <w:p w14:paraId="342A7FEF" w14:textId="77777777" w:rsidR="00CF7216" w:rsidRPr="00B00977" w:rsidRDefault="00CF7216" w:rsidP="00F12E16">
      <w:pPr>
        <w:pStyle w:val="BodyText"/>
        <w:numPr>
          <w:ilvl w:val="0"/>
          <w:numId w:val="101"/>
        </w:numPr>
        <w:spacing w:before="60" w:after="60"/>
      </w:pPr>
      <w:r w:rsidRPr="00B00977">
        <w:t>A comprehensive literature review of methods, test systems, and software tools for small-signal stability analysis of IBR-dominated systems was conducted.</w:t>
      </w:r>
    </w:p>
    <w:p w14:paraId="5D7ACC63" w14:textId="77777777" w:rsidR="00CF7216" w:rsidRPr="00B00977" w:rsidRDefault="00CF7216" w:rsidP="00F12E16">
      <w:pPr>
        <w:pStyle w:val="BodyText"/>
        <w:numPr>
          <w:ilvl w:val="0"/>
          <w:numId w:val="101"/>
        </w:numPr>
        <w:spacing w:before="60" w:after="60"/>
      </w:pPr>
      <w:r w:rsidRPr="00B00977">
        <w:t>Three voltage control strategies for grid-forming inverters, namely FVC, PVC, and AVR, were evaluated in both frequency and time domains under very weak, weak, and strong grid conditions, showing that AVR-controlled inverters generally have lower stability margins.</w:t>
      </w:r>
    </w:p>
    <w:p w14:paraId="4AFFE6A1" w14:textId="77777777" w:rsidR="00CF7216" w:rsidRPr="00CF7216" w:rsidRDefault="00CF7216" w:rsidP="00F12E16">
      <w:pPr>
        <w:pStyle w:val="BodyText"/>
        <w:numPr>
          <w:ilvl w:val="0"/>
          <w:numId w:val="101"/>
        </w:numPr>
        <w:spacing w:before="60" w:after="60"/>
        <w:rPr>
          <w:color w:val="000000" w:themeColor="text1"/>
        </w:rPr>
      </w:pPr>
      <w:r w:rsidRPr="00B00977">
        <w:t>An AVR-based GFMI stability enhancement method was developed using a virtual impedance loop and adaptive tuning of the AVR integral controller based on grid SCR to improve stability performance.</w:t>
      </w:r>
    </w:p>
    <w:p w14:paraId="779678D1" w14:textId="4E58E859" w:rsidR="004724AD" w:rsidRPr="004724AD" w:rsidRDefault="004724AD" w:rsidP="004724AD">
      <w:pPr>
        <w:pStyle w:val="BodyText"/>
      </w:pPr>
      <w:r>
        <w:t xml:space="preserve"> </w:t>
      </w:r>
      <w:r w:rsidRPr="004724AD">
        <w:t>Task 2 focused on modelling and behaviour assessment of inverter-based systems using both white-box and black-box approaches. The white-box approach investigated system dynamics using eigenvalue-based analysis, while the black-box approach developed data-driven time-domain (DDTD) methods based on Gaussian Process Regression (GPR) and Eigensystem Realization Algorithm (ERA) for stability assessment of inverter-based systems. The studies considered grid-following and grid-forming inverter operation across a range of system conditions, from SMIB to larger network-scale test systems.</w:t>
      </w:r>
      <w:r>
        <w:t xml:space="preserve">  </w:t>
      </w:r>
      <w:r w:rsidRPr="004724AD">
        <w:t>The key contributions of Task 2 include:</w:t>
      </w:r>
    </w:p>
    <w:p w14:paraId="62A5E2B5" w14:textId="76973E53" w:rsidR="004724AD" w:rsidRPr="00F12E16" w:rsidRDefault="004724AD" w:rsidP="00F12E16">
      <w:pPr>
        <w:pStyle w:val="BodyText"/>
        <w:numPr>
          <w:ilvl w:val="0"/>
          <w:numId w:val="68"/>
        </w:numPr>
        <w:rPr>
          <w:color w:val="000000" w:themeColor="text1"/>
        </w:rPr>
      </w:pPr>
      <w:r w:rsidRPr="00F12E16">
        <w:rPr>
          <w:color w:val="000000" w:themeColor="text1"/>
        </w:rPr>
        <w:t xml:space="preserve">Eigenvalue and mode analysis was conducted using DIgSILENT </w:t>
      </w:r>
      <w:proofErr w:type="spellStart"/>
      <w:r w:rsidRPr="00F12E16">
        <w:rPr>
          <w:color w:val="000000" w:themeColor="text1"/>
        </w:rPr>
        <w:t>PowerFactory</w:t>
      </w:r>
      <w:proofErr w:type="spellEnd"/>
      <w:r w:rsidRPr="00F12E16">
        <w:rPr>
          <w:color w:val="000000" w:themeColor="text1"/>
        </w:rPr>
        <w:t xml:space="preserve"> models of GFLI, droop-controlled GFMI, and VSM-controlled GFMI under varying SCR conditions to identify dominant modes, key states, and control parameters.</w:t>
      </w:r>
    </w:p>
    <w:p w14:paraId="10F73277" w14:textId="775A9605" w:rsidR="004724AD" w:rsidRPr="00F12E16" w:rsidRDefault="004724AD" w:rsidP="00F12E16">
      <w:pPr>
        <w:pStyle w:val="BodyText"/>
        <w:numPr>
          <w:ilvl w:val="0"/>
          <w:numId w:val="68"/>
        </w:numPr>
        <w:rPr>
          <w:color w:val="000000" w:themeColor="text1"/>
        </w:rPr>
      </w:pPr>
      <w:r w:rsidRPr="00F12E16">
        <w:rPr>
          <w:color w:val="000000" w:themeColor="text1"/>
        </w:rPr>
        <w:t>The IEEE 39-bus system was modified by replacing three synchronous generators with VSM-controlled GFMIs to evaluate SSS under different inverter operating points</w:t>
      </w:r>
      <w:r>
        <w:rPr>
          <w:color w:val="000000" w:themeColor="text1"/>
        </w:rPr>
        <w:t>.</w:t>
      </w:r>
    </w:p>
    <w:p w14:paraId="7657CA9B" w14:textId="6B362FC0" w:rsidR="004724AD" w:rsidRPr="00F12E16" w:rsidRDefault="004724AD" w:rsidP="00F12E16">
      <w:pPr>
        <w:pStyle w:val="BodyText"/>
        <w:numPr>
          <w:ilvl w:val="0"/>
          <w:numId w:val="68"/>
        </w:numPr>
        <w:rPr>
          <w:color w:val="000000" w:themeColor="text1"/>
        </w:rPr>
      </w:pPr>
      <w:r w:rsidRPr="00F12E16">
        <w:rPr>
          <w:color w:val="000000" w:themeColor="text1"/>
        </w:rPr>
        <w:lastRenderedPageBreak/>
        <w:t>A GPR and ERA-based DDTD method was developed for SSS assessment, enabling accurate response prediction and eigenvalue estimation without requiring detailed OEM models.</w:t>
      </w:r>
    </w:p>
    <w:p w14:paraId="275717AD" w14:textId="4BAA097B" w:rsidR="00B00977" w:rsidRDefault="005A6F5A" w:rsidP="00994B04">
      <w:pPr>
        <w:pStyle w:val="BodyText"/>
        <w:spacing w:beforeLines="120" w:before="288"/>
      </w:pPr>
      <w:r w:rsidRPr="00E27D3B">
        <w:t xml:space="preserve">For </w:t>
      </w:r>
      <w:r w:rsidRPr="00E27D3B">
        <w:rPr>
          <w:b/>
          <w:bCs/>
        </w:rPr>
        <w:t>stability indices</w:t>
      </w:r>
      <w:r w:rsidRPr="00E27D3B">
        <w:t xml:space="preserve">, the project </w:t>
      </w:r>
      <w:r w:rsidRPr="00946A35">
        <w:t>presents an integrated framework of stability indices to characterise the dynamic behaviour of modern power systems under both large and small disturbances. It introduces the Dynamic Voltage Resilience Index (DVRI) and its system-level extension (</w:t>
      </w:r>
      <w:proofErr w:type="spellStart"/>
      <w:r w:rsidRPr="00946A35">
        <w:t>sysDVRI</w:t>
      </w:r>
      <w:proofErr w:type="spellEnd"/>
      <w:r w:rsidRPr="00946A35">
        <w:t xml:space="preserve">) to assess post-fault voltage performance by capturing both short- and long-term stability while distinguishing oscillatory from non-oscillatory responses, thereby overcoming limitations of conventional scalar metrics in systems with high penetration of inverter-based resources and dynamic loads. </w:t>
      </w:r>
      <w:r w:rsidRPr="00876634">
        <w:t>Complementing this, the Small-Disturbance Voltage Proximity Index (SDVPI), based on the adaptive continuation load flow method, quantifies proximity to the voltage stability boundary and facilitates identification of weak buses under changing generation, topology, load conditions, and contingencies. In addition, a Small-Signal Stability Index (SSSI), termed Small-Signal Operating Area Security Index (SSOASI), evaluates oscillatory stability by determining the minimum acceptable damping of system modes, providing insight into system security under varying operating conditions. The effectiveness of the proposed framework is demonstrated through comprehensive time-domain and scenario-based simulations on benchmark systems, including the modified 39-bus network and the Australian National Electricity Market (NEM) Area 5 test system, highlighting its value for operational decision-making and planning in low-inertia, high-renewable power systems.</w:t>
      </w:r>
      <w:r>
        <w:t xml:space="preserve"> </w:t>
      </w:r>
      <w:r w:rsidR="00B00977" w:rsidRPr="005F1D86">
        <w:t xml:space="preserve">The key contributions of </w:t>
      </w:r>
      <w:r w:rsidR="00B00977">
        <w:t xml:space="preserve">this </w:t>
      </w:r>
      <w:r w:rsidR="0052041F">
        <w:t>task</w:t>
      </w:r>
      <w:r w:rsidR="00F973AA">
        <w:t xml:space="preserve"> </w:t>
      </w:r>
      <w:r w:rsidR="00F973AA" w:rsidRPr="005F1D86">
        <w:t>include</w:t>
      </w:r>
      <w:r w:rsidR="00B00977">
        <w:t>:</w:t>
      </w:r>
    </w:p>
    <w:p w14:paraId="5334177F" w14:textId="77777777" w:rsidR="00B00977" w:rsidRDefault="00B00977" w:rsidP="00B00977">
      <w:pPr>
        <w:pStyle w:val="BodyText"/>
        <w:numPr>
          <w:ilvl w:val="0"/>
          <w:numId w:val="89"/>
        </w:numPr>
        <w:spacing w:before="60"/>
        <w:ind w:left="360"/>
      </w:pPr>
      <w:r>
        <w:t xml:space="preserve">Dynamic Voltage Resilience Index (DVRI and </w:t>
      </w:r>
      <w:proofErr w:type="spellStart"/>
      <w:r>
        <w:t>sysDVRI</w:t>
      </w:r>
      <w:proofErr w:type="spellEnd"/>
      <w:r>
        <w:t>)</w:t>
      </w:r>
    </w:p>
    <w:p w14:paraId="2389AEEF" w14:textId="77777777" w:rsidR="00B00977" w:rsidRDefault="00B00977" w:rsidP="00B00977">
      <w:pPr>
        <w:pStyle w:val="BodyText"/>
        <w:numPr>
          <w:ilvl w:val="0"/>
          <w:numId w:val="92"/>
        </w:numPr>
        <w:spacing w:before="60" w:after="60"/>
        <w:ind w:left="584" w:hanging="227"/>
      </w:pPr>
      <w:r>
        <w:t>A vector-based Dynamic Voltage Resilience Index (DVRI) and its system-level extension (</w:t>
      </w:r>
      <w:proofErr w:type="spellStart"/>
      <w:r>
        <w:t>sysDVRI</w:t>
      </w:r>
      <w:proofErr w:type="spellEnd"/>
      <w:r>
        <w:t>) were developed.</w:t>
      </w:r>
    </w:p>
    <w:p w14:paraId="7408C875" w14:textId="77777777" w:rsidR="00B00977" w:rsidRDefault="00B00977" w:rsidP="00B00977">
      <w:pPr>
        <w:pStyle w:val="BodyText"/>
        <w:numPr>
          <w:ilvl w:val="0"/>
          <w:numId w:val="92"/>
        </w:numPr>
        <w:spacing w:before="60" w:after="60"/>
        <w:ind w:left="584" w:hanging="227"/>
      </w:pPr>
      <w:r>
        <w:t>A statistical waveform classification method was introduced to distinguish oscillatory and non-oscillatory voltage recovery behaviour without waveform-based analysis.</w:t>
      </w:r>
    </w:p>
    <w:p w14:paraId="0FFF3535" w14:textId="77777777" w:rsidR="00B00977" w:rsidRDefault="00B00977" w:rsidP="00B00977">
      <w:pPr>
        <w:pStyle w:val="BodyText"/>
        <w:numPr>
          <w:ilvl w:val="0"/>
          <w:numId w:val="92"/>
        </w:numPr>
        <w:spacing w:before="60" w:after="60"/>
        <w:ind w:left="584" w:hanging="227"/>
      </w:pPr>
      <w:r>
        <w:t xml:space="preserve">The impact of renewable integration and dynamic loads was evaluated using DVRI and </w:t>
      </w:r>
      <w:proofErr w:type="spellStart"/>
      <w:r>
        <w:t>sysDVRI</w:t>
      </w:r>
      <w:proofErr w:type="spellEnd"/>
      <w:r>
        <w:t xml:space="preserve"> under changing operating conditions.</w:t>
      </w:r>
    </w:p>
    <w:p w14:paraId="4CA8D9BE" w14:textId="77777777" w:rsidR="00B00977" w:rsidRDefault="00B00977" w:rsidP="00B00977">
      <w:pPr>
        <w:pStyle w:val="BodyText"/>
        <w:numPr>
          <w:ilvl w:val="0"/>
          <w:numId w:val="89"/>
        </w:numPr>
        <w:spacing w:before="60"/>
        <w:ind w:left="360"/>
      </w:pPr>
      <w:r>
        <w:t>Small-Disturbance Voltage Performance Index (SDVPI)</w:t>
      </w:r>
    </w:p>
    <w:p w14:paraId="04B61D4D" w14:textId="4311D6D1" w:rsidR="00B00977" w:rsidRDefault="00B00977" w:rsidP="00B00977">
      <w:pPr>
        <w:pStyle w:val="BodyText"/>
        <w:numPr>
          <w:ilvl w:val="0"/>
          <w:numId w:val="92"/>
        </w:numPr>
        <w:spacing w:before="60" w:after="60"/>
        <w:ind w:left="584" w:hanging="227"/>
      </w:pPr>
      <w:r>
        <w:t xml:space="preserve">A Small-Disturbance Voltage Performance Index (SDVPI) was developed based on the adaptive continuation </w:t>
      </w:r>
      <w:r w:rsidR="0052041F" w:rsidRPr="00994B04">
        <w:t>power</w:t>
      </w:r>
      <w:r w:rsidRPr="00994B04">
        <w:t xml:space="preserve"> flow (AC</w:t>
      </w:r>
      <w:r w:rsidR="0052041F" w:rsidRPr="00994B04">
        <w:t>P</w:t>
      </w:r>
      <w:r w:rsidRPr="00994B04">
        <w:t>F)</w:t>
      </w:r>
      <w:r>
        <w:t xml:space="preserve"> method.</w:t>
      </w:r>
    </w:p>
    <w:p w14:paraId="598ECD31" w14:textId="77777777" w:rsidR="00B00977" w:rsidRDefault="00B00977" w:rsidP="00B00977">
      <w:pPr>
        <w:pStyle w:val="BodyText"/>
        <w:numPr>
          <w:ilvl w:val="0"/>
          <w:numId w:val="92"/>
        </w:numPr>
        <w:spacing w:before="60" w:after="60"/>
        <w:ind w:left="584" w:hanging="227"/>
      </w:pPr>
      <w:r>
        <w:t>A mathematical framework was established to determine proximity to the voltage stability boundary and identify weak operating conditions.</w:t>
      </w:r>
    </w:p>
    <w:p w14:paraId="5662AFCF" w14:textId="77777777" w:rsidR="00B00977" w:rsidRDefault="00B00977" w:rsidP="00B00977">
      <w:pPr>
        <w:pStyle w:val="BodyText"/>
        <w:numPr>
          <w:ilvl w:val="0"/>
          <w:numId w:val="92"/>
        </w:numPr>
        <w:spacing w:before="60" w:after="60"/>
        <w:ind w:left="584" w:hanging="227"/>
      </w:pPr>
      <w:r>
        <w:t xml:space="preserve">Scenario-based voltage stability assessment was performed using the modified 39-bus system in DIgSILENT </w:t>
      </w:r>
      <w:proofErr w:type="spellStart"/>
      <w:r>
        <w:t>PowerFactory</w:t>
      </w:r>
      <w:proofErr w:type="spellEnd"/>
      <w:r>
        <w:t xml:space="preserve"> under different generation and load conditions.</w:t>
      </w:r>
    </w:p>
    <w:p w14:paraId="22FF7E54" w14:textId="77777777" w:rsidR="00B00977" w:rsidRDefault="00B00977" w:rsidP="00B00977">
      <w:pPr>
        <w:pStyle w:val="BodyText"/>
        <w:numPr>
          <w:ilvl w:val="0"/>
          <w:numId w:val="89"/>
        </w:numPr>
        <w:spacing w:before="60"/>
        <w:ind w:left="360"/>
      </w:pPr>
      <w:r>
        <w:t>Small-Signal Stability Index (SSSI – SSOASI)</w:t>
      </w:r>
    </w:p>
    <w:p w14:paraId="3E9E2618" w14:textId="77777777" w:rsidR="00B00977" w:rsidRDefault="00B00977" w:rsidP="00B00977">
      <w:pPr>
        <w:pStyle w:val="BodyText"/>
        <w:numPr>
          <w:ilvl w:val="0"/>
          <w:numId w:val="92"/>
        </w:numPr>
        <w:spacing w:before="60" w:after="60"/>
        <w:ind w:left="584" w:hanging="227"/>
      </w:pPr>
      <w:r>
        <w:t>A Small-Signal Operating Area Security Index (SSOASI) was developed to evaluate oscillatory stability based on minimum acceptable modal damping.</w:t>
      </w:r>
    </w:p>
    <w:p w14:paraId="54284ECB" w14:textId="77777777" w:rsidR="00B00977" w:rsidRDefault="00B00977" w:rsidP="00B00977">
      <w:pPr>
        <w:pStyle w:val="BodyText"/>
        <w:numPr>
          <w:ilvl w:val="0"/>
          <w:numId w:val="92"/>
        </w:numPr>
        <w:spacing w:before="60" w:after="60"/>
        <w:ind w:left="584" w:hanging="227"/>
      </w:pPr>
      <w:r>
        <w:t>A small-signal stability assessment framework was established to evaluate the impact of generation mix, network topology, load variation, and contingencies.</w:t>
      </w:r>
    </w:p>
    <w:p w14:paraId="2963A70D" w14:textId="77777777" w:rsidR="00B00977" w:rsidRDefault="00B00977" w:rsidP="00B00977">
      <w:pPr>
        <w:pStyle w:val="BodyText"/>
        <w:numPr>
          <w:ilvl w:val="0"/>
          <w:numId w:val="92"/>
        </w:numPr>
        <w:spacing w:before="60" w:after="60"/>
        <w:ind w:left="584" w:hanging="227"/>
      </w:pPr>
      <w:r>
        <w:t>System security assessment was conducted under different generation scenarios using the modified 39-bus system to demonstrate the effectiveness of the proposed index.</w:t>
      </w:r>
    </w:p>
    <w:p w14:paraId="3690072D" w14:textId="0D6F1BB9" w:rsidR="008D5903" w:rsidRDefault="00150BC5" w:rsidP="00F973AA">
      <w:pPr>
        <w:pStyle w:val="BodyText"/>
      </w:pPr>
      <w:r w:rsidRPr="00E861B8">
        <w:lastRenderedPageBreak/>
        <w:t xml:space="preserve">For </w:t>
      </w:r>
      <w:r w:rsidRPr="00E861B8">
        <w:rPr>
          <w:b/>
          <w:bCs/>
        </w:rPr>
        <w:t>small- and large-disturbance voltage stability</w:t>
      </w:r>
      <w:r w:rsidRPr="00E861B8">
        <w:t xml:space="preserve">, both </w:t>
      </w:r>
      <w:r w:rsidRPr="00E861B8">
        <w:rPr>
          <w:b/>
          <w:bCs/>
        </w:rPr>
        <w:t>short-term and long-term system dynamics</w:t>
      </w:r>
      <w:r w:rsidRPr="00E861B8">
        <w:t xml:space="preserve"> are critical in high-renewable, inverter-dominated power systems. </w:t>
      </w:r>
      <w:r w:rsidRPr="00441BB9">
        <w:t>For short-term stability, time-domain simulations on modified IEEE 39-bus networks incorporating varying renewable penetration and dynamic loads, including region-specific AEMO composite loads, showed that higher renewable shares and</w:t>
      </w:r>
      <w:r w:rsidR="001A0A76">
        <w:t xml:space="preserve"> </w:t>
      </w:r>
      <w:r w:rsidR="00315C3A">
        <w:t>network disturbances</w:t>
      </w:r>
      <w:r w:rsidRPr="00441BB9">
        <w:t xml:space="preserve"> increase </w:t>
      </w:r>
      <w:r w:rsidR="007A5FA9">
        <w:t xml:space="preserve">voltage instability </w:t>
      </w:r>
      <w:r w:rsidRPr="00441BB9">
        <w:t>risk due to reduced inertia and limited reactive power and fault current support from IBRs</w:t>
      </w:r>
      <w:r w:rsidRPr="003C2F0C">
        <w:t xml:space="preserve">. </w:t>
      </w:r>
    </w:p>
    <w:p w14:paraId="6C587C76" w14:textId="5DA9B68E" w:rsidR="00F973AA" w:rsidRDefault="00150BC5" w:rsidP="00F973AA">
      <w:pPr>
        <w:pStyle w:val="BodyText"/>
        <w:spacing w:before="0" w:line="240" w:lineRule="auto"/>
        <w:rPr>
          <w:szCs w:val="20"/>
        </w:rPr>
      </w:pPr>
      <w:r w:rsidRPr="003C2F0C">
        <w:rPr>
          <w:lang w:val="en-US"/>
        </w:rPr>
        <w:t xml:space="preserve">For large-disturbance long-term voltage stability, the adaptive continuation method in DIgSILENT </w:t>
      </w:r>
      <w:proofErr w:type="spellStart"/>
      <w:r w:rsidRPr="003C2F0C">
        <w:rPr>
          <w:lang w:val="en-US"/>
        </w:rPr>
        <w:t>PowerFactory</w:t>
      </w:r>
      <w:proofErr w:type="spellEnd"/>
      <w:r w:rsidRPr="003C2F0C">
        <w:rPr>
          <w:lang w:val="en-US"/>
        </w:rPr>
        <w:t xml:space="preserve"> quantified voltage stability margins under both normal and contingency conditions, showing that increasing renewable penetration from 4% to 95% progressively reduces the voltage stability margin, with the outage of </w:t>
      </w:r>
      <w:r w:rsidR="001861D2">
        <w:rPr>
          <w:lang w:val="en-US"/>
        </w:rPr>
        <w:t xml:space="preserve">a </w:t>
      </w:r>
      <w:r w:rsidR="006801DB">
        <w:rPr>
          <w:lang w:val="en-US"/>
        </w:rPr>
        <w:t>certain</w:t>
      </w:r>
      <w:r w:rsidR="001861D2">
        <w:rPr>
          <w:lang w:val="en-US"/>
        </w:rPr>
        <w:t xml:space="preserve"> </w:t>
      </w:r>
      <w:r w:rsidRPr="003C2F0C">
        <w:rPr>
          <w:lang w:val="en-US"/>
        </w:rPr>
        <w:t>Line</w:t>
      </w:r>
      <w:r w:rsidR="006801DB">
        <w:rPr>
          <w:lang w:val="en-US"/>
        </w:rPr>
        <w:t xml:space="preserve"> </w:t>
      </w:r>
      <w:r w:rsidRPr="003C2F0C">
        <w:rPr>
          <w:lang w:val="en-US"/>
        </w:rPr>
        <w:t xml:space="preserve">emerging as the critical contingency under all renewable generation penetration levels considered in this study. </w:t>
      </w:r>
      <w:r w:rsidRPr="003C2F0C">
        <w:rPr>
          <w:szCs w:val="20"/>
        </w:rPr>
        <w:t>The critical buses shift from</w:t>
      </w:r>
      <w:r w:rsidR="00536229">
        <w:rPr>
          <w:szCs w:val="20"/>
        </w:rPr>
        <w:t xml:space="preserve"> a</w:t>
      </w:r>
      <w:r w:rsidRPr="003C2F0C">
        <w:rPr>
          <w:szCs w:val="20"/>
        </w:rPr>
        <w:t xml:space="preserve"> Bus at zero renewable penetration, to </w:t>
      </w:r>
      <w:r w:rsidR="00536229">
        <w:rPr>
          <w:szCs w:val="20"/>
        </w:rPr>
        <w:t xml:space="preserve">a </w:t>
      </w:r>
      <w:r w:rsidRPr="003C2F0C">
        <w:rPr>
          <w:szCs w:val="20"/>
        </w:rPr>
        <w:t xml:space="preserve">Bus at 4%–54% penetration, </w:t>
      </w:r>
      <w:r w:rsidR="00536229">
        <w:rPr>
          <w:szCs w:val="20"/>
        </w:rPr>
        <w:t xml:space="preserve">a </w:t>
      </w:r>
      <w:r w:rsidRPr="003C2F0C">
        <w:rPr>
          <w:szCs w:val="20"/>
        </w:rPr>
        <w:t xml:space="preserve">Bus at 64%–83% penetration, and </w:t>
      </w:r>
      <w:r w:rsidR="00536229">
        <w:rPr>
          <w:szCs w:val="20"/>
        </w:rPr>
        <w:t xml:space="preserve">a </w:t>
      </w:r>
      <w:r w:rsidRPr="003C2F0C">
        <w:rPr>
          <w:szCs w:val="20"/>
        </w:rPr>
        <w:t>Bus at 95% renewable penetration.</w:t>
      </w:r>
      <w:r w:rsidR="008C6E42">
        <w:rPr>
          <w:szCs w:val="20"/>
        </w:rPr>
        <w:t xml:space="preserve"> Figure 61 highlights </w:t>
      </w:r>
      <w:r w:rsidR="00C834E7">
        <w:rPr>
          <w:szCs w:val="20"/>
        </w:rPr>
        <w:t>critical contingency and critical buses.</w:t>
      </w:r>
      <w:r w:rsidR="00B60E4E">
        <w:rPr>
          <w:szCs w:val="20"/>
        </w:rPr>
        <w:t xml:space="preserve"> </w:t>
      </w:r>
      <w:r w:rsidR="004724AD">
        <w:rPr>
          <w:szCs w:val="20"/>
        </w:rPr>
        <w:t xml:space="preserve"> </w:t>
      </w:r>
      <w:r w:rsidR="00F973AA" w:rsidRPr="005F1D86">
        <w:t xml:space="preserve">The key contributions of </w:t>
      </w:r>
      <w:r w:rsidR="00F973AA">
        <w:t xml:space="preserve">this </w:t>
      </w:r>
      <w:r w:rsidR="00951A3B">
        <w:t>task</w:t>
      </w:r>
      <w:r w:rsidR="00F973AA">
        <w:t xml:space="preserve"> </w:t>
      </w:r>
      <w:r w:rsidR="00F973AA" w:rsidRPr="005F1D86">
        <w:t>include</w:t>
      </w:r>
      <w:r w:rsidR="00F973AA">
        <w:t>:</w:t>
      </w:r>
    </w:p>
    <w:p w14:paraId="19ABB1A2" w14:textId="6ADDA211" w:rsidR="00F973AA" w:rsidRPr="00F973AA" w:rsidRDefault="00951A3B" w:rsidP="00F12E16">
      <w:pPr>
        <w:pStyle w:val="BodyText"/>
        <w:numPr>
          <w:ilvl w:val="0"/>
          <w:numId w:val="103"/>
        </w:numPr>
        <w:spacing w:before="60" w:after="60"/>
      </w:pPr>
      <w:r>
        <w:t>Large-disturbance voltage stability (</w:t>
      </w:r>
      <w:r w:rsidR="00F973AA" w:rsidRPr="00F973AA">
        <w:t>LDVS</w:t>
      </w:r>
      <w:r>
        <w:t>)</w:t>
      </w:r>
      <w:r w:rsidR="00F973AA" w:rsidRPr="00F973AA">
        <w:t xml:space="preserve"> was evaluated to assess the system’s ability to maintain acceptable voltages following severe disturbances such as faults, line outages, or generator trips.</w:t>
      </w:r>
    </w:p>
    <w:p w14:paraId="6ACA4394" w14:textId="77777777" w:rsidR="00F973AA" w:rsidRPr="00F973AA" w:rsidRDefault="00F973AA" w:rsidP="00F12E16">
      <w:pPr>
        <w:pStyle w:val="BodyText"/>
        <w:numPr>
          <w:ilvl w:val="0"/>
          <w:numId w:val="103"/>
        </w:numPr>
        <w:spacing w:before="60" w:after="60"/>
      </w:pPr>
      <w:r w:rsidRPr="00F973AA">
        <w:t xml:space="preserve">Time-domain simulations using DIgSILENT </w:t>
      </w:r>
      <w:proofErr w:type="spellStart"/>
      <w:r w:rsidRPr="00F973AA">
        <w:t>PowerFactory</w:t>
      </w:r>
      <w:proofErr w:type="spellEnd"/>
      <w:r w:rsidRPr="00F973AA">
        <w:t xml:space="preserve"> with AEMO composite load models were performed to capture dynamic load behaviour, particularly induction motors. Adaptive continuation methods were applied to quantify voltage stability margins and identify critical contingencies and weak buses.</w:t>
      </w:r>
    </w:p>
    <w:p w14:paraId="6C8F79A7" w14:textId="77777777" w:rsidR="00F973AA" w:rsidRPr="00F973AA" w:rsidRDefault="00F973AA" w:rsidP="00F12E16">
      <w:pPr>
        <w:pStyle w:val="BodyText"/>
        <w:numPr>
          <w:ilvl w:val="0"/>
          <w:numId w:val="103"/>
        </w:numPr>
        <w:spacing w:before="60" w:after="60"/>
        <w:rPr>
          <w:szCs w:val="20"/>
        </w:rPr>
      </w:pPr>
      <w:r w:rsidRPr="00F973AA">
        <w:t>Both short-term voltage stability (STVS) and long-term voltage stability (LTVS) were analysed to provide a</w:t>
      </w:r>
      <w:r w:rsidRPr="00F973AA">
        <w:rPr>
          <w:szCs w:val="20"/>
        </w:rPr>
        <w:t xml:space="preserve"> comprehensive understanding of immediate and delayed voltage responses in high-IBR systems.</w:t>
      </w:r>
    </w:p>
    <w:p w14:paraId="7D226353" w14:textId="2B2BBA8D" w:rsidR="00F973AA" w:rsidRDefault="00150BC5" w:rsidP="00F973AA">
      <w:pPr>
        <w:pStyle w:val="BodyText"/>
        <w:spacing w:line="240" w:lineRule="auto"/>
        <w:rPr>
          <w:lang w:val="en-US"/>
        </w:rPr>
      </w:pPr>
      <w:r w:rsidRPr="001875FD">
        <w:t xml:space="preserve">Small-disturbance voltage stability was assessed via Continuation Power Flow (CPF), revealing that incremental load growth, higher renewable integration, and </w:t>
      </w:r>
      <w:r w:rsidR="00861D12">
        <w:t>integrating</w:t>
      </w:r>
      <w:r w:rsidR="00B612B6">
        <w:t xml:space="preserve"> new </w:t>
      </w:r>
      <w:r w:rsidRPr="001875FD">
        <w:t xml:space="preserve">large AI-driven data </w:t>
      </w:r>
      <w:proofErr w:type="spellStart"/>
      <w:r w:rsidRPr="001875FD">
        <w:t>center</w:t>
      </w:r>
      <w:proofErr w:type="spellEnd"/>
      <w:r w:rsidRPr="001875FD">
        <w:t xml:space="preserve"> loads (500–1000 MW) significantly reduce stability margins and security envelopes. </w:t>
      </w:r>
      <w:r w:rsidR="00CA4823" w:rsidRPr="00CA4823">
        <w:rPr>
          <w:lang w:val="en-US"/>
        </w:rPr>
        <w:t xml:space="preserve">The main insight from the extended results is that voltage stability degradation is not caused only by higher renewable penetration or higher load level individually, but by the combined effect of reduced synchronous support, increased loading, and concentrated power-electronics-heavy demand. </w:t>
      </w:r>
      <w:r w:rsidR="006D5BF0">
        <w:rPr>
          <w:lang w:val="en-US"/>
        </w:rPr>
        <w:t>The results show that</w:t>
      </w:r>
      <w:r w:rsidR="00CA4823" w:rsidRPr="00CA4823">
        <w:rPr>
          <w:lang w:val="en-US"/>
        </w:rPr>
        <w:t xml:space="preserve"> future planning studies should consider not only the size of emerging large loads, but also their location, dynamic behaviour, reactive power demand, and interaction with high inverter-based renewable generation.</w:t>
      </w:r>
      <w:r w:rsidR="00F973AA">
        <w:rPr>
          <w:lang w:val="en-US"/>
        </w:rPr>
        <w:t xml:space="preserve"> </w:t>
      </w:r>
      <w:r w:rsidR="00F973AA" w:rsidRPr="005F1D86">
        <w:t xml:space="preserve">The key contributions of </w:t>
      </w:r>
      <w:r w:rsidR="00F973AA">
        <w:t xml:space="preserve">this </w:t>
      </w:r>
      <w:r w:rsidR="00B557B8">
        <w:t>task</w:t>
      </w:r>
      <w:r w:rsidR="00F973AA">
        <w:t xml:space="preserve"> </w:t>
      </w:r>
      <w:r w:rsidR="00F973AA" w:rsidRPr="005F1D86">
        <w:t>include</w:t>
      </w:r>
      <w:r w:rsidR="00F973AA">
        <w:t>:</w:t>
      </w:r>
    </w:p>
    <w:p w14:paraId="2B496F39" w14:textId="5E54745F" w:rsidR="00F973AA" w:rsidRPr="00F973AA" w:rsidRDefault="00B557B8" w:rsidP="00F12E16">
      <w:pPr>
        <w:pStyle w:val="BodyText"/>
        <w:numPr>
          <w:ilvl w:val="0"/>
          <w:numId w:val="102"/>
        </w:numPr>
        <w:spacing w:before="60" w:after="60"/>
      </w:pPr>
      <w:r>
        <w:t>Small-disturbance voltage stability (</w:t>
      </w:r>
      <w:r w:rsidR="00F973AA" w:rsidRPr="00F973AA">
        <w:t>SDVS</w:t>
      </w:r>
      <w:r>
        <w:t>)</w:t>
      </w:r>
      <w:r w:rsidR="00F973AA" w:rsidRPr="00F973AA">
        <w:t xml:space="preserve"> was evaluated to assess the system’s ability to maintain voltages under small perturbations, such as incremental load or generation changes.</w:t>
      </w:r>
    </w:p>
    <w:p w14:paraId="3B3CB227" w14:textId="71CA73D3" w:rsidR="00F973AA" w:rsidRPr="00F973AA" w:rsidRDefault="00472040" w:rsidP="00F12E16">
      <w:pPr>
        <w:pStyle w:val="BodyText"/>
        <w:numPr>
          <w:ilvl w:val="0"/>
          <w:numId w:val="102"/>
        </w:numPr>
        <w:spacing w:before="60" w:after="60"/>
      </w:pPr>
      <w:r w:rsidRPr="00F973AA">
        <w:t>The impact of IBR penetration</w:t>
      </w:r>
      <w:r w:rsidR="00F973AA" w:rsidRPr="00F973AA">
        <w:t xml:space="preserve"> reduced reactive power support from IBRs, and interactions with dynamic loads (e.g., residential induction motors) was analysed to determine system </w:t>
      </w:r>
      <w:proofErr w:type="spellStart"/>
      <w:r w:rsidR="00F973AA" w:rsidRPr="00F973AA">
        <w:t>loadability</w:t>
      </w:r>
      <w:proofErr w:type="spellEnd"/>
      <w:r w:rsidR="00F973AA" w:rsidRPr="00F973AA">
        <w:t xml:space="preserve"> and voltage collapse limits.</w:t>
      </w:r>
    </w:p>
    <w:p w14:paraId="228B50D8" w14:textId="77777777" w:rsidR="00F973AA" w:rsidRPr="00F973AA" w:rsidRDefault="00F973AA" w:rsidP="00F12E16">
      <w:pPr>
        <w:pStyle w:val="BodyText"/>
        <w:numPr>
          <w:ilvl w:val="0"/>
          <w:numId w:val="102"/>
        </w:numPr>
        <w:spacing w:before="60" w:after="60"/>
      </w:pPr>
      <w:r w:rsidRPr="00F973AA">
        <w:t>Adaptive continuation power flow (adaptive P–V curve) studies were performed to identify critical loading conditions and maximum permissible loads, providing practical inputs for stability screening and operational planning.</w:t>
      </w:r>
    </w:p>
    <w:p w14:paraId="63D30122" w14:textId="47A0741C" w:rsidR="00F973AA" w:rsidRDefault="00391D7F" w:rsidP="00F973AA">
      <w:pPr>
        <w:pStyle w:val="BodyText"/>
      </w:pPr>
      <w:r w:rsidRPr="00E27D3B">
        <w:t xml:space="preserve">For </w:t>
      </w:r>
      <w:r w:rsidRPr="00E27D3B">
        <w:rPr>
          <w:b/>
          <w:bCs/>
        </w:rPr>
        <w:t>large loads</w:t>
      </w:r>
      <w:r w:rsidRPr="00E27D3B">
        <w:t xml:space="preserve">, such as AI data centres, the project developed a generic dynamic load model based on the Composite Load Model (CMLD) framework, extended to capture power electronic </w:t>
      </w:r>
      <w:r w:rsidRPr="00E27D3B">
        <w:lastRenderedPageBreak/>
        <w:t>load behavio</w:t>
      </w:r>
      <w:r w:rsidR="006267E0" w:rsidRPr="00E27D3B">
        <w:t>u</w:t>
      </w:r>
      <w:r w:rsidRPr="00E27D3B">
        <w:t xml:space="preserve">r, internal redundancy, and ride-through characteristics. These loads, ranging from tens of megawatts to multiple gigawatts and connecting directly to transmission or sub-transmission networks, introduce concentrated operational and planning challenges. The model supports electromechanical stability studies (RMS/phasor domain) below 10–15 Hz. It is complemented by a tailored Dynamic Model Acceptance Test (DMAT) framework in consultation with AEMO. This approach provides a technically defensible and scalable methodology for representing emerging large loads in </w:t>
      </w:r>
      <w:r w:rsidR="006267E0" w:rsidRPr="00E27D3B">
        <w:t xml:space="preserve">the </w:t>
      </w:r>
      <w:r w:rsidRPr="00E27D3B">
        <w:t xml:space="preserve">absence of </w:t>
      </w:r>
      <w:r w:rsidR="006267E0" w:rsidRPr="00E27D3B">
        <w:t>Original Equipment Manufacturer (</w:t>
      </w:r>
      <w:r w:rsidRPr="00E27D3B">
        <w:t>OEM</w:t>
      </w:r>
      <w:r w:rsidR="006267E0" w:rsidRPr="00E27D3B">
        <w:t>)</w:t>
      </w:r>
      <w:r w:rsidRPr="00E27D3B">
        <w:t xml:space="preserve"> specific model, enhancing confidence in system stability studies, and laying the foundation for future risk-based mode</w:t>
      </w:r>
      <w:r w:rsidR="006267E0" w:rsidRPr="00E27D3B">
        <w:t>l</w:t>
      </w:r>
      <w:r w:rsidRPr="00E27D3B">
        <w:t>ling standards and regulatory frameworks.</w:t>
      </w:r>
      <w:r w:rsidR="00F973AA">
        <w:t xml:space="preserve"> </w:t>
      </w:r>
      <w:r w:rsidR="00F973AA" w:rsidRPr="005F1D86">
        <w:t xml:space="preserve">The key contributions of </w:t>
      </w:r>
      <w:r w:rsidR="00F973AA">
        <w:t xml:space="preserve">this </w:t>
      </w:r>
      <w:r w:rsidR="00D7267C">
        <w:t>task</w:t>
      </w:r>
      <w:r w:rsidR="00F973AA">
        <w:t xml:space="preserve"> </w:t>
      </w:r>
      <w:r w:rsidR="00F973AA" w:rsidRPr="005F1D86">
        <w:t>include</w:t>
      </w:r>
      <w:r w:rsidR="00F973AA">
        <w:t>:</w:t>
      </w:r>
    </w:p>
    <w:p w14:paraId="30DF5064" w14:textId="77777777" w:rsidR="00F973AA" w:rsidRDefault="00F973AA" w:rsidP="00F12E16">
      <w:pPr>
        <w:pStyle w:val="BodyText"/>
        <w:numPr>
          <w:ilvl w:val="0"/>
          <w:numId w:val="104"/>
        </w:numPr>
        <w:spacing w:before="60" w:after="60"/>
      </w:pPr>
      <w:r w:rsidRPr="00F973AA">
        <w:t>Large-load modelling was developed using the Composite Load Model (CMLD) framework, where generic models capturing converter behaviour, ride-through capability, and redundancy were created for RMS studies.</w:t>
      </w:r>
    </w:p>
    <w:p w14:paraId="6E6D52C6" w14:textId="77777777" w:rsidR="00F973AA" w:rsidRDefault="00F973AA" w:rsidP="00F12E16">
      <w:pPr>
        <w:pStyle w:val="BodyText"/>
        <w:numPr>
          <w:ilvl w:val="0"/>
          <w:numId w:val="104"/>
        </w:numPr>
        <w:spacing w:before="0" w:after="60" w:line="240" w:lineRule="auto"/>
      </w:pPr>
      <w:r w:rsidRPr="00F973AA">
        <w:t>The developed models were validated against simulation results, and their integration into IBR-dominated networks was assessed to evaluate their impact on voltage and small-signal stability.</w:t>
      </w:r>
      <w:r>
        <w:t xml:space="preserve"> </w:t>
      </w:r>
    </w:p>
    <w:p w14:paraId="39B7552C" w14:textId="266180DF" w:rsidR="002866F1" w:rsidRPr="00E27D3B" w:rsidRDefault="00F973AA" w:rsidP="00F12E16">
      <w:pPr>
        <w:pStyle w:val="BodyText"/>
        <w:numPr>
          <w:ilvl w:val="0"/>
          <w:numId w:val="104"/>
        </w:numPr>
        <w:spacing w:before="0" w:after="60" w:line="240" w:lineRule="auto"/>
      </w:pPr>
      <w:r w:rsidRPr="00F973AA">
        <w:t>A Dynamic Model Acceptance Test (DMAT) framework was developed with AEMO to provide standardized testing procedures, enabling robust planning and risk assessment for emerging large loads.</w:t>
      </w:r>
    </w:p>
    <w:p w14:paraId="59E2196C" w14:textId="386060D9" w:rsidR="00AD49BB" w:rsidRDefault="21CC5480" w:rsidP="00F973AA">
      <w:pPr>
        <w:pStyle w:val="BodyText"/>
      </w:pPr>
      <w:r>
        <w:t xml:space="preserve">Overall, Stage 5 delivers an integrated framework for </w:t>
      </w:r>
      <w:r w:rsidRPr="60762895">
        <w:rPr>
          <w:b/>
          <w:bCs/>
        </w:rPr>
        <w:t>assessing small-signal</w:t>
      </w:r>
      <w:r w:rsidR="62388D83" w:rsidRPr="60762895">
        <w:rPr>
          <w:b/>
          <w:bCs/>
        </w:rPr>
        <w:t xml:space="preserve"> stability</w:t>
      </w:r>
      <w:r w:rsidRPr="60762895">
        <w:rPr>
          <w:b/>
          <w:bCs/>
        </w:rPr>
        <w:t xml:space="preserve"> and </w:t>
      </w:r>
      <w:r w:rsidR="01C0FC77" w:rsidRPr="60762895">
        <w:rPr>
          <w:b/>
          <w:bCs/>
        </w:rPr>
        <w:t>small-/</w:t>
      </w:r>
      <w:r w:rsidRPr="60762895">
        <w:rPr>
          <w:b/>
          <w:bCs/>
        </w:rPr>
        <w:t>large-disturbance voltage stability</w:t>
      </w:r>
      <w:r>
        <w:t xml:space="preserve">, combining white-box, black-box, and data-driven methods. </w:t>
      </w:r>
    </w:p>
    <w:p w14:paraId="61A62A80" w14:textId="587144F9" w:rsidR="0013180D" w:rsidRPr="00E27D3B" w:rsidRDefault="0013180D" w:rsidP="00CD4F3A">
      <w:pPr>
        <w:pStyle w:val="BodyText"/>
        <w:spacing w:before="0" w:line="240" w:lineRule="auto"/>
      </w:pPr>
      <w:r w:rsidRPr="0013180D">
        <w:t xml:space="preserve">The outcomes achieved through these </w:t>
      </w:r>
      <w:r w:rsidR="00A42450">
        <w:t xml:space="preserve">tasks </w:t>
      </w:r>
      <w:r w:rsidRPr="0013180D">
        <w:t xml:space="preserve">provide valuable insights into the dynamic behaviour of power systems with high penetration of IBRs and </w:t>
      </w:r>
      <w:r w:rsidR="00A42450">
        <w:t>inverter</w:t>
      </w:r>
      <w:r w:rsidRPr="0013180D">
        <w:t>-</w:t>
      </w:r>
      <w:r w:rsidR="00A42450">
        <w:t>based</w:t>
      </w:r>
      <w:r w:rsidRPr="0013180D">
        <w:t xml:space="preserve"> loads</w:t>
      </w:r>
      <w:r w:rsidR="00A42450">
        <w:t xml:space="preserve"> (IBLs)</w:t>
      </w:r>
      <w:r w:rsidRPr="0013180D">
        <w:t>, supporting improved stability assessment, control evaluation, and future power system planning.</w:t>
      </w:r>
    </w:p>
    <w:p w14:paraId="51F638E6" w14:textId="61E43816" w:rsidR="00AD49BB" w:rsidRPr="00E27D3B" w:rsidRDefault="00AD49BB" w:rsidP="00F973AA">
      <w:pPr>
        <w:pStyle w:val="BodyText"/>
      </w:pPr>
      <w:r w:rsidRPr="00E27D3B">
        <w:t>In relation to the 2021 Topic 2 Research Roadmap</w:t>
      </w:r>
      <w:r w:rsidR="00B92820" w:rsidRPr="00E27D3B">
        <w:t xml:space="preserve"> and previous </w:t>
      </w:r>
      <w:r w:rsidR="005D74D1" w:rsidRPr="00E27D3B">
        <w:t>S</w:t>
      </w:r>
      <w:r w:rsidR="00B92820" w:rsidRPr="00E27D3B">
        <w:t>tage</w:t>
      </w:r>
      <w:r w:rsidR="005D74D1" w:rsidRPr="00E27D3B">
        <w:t>s</w:t>
      </w:r>
      <w:r w:rsidRPr="00E27D3B">
        <w:t xml:space="preserve">, the Stage 5 </w:t>
      </w:r>
      <w:r w:rsidR="005C1FBB" w:rsidRPr="00E27D3B">
        <w:t>work done in this project addresses the topics listed below and advances the work by respective estimated percentage amounts</w:t>
      </w:r>
      <w:r w:rsidR="009D254E" w:rsidRPr="00E27D3B">
        <w:t>:</w:t>
      </w:r>
    </w:p>
    <w:p w14:paraId="6DF1A246" w14:textId="04F69272" w:rsidR="00AD49BB" w:rsidRPr="00E27D3B" w:rsidRDefault="00AD49BB" w:rsidP="00CD4F3A">
      <w:pPr>
        <w:pStyle w:val="BodyText"/>
        <w:numPr>
          <w:ilvl w:val="0"/>
          <w:numId w:val="32"/>
        </w:numPr>
        <w:spacing w:line="240" w:lineRule="auto"/>
      </w:pPr>
      <w:r w:rsidRPr="00E27D3B">
        <w:t xml:space="preserve">Stability margin evaluation (critical topic) </w:t>
      </w:r>
      <w:r w:rsidR="00175B72" w:rsidRPr="00E27D3B">
        <w:t>– progressed from 85% to 95%</w:t>
      </w:r>
    </w:p>
    <w:p w14:paraId="69EB45A6" w14:textId="5057D70B" w:rsidR="00AD49BB" w:rsidRPr="00E27D3B" w:rsidRDefault="00AD49BB" w:rsidP="00CD4F3A">
      <w:pPr>
        <w:pStyle w:val="BodyText"/>
        <w:numPr>
          <w:ilvl w:val="0"/>
          <w:numId w:val="32"/>
        </w:numPr>
        <w:spacing w:line="240" w:lineRule="auto"/>
      </w:pPr>
      <w:r w:rsidRPr="00E27D3B">
        <w:t xml:space="preserve">Small-signal stability screening methods (critical topic) </w:t>
      </w:r>
      <w:r w:rsidR="00175B72" w:rsidRPr="00E27D3B">
        <w:t>– progressed from 85% to 95%</w:t>
      </w:r>
    </w:p>
    <w:p w14:paraId="01DBD2A4" w14:textId="3AC210CF" w:rsidR="00AD49BB" w:rsidRPr="00E27D3B" w:rsidRDefault="00CA4160" w:rsidP="00CD4F3A">
      <w:pPr>
        <w:pStyle w:val="BodyText"/>
        <w:numPr>
          <w:ilvl w:val="0"/>
          <w:numId w:val="32"/>
        </w:numPr>
        <w:spacing w:line="240" w:lineRule="auto"/>
      </w:pPr>
      <w:r w:rsidRPr="00E27D3B">
        <w:t>V</w:t>
      </w:r>
      <w:r w:rsidR="00AD49BB" w:rsidRPr="00E27D3B">
        <w:t xml:space="preserve">oltage stability (high priority topic) </w:t>
      </w:r>
      <w:r w:rsidR="00CA7E68" w:rsidRPr="00E27D3B">
        <w:t xml:space="preserve">–progressed from </w:t>
      </w:r>
      <w:r w:rsidR="00824620">
        <w:t>2</w:t>
      </w:r>
      <w:r w:rsidR="00CA7E68" w:rsidRPr="00E27D3B">
        <w:t xml:space="preserve">0% to </w:t>
      </w:r>
      <w:r w:rsidR="004134E7">
        <w:t>60</w:t>
      </w:r>
      <w:r w:rsidR="00CA7E68" w:rsidRPr="00E27D3B">
        <w:t>%</w:t>
      </w:r>
    </w:p>
    <w:p w14:paraId="40AD13E1" w14:textId="69A15620" w:rsidR="00465F6D" w:rsidRDefault="007B3352" w:rsidP="00CD4F3A">
      <w:pPr>
        <w:pStyle w:val="BodyText"/>
        <w:numPr>
          <w:ilvl w:val="0"/>
          <w:numId w:val="32"/>
        </w:numPr>
        <w:spacing w:line="240" w:lineRule="auto"/>
      </w:pPr>
      <w:r w:rsidRPr="00E27D3B">
        <w:t>Model and model validation</w:t>
      </w:r>
      <w:r w:rsidR="0078653C" w:rsidRPr="00E27D3B">
        <w:t xml:space="preserve"> (large load, such as data centre load)</w:t>
      </w:r>
      <w:r w:rsidRPr="00E27D3B">
        <w:t xml:space="preserve"> </w:t>
      </w:r>
      <w:r w:rsidR="00CA7E68" w:rsidRPr="00E27D3B">
        <w:t xml:space="preserve">– </w:t>
      </w:r>
      <w:r w:rsidR="00CA7E68" w:rsidRPr="004A75CF">
        <w:rPr>
          <w:b/>
          <w:bCs/>
        </w:rPr>
        <w:t>new research priority</w:t>
      </w:r>
      <w:r w:rsidR="00CA7E68" w:rsidRPr="00E27D3B">
        <w:t>, progressed from 0% to 30%.</w:t>
      </w:r>
    </w:p>
    <w:p w14:paraId="471E1F3E" w14:textId="06219214" w:rsidR="000E7C7B" w:rsidRPr="00465F6D" w:rsidRDefault="00465F6D" w:rsidP="00CD4F3A">
      <w:pPr>
        <w:spacing w:after="0"/>
        <w:rPr>
          <w:sz w:val="24"/>
        </w:rPr>
      </w:pPr>
      <w:r>
        <w:br w:type="page"/>
      </w:r>
    </w:p>
    <w:p w14:paraId="7E1873CC" w14:textId="77777777" w:rsidR="000E7C7B" w:rsidRPr="00E27D3B" w:rsidRDefault="000E7C7B" w:rsidP="00CD4F3A">
      <w:pPr>
        <w:pStyle w:val="BodyText"/>
        <w:spacing w:line="240" w:lineRule="auto"/>
      </w:pPr>
    </w:p>
    <w:bookmarkStart w:id="5" w:name="_Toc233734288" w:displacedByCustomXml="next"/>
    <w:sdt>
      <w:sdtPr>
        <w:rPr>
          <w:rStyle w:val="PartNumber"/>
          <w:b/>
          <w:bCs/>
          <w:sz w:val="24"/>
          <w:szCs w:val="24"/>
        </w:rPr>
        <w:id w:val="-1072508026"/>
        <w:docPartObj>
          <w:docPartGallery w:val="Cover Pages"/>
        </w:docPartObj>
      </w:sdtPr>
      <w:sdtEndPr>
        <w:rPr>
          <w:rStyle w:val="DefaultParagraphFont"/>
          <w:b w:val="0"/>
          <w:bCs w:val="0"/>
          <w:color w:val="000000"/>
        </w:rPr>
      </w:sdtEndPr>
      <w:sdtContent>
        <w:sdt>
          <w:sdtPr>
            <w:rPr>
              <w:rStyle w:val="PartNumber"/>
              <w:b/>
              <w:bCs/>
              <w:sz w:val="24"/>
              <w:szCs w:val="24"/>
            </w:rPr>
            <w:id w:val="493231295"/>
            <w:docPartObj>
              <w:docPartGallery w:val="Cover Pages"/>
            </w:docPartObj>
          </w:sdtPr>
          <w:sdtEndPr>
            <w:rPr>
              <w:rStyle w:val="DefaultParagraphFont"/>
              <w:b w:val="0"/>
              <w:bCs w:val="0"/>
              <w:color w:val="000000"/>
            </w:rPr>
          </w:sdtEndPr>
          <w:sdtContent>
            <w:p w14:paraId="1FD3C619" w14:textId="521A0DE3" w:rsidR="00ED0DD6" w:rsidRPr="00E27D3B" w:rsidRDefault="00ED0DD6" w:rsidP="00CD4F3A">
              <w:pPr>
                <w:pStyle w:val="PartTitle"/>
              </w:pPr>
              <w:r w:rsidRPr="00E27D3B">
                <w:rPr>
                  <w:rStyle w:val="PartNumber"/>
                </w:rPr>
                <w:t>Part I</w:t>
              </w:r>
              <w:r w:rsidRPr="00E27D3B">
                <w:rPr>
                  <w:rStyle w:val="PartNumber"/>
                </w:rPr>
                <w:tab/>
              </w:r>
              <w:r w:rsidR="00C6628B" w:rsidRPr="00E27D3B">
                <w:t xml:space="preserve">Introduction and </w:t>
              </w:r>
              <w:r w:rsidR="00634DEB" w:rsidRPr="00E27D3B">
                <w:t>B</w:t>
              </w:r>
              <w:r w:rsidR="00C6628B" w:rsidRPr="00E27D3B">
                <w:t>ackground</w:t>
              </w:r>
              <w:bookmarkEnd w:id="5"/>
            </w:p>
            <w:p w14:paraId="3E261DC5" w14:textId="03ED31CA" w:rsidR="00ED0DD6" w:rsidRPr="00E27D3B" w:rsidRDefault="00984B23" w:rsidP="00CD4F3A">
              <w:pPr>
                <w:pStyle w:val="BodyText"/>
                <w:spacing w:line="240" w:lineRule="auto"/>
              </w:pPr>
            </w:p>
          </w:sdtContent>
        </w:sdt>
        <w:p w14:paraId="5750D599" w14:textId="77777777" w:rsidR="00ED0DD6" w:rsidRPr="00E27D3B" w:rsidRDefault="00ED0DD6"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535360" behindDoc="1" locked="0" layoutInCell="1" allowOverlap="1" wp14:anchorId="723862BC" wp14:editId="45686F4E">
                    <wp:simplePos x="0" y="0"/>
                    <wp:positionH relativeFrom="page">
                      <wp:posOffset>0</wp:posOffset>
                    </wp:positionH>
                    <wp:positionV relativeFrom="page">
                      <wp:align>bottom</wp:align>
                    </wp:positionV>
                    <wp:extent cx="7596000" cy="5400000"/>
                    <wp:effectExtent l="0" t="0" r="5080" b="0"/>
                    <wp:wrapNone/>
                    <wp:docPr id="1860356412" name="Text Box 18603564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240997832"/>
                                  <w:picture/>
                                </w:sdtPr>
                                <w:sdtEndPr/>
                                <w:sdtContent>
                                  <w:p w14:paraId="1E836879" w14:textId="77777777" w:rsidR="00ED0DD6" w:rsidRDefault="00ED0DD6" w:rsidP="00ED0DD6">
                                    <w:r>
                                      <w:rPr>
                                        <w:noProof/>
                                      </w:rPr>
                                      <w:drawing>
                                        <wp:inline distT="0" distB="0" distL="0" distR="0" wp14:anchorId="1EC02500" wp14:editId="17A3527E">
                                          <wp:extent cx="7635600" cy="5426540"/>
                                          <wp:effectExtent l="0" t="0" r="3810" b="3175"/>
                                          <wp:docPr id="8130448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862BC" id="Text Box 1860356412" o:spid="_x0000_s1027" type="#_x0000_t202" alt="&quot;&quot;" style="position:absolute;margin-left:0;margin-top:0;width:598.1pt;height:425.2pt;z-index:-25178112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" fillcolor="#00a9ce [3204]" stroked="f" strokeweight=".5pt">
                    <v:textbox inset="0,0,0,0">
                      <w:txbxContent>
                        <w:sdt>
                          <w:sdtPr>
                            <w:id w:val="240997832"/>
                            <w:picture/>
                          </w:sdtPr>
                          <w:sdtEndPr/>
                          <w:sdtContent>
                            <w:p w14:paraId="1E836879" w14:textId="77777777" w:rsidR="00ED0DD6" w:rsidRDefault="00ED0DD6" w:rsidP="00ED0DD6">
                              <w:r>
                                <w:rPr>
                                  <w:noProof/>
                                </w:rPr>
                                <w:drawing>
                                  <wp:inline distT="0" distB="0" distL="0" distR="0" wp14:anchorId="1EC02500" wp14:editId="17A3527E">
                                    <wp:extent cx="7635600" cy="5426540"/>
                                    <wp:effectExtent l="0" t="0" r="3810" b="3175"/>
                                    <wp:docPr id="8130448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543552" behindDoc="1" locked="1" layoutInCell="1" allowOverlap="1" wp14:anchorId="005EC3B8" wp14:editId="5282DE4C">
                    <wp:simplePos x="0" y="0"/>
                    <wp:positionH relativeFrom="page">
                      <wp:align>left</wp:align>
                    </wp:positionH>
                    <wp:positionV relativeFrom="page">
                      <wp:align>top</wp:align>
                    </wp:positionV>
                    <wp:extent cx="7559675" cy="5345430"/>
                    <wp:effectExtent l="0" t="0" r="3175" b="7620"/>
                    <wp:wrapNone/>
                    <wp:docPr id="1375650348"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B53D4" id="Rectangle 85" o:spid="_x0000_s1026" alt="&quot;&quot;" style="position:absolute;margin-left:0;margin-top:0;width:595.25pt;height:420.9pt;z-index:-2517729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76C4DB0D" w14:textId="77777777" w:rsidR="001661CB" w:rsidRPr="00E27D3B" w:rsidRDefault="001661CB" w:rsidP="00CD4F3A">
      <w:pPr>
        <w:pStyle w:val="Heading1"/>
        <w:spacing w:line="240" w:lineRule="auto"/>
      </w:pPr>
      <w:bookmarkStart w:id="6" w:name="_Toc233734289"/>
      <w:r w:rsidRPr="00E27D3B">
        <w:lastRenderedPageBreak/>
        <w:t>Introduction and Background</w:t>
      </w:r>
      <w:bookmarkEnd w:id="6"/>
      <w:r w:rsidRPr="00E27D3B">
        <w:t xml:space="preserve"> </w:t>
      </w:r>
    </w:p>
    <w:p w14:paraId="4C3C0261" w14:textId="177B785A" w:rsidR="00E6008B" w:rsidRPr="00E27D3B" w:rsidRDefault="00E6008B" w:rsidP="00CD4F3A">
      <w:pPr>
        <w:pStyle w:val="Heading2"/>
      </w:pPr>
      <w:bookmarkStart w:id="7" w:name="_Toc233734290"/>
      <w:r w:rsidRPr="00E27D3B">
        <w:t>Background</w:t>
      </w:r>
      <w:bookmarkEnd w:id="7"/>
    </w:p>
    <w:p w14:paraId="3E02FAB6" w14:textId="77777777" w:rsidR="00EB6D0D" w:rsidRPr="00C90E7F" w:rsidRDefault="00EB6D0D" w:rsidP="00CD4F3A">
      <w:pPr>
        <w:spacing w:after="0"/>
        <w:rPr>
          <w:color w:val="000000" w:themeColor="text1"/>
          <w:sz w:val="24"/>
          <w:szCs w:val="24"/>
        </w:rPr>
      </w:pPr>
      <w:r w:rsidRPr="00C90E7F">
        <w:rPr>
          <w:color w:val="000000" w:themeColor="text1"/>
          <w:sz w:val="24"/>
          <w:szCs w:val="24"/>
        </w:rPr>
        <w:t xml:space="preserve">The modern power system is undergoing a significant transformation due to the rapid growth of inverter-based resources (IBRs), distributed energy resources (DERs), and the reduction of synchronous generation capacity. These changes introduce fast, control-dominated dynamics, reduced system inertia, and altered voltage and reactive power behaviours, which challenge traditional stability assessment methods. Simultaneously, emerging high-density, converter-dominated loads (such as AI data centres, cryptocurrency mining facilities, and green hydrogen plants) introduce new operational challenges, including rapid load ramping, large power draw, and direct connection to transmission or sub-transmission networks. The reasons of considering voltage stability as more dominant in this project are: (1) In this project, voltage stability is adopted as one of the primary analytical goals. This choice is technically motivated by the central role of voltage and reactive power control in IBR-based systems, particularly under weak-grid conditions where voltage–control interactions can give rise to poorly damped or unstable modes. (2) In addition, the focus on voltage stability aligns with key research priorities identified by industry stakeholders, including CSIRO and AEMO, where voltage stability assessment in IBR-dominated systems has been highlighted as a critical challenge, and (3) This was also a defined objective in the underlying project proposal, further motivating the emphasis adopted in this project. </w:t>
      </w:r>
    </w:p>
    <w:p w14:paraId="3FF1349F" w14:textId="78EE1A39" w:rsidR="002561A3" w:rsidRPr="00EB6D0D" w:rsidRDefault="00EB6D0D" w:rsidP="00703B8E">
      <w:pPr>
        <w:spacing w:after="0"/>
        <w:rPr>
          <w:color w:val="000000" w:themeColor="text1"/>
          <w:sz w:val="24"/>
          <w:szCs w:val="24"/>
        </w:rPr>
      </w:pPr>
      <w:r w:rsidRPr="00C90E7F">
        <w:rPr>
          <w:color w:val="000000" w:themeColor="text1"/>
          <w:sz w:val="24"/>
          <w:szCs w:val="24"/>
        </w:rPr>
        <w:t xml:space="preserve">Figure 1 and Figure 2 illustrate the classification of modern power system stability and the time scales of power system transients, respectively, highlighting how these </w:t>
      </w:r>
      <w:r w:rsidR="00472040">
        <w:rPr>
          <w:color w:val="000000" w:themeColor="text1"/>
          <w:sz w:val="24"/>
          <w:szCs w:val="24"/>
        </w:rPr>
        <w:t xml:space="preserve">emerging </w:t>
      </w:r>
      <w:r w:rsidR="00472040" w:rsidRPr="00C90E7F">
        <w:rPr>
          <w:color w:val="000000" w:themeColor="text1"/>
          <w:sz w:val="24"/>
          <w:szCs w:val="24"/>
        </w:rPr>
        <w:t>dynamics</w:t>
      </w:r>
      <w:r w:rsidRPr="00C90E7F">
        <w:rPr>
          <w:color w:val="000000" w:themeColor="text1"/>
          <w:sz w:val="24"/>
          <w:szCs w:val="24"/>
        </w:rPr>
        <w:t xml:space="preserve"> interact across different stability categories and temporal scales ‎[1],‎</w:t>
      </w:r>
      <w:r w:rsidR="00C90E7F">
        <w:rPr>
          <w:color w:val="000000" w:themeColor="text1"/>
          <w:sz w:val="24"/>
          <w:szCs w:val="24"/>
        </w:rPr>
        <w:t xml:space="preserve"> </w:t>
      </w:r>
      <w:r w:rsidRPr="00C90E7F">
        <w:rPr>
          <w:color w:val="000000" w:themeColor="text1"/>
          <w:sz w:val="24"/>
          <w:szCs w:val="24"/>
        </w:rPr>
        <w:t>[2]</w:t>
      </w:r>
      <w:r w:rsidR="4C89F9FD" w:rsidRPr="00C90E7F">
        <w:rPr>
          <w:color w:val="000000" w:themeColor="text1"/>
          <w:sz w:val="24"/>
          <w:szCs w:val="24"/>
        </w:rPr>
        <w:t>.</w:t>
      </w:r>
      <w:r w:rsidR="00BD1F59" w:rsidRPr="00C90E7F">
        <w:t xml:space="preserve"> </w:t>
      </w:r>
      <w:r w:rsidR="00BD1F59" w:rsidRPr="00C90E7F">
        <w:rPr>
          <w:color w:val="000000" w:themeColor="text1"/>
          <w:sz w:val="24"/>
          <w:szCs w:val="24"/>
        </w:rPr>
        <w:t xml:space="preserve">Specifically, the electromechanical time-scale </w:t>
      </w:r>
      <w:r w:rsidR="00BD1F59" w:rsidRPr="00703B8E">
        <w:rPr>
          <w:color w:val="000000" w:themeColor="text1"/>
          <w:sz w:val="24"/>
          <w:szCs w:val="24"/>
        </w:rPr>
        <w:t xml:space="preserve">dynamics </w:t>
      </w:r>
      <w:r w:rsidR="00703B8E" w:rsidRPr="00F12E16">
        <w:rPr>
          <w:color w:val="000000" w:themeColor="text1"/>
          <w:sz w:val="24"/>
          <w:szCs w:val="24"/>
        </w:rPr>
        <w:t>are traditionally associated with rotor-angle oscillations and mechanical control influences in synchronous generator-based systems</w:t>
      </w:r>
      <w:r w:rsidR="00703B8E" w:rsidRPr="00703B8E">
        <w:rPr>
          <w:color w:val="000000" w:themeColor="text1"/>
          <w:sz w:val="24"/>
          <w:szCs w:val="24"/>
        </w:rPr>
        <w:t xml:space="preserve">, while </w:t>
      </w:r>
      <w:r w:rsidR="00703B8E" w:rsidRPr="00F12E16">
        <w:rPr>
          <w:color w:val="000000" w:themeColor="text1"/>
          <w:sz w:val="24"/>
          <w:szCs w:val="24"/>
        </w:rPr>
        <w:t>IBRs introduce additional control-loop-driven dynamics that can influence system oscillatory behaviour. T</w:t>
      </w:r>
      <w:r w:rsidR="00703B8E">
        <w:rPr>
          <w:color w:val="000000" w:themeColor="text1"/>
          <w:sz w:val="24"/>
          <w:szCs w:val="24"/>
        </w:rPr>
        <w:t>he</w:t>
      </w:r>
      <w:r w:rsidR="00BD1F59" w:rsidRPr="00C90E7F">
        <w:rPr>
          <w:color w:val="000000" w:themeColor="text1"/>
          <w:sz w:val="24"/>
          <w:szCs w:val="24"/>
        </w:rPr>
        <w:t xml:space="preserve"> slower dynamics are associated with small- and large-disturbance voltage stability, encompassing both short- and long-term behaviour. These perspectives further support the development of stability indices and the modelling of large loads within the proposed research framework.</w:t>
      </w:r>
    </w:p>
    <w:p w14:paraId="237CA0E3" w14:textId="7ED50CC4" w:rsidR="002561A3" w:rsidRPr="00E27D3B" w:rsidRDefault="002561A3" w:rsidP="00703B8E">
      <w:pPr>
        <w:spacing w:after="0"/>
        <w:rPr>
          <w:sz w:val="24"/>
          <w:szCs w:val="24"/>
        </w:rPr>
      </w:pPr>
      <w:r w:rsidRPr="00E27D3B">
        <w:rPr>
          <w:sz w:val="24"/>
          <w:szCs w:val="24"/>
        </w:rPr>
        <w:t xml:space="preserve">IBRs are </w:t>
      </w:r>
      <w:r w:rsidRPr="00703B8E">
        <w:rPr>
          <w:sz w:val="24"/>
          <w:szCs w:val="24"/>
        </w:rPr>
        <w:t xml:space="preserve">primarily classified into grid-following inverters (GFLIs) and grid-forming inverters (GFMIs), each with distinct dynamic characteristics suited for different grid conditions. GFLIs operate stably in strong grids, synchronizing with the existing voltage and frequency and acting as </w:t>
      </w:r>
      <w:r w:rsidR="00703B8E" w:rsidRPr="00703B8E">
        <w:rPr>
          <w:sz w:val="24"/>
          <w:szCs w:val="24"/>
        </w:rPr>
        <w:t xml:space="preserve">controlled </w:t>
      </w:r>
      <w:r w:rsidRPr="00703B8E">
        <w:rPr>
          <w:sz w:val="24"/>
          <w:szCs w:val="24"/>
        </w:rPr>
        <w:t>current sources</w:t>
      </w:r>
      <w:r w:rsidR="00703B8E" w:rsidRPr="00703B8E">
        <w:rPr>
          <w:sz w:val="24"/>
          <w:szCs w:val="24"/>
        </w:rPr>
        <w:t xml:space="preserve">; however, under weak grid conditions, </w:t>
      </w:r>
      <w:r w:rsidR="00703B8E" w:rsidRPr="00F12E16">
        <w:rPr>
          <w:sz w:val="24"/>
          <w:szCs w:val="24"/>
        </w:rPr>
        <w:t xml:space="preserve">they may reduce system damping and affect oscillatory </w:t>
      </w:r>
      <w:proofErr w:type="spellStart"/>
      <w:r w:rsidR="00703B8E" w:rsidRPr="00F12E16">
        <w:rPr>
          <w:sz w:val="24"/>
          <w:szCs w:val="24"/>
        </w:rPr>
        <w:t>stability</w:t>
      </w:r>
      <w:r w:rsidR="00703B8E" w:rsidRPr="00703B8E">
        <w:rPr>
          <w:sz w:val="24"/>
          <w:szCs w:val="24"/>
        </w:rPr>
        <w:t>.</w:t>
      </w:r>
      <w:r w:rsidRPr="00703B8E">
        <w:rPr>
          <w:sz w:val="24"/>
          <w:szCs w:val="24"/>
        </w:rPr>
        <w:t>In</w:t>
      </w:r>
      <w:proofErr w:type="spellEnd"/>
      <w:r w:rsidRPr="00703B8E">
        <w:rPr>
          <w:sz w:val="24"/>
          <w:szCs w:val="24"/>
        </w:rPr>
        <w:t xml:space="preserve"> contrast, GFMIs </w:t>
      </w:r>
      <w:r w:rsidR="00843D27">
        <w:rPr>
          <w:sz w:val="24"/>
          <w:szCs w:val="24"/>
        </w:rPr>
        <w:t xml:space="preserve">can </w:t>
      </w:r>
      <w:r w:rsidRPr="00703B8E">
        <w:rPr>
          <w:sz w:val="24"/>
          <w:szCs w:val="24"/>
        </w:rPr>
        <w:t>actively establish and regulate voltage and frequency, mimicking stabilizing functions of synchronous machines</w:t>
      </w:r>
      <w:r w:rsidR="00703B8E" w:rsidRPr="00703B8E">
        <w:rPr>
          <w:sz w:val="24"/>
          <w:szCs w:val="24"/>
        </w:rPr>
        <w:t>, providing grid-supporting characteristics similar to synchronous machines</w:t>
      </w:r>
      <w:r w:rsidR="00843D27">
        <w:rPr>
          <w:sz w:val="24"/>
          <w:szCs w:val="24"/>
        </w:rPr>
        <w:t>,</w:t>
      </w:r>
      <w:r w:rsidR="00703B8E" w:rsidRPr="00703B8E">
        <w:rPr>
          <w:sz w:val="24"/>
          <w:szCs w:val="24"/>
        </w:rPr>
        <w:t xml:space="preserve"> and contributing to improved damping of system oscillations.</w:t>
      </w:r>
      <w:r w:rsidRPr="00E27D3B">
        <w:rPr>
          <w:sz w:val="24"/>
          <w:szCs w:val="24"/>
        </w:rPr>
        <w:t xml:space="preserve"> As shown in </w:t>
      </w:r>
      <w:r w:rsidR="00E76E1F" w:rsidRPr="00E27D3B">
        <w:rPr>
          <w:sz w:val="24"/>
          <w:szCs w:val="24"/>
        </w:rPr>
        <w:fldChar w:fldCharType="begin"/>
      </w:r>
      <w:r w:rsidR="00E76E1F" w:rsidRPr="00E27D3B">
        <w:rPr>
          <w:sz w:val="24"/>
          <w:szCs w:val="24"/>
        </w:rPr>
        <w:instrText xml:space="preserve"> REF _Ref223643010 \h  \* MERGEFORMAT </w:instrText>
      </w:r>
      <w:r w:rsidR="00E76E1F" w:rsidRPr="00E27D3B">
        <w:rPr>
          <w:sz w:val="24"/>
          <w:szCs w:val="24"/>
        </w:rPr>
      </w:r>
      <w:r w:rsidR="00E76E1F" w:rsidRPr="00E27D3B">
        <w:rPr>
          <w:sz w:val="24"/>
          <w:szCs w:val="24"/>
        </w:rPr>
        <w:fldChar w:fldCharType="separate"/>
      </w:r>
      <w:r w:rsidR="00753DAF" w:rsidRPr="00753DAF">
        <w:rPr>
          <w:sz w:val="24"/>
          <w:szCs w:val="24"/>
        </w:rPr>
        <w:t xml:space="preserve">Figure </w:t>
      </w:r>
      <w:r w:rsidR="00753DAF" w:rsidRPr="00753DAF">
        <w:rPr>
          <w:noProof/>
          <w:sz w:val="24"/>
          <w:szCs w:val="24"/>
        </w:rPr>
        <w:t>2</w:t>
      </w:r>
      <w:r w:rsidR="00E76E1F" w:rsidRPr="00E27D3B">
        <w:rPr>
          <w:sz w:val="24"/>
          <w:szCs w:val="24"/>
        </w:rPr>
        <w:fldChar w:fldCharType="end"/>
      </w:r>
      <w:r w:rsidRPr="00E27D3B">
        <w:rPr>
          <w:sz w:val="24"/>
          <w:szCs w:val="24"/>
        </w:rPr>
        <w:t xml:space="preserve">, </w:t>
      </w:r>
      <w:r w:rsidR="005C4585" w:rsidRPr="00E27D3B">
        <w:rPr>
          <w:sz w:val="24"/>
          <w:szCs w:val="24"/>
        </w:rPr>
        <w:t xml:space="preserve">IBRs </w:t>
      </w:r>
      <w:r w:rsidR="00740ABB" w:rsidRPr="00E27D3B">
        <w:rPr>
          <w:sz w:val="24"/>
          <w:szCs w:val="24"/>
        </w:rPr>
        <w:t xml:space="preserve">introduce stability dynamics across multiple time scales. Fast inner control loops operate at sub-millisecond scales, while slower outer loops—particularly in GFMIs—can influence system voltage stability. This enables GFMIs to support multiple stability functions, including virtual inertia, frequency support, voltage </w:t>
      </w:r>
      <w:r w:rsidR="00740ABB" w:rsidRPr="00E27D3B">
        <w:rPr>
          <w:sz w:val="24"/>
          <w:szCs w:val="24"/>
        </w:rPr>
        <w:lastRenderedPageBreak/>
        <w:t>regulation, and black-start capability, supporting reliable integration of renewable and storage resources.</w:t>
      </w:r>
      <w:r w:rsidR="00BD1F59">
        <w:rPr>
          <w:sz w:val="24"/>
          <w:szCs w:val="24"/>
        </w:rPr>
        <w:t xml:space="preserve"> </w:t>
      </w:r>
    </w:p>
    <w:p w14:paraId="7F34F83B" w14:textId="5C355C77" w:rsidR="002561A3" w:rsidRPr="00E27D3B" w:rsidRDefault="002561A3" w:rsidP="00CD4F3A">
      <w:pPr>
        <w:spacing w:after="0"/>
        <w:rPr>
          <w:sz w:val="24"/>
          <w:szCs w:val="24"/>
        </w:rPr>
      </w:pPr>
      <w:r w:rsidRPr="00E27D3B">
        <w:rPr>
          <w:sz w:val="24"/>
          <w:szCs w:val="24"/>
        </w:rPr>
        <w:t xml:space="preserve">With increasing IBR penetration, conventional voltage and frequency regulation approaches must be revisited. IBRs differ from synchronous generators in reactive power capability, fault response, and dynamic interactions, which can reduce voltage stability margins and introduce new oscillatory modes. </w:t>
      </w:r>
      <w:r w:rsidRPr="00E27D3B">
        <w:rPr>
          <w:sz w:val="24"/>
          <w:szCs w:val="24"/>
        </w:rPr>
        <w:fldChar w:fldCharType="begin"/>
      </w:r>
      <w:r w:rsidRPr="00E27D3B">
        <w:rPr>
          <w:sz w:val="24"/>
          <w:szCs w:val="24"/>
        </w:rPr>
        <w:instrText xml:space="preserve"> REF _Ref223643010 \h  \* MERGEFORMAT </w:instrText>
      </w:r>
      <w:r w:rsidRPr="00E27D3B">
        <w:rPr>
          <w:sz w:val="24"/>
          <w:szCs w:val="24"/>
        </w:rPr>
      </w:r>
      <w:r w:rsidRPr="00E27D3B">
        <w:rPr>
          <w:sz w:val="24"/>
          <w:szCs w:val="24"/>
        </w:rPr>
        <w:fldChar w:fldCharType="separate"/>
      </w:r>
      <w:r w:rsidR="00753DAF" w:rsidRPr="00753DAF">
        <w:rPr>
          <w:sz w:val="24"/>
          <w:szCs w:val="24"/>
        </w:rPr>
        <w:t xml:space="preserve">Figure </w:t>
      </w:r>
      <w:r w:rsidR="00753DAF" w:rsidRPr="00753DAF">
        <w:rPr>
          <w:noProof/>
          <w:sz w:val="24"/>
          <w:szCs w:val="24"/>
        </w:rPr>
        <w:t>2</w:t>
      </w:r>
      <w:r w:rsidRPr="00E27D3B">
        <w:rPr>
          <w:sz w:val="24"/>
          <w:szCs w:val="24"/>
        </w:rPr>
        <w:fldChar w:fldCharType="end"/>
      </w:r>
      <w:r w:rsidRPr="00E27D3B">
        <w:rPr>
          <w:sz w:val="24"/>
          <w:szCs w:val="24"/>
        </w:rPr>
        <w:t xml:space="preserve"> emphasizes how these effects manifest across fast, medium, and slow time-scale transients. Large, high-density loads amplify these challenges, impacting both small-signal and voltage stability. Accurate modelling of both IBRs and large loads is therefore essential for secure and reliable operation of the National Electricity Market (NEM) and Wholesale Electricity Market (WEM).</w:t>
      </w:r>
    </w:p>
    <w:p w14:paraId="2E23F27C" w14:textId="0E0FA1DC" w:rsidR="002561A3" w:rsidRPr="00E27D3B" w:rsidRDefault="002561A3" w:rsidP="00CD4F3A">
      <w:pPr>
        <w:pBdr>
          <w:top w:val="nil"/>
          <w:left w:val="nil"/>
          <w:bottom w:val="nil"/>
          <w:right w:val="nil"/>
          <w:between w:val="nil"/>
        </w:pBdr>
        <w:rPr>
          <w:sz w:val="24"/>
          <w:szCs w:val="24"/>
        </w:rPr>
      </w:pPr>
      <w:r w:rsidRPr="00E27D3B">
        <w:rPr>
          <w:sz w:val="24"/>
          <w:szCs w:val="24"/>
        </w:rPr>
        <w:t>Stage 5 of the CSIRO AR-PST Topic 2 project, “Evaluation of Small and Large Disturbance Voltage Stabilities for Power Systems with a High Penetration of Inverter-Based Resources,” builds on previous stages to address these stability challenges, focusing on f</w:t>
      </w:r>
      <w:r w:rsidR="00E37DA1" w:rsidRPr="00E27D3B">
        <w:rPr>
          <w:sz w:val="24"/>
          <w:szCs w:val="24"/>
        </w:rPr>
        <w:t>ive</w:t>
      </w:r>
      <w:r w:rsidRPr="00E27D3B">
        <w:rPr>
          <w:sz w:val="24"/>
          <w:szCs w:val="24"/>
        </w:rPr>
        <w:t xml:space="preserve"> key work packages: small-signal stability, small-</w:t>
      </w:r>
      <w:r w:rsidR="00E37DA1" w:rsidRPr="00E27D3B">
        <w:rPr>
          <w:sz w:val="24"/>
          <w:szCs w:val="24"/>
        </w:rPr>
        <w:t xml:space="preserve"> disturbance voltage stability,</w:t>
      </w:r>
      <w:r w:rsidRPr="00E27D3B">
        <w:rPr>
          <w:sz w:val="24"/>
          <w:szCs w:val="24"/>
        </w:rPr>
        <w:t xml:space="preserve"> large-disturbance voltage stability, dynamic system signatures and stability indices, and large-load modelling. </w:t>
      </w:r>
    </w:p>
    <w:p w14:paraId="341A4D0C" w14:textId="77777777" w:rsidR="002561A3" w:rsidRPr="00E27D3B" w:rsidRDefault="002561A3" w:rsidP="00CD4F3A">
      <w:pPr>
        <w:keepNext/>
        <w:spacing w:after="0"/>
      </w:pPr>
      <w:r w:rsidRPr="00E27D3B">
        <w:rPr>
          <w:noProof/>
          <w:sz w:val="24"/>
          <w:szCs w:val="24"/>
        </w:rPr>
        <w:drawing>
          <wp:inline distT="0" distB="0" distL="0" distR="0" wp14:anchorId="2AD2FE89" wp14:editId="51C3367F">
            <wp:extent cx="5917208" cy="2314575"/>
            <wp:effectExtent l="0" t="0" r="7620" b="0"/>
            <wp:docPr id="1955737944" name="Picture 7">
              <a:extLst xmlns:a="http://schemas.openxmlformats.org/drawingml/2006/main">
                <a:ext uri="{FF2B5EF4-FFF2-40B4-BE49-F238E27FC236}">
                  <a16:creationId xmlns:a16="http://schemas.microsoft.com/office/drawing/2014/main" id="{B9923DFB-0D6D-04C7-A258-9474FDC6F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9923DFB-0D6D-04C7-A258-9474FDC6F1B4}"/>
                        </a:ext>
                      </a:extLst>
                    </pic:cNvPr>
                    <pic:cNvPicPr>
                      <a:picLocks noChangeAspect="1"/>
                    </pic:cNvPicPr>
                  </pic:nvPicPr>
                  <pic:blipFill>
                    <a:blip r:embed="rId22"/>
                    <a:stretch>
                      <a:fillRect/>
                    </a:stretch>
                  </pic:blipFill>
                  <pic:spPr>
                    <a:xfrm>
                      <a:off x="0" y="0"/>
                      <a:ext cx="5956433" cy="2329918"/>
                    </a:xfrm>
                    <a:prstGeom prst="rect">
                      <a:avLst/>
                    </a:prstGeom>
                  </pic:spPr>
                </pic:pic>
              </a:graphicData>
            </a:graphic>
          </wp:inline>
        </w:drawing>
      </w:r>
    </w:p>
    <w:p w14:paraId="700AA291" w14:textId="5492E4E7" w:rsidR="002561A3" w:rsidRDefault="002561A3" w:rsidP="00CD4F3A">
      <w:pPr>
        <w:pStyle w:val="Caption"/>
        <w:spacing w:line="240" w:lineRule="auto"/>
        <w:rPr>
          <w:szCs w:val="20"/>
        </w:rPr>
      </w:pPr>
      <w:bookmarkStart w:id="8" w:name="_Ref223642650"/>
      <w:bookmarkStart w:id="9" w:name="_Ref223649522"/>
      <w:bookmarkStart w:id="10" w:name="_Toc233735007"/>
      <w:r w:rsidRPr="00C90E7F">
        <w:t xml:space="preserve">Figure </w:t>
      </w:r>
      <w:fldSimple w:instr=" SEQ Figure \* ARABIC ">
        <w:r w:rsidR="00A85006" w:rsidRPr="00C90E7F">
          <w:rPr>
            <w:noProof/>
          </w:rPr>
          <w:t>1</w:t>
        </w:r>
      </w:fldSimple>
      <w:bookmarkEnd w:id="8"/>
      <w:r w:rsidRPr="00C90E7F">
        <w:t xml:space="preserve">: Classification of modern power system stability </w:t>
      </w:r>
      <w:r w:rsidRPr="00C90E7F">
        <w:rPr>
          <w:szCs w:val="20"/>
        </w:rPr>
        <w:fldChar w:fldCharType="begin"/>
      </w:r>
      <w:r w:rsidRPr="00C90E7F">
        <w:rPr>
          <w:szCs w:val="20"/>
        </w:rPr>
        <w:instrText xml:space="preserve"> REF _Ref223637497 \n \h  \* MERGEFORMAT </w:instrText>
      </w:r>
      <w:r w:rsidRPr="00C90E7F">
        <w:rPr>
          <w:szCs w:val="20"/>
        </w:rPr>
      </w:r>
      <w:r w:rsidRPr="00C90E7F">
        <w:rPr>
          <w:szCs w:val="20"/>
        </w:rPr>
        <w:fldChar w:fldCharType="separate"/>
      </w:r>
      <w:r w:rsidR="00753DAF" w:rsidRPr="00C90E7F">
        <w:rPr>
          <w:szCs w:val="20"/>
          <w:cs/>
        </w:rPr>
        <w:t>‎</w:t>
      </w:r>
      <w:r w:rsidR="00753DAF" w:rsidRPr="00C90E7F">
        <w:rPr>
          <w:szCs w:val="20"/>
        </w:rPr>
        <w:t>[1]</w:t>
      </w:r>
      <w:r w:rsidRPr="00C90E7F">
        <w:rPr>
          <w:szCs w:val="20"/>
        </w:rPr>
        <w:fldChar w:fldCharType="end"/>
      </w:r>
      <w:r w:rsidRPr="00C90E7F">
        <w:rPr>
          <w:szCs w:val="20"/>
        </w:rPr>
        <w:t>.</w:t>
      </w:r>
      <w:bookmarkEnd w:id="9"/>
      <w:bookmarkEnd w:id="10"/>
    </w:p>
    <w:p w14:paraId="7EE62820" w14:textId="77777777" w:rsidR="003B2E8F" w:rsidRPr="003B2E8F" w:rsidRDefault="003B2E8F" w:rsidP="003B2E8F">
      <w:pPr>
        <w:pStyle w:val="BodyText"/>
      </w:pPr>
    </w:p>
    <w:p w14:paraId="4E21D012" w14:textId="179FA8A8" w:rsidR="002561A3" w:rsidRPr="00E27D3B" w:rsidRDefault="002561A3" w:rsidP="00F12E16">
      <w:pPr>
        <w:keepNext/>
        <w:spacing w:after="0"/>
      </w:pPr>
      <w:r w:rsidRPr="00E27D3B">
        <w:rPr>
          <w:noProof/>
          <w:sz w:val="24"/>
          <w:szCs w:val="24"/>
        </w:rPr>
        <w:lastRenderedPageBreak/>
        <w:drawing>
          <wp:anchor distT="0" distB="0" distL="114300" distR="114300" simplePos="0" relativeHeight="251795456" behindDoc="0" locked="0" layoutInCell="1" allowOverlap="1" wp14:anchorId="5069F966" wp14:editId="4187F3C5">
            <wp:simplePos x="2198451" y="7016885"/>
            <wp:positionH relativeFrom="column">
              <wp:posOffset>2198694</wp:posOffset>
            </wp:positionH>
            <wp:positionV relativeFrom="paragraph">
              <wp:align>top</wp:align>
            </wp:positionV>
            <wp:extent cx="3158386" cy="2247900"/>
            <wp:effectExtent l="0" t="0" r="4445" b="0"/>
            <wp:wrapSquare wrapText="bothSides"/>
            <wp:docPr id="2120284237" name="Picture 5">
              <a:extLst xmlns:a="http://schemas.openxmlformats.org/drawingml/2006/main">
                <a:ext uri="{FF2B5EF4-FFF2-40B4-BE49-F238E27FC236}">
                  <a16:creationId xmlns:a16="http://schemas.microsoft.com/office/drawing/2014/main" id="{388C8383-0DBC-D973-5576-F1D9C4DFA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88C8383-0DBC-D973-5576-F1D9C4DFAFB4}"/>
                        </a:ext>
                      </a:extLst>
                    </pic:cNvPr>
                    <pic:cNvPicPr>
                      <a:picLocks noChangeAspect="1"/>
                    </pic:cNvPicPr>
                  </pic:nvPicPr>
                  <pic:blipFill>
                    <a:blip r:embed="rId23"/>
                    <a:stretch>
                      <a:fillRect/>
                    </a:stretch>
                  </pic:blipFill>
                  <pic:spPr>
                    <a:xfrm>
                      <a:off x="0" y="0"/>
                      <a:ext cx="3158386" cy="2247900"/>
                    </a:xfrm>
                    <a:prstGeom prst="rect">
                      <a:avLst/>
                    </a:prstGeom>
                  </pic:spPr>
                </pic:pic>
              </a:graphicData>
            </a:graphic>
          </wp:anchor>
        </w:drawing>
      </w:r>
      <w:r w:rsidR="00705D08">
        <w:br w:type="textWrapping" w:clear="all"/>
      </w:r>
    </w:p>
    <w:p w14:paraId="493BE23C" w14:textId="4823350C" w:rsidR="003B2E8F" w:rsidRPr="003B2E8F" w:rsidRDefault="008333AD" w:rsidP="005B7047">
      <w:pPr>
        <w:pStyle w:val="Caption"/>
        <w:spacing w:line="240" w:lineRule="auto"/>
      </w:pPr>
      <w:bookmarkStart w:id="11" w:name="_Ref223643010"/>
      <w:bookmarkStart w:id="12" w:name="_Toc233735008"/>
      <w:r w:rsidRPr="00C90E7F">
        <w:t xml:space="preserve">Figure </w:t>
      </w:r>
      <w:fldSimple w:instr=" SEQ Figure \* ARABIC ">
        <w:r w:rsidRPr="00C90E7F">
          <w:rPr>
            <w:noProof/>
          </w:rPr>
          <w:t>2</w:t>
        </w:r>
      </w:fldSimple>
      <w:bookmarkEnd w:id="11"/>
      <w:r w:rsidRPr="00C90E7F">
        <w:t xml:space="preserve">: Time scale of modern power system stability </w:t>
      </w:r>
      <w:r w:rsidRPr="00C90E7F">
        <w:fldChar w:fldCharType="begin"/>
      </w:r>
      <w:r w:rsidRPr="00C90E7F">
        <w:instrText xml:space="preserve"> REF _Ref223637509 \n \h  \* MERGEFORMAT </w:instrText>
      </w:r>
      <w:r w:rsidRPr="00C90E7F">
        <w:fldChar w:fldCharType="separate"/>
      </w:r>
      <w:r w:rsidRPr="00C90E7F">
        <w:rPr>
          <w:cs/>
        </w:rPr>
        <w:t>‎</w:t>
      </w:r>
      <w:r w:rsidRPr="00C90E7F">
        <w:t>[2]</w:t>
      </w:r>
      <w:r w:rsidRPr="00C90E7F">
        <w:fldChar w:fldCharType="end"/>
      </w:r>
      <w:r w:rsidR="4C89F9FD" w:rsidRPr="00C90E7F">
        <w:t>.</w:t>
      </w:r>
      <w:bookmarkEnd w:id="12"/>
    </w:p>
    <w:p w14:paraId="3F7A11D5" w14:textId="77777777" w:rsidR="002561A3" w:rsidRPr="00E27D3B" w:rsidRDefault="4C89F9FD" w:rsidP="00CD4F3A">
      <w:pPr>
        <w:pStyle w:val="Heading2"/>
        <w:ind w:left="1134" w:hanging="1134"/>
      </w:pPr>
      <w:bookmarkStart w:id="13" w:name="_Toc216858308"/>
      <w:bookmarkStart w:id="14" w:name="_Toc233734291"/>
      <w:r>
        <w:t>Research Relevance to Australia</w:t>
      </w:r>
      <w:bookmarkEnd w:id="13"/>
      <w:bookmarkEnd w:id="14"/>
    </w:p>
    <w:p w14:paraId="07423C00" w14:textId="57BC58DA" w:rsidR="000E3A6B" w:rsidRDefault="002561A3" w:rsidP="00CD4F3A">
      <w:pPr>
        <w:pBdr>
          <w:top w:val="nil"/>
          <w:left w:val="nil"/>
          <w:bottom w:val="nil"/>
          <w:right w:val="nil"/>
          <w:between w:val="nil"/>
        </w:pBdr>
        <w:rPr>
          <w:sz w:val="24"/>
          <w:szCs w:val="24"/>
        </w:rPr>
      </w:pPr>
      <w:r w:rsidRPr="00E27D3B">
        <w:rPr>
          <w:sz w:val="24"/>
          <w:szCs w:val="24"/>
        </w:rPr>
        <w:t>Australia's power system will undergo significant changes in the next few years. These changes include increases in inverter-based resources (IBRs) and distributed energy resources (DERs), and a decrease in synchronous generation capacity. Within the next 25 years, significant development of renewable energy zones (REZs) is anticipated, according to</w:t>
      </w:r>
      <w:r w:rsidR="00CE19A0">
        <w:rPr>
          <w:sz w:val="24"/>
          <w:szCs w:val="24"/>
        </w:rPr>
        <w:t xml:space="preserve">  </w:t>
      </w:r>
      <w:r w:rsidRPr="00E27D3B">
        <w:rPr>
          <w:sz w:val="24"/>
          <w:szCs w:val="24"/>
        </w:rPr>
        <w:t xml:space="preserve"> AEMO’s Integrated System Plan. </w:t>
      </w:r>
    </w:p>
    <w:p w14:paraId="55F7DF89" w14:textId="1AFAB283" w:rsidR="000E3A6B" w:rsidRDefault="00703B8E" w:rsidP="00CD4F3A">
      <w:pPr>
        <w:pBdr>
          <w:top w:val="nil"/>
          <w:left w:val="nil"/>
          <w:bottom w:val="nil"/>
          <w:right w:val="nil"/>
          <w:between w:val="nil"/>
        </w:pBdr>
        <w:rPr>
          <w:sz w:val="24"/>
          <w:szCs w:val="24"/>
        </w:rPr>
      </w:pPr>
      <w:r w:rsidRPr="00703B8E">
        <w:rPr>
          <w:sz w:val="24"/>
          <w:szCs w:val="24"/>
        </w:rPr>
        <w:t>These REZ developments, located across Queensland, New South Wales, Victoria, South Australia, and Western Australia, are being integrated through a combination of existing transmission corridors and network infrastructure, including major transmission backbones. While REZs are identified based on factors such as renewable resource availability and proximity to suitable grid connections, some developments may still involve long transmission paths, lower system strength, and reduced inertia levels, creating new challenges for power system stability.</w:t>
      </w:r>
      <w:r w:rsidR="004F37DC">
        <w:rPr>
          <w:sz w:val="24"/>
          <w:szCs w:val="24"/>
        </w:rPr>
        <w:t xml:space="preserve"> </w:t>
      </w:r>
      <w:r w:rsidR="000E3A6B" w:rsidRPr="0099033E">
        <w:rPr>
          <w:sz w:val="24"/>
          <w:szCs w:val="24"/>
        </w:rPr>
        <w:t xml:space="preserve">Such operating conditions can significantly influence power system stability, particularly in future inverter-dominated networks where interactions between inverter controls and weak grids may lead to poorly damped oscillations, voltage instability, and transient performance issues. A notable example is the oscillatory issues observed in the West Murray region involving multiple large-scale solar farms, where extensive investigations and remediation studies were undertaken over several years to identify the root causes and implement mitigation measures. These investigations highlighted the complexity of stability assessment in inverter-dominated systems and the importance of detailed RMS and EMT analyses. Therefore, understanding both small-signal and large-signal stability characteristics of systems with high penetration of inverter-based resources has become increasingly important for the reliable operation, operational security, and future planning of the Australian power system. In this context, </w:t>
      </w:r>
      <w:r w:rsidR="000E3A6B" w:rsidRPr="006F069B">
        <w:rPr>
          <w:sz w:val="24"/>
          <w:szCs w:val="24"/>
        </w:rPr>
        <w:t xml:space="preserve">this project </w:t>
      </w:r>
      <w:r w:rsidR="000E3A6B" w:rsidRPr="0099033E">
        <w:rPr>
          <w:sz w:val="24"/>
          <w:szCs w:val="24"/>
        </w:rPr>
        <w:t>contributes by investigating stability assessment methodologies using both RMS and EMT simulation frameworks to analyse the dynamic behaviour of inverter-dominated power systems under a range of operating conditions and disturbances.</w:t>
      </w:r>
    </w:p>
    <w:p w14:paraId="42DC523C" w14:textId="45C5BFEB" w:rsidR="000E3A6B" w:rsidRDefault="000E3A6B" w:rsidP="00CD4F3A">
      <w:pPr>
        <w:pBdr>
          <w:top w:val="nil"/>
          <w:left w:val="nil"/>
          <w:bottom w:val="nil"/>
          <w:right w:val="nil"/>
          <w:between w:val="nil"/>
        </w:pBdr>
        <w:rPr>
          <w:sz w:val="24"/>
          <w:szCs w:val="24"/>
        </w:rPr>
      </w:pPr>
      <w:r w:rsidRPr="000E3A6B">
        <w:rPr>
          <w:sz w:val="24"/>
          <w:szCs w:val="24"/>
        </w:rPr>
        <w:t xml:space="preserve">Therefore, understanding both small-signal and large-signal stability characteristics of systems with high penetration of inverter-based resources has become increasingly important for the reliable operation, operational security, and future planning of the Australian power system. In this context, this project contributes by investigating stability assessment methodologies using </w:t>
      </w:r>
      <w:r w:rsidRPr="000E3A6B">
        <w:rPr>
          <w:sz w:val="24"/>
          <w:szCs w:val="24"/>
        </w:rPr>
        <w:lastRenderedPageBreak/>
        <w:t>both RMS and EMT simulation frameworks to analyse the dynamic behaviour of inverter-dominated power systems under a range of operating conditions and disturbances.</w:t>
      </w:r>
    </w:p>
    <w:p w14:paraId="40FBB98D" w14:textId="638E01DA" w:rsidR="002561A3" w:rsidRPr="00E27D3B" w:rsidRDefault="4C89F9FD" w:rsidP="00CD4F3A">
      <w:pPr>
        <w:pBdr>
          <w:top w:val="nil"/>
          <w:left w:val="nil"/>
          <w:bottom w:val="nil"/>
          <w:right w:val="nil"/>
          <w:between w:val="nil"/>
        </w:pBdr>
        <w:rPr>
          <w:sz w:val="24"/>
          <w:szCs w:val="24"/>
        </w:rPr>
      </w:pPr>
      <w:r w:rsidRPr="60762895">
        <w:rPr>
          <w:sz w:val="24"/>
          <w:szCs w:val="24"/>
        </w:rPr>
        <w:t xml:space="preserve">In addition, AEMO and several TNSPs (including Powerlink, </w:t>
      </w:r>
      <w:proofErr w:type="spellStart"/>
      <w:r w:rsidRPr="60762895">
        <w:rPr>
          <w:sz w:val="24"/>
          <w:szCs w:val="24"/>
        </w:rPr>
        <w:t>Transgrid</w:t>
      </w:r>
      <w:proofErr w:type="spellEnd"/>
      <w:r w:rsidRPr="60762895">
        <w:rPr>
          <w:sz w:val="24"/>
          <w:szCs w:val="24"/>
        </w:rPr>
        <w:t xml:space="preserve">, and AusNet Services) project that large loads—such as data centres and electrolyser facilities—will experience significant growth in Australia over the next two to three years. It is anticipated that the data centre load capacity in NSW and Victoria will exceed that of South Australia by 2030. Large loads such as computational, industrial, and hydrogen production facilities are connecting to the bulk power system (BPS) faster than ever before and at a magnitude beyond the largest currently operating loads. Furthermore, the commissioning time of data centre loads is faster than that of generation. </w:t>
      </w:r>
      <w:r w:rsidR="00755E2E" w:rsidRPr="0099033E">
        <w:rPr>
          <w:color w:val="000000" w:themeColor="text1"/>
          <w:sz w:val="24"/>
          <w:szCs w:val="24"/>
        </w:rPr>
        <w:t>The rapid growth of large data-centre demand</w:t>
      </w:r>
      <w:r w:rsidR="00755E2E" w:rsidRPr="00B35422">
        <w:rPr>
          <w:color w:val="000000" w:themeColor="text1"/>
          <w:sz w:val="24"/>
          <w:szCs w:val="24"/>
        </w:rPr>
        <w:t xml:space="preserve"> </w:t>
      </w:r>
      <w:r w:rsidRPr="0099033E">
        <w:rPr>
          <w:color w:val="000000" w:themeColor="text1"/>
          <w:sz w:val="24"/>
          <w:szCs w:val="24"/>
        </w:rPr>
        <w:t>could lead to power system security and stability issues.</w:t>
      </w:r>
      <w:r w:rsidRPr="00F375BF">
        <w:rPr>
          <w:color w:val="000000" w:themeColor="text1"/>
          <w:sz w:val="24"/>
          <w:szCs w:val="24"/>
        </w:rPr>
        <w:t xml:space="preserve"> </w:t>
      </w:r>
      <w:r w:rsidRPr="60762895">
        <w:rPr>
          <w:sz w:val="24"/>
          <w:szCs w:val="24"/>
        </w:rPr>
        <w:t>Accurate models are necessary for transmission planners to study the stability and reliability impacts of large loads connecting to the power system.  </w:t>
      </w:r>
    </w:p>
    <w:p w14:paraId="140A1A56" w14:textId="77777777" w:rsidR="002561A3" w:rsidRPr="00E27D3B" w:rsidRDefault="002561A3" w:rsidP="00CD4F3A">
      <w:pPr>
        <w:pBdr>
          <w:top w:val="nil"/>
          <w:left w:val="nil"/>
          <w:bottom w:val="nil"/>
          <w:right w:val="nil"/>
          <w:between w:val="nil"/>
        </w:pBdr>
        <w:rPr>
          <w:sz w:val="24"/>
          <w:szCs w:val="24"/>
        </w:rPr>
      </w:pPr>
      <w:r w:rsidRPr="00E27D3B">
        <w:rPr>
          <w:sz w:val="24"/>
          <w:szCs w:val="24"/>
        </w:rPr>
        <w:t>The CSIRO AR-PST project has already addressed some issues related to frequency regulation and small signal stability. However, there is still a need to fully understand the physical characteristics of IBRs and large loads, and their impact on the small-signal and voltage stability boundaries of the Australian system. Therefore, enhancing modelling, simulation, and analytical capabilities to evaluate these stability phenomena is essential to ensure stable, secure, and reliable system operation. Hence, by investigating the aspects outlined above, this research is expected to make a significant contribution to the stable operation and expansion of REZ regions, and to support future large-load deployment and high renewable energy integration in the Australian power system.</w:t>
      </w:r>
    </w:p>
    <w:p w14:paraId="62A10CFD" w14:textId="77777777" w:rsidR="002561A3" w:rsidRPr="00E27D3B" w:rsidRDefault="002561A3" w:rsidP="00CD4F3A">
      <w:pPr>
        <w:pStyle w:val="Heading2"/>
        <w:ind w:left="1134" w:hanging="1134"/>
      </w:pPr>
      <w:bookmarkStart w:id="15" w:name="_Toc233734292"/>
      <w:r w:rsidRPr="00E27D3B">
        <w:t>Relation to the Research Roadmap and Previous Stages</w:t>
      </w:r>
      <w:bookmarkEnd w:id="15"/>
    </w:p>
    <w:p w14:paraId="577C2525" w14:textId="69E0E719" w:rsidR="002561A3" w:rsidRPr="00E27D3B" w:rsidRDefault="002561A3" w:rsidP="00CD4F3A">
      <w:pPr>
        <w:spacing w:after="0"/>
        <w:rPr>
          <w:sz w:val="24"/>
          <w:szCs w:val="24"/>
        </w:rPr>
      </w:pPr>
      <w:r w:rsidRPr="00E27D3B">
        <w:rPr>
          <w:sz w:val="24"/>
          <w:szCs w:val="24"/>
        </w:rPr>
        <w:t xml:space="preserve">Stage 5 of the CSIRO AR-PST Topic 2 project “Evaluation of Small and Large Disturbance Voltage Stabilities for Power Systems with a High Penetration of Inverter-Based Resources,” builds upon previous stages and the 2021 research roadmap, advancing small-signal stability, voltage stability, and large-load </w:t>
      </w:r>
      <w:r w:rsidR="00B35422" w:rsidRPr="00E27D3B">
        <w:rPr>
          <w:sz w:val="24"/>
          <w:szCs w:val="24"/>
        </w:rPr>
        <w:t>modelling</w:t>
      </w:r>
      <w:r w:rsidRPr="00E27D3B">
        <w:rPr>
          <w:sz w:val="24"/>
          <w:szCs w:val="24"/>
        </w:rPr>
        <w:t xml:space="preserve"> in the context of high IBR penetration and emerging large converter-dominated loads.</w:t>
      </w:r>
    </w:p>
    <w:p w14:paraId="50A9D11C" w14:textId="77777777" w:rsidR="002561A3" w:rsidRPr="00E27D3B" w:rsidRDefault="002561A3" w:rsidP="00CD4F3A">
      <w:pPr>
        <w:spacing w:after="0"/>
        <w:rPr>
          <w:sz w:val="24"/>
          <w:szCs w:val="24"/>
        </w:rPr>
      </w:pPr>
      <w:r w:rsidRPr="00E27D3B">
        <w:rPr>
          <w:sz w:val="24"/>
          <w:szCs w:val="24"/>
        </w:rPr>
        <w:t xml:space="preserve">In the research roadmap submitted to CSIRO, “Australian Research Planning for Global Power Systems Transformation – Stability Tools and Methods”, two critical research topics were identified: stability margin evaluation and small-signal stability screening methods. </w:t>
      </w:r>
    </w:p>
    <w:p w14:paraId="1DC802C1" w14:textId="59E9E4A8" w:rsidR="002561A3" w:rsidRPr="00E27D3B" w:rsidRDefault="002561A3" w:rsidP="00CD4F3A">
      <w:pPr>
        <w:spacing w:after="0"/>
        <w:rPr>
          <w:sz w:val="24"/>
          <w:szCs w:val="24"/>
        </w:rPr>
      </w:pPr>
      <w:r w:rsidRPr="00E27D3B">
        <w:rPr>
          <w:sz w:val="24"/>
          <w:szCs w:val="24"/>
        </w:rPr>
        <w:t xml:space="preserve">Previous stages (Stage 2 and Stage 3) developed data-driven and analytical prediction algorithms to estimate the impedance characteristics of IBRs across a wide range of operating points. These studies highlighted the dependence of frequency-domain admittance characteristics on the operating point and led to the development of an analytical prediction method (APM) to estimate IBR </w:t>
      </w:r>
      <w:r w:rsidR="001754D3" w:rsidRPr="00E27D3B">
        <w:rPr>
          <w:sz w:val="24"/>
          <w:szCs w:val="24"/>
        </w:rPr>
        <w:t>behaviour</w:t>
      </w:r>
      <w:r w:rsidRPr="00E27D3B">
        <w:rPr>
          <w:sz w:val="24"/>
          <w:szCs w:val="24"/>
        </w:rPr>
        <w:t xml:space="preserve"> at operating points not included in the training data.</w:t>
      </w:r>
    </w:p>
    <w:p w14:paraId="1D1E68F4" w14:textId="77777777" w:rsidR="002561A3" w:rsidRPr="00E27D3B" w:rsidRDefault="002561A3" w:rsidP="00CD4F3A">
      <w:pPr>
        <w:spacing w:after="0"/>
        <w:rPr>
          <w:sz w:val="24"/>
          <w:szCs w:val="24"/>
        </w:rPr>
      </w:pPr>
      <w:r w:rsidRPr="00E27D3B">
        <w:rPr>
          <w:sz w:val="24"/>
          <w:szCs w:val="24"/>
        </w:rPr>
        <w:t>In Stage 4, research evaluated the potential and limits of using positive-sequence IBR models instead of full EMT models, incorporating IBRs into small-signal stability assessments via impedance scan-based procedures. While these models required less data, their low-frequency impedance profiles were highly sensitive to operating point variations, demonstrating a trade-off between accuracy and data requirements.</w:t>
      </w:r>
    </w:p>
    <w:p w14:paraId="32AD0D04" w14:textId="7CF5E069" w:rsidR="002561A3" w:rsidRPr="00E27D3B" w:rsidRDefault="4C89F9FD" w:rsidP="00CD4F3A">
      <w:pPr>
        <w:spacing w:after="0"/>
        <w:rPr>
          <w:sz w:val="24"/>
          <w:szCs w:val="24"/>
        </w:rPr>
      </w:pPr>
      <w:r w:rsidRPr="60762895">
        <w:rPr>
          <w:sz w:val="24"/>
          <w:szCs w:val="24"/>
        </w:rPr>
        <w:lastRenderedPageBreak/>
        <w:t>Stage 5 of the CSIRO AR-PST Topic 2 project builds upon previous findings and extends the research to comprehensively address high IBR penetration and emerging large, converter-dominated loads. The objective</w:t>
      </w:r>
      <w:r w:rsidR="000E3A6B">
        <w:rPr>
          <w:sz w:val="24"/>
          <w:szCs w:val="24"/>
        </w:rPr>
        <w:t>s</w:t>
      </w:r>
      <w:r w:rsidRPr="60762895">
        <w:rPr>
          <w:sz w:val="24"/>
          <w:szCs w:val="24"/>
        </w:rPr>
        <w:t xml:space="preserve"> of this stage </w:t>
      </w:r>
      <w:r w:rsidR="000E3A6B">
        <w:rPr>
          <w:sz w:val="24"/>
          <w:szCs w:val="24"/>
        </w:rPr>
        <w:t>are</w:t>
      </w:r>
      <w:r w:rsidRPr="60762895">
        <w:rPr>
          <w:sz w:val="24"/>
          <w:szCs w:val="24"/>
        </w:rPr>
        <w:t xml:space="preserve"> to </w:t>
      </w:r>
      <w:r w:rsidR="00952511">
        <w:rPr>
          <w:sz w:val="24"/>
          <w:szCs w:val="24"/>
        </w:rPr>
        <w:t>employ</w:t>
      </w:r>
      <w:r w:rsidR="00952511" w:rsidRPr="60762895">
        <w:rPr>
          <w:sz w:val="24"/>
          <w:szCs w:val="24"/>
        </w:rPr>
        <w:t xml:space="preserve"> </w:t>
      </w:r>
      <w:r w:rsidRPr="60762895">
        <w:rPr>
          <w:sz w:val="24"/>
          <w:szCs w:val="24"/>
        </w:rPr>
        <w:t xml:space="preserve">validated models, </w:t>
      </w:r>
      <w:r w:rsidR="00952511">
        <w:rPr>
          <w:sz w:val="24"/>
          <w:szCs w:val="24"/>
        </w:rPr>
        <w:t>EMT and RMS</w:t>
      </w:r>
      <w:r w:rsidR="00952511" w:rsidRPr="60762895">
        <w:rPr>
          <w:sz w:val="24"/>
          <w:szCs w:val="24"/>
        </w:rPr>
        <w:t xml:space="preserve"> </w:t>
      </w:r>
      <w:r w:rsidRPr="60762895">
        <w:rPr>
          <w:sz w:val="24"/>
          <w:szCs w:val="24"/>
        </w:rPr>
        <w:t>simulation tools, and analytical methods to assess both small-signal and voltage stability under realistic Australian network and load conditions.</w:t>
      </w:r>
      <w:r w:rsidR="000E3A6B">
        <w:rPr>
          <w:sz w:val="24"/>
          <w:szCs w:val="24"/>
        </w:rPr>
        <w:t xml:space="preserve"> </w:t>
      </w:r>
      <w:r w:rsidRPr="60762895">
        <w:rPr>
          <w:sz w:val="24"/>
          <w:szCs w:val="24"/>
        </w:rPr>
        <w:t xml:space="preserve"> Specifically, Stage 5 aims to:</w:t>
      </w:r>
    </w:p>
    <w:p w14:paraId="33D92B05" w14:textId="77777777" w:rsidR="002561A3" w:rsidRPr="00E27D3B" w:rsidRDefault="002561A3" w:rsidP="003B2E8F">
      <w:pPr>
        <w:pStyle w:val="ListParagraph0"/>
        <w:numPr>
          <w:ilvl w:val="0"/>
          <w:numId w:val="34"/>
        </w:numPr>
        <w:spacing w:before="60" w:after="60" w:line="22" w:lineRule="atLeast"/>
        <w:ind w:left="227" w:hanging="227"/>
      </w:pPr>
      <w:r w:rsidRPr="00E27D3B">
        <w:t>Identify the suitable model of large load for voltage and small signal stability assessment.</w:t>
      </w:r>
    </w:p>
    <w:p w14:paraId="2D542D1E" w14:textId="63ED733A" w:rsidR="002561A3" w:rsidRPr="00E27D3B" w:rsidRDefault="002561A3" w:rsidP="003B2E8F">
      <w:pPr>
        <w:pStyle w:val="ListParagraph0"/>
        <w:numPr>
          <w:ilvl w:val="0"/>
          <w:numId w:val="34"/>
        </w:numPr>
        <w:spacing w:before="60" w:after="60" w:line="22" w:lineRule="atLeast"/>
        <w:ind w:left="227" w:hanging="227"/>
      </w:pPr>
      <w:r w:rsidRPr="00E27D3B">
        <w:t>EMT and RMS simulation model of the selected network with control testing, benchmarking</w:t>
      </w:r>
      <w:r w:rsidR="00E37DA1" w:rsidRPr="00E27D3B">
        <w:t>,</w:t>
      </w:r>
      <w:r w:rsidRPr="00E27D3B">
        <w:t xml:space="preserve"> and validation for small signal stability and Small and Large Disturbance Voltage Stabilities.</w:t>
      </w:r>
    </w:p>
    <w:p w14:paraId="1153AA9F" w14:textId="745D2CB7" w:rsidR="002561A3" w:rsidRPr="00E27D3B" w:rsidRDefault="4C89F9FD" w:rsidP="003B2E8F">
      <w:pPr>
        <w:pStyle w:val="ListParagraph0"/>
        <w:numPr>
          <w:ilvl w:val="0"/>
          <w:numId w:val="34"/>
        </w:numPr>
        <w:spacing w:before="60" w:after="60" w:line="22" w:lineRule="atLeast"/>
        <w:ind w:left="227" w:hanging="227"/>
      </w:pPr>
      <w:r>
        <w:t>Parameter bounds, model of the large load/ data centre, IBR-driven load, benchmarking of the controller for the small signal stability and voltage stability</w:t>
      </w:r>
      <w:r w:rsidRPr="0099033E">
        <w:t xml:space="preserve">. </w:t>
      </w:r>
      <w:r w:rsidR="00D6550C" w:rsidRPr="0099033E">
        <w:rPr>
          <w:color w:val="000000" w:themeColor="text1"/>
        </w:rPr>
        <w:t>Here, parameter bounds define the operating ranges for key system and control parameters, development of large load/data centre and IBR-driven load models, and benchmarking of controller performance for both small-signal and voltage stability.</w:t>
      </w:r>
    </w:p>
    <w:p w14:paraId="51C55D9E" w14:textId="77777777" w:rsidR="002561A3" w:rsidRPr="00E27D3B" w:rsidRDefault="002561A3" w:rsidP="003B2E8F">
      <w:pPr>
        <w:pStyle w:val="ListParagraph0"/>
        <w:numPr>
          <w:ilvl w:val="0"/>
          <w:numId w:val="34"/>
        </w:numPr>
        <w:spacing w:before="60" w:after="60" w:line="22" w:lineRule="atLeast"/>
        <w:ind w:left="227" w:hanging="227"/>
      </w:pPr>
      <w:r w:rsidRPr="00E27D3B">
        <w:t>Identify the suitable methods for voltage stability boundary and margin assessment.</w:t>
      </w:r>
    </w:p>
    <w:p w14:paraId="1BA557A8" w14:textId="77777777" w:rsidR="002561A3" w:rsidRPr="00E27D3B" w:rsidRDefault="002561A3" w:rsidP="003B2E8F">
      <w:pPr>
        <w:pStyle w:val="ListParagraph0"/>
        <w:numPr>
          <w:ilvl w:val="0"/>
          <w:numId w:val="34"/>
        </w:numPr>
        <w:spacing w:before="60" w:after="60" w:line="22" w:lineRule="atLeast"/>
        <w:ind w:left="227" w:hanging="227"/>
      </w:pPr>
      <w:r w:rsidRPr="00E27D3B">
        <w:t>Modelling and control benchmarking of IBRs for stability enhancement.</w:t>
      </w:r>
    </w:p>
    <w:p w14:paraId="31209908" w14:textId="77777777" w:rsidR="002561A3" w:rsidRPr="00E27D3B" w:rsidRDefault="002561A3" w:rsidP="003B2E8F">
      <w:pPr>
        <w:pStyle w:val="ListParagraph0"/>
        <w:numPr>
          <w:ilvl w:val="0"/>
          <w:numId w:val="34"/>
        </w:numPr>
        <w:spacing w:before="60" w:after="60" w:line="22" w:lineRule="atLeast"/>
        <w:ind w:left="227" w:hanging="227"/>
      </w:pPr>
      <w:r w:rsidRPr="00E27D3B">
        <w:t>Extension of the available stability method for real-time use potential and evaluating the dynamic signature of power system.</w:t>
      </w:r>
    </w:p>
    <w:p w14:paraId="3A625BB4" w14:textId="7FAF251C" w:rsidR="000E3A6B" w:rsidRDefault="000E3A6B" w:rsidP="00CD4F3A">
      <w:pPr>
        <w:spacing w:after="0"/>
        <w:rPr>
          <w:sz w:val="24"/>
          <w:szCs w:val="24"/>
        </w:rPr>
      </w:pPr>
      <w:r w:rsidRPr="0099033E">
        <w:rPr>
          <w:sz w:val="24"/>
          <w:szCs w:val="24"/>
        </w:rPr>
        <w:t xml:space="preserve">Accordingly, the work in this stage is organised into four main technical themes: small-signal stability analysis, dynamic signature analysis of power systems, voltage stability assessment, and large-load modelling. Each of these themes </w:t>
      </w:r>
      <w:r w:rsidR="006E5304">
        <w:rPr>
          <w:sz w:val="24"/>
          <w:szCs w:val="24"/>
        </w:rPr>
        <w:t>wa</w:t>
      </w:r>
      <w:r w:rsidRPr="0099033E">
        <w:rPr>
          <w:sz w:val="24"/>
          <w:szCs w:val="24"/>
        </w:rPr>
        <w:t>s executed in parallel to ensure effective utilisation of the one-year project duration and to enable coordinated development and validation across all study areas. Together, these parallel workstreams contribute to a unified framework for evaluating stability performance in future inverter-dominated power systems with high penetration of large converter-based loads.</w:t>
      </w:r>
      <w:r w:rsidR="005C71FF" w:rsidRPr="005C71FF">
        <w:t xml:space="preserve"> </w:t>
      </w:r>
      <w:r w:rsidR="005C71FF" w:rsidRPr="005C71FF">
        <w:rPr>
          <w:sz w:val="24"/>
          <w:szCs w:val="24"/>
        </w:rPr>
        <w:t xml:space="preserve">In addition, these objectives, which are based on the research proposal, relate to different aspects of power system stability and therefore may differ slightly in structure. However, the research work on </w:t>
      </w:r>
      <w:proofErr w:type="gramStart"/>
      <w:r w:rsidR="005C71FF" w:rsidRPr="005C71FF">
        <w:rPr>
          <w:sz w:val="24"/>
          <w:szCs w:val="24"/>
        </w:rPr>
        <w:t>all of</w:t>
      </w:r>
      <w:proofErr w:type="gramEnd"/>
      <w:r w:rsidR="005C71FF" w:rsidRPr="005C71FF">
        <w:rPr>
          <w:sz w:val="24"/>
          <w:szCs w:val="24"/>
        </w:rPr>
        <w:t xml:space="preserve"> these objectives was carried out in parallel, and all objectives have now been completed.</w:t>
      </w:r>
    </w:p>
    <w:p w14:paraId="4A9B88F2" w14:textId="0B18C481" w:rsidR="002561A3" w:rsidRPr="00E27D3B" w:rsidRDefault="002561A3" w:rsidP="00CD4F3A">
      <w:pPr>
        <w:spacing w:after="0"/>
        <w:rPr>
          <w:sz w:val="24"/>
          <w:szCs w:val="24"/>
        </w:rPr>
      </w:pPr>
      <w:r w:rsidRPr="00E27D3B">
        <w:rPr>
          <w:sz w:val="24"/>
          <w:szCs w:val="24"/>
        </w:rPr>
        <w:t>These outcomes directly support the critical research objectives of Topic 2 as defined in the 2021 research roadmap:</w:t>
      </w:r>
    </w:p>
    <w:p w14:paraId="4BE178DD" w14:textId="77777777" w:rsidR="002561A3" w:rsidRPr="00E27D3B" w:rsidRDefault="002561A3" w:rsidP="003B2E8F">
      <w:pPr>
        <w:pStyle w:val="ListParagraph0"/>
        <w:numPr>
          <w:ilvl w:val="0"/>
          <w:numId w:val="34"/>
        </w:numPr>
        <w:spacing w:before="60" w:after="60" w:line="22" w:lineRule="atLeast"/>
        <w:ind w:left="227" w:hanging="227"/>
      </w:pPr>
      <w:r w:rsidRPr="00E27D3B">
        <w:t>Development of tools for the voltage stability boundary recognition as a criterion for system operation.</w:t>
      </w:r>
    </w:p>
    <w:p w14:paraId="23E6A508" w14:textId="77777777" w:rsidR="002561A3" w:rsidRPr="00E27D3B" w:rsidRDefault="002561A3" w:rsidP="003B2E8F">
      <w:pPr>
        <w:pStyle w:val="ListParagraph0"/>
        <w:numPr>
          <w:ilvl w:val="0"/>
          <w:numId w:val="34"/>
        </w:numPr>
        <w:spacing w:before="60" w:after="60" w:line="22" w:lineRule="atLeast"/>
        <w:ind w:left="227" w:hanging="227"/>
      </w:pPr>
      <w:r w:rsidRPr="00E27D3B">
        <w:t>Developments of tools that can improve voltage control, recovery, and collapse assessment to assist operators in considering IBR in Volt/Var dispatch tools and mitigate high voltages due to increases in IBR outputs.</w:t>
      </w:r>
    </w:p>
    <w:p w14:paraId="6255E937" w14:textId="77777777" w:rsidR="002561A3" w:rsidRPr="00E27D3B" w:rsidRDefault="002561A3" w:rsidP="00CD4F3A">
      <w:pPr>
        <w:spacing w:after="0"/>
        <w:rPr>
          <w:sz w:val="24"/>
          <w:szCs w:val="24"/>
        </w:rPr>
      </w:pPr>
      <w:r w:rsidRPr="00E27D3B">
        <w:rPr>
          <w:sz w:val="24"/>
          <w:szCs w:val="24"/>
        </w:rPr>
        <w:t>By focusing on these objectives, Stage 5 integrates small-signal stability, large- and small-disturbance voltage stability, and large-load modelling into a unified framework, providing a technically robust and scalable approach for planning-stage and operational decision-making in Australia’s evolving low-inertia, high-renewable power system.</w:t>
      </w:r>
    </w:p>
    <w:p w14:paraId="14E0BD7F" w14:textId="77777777" w:rsidR="002561A3" w:rsidRPr="00E27D3B" w:rsidRDefault="002561A3" w:rsidP="00CD4F3A">
      <w:pPr>
        <w:pStyle w:val="Heading2"/>
        <w:ind w:left="1134" w:hanging="1134"/>
      </w:pPr>
      <w:bookmarkStart w:id="16" w:name="_Toc233734293"/>
      <w:r w:rsidRPr="00E27D3B">
        <w:t>Progress Against the Roadmap</w:t>
      </w:r>
      <w:bookmarkEnd w:id="16"/>
    </w:p>
    <w:p w14:paraId="0CD274CD" w14:textId="77777777" w:rsidR="002561A3" w:rsidRPr="00E27D3B" w:rsidRDefault="002561A3" w:rsidP="00CD4F3A">
      <w:pPr>
        <w:spacing w:after="0"/>
        <w:rPr>
          <w:sz w:val="24"/>
          <w:szCs w:val="24"/>
        </w:rPr>
      </w:pPr>
      <w:r w:rsidRPr="00E27D3B">
        <w:rPr>
          <w:sz w:val="24"/>
          <w:szCs w:val="24"/>
        </w:rPr>
        <w:t>Stage 5 directly advances the 2021 AR-PST Topic 2 Roadmap, supporting planning and operational decisions for Australia’s power system. Work on small-signal stability, voltage stability, and large-load modelling underpins future IBR standards and methodologies.</w:t>
      </w:r>
    </w:p>
    <w:p w14:paraId="00D790C7" w14:textId="688D54E7" w:rsidR="002561A3" w:rsidRPr="00E27D3B" w:rsidRDefault="002561A3" w:rsidP="00CD4F3A">
      <w:pPr>
        <w:spacing w:after="0"/>
        <w:rPr>
          <w:sz w:val="24"/>
          <w:szCs w:val="24"/>
        </w:rPr>
      </w:pPr>
      <w:r w:rsidRPr="00E27D3B">
        <w:rPr>
          <w:sz w:val="24"/>
          <w:szCs w:val="24"/>
        </w:rPr>
        <w:lastRenderedPageBreak/>
        <w:t>Building on earlier stages, Stage 5 addresses multi-IBR systems, high IBR penetration, and large converter-dominated loads. Table 1 maps roadmap tasks to Stage 5 activities and outcomes.</w:t>
      </w:r>
    </w:p>
    <w:p w14:paraId="78A07BFD" w14:textId="506D7C0A" w:rsidR="003B2E8F" w:rsidRPr="003B2E8F" w:rsidRDefault="002561A3" w:rsidP="003B2E8F">
      <w:pPr>
        <w:spacing w:after="0"/>
        <w:rPr>
          <w:sz w:val="24"/>
          <w:szCs w:val="24"/>
        </w:rPr>
      </w:pPr>
      <w:r w:rsidRPr="00E27D3B">
        <w:rPr>
          <w:sz w:val="24"/>
          <w:szCs w:val="24"/>
        </w:rPr>
        <w:t xml:space="preserve">Key achievements include small-signal stability evaluation, voltage stability assessment, dynamic signature computation, and large-load modelling. </w:t>
      </w:r>
      <w:r w:rsidRPr="00E27D3B">
        <w:rPr>
          <w:sz w:val="24"/>
          <w:szCs w:val="24"/>
        </w:rPr>
        <w:fldChar w:fldCharType="begin"/>
      </w:r>
      <w:r w:rsidRPr="00E27D3B">
        <w:rPr>
          <w:sz w:val="24"/>
          <w:szCs w:val="24"/>
        </w:rPr>
        <w:instrText xml:space="preserve"> REF _Ref223642803 \h  \* MERGEFORMAT </w:instrText>
      </w:r>
      <w:r w:rsidRPr="00E27D3B">
        <w:rPr>
          <w:sz w:val="24"/>
          <w:szCs w:val="24"/>
        </w:rPr>
      </w:r>
      <w:r w:rsidRPr="00E27D3B">
        <w:rPr>
          <w:sz w:val="24"/>
          <w:szCs w:val="24"/>
        </w:rPr>
        <w:fldChar w:fldCharType="separate"/>
      </w:r>
      <w:r w:rsidR="00753DAF" w:rsidRPr="00753DAF">
        <w:rPr>
          <w:sz w:val="24"/>
          <w:szCs w:val="24"/>
        </w:rPr>
        <w:t xml:space="preserve">Table </w:t>
      </w:r>
      <w:r w:rsidR="00753DAF" w:rsidRPr="00753DAF">
        <w:rPr>
          <w:noProof/>
          <w:sz w:val="24"/>
          <w:szCs w:val="24"/>
        </w:rPr>
        <w:t>1</w:t>
      </w:r>
      <w:r w:rsidRPr="00E27D3B">
        <w:rPr>
          <w:sz w:val="24"/>
          <w:szCs w:val="24"/>
        </w:rPr>
        <w:fldChar w:fldCharType="end"/>
      </w:r>
      <w:r w:rsidRPr="00E27D3B">
        <w:rPr>
          <w:sz w:val="24"/>
          <w:szCs w:val="24"/>
        </w:rPr>
        <w:t xml:space="preserve"> summarizes Stage 5 progress against the </w:t>
      </w:r>
      <w:r w:rsidR="00952511">
        <w:rPr>
          <w:sz w:val="24"/>
          <w:szCs w:val="24"/>
        </w:rPr>
        <w:t xml:space="preserve">CSIRO </w:t>
      </w:r>
      <w:r w:rsidRPr="00E27D3B">
        <w:rPr>
          <w:sz w:val="24"/>
          <w:szCs w:val="24"/>
        </w:rPr>
        <w:t>Roadmap 2021</w:t>
      </w:r>
      <w:r w:rsidR="00952511">
        <w:rPr>
          <w:sz w:val="24"/>
          <w:szCs w:val="24"/>
        </w:rPr>
        <w:t xml:space="preserve"> </w:t>
      </w:r>
      <w:r w:rsidR="00952511" w:rsidRPr="00952511">
        <w:rPr>
          <w:sz w:val="24"/>
          <w:szCs w:val="24"/>
        </w:rPr>
        <w:t>for Topic 2: Stability Tools and Methods.</w:t>
      </w:r>
    </w:p>
    <w:p w14:paraId="06AE8678" w14:textId="76046280" w:rsidR="002561A3" w:rsidRPr="00E27D3B" w:rsidRDefault="4C89F9FD" w:rsidP="00CD4F3A">
      <w:pPr>
        <w:pStyle w:val="Caption"/>
        <w:spacing w:line="240" w:lineRule="auto"/>
      </w:pPr>
      <w:bookmarkStart w:id="17" w:name="_Ref223642803"/>
      <w:bookmarkStart w:id="18" w:name="_Toc233735295"/>
      <w:r>
        <w:t xml:space="preserve">Table </w:t>
      </w:r>
      <w:r w:rsidR="002561A3" w:rsidRPr="60762895">
        <w:fldChar w:fldCharType="begin"/>
      </w:r>
      <w:r w:rsidR="002561A3">
        <w:instrText xml:space="preserve"> SEQ Table \* ARABIC </w:instrText>
      </w:r>
      <w:r w:rsidR="002561A3" w:rsidRPr="60762895">
        <w:fldChar w:fldCharType="separate"/>
      </w:r>
      <w:r w:rsidR="00753DAF">
        <w:rPr>
          <w:noProof/>
        </w:rPr>
        <w:t>1</w:t>
      </w:r>
      <w:r w:rsidR="002561A3" w:rsidRPr="60762895">
        <w:rPr>
          <w:noProof/>
        </w:rPr>
        <w:fldChar w:fldCharType="end"/>
      </w:r>
      <w:bookmarkEnd w:id="17"/>
      <w:r>
        <w:t>: Research Progress against the Roadmap of CSIRO-AR-PST.</w:t>
      </w:r>
      <w:bookmarkEnd w:id="18"/>
    </w:p>
    <w:tbl>
      <w:tblPr>
        <w:tblW w:w="9773" w:type="dxa"/>
        <w:tblBorders>
          <w:top w:val="nil"/>
          <w:left w:val="nil"/>
          <w:bottom w:val="nil"/>
          <w:right w:val="nil"/>
          <w:insideH w:val="nil"/>
          <w:insideV w:val="nil"/>
        </w:tblBorders>
        <w:tblLayout w:type="fixed"/>
        <w:tblLook w:val="0600" w:firstRow="0" w:lastRow="0" w:firstColumn="0" w:lastColumn="0" w:noHBand="1" w:noVBand="1"/>
      </w:tblPr>
      <w:tblGrid>
        <w:gridCol w:w="843"/>
        <w:gridCol w:w="2126"/>
        <w:gridCol w:w="4820"/>
        <w:gridCol w:w="1275"/>
        <w:gridCol w:w="220"/>
        <w:gridCol w:w="489"/>
      </w:tblGrid>
      <w:tr w:rsidR="00952511" w:rsidRPr="00F334F0" w14:paraId="15979792" w14:textId="521DAEFD" w:rsidTr="00F12E16">
        <w:trPr>
          <w:trHeight w:val="379"/>
        </w:trPr>
        <w:tc>
          <w:tcPr>
            <w:tcW w:w="296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69610A" w14:textId="77777777" w:rsidR="00952511" w:rsidRPr="00F12E16" w:rsidRDefault="00952511" w:rsidP="00CD4F3A">
            <w:pPr>
              <w:spacing w:after="0"/>
              <w:rPr>
                <w:rFonts w:cstheme="minorHAnsi"/>
                <w:sz w:val="18"/>
                <w:szCs w:val="18"/>
              </w:rPr>
            </w:pPr>
            <w:r w:rsidRPr="00F12E16">
              <w:rPr>
                <w:rFonts w:cstheme="minorHAnsi"/>
                <w:sz w:val="18"/>
                <w:szCs w:val="18"/>
              </w:rPr>
              <w:t>Task Defined in Roadmap 2021</w:t>
            </w:r>
          </w:p>
        </w:tc>
        <w:tc>
          <w:tcPr>
            <w:tcW w:w="48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46D64A" w14:textId="1A317C2C" w:rsidR="00952511" w:rsidRPr="00F12E16" w:rsidRDefault="00952511" w:rsidP="00CD4F3A">
            <w:pPr>
              <w:spacing w:after="0"/>
              <w:rPr>
                <w:rFonts w:cstheme="minorHAnsi"/>
                <w:sz w:val="18"/>
                <w:szCs w:val="18"/>
              </w:rPr>
            </w:pPr>
            <w:r w:rsidRPr="00F12E16">
              <w:rPr>
                <w:rFonts w:cstheme="minorHAnsi"/>
                <w:sz w:val="18"/>
                <w:szCs w:val="18"/>
              </w:rPr>
              <w:t>Related Task in stage 5</w:t>
            </w:r>
          </w:p>
        </w:tc>
        <w:tc>
          <w:tcPr>
            <w:tcW w:w="1984" w:type="dxa"/>
            <w:gridSpan w:val="3"/>
            <w:tcBorders>
              <w:top w:val="single" w:sz="6" w:space="0" w:color="000000"/>
              <w:left w:val="nil"/>
              <w:bottom w:val="single" w:sz="6" w:space="0" w:color="000000"/>
              <w:right w:val="single" w:sz="6" w:space="0" w:color="000000"/>
            </w:tcBorders>
          </w:tcPr>
          <w:p w14:paraId="57CF0895" w14:textId="5D067402" w:rsidR="00952511" w:rsidRPr="00F12E16" w:rsidRDefault="00965739" w:rsidP="00965739">
            <w:pPr>
              <w:spacing w:after="0"/>
              <w:rPr>
                <w:rFonts w:cstheme="minorHAnsi"/>
                <w:sz w:val="18"/>
                <w:szCs w:val="18"/>
              </w:rPr>
            </w:pPr>
            <w:r w:rsidRPr="00F12E16">
              <w:rPr>
                <w:rFonts w:cstheme="minorHAnsi"/>
                <w:sz w:val="18"/>
                <w:szCs w:val="18"/>
              </w:rPr>
              <w:t>% Progress in Stage 5 vs Roadmap 2021</w:t>
            </w:r>
          </w:p>
        </w:tc>
      </w:tr>
      <w:tr w:rsidR="00952511" w:rsidRPr="00F334F0" w14:paraId="07CD1C68" w14:textId="3C8932D1" w:rsidTr="00F12E16">
        <w:trPr>
          <w:trHeight w:val="339"/>
        </w:trPr>
        <w:tc>
          <w:tcPr>
            <w:tcW w:w="843" w:type="dxa"/>
            <w:tcBorders>
              <w:top w:val="nil"/>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739E88D7" w14:textId="77777777" w:rsidR="00952511" w:rsidRPr="00F12E16" w:rsidRDefault="00952511" w:rsidP="00CD4F3A">
            <w:pPr>
              <w:spacing w:before="40" w:after="0"/>
              <w:rPr>
                <w:rFonts w:cstheme="minorHAnsi"/>
                <w:color w:val="FFFFFF" w:themeColor="background1"/>
                <w:sz w:val="18"/>
                <w:szCs w:val="18"/>
              </w:rPr>
            </w:pPr>
            <w:r w:rsidRPr="00F12E16">
              <w:rPr>
                <w:rFonts w:cstheme="minorHAnsi"/>
                <w:color w:val="FFFFFF" w:themeColor="background1"/>
                <w:sz w:val="18"/>
                <w:szCs w:val="18"/>
              </w:rPr>
              <w:t>1</w:t>
            </w:r>
          </w:p>
        </w:tc>
        <w:tc>
          <w:tcPr>
            <w:tcW w:w="2126" w:type="dxa"/>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23F48C6B" w14:textId="77777777" w:rsidR="00952511" w:rsidRPr="00F12E16" w:rsidRDefault="00952511" w:rsidP="00CD4F3A">
            <w:pPr>
              <w:spacing w:before="40" w:after="0"/>
              <w:rPr>
                <w:rFonts w:cstheme="minorHAnsi"/>
                <w:color w:val="FFFFFF" w:themeColor="background1"/>
                <w:sz w:val="18"/>
                <w:szCs w:val="18"/>
              </w:rPr>
            </w:pPr>
            <w:r w:rsidRPr="00F12E16">
              <w:rPr>
                <w:rFonts w:cstheme="minorHAnsi"/>
                <w:color w:val="FFFFFF" w:themeColor="background1"/>
                <w:sz w:val="18"/>
                <w:szCs w:val="18"/>
              </w:rPr>
              <w:t xml:space="preserve">Small-signal stability </w:t>
            </w:r>
          </w:p>
        </w:tc>
        <w:tc>
          <w:tcPr>
            <w:tcW w:w="6095" w:type="dxa"/>
            <w:gridSpan w:val="2"/>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77BB9ABE" w14:textId="77777777" w:rsidR="00952511" w:rsidRPr="00F12E16" w:rsidRDefault="00952511" w:rsidP="00CD4F3A">
            <w:pPr>
              <w:spacing w:before="40" w:after="0"/>
              <w:rPr>
                <w:rFonts w:cstheme="minorHAnsi"/>
                <w:color w:val="000000" w:themeColor="text1"/>
                <w:sz w:val="18"/>
                <w:szCs w:val="18"/>
              </w:rPr>
            </w:pPr>
            <w:r w:rsidRPr="00F12E16">
              <w:rPr>
                <w:rFonts w:cstheme="minorHAnsi"/>
                <w:color w:val="000000" w:themeColor="text1"/>
                <w:sz w:val="18"/>
                <w:szCs w:val="18"/>
              </w:rPr>
              <w:t xml:space="preserve"> </w:t>
            </w:r>
          </w:p>
        </w:tc>
        <w:tc>
          <w:tcPr>
            <w:tcW w:w="220" w:type="dxa"/>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732C5BDD" w14:textId="77777777" w:rsidR="00952511" w:rsidRPr="00F12E16" w:rsidRDefault="00952511" w:rsidP="00CD4F3A">
            <w:pPr>
              <w:spacing w:before="240" w:after="0"/>
              <w:rPr>
                <w:rFonts w:cstheme="minorHAnsi"/>
                <w:color w:val="000000" w:themeColor="text1"/>
                <w:sz w:val="18"/>
                <w:szCs w:val="18"/>
              </w:rPr>
            </w:pPr>
            <w:r w:rsidRPr="00F12E16">
              <w:rPr>
                <w:rFonts w:cstheme="minorHAnsi"/>
                <w:color w:val="000000" w:themeColor="text1"/>
                <w:sz w:val="18"/>
                <w:szCs w:val="18"/>
              </w:rPr>
              <w:t xml:space="preserve"> </w:t>
            </w:r>
          </w:p>
        </w:tc>
        <w:tc>
          <w:tcPr>
            <w:tcW w:w="489" w:type="dxa"/>
            <w:tcBorders>
              <w:top w:val="nil"/>
              <w:left w:val="nil"/>
              <w:bottom w:val="single" w:sz="6" w:space="0" w:color="000000"/>
              <w:right w:val="single" w:sz="6" w:space="0" w:color="000000"/>
            </w:tcBorders>
            <w:shd w:val="clear" w:color="auto" w:fill="000000"/>
          </w:tcPr>
          <w:p w14:paraId="766F4AF9" w14:textId="77777777" w:rsidR="00952511" w:rsidRPr="00F12E16" w:rsidRDefault="00952511" w:rsidP="00CD4F3A">
            <w:pPr>
              <w:spacing w:before="240" w:after="0"/>
              <w:rPr>
                <w:rFonts w:cstheme="minorHAnsi"/>
                <w:color w:val="000000" w:themeColor="text1"/>
                <w:sz w:val="18"/>
                <w:szCs w:val="18"/>
              </w:rPr>
            </w:pPr>
          </w:p>
        </w:tc>
      </w:tr>
      <w:tr w:rsidR="00965739" w:rsidRPr="00F334F0" w14:paraId="773A1E6D" w14:textId="269C2480" w:rsidTr="00F12E16">
        <w:trPr>
          <w:trHeight w:val="554"/>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C783A4" w14:textId="77777777" w:rsidR="00965739" w:rsidRPr="00F12E16" w:rsidRDefault="00965739" w:rsidP="00CD4F3A">
            <w:pPr>
              <w:spacing w:after="0"/>
              <w:rPr>
                <w:rFonts w:cstheme="minorHAnsi"/>
                <w:sz w:val="18"/>
                <w:szCs w:val="18"/>
              </w:rPr>
            </w:pPr>
            <w:r w:rsidRPr="00F12E16">
              <w:rPr>
                <w:rFonts w:cstheme="minorHAnsi"/>
                <w:sz w:val="18"/>
                <w:szCs w:val="18"/>
              </w:rPr>
              <w:t>1.1</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1B121DD2" w14:textId="77777777"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Identifying the nature of oscillations and damping in IBR-dominated grids</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4E503CD2" w14:textId="0C773B20"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Evaluating controllability, observability, and eigenvalues of power-controlled GFLI, droop-controlled GFMI, and VSG-controlled GFMI.</w:t>
            </w:r>
          </w:p>
        </w:tc>
        <w:tc>
          <w:tcPr>
            <w:tcW w:w="1984" w:type="dxa"/>
            <w:gridSpan w:val="3"/>
            <w:vMerge w:val="restart"/>
            <w:tcBorders>
              <w:top w:val="nil"/>
              <w:left w:val="nil"/>
              <w:right w:val="single" w:sz="6" w:space="0" w:color="000000"/>
            </w:tcBorders>
          </w:tcPr>
          <w:p w14:paraId="4F3107A9" w14:textId="6A33C8C8"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85% → 95%</w:t>
            </w:r>
          </w:p>
        </w:tc>
      </w:tr>
      <w:tr w:rsidR="00965739" w:rsidRPr="00F334F0" w14:paraId="6FE9C196" w14:textId="26FFAAF9" w:rsidTr="00F12E16">
        <w:trPr>
          <w:trHeight w:val="554"/>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AE2925" w14:textId="77777777" w:rsidR="00965739" w:rsidRPr="00F12E16" w:rsidRDefault="00965739" w:rsidP="00CD4F3A">
            <w:pPr>
              <w:spacing w:before="40" w:after="0"/>
              <w:rPr>
                <w:rFonts w:cstheme="minorHAnsi"/>
                <w:sz w:val="18"/>
                <w:szCs w:val="18"/>
              </w:rPr>
            </w:pPr>
            <w:r w:rsidRPr="00F12E16">
              <w:rPr>
                <w:rFonts w:cstheme="minorHAnsi"/>
                <w:sz w:val="18"/>
                <w:szCs w:val="18"/>
              </w:rPr>
              <w:t>1.2</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336D397F"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Identifying the nature of oscillations and damping in IBR-dominated grids</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3C965FE6" w14:textId="76BE5E9A"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SMIB (Single Machine Infinite Bus), modified IEEE 39-Bus System (with power-controlled GFLIs and VSG-controlled GFMIs), and Australian 14-Generator System</w:t>
            </w:r>
          </w:p>
        </w:tc>
        <w:tc>
          <w:tcPr>
            <w:tcW w:w="1984" w:type="dxa"/>
            <w:gridSpan w:val="3"/>
            <w:vMerge/>
            <w:tcBorders>
              <w:left w:val="nil"/>
              <w:right w:val="single" w:sz="6" w:space="0" w:color="000000"/>
            </w:tcBorders>
          </w:tcPr>
          <w:p w14:paraId="394EDE5C" w14:textId="77777777" w:rsidR="00965739" w:rsidRPr="00F12E16" w:rsidRDefault="00965739" w:rsidP="00CD4F3A">
            <w:pPr>
              <w:spacing w:after="0"/>
              <w:rPr>
                <w:rFonts w:cstheme="minorHAnsi"/>
                <w:color w:val="000000" w:themeColor="text1"/>
                <w:sz w:val="18"/>
                <w:szCs w:val="18"/>
              </w:rPr>
            </w:pPr>
          </w:p>
        </w:tc>
      </w:tr>
      <w:tr w:rsidR="00965739" w:rsidRPr="00F334F0" w14:paraId="20666A16" w14:textId="21B54957" w:rsidTr="00F12E16">
        <w:trPr>
          <w:trHeight w:val="554"/>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B48735" w14:textId="77777777" w:rsidR="00965739" w:rsidRPr="00F12E16" w:rsidRDefault="00965739" w:rsidP="00CD4F3A">
            <w:pPr>
              <w:spacing w:before="40" w:after="0"/>
              <w:rPr>
                <w:rFonts w:cstheme="minorHAnsi"/>
                <w:sz w:val="18"/>
                <w:szCs w:val="18"/>
              </w:rPr>
            </w:pPr>
            <w:r w:rsidRPr="00F12E16">
              <w:rPr>
                <w:rFonts w:cstheme="minorHAnsi"/>
                <w:sz w:val="18"/>
                <w:szCs w:val="18"/>
              </w:rPr>
              <w:t>1.3</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29B3F5DD"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 xml:space="preserve">Online identification of system strength </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31A19F3B" w14:textId="65021927"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Development of data-driven time-domain method for evaluation of small-signal stability of grid following and grid forming inverters connected to SMIB testing system.</w:t>
            </w:r>
          </w:p>
        </w:tc>
        <w:tc>
          <w:tcPr>
            <w:tcW w:w="1984" w:type="dxa"/>
            <w:gridSpan w:val="3"/>
            <w:vMerge/>
            <w:tcBorders>
              <w:left w:val="nil"/>
              <w:bottom w:val="single" w:sz="6" w:space="0" w:color="000000"/>
              <w:right w:val="single" w:sz="6" w:space="0" w:color="000000"/>
            </w:tcBorders>
          </w:tcPr>
          <w:p w14:paraId="42CB40E2" w14:textId="77777777" w:rsidR="00965739" w:rsidRPr="00F12E16" w:rsidRDefault="00965739" w:rsidP="00CD4F3A">
            <w:pPr>
              <w:spacing w:after="0"/>
              <w:rPr>
                <w:rFonts w:cstheme="minorHAnsi"/>
                <w:color w:val="000000" w:themeColor="text1"/>
                <w:sz w:val="18"/>
                <w:szCs w:val="18"/>
              </w:rPr>
            </w:pPr>
          </w:p>
        </w:tc>
      </w:tr>
      <w:tr w:rsidR="00952511" w:rsidRPr="00F334F0" w14:paraId="70D97688" w14:textId="0A84F360" w:rsidTr="00F12E16">
        <w:trPr>
          <w:trHeight w:val="554"/>
        </w:trPr>
        <w:tc>
          <w:tcPr>
            <w:tcW w:w="843" w:type="dxa"/>
            <w:tcBorders>
              <w:top w:val="nil"/>
              <w:left w:val="single" w:sz="6" w:space="0" w:color="000000"/>
              <w:bottom w:val="single" w:sz="6" w:space="0" w:color="000000"/>
              <w:right w:val="single" w:sz="6" w:space="0" w:color="000000"/>
            </w:tcBorders>
            <w:shd w:val="clear" w:color="auto" w:fill="000000" w:themeFill="text1"/>
            <w:tcMar>
              <w:top w:w="0" w:type="dxa"/>
              <w:left w:w="100" w:type="dxa"/>
              <w:bottom w:w="0" w:type="dxa"/>
              <w:right w:w="100" w:type="dxa"/>
            </w:tcMar>
          </w:tcPr>
          <w:p w14:paraId="140084B1" w14:textId="77777777" w:rsidR="00952511" w:rsidRPr="00F12E16" w:rsidRDefault="00952511" w:rsidP="00CD4F3A">
            <w:pPr>
              <w:spacing w:after="0"/>
              <w:rPr>
                <w:color w:val="000000" w:themeColor="text1"/>
                <w:sz w:val="18"/>
                <w:szCs w:val="18"/>
              </w:rPr>
            </w:pPr>
            <w:r w:rsidRPr="00F12E16">
              <w:rPr>
                <w:rFonts w:cstheme="minorHAnsi"/>
                <w:color w:val="FFFFFF" w:themeColor="background1"/>
                <w:sz w:val="18"/>
                <w:szCs w:val="18"/>
              </w:rPr>
              <w:t>2</w:t>
            </w:r>
          </w:p>
        </w:tc>
        <w:tc>
          <w:tcPr>
            <w:tcW w:w="2126" w:type="dxa"/>
            <w:tcBorders>
              <w:top w:val="nil"/>
              <w:left w:val="nil"/>
              <w:bottom w:val="single" w:sz="6" w:space="0" w:color="000000"/>
              <w:right w:val="single" w:sz="6" w:space="0" w:color="000000"/>
            </w:tcBorders>
            <w:shd w:val="clear" w:color="auto" w:fill="000000" w:themeFill="text1"/>
            <w:tcMar>
              <w:top w:w="0" w:type="dxa"/>
              <w:left w:w="100" w:type="dxa"/>
              <w:bottom w:w="0" w:type="dxa"/>
              <w:right w:w="100" w:type="dxa"/>
            </w:tcMar>
          </w:tcPr>
          <w:p w14:paraId="72EF44B4" w14:textId="77777777" w:rsidR="00952511" w:rsidRPr="00F12E16" w:rsidRDefault="00952511" w:rsidP="00CD4F3A">
            <w:pPr>
              <w:spacing w:after="0"/>
              <w:rPr>
                <w:color w:val="FFFFFF" w:themeColor="background1"/>
                <w:sz w:val="18"/>
                <w:szCs w:val="18"/>
              </w:rPr>
            </w:pPr>
            <w:r w:rsidRPr="00F12E16">
              <w:rPr>
                <w:color w:val="FFFFFF" w:themeColor="background1"/>
                <w:sz w:val="18"/>
                <w:szCs w:val="18"/>
              </w:rPr>
              <w:t xml:space="preserve">Small signal stability screening </w:t>
            </w:r>
          </w:p>
        </w:tc>
        <w:tc>
          <w:tcPr>
            <w:tcW w:w="6095" w:type="dxa"/>
            <w:gridSpan w:val="2"/>
            <w:tcBorders>
              <w:top w:val="nil"/>
              <w:left w:val="nil"/>
              <w:bottom w:val="single" w:sz="6" w:space="0" w:color="000000"/>
              <w:right w:val="single" w:sz="6" w:space="0" w:color="000000"/>
            </w:tcBorders>
            <w:shd w:val="clear" w:color="auto" w:fill="000000" w:themeFill="text1"/>
            <w:tcMar>
              <w:top w:w="0" w:type="dxa"/>
              <w:left w:w="100" w:type="dxa"/>
              <w:bottom w:w="0" w:type="dxa"/>
              <w:right w:w="100" w:type="dxa"/>
            </w:tcMar>
          </w:tcPr>
          <w:p w14:paraId="602B9564" w14:textId="77777777" w:rsidR="00952511" w:rsidRPr="00F12E16" w:rsidRDefault="00952511" w:rsidP="00CD4F3A">
            <w:pPr>
              <w:spacing w:after="0"/>
              <w:rPr>
                <w:sz w:val="18"/>
                <w:szCs w:val="18"/>
              </w:rPr>
            </w:pPr>
          </w:p>
        </w:tc>
        <w:tc>
          <w:tcPr>
            <w:tcW w:w="220" w:type="dxa"/>
            <w:tcBorders>
              <w:top w:val="nil"/>
              <w:left w:val="nil"/>
              <w:bottom w:val="single" w:sz="6" w:space="0" w:color="000000"/>
              <w:right w:val="single" w:sz="6" w:space="0" w:color="000000"/>
            </w:tcBorders>
            <w:shd w:val="clear" w:color="auto" w:fill="000000" w:themeFill="text1"/>
            <w:tcMar>
              <w:top w:w="0" w:type="dxa"/>
              <w:left w:w="100" w:type="dxa"/>
              <w:bottom w:w="0" w:type="dxa"/>
              <w:right w:w="100" w:type="dxa"/>
            </w:tcMar>
          </w:tcPr>
          <w:p w14:paraId="030EFBAB" w14:textId="77777777" w:rsidR="00952511" w:rsidRPr="00F12E16" w:rsidRDefault="00952511" w:rsidP="00CD4F3A">
            <w:pPr>
              <w:spacing w:after="0"/>
              <w:rPr>
                <w:sz w:val="18"/>
                <w:szCs w:val="18"/>
              </w:rPr>
            </w:pPr>
          </w:p>
        </w:tc>
        <w:tc>
          <w:tcPr>
            <w:tcW w:w="489" w:type="dxa"/>
            <w:tcBorders>
              <w:top w:val="nil"/>
              <w:left w:val="nil"/>
              <w:bottom w:val="single" w:sz="6" w:space="0" w:color="000000"/>
              <w:right w:val="single" w:sz="6" w:space="0" w:color="000000"/>
            </w:tcBorders>
            <w:shd w:val="clear" w:color="auto" w:fill="000000" w:themeFill="text1"/>
          </w:tcPr>
          <w:p w14:paraId="2979521D" w14:textId="77777777" w:rsidR="00952511" w:rsidRPr="00F12E16" w:rsidRDefault="00952511" w:rsidP="00CD4F3A">
            <w:pPr>
              <w:spacing w:after="0"/>
              <w:rPr>
                <w:sz w:val="18"/>
                <w:szCs w:val="18"/>
              </w:rPr>
            </w:pPr>
          </w:p>
        </w:tc>
      </w:tr>
      <w:tr w:rsidR="00952511" w:rsidRPr="00F334F0" w14:paraId="1BD452F7" w14:textId="2E4FEAC4" w:rsidTr="00F12E16">
        <w:trPr>
          <w:trHeight w:val="554"/>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A52E13" w14:textId="77777777" w:rsidR="00952511" w:rsidRPr="00F12E16" w:rsidRDefault="00952511" w:rsidP="00CD4F3A">
            <w:pPr>
              <w:spacing w:before="40" w:after="0"/>
              <w:rPr>
                <w:rFonts w:cstheme="minorHAnsi"/>
                <w:sz w:val="18"/>
                <w:szCs w:val="18"/>
              </w:rPr>
            </w:pPr>
            <w:r w:rsidRPr="00F12E16">
              <w:rPr>
                <w:rFonts w:cstheme="minorHAnsi"/>
                <w:sz w:val="18"/>
                <w:szCs w:val="18"/>
              </w:rPr>
              <w:t>2.1</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18E58A9D" w14:textId="77777777" w:rsidR="00952511" w:rsidRPr="00F12E16" w:rsidRDefault="00952511" w:rsidP="00CD4F3A">
            <w:pPr>
              <w:spacing w:before="40" w:after="0"/>
              <w:rPr>
                <w:rFonts w:cstheme="minorHAnsi"/>
                <w:color w:val="000000" w:themeColor="text1"/>
                <w:sz w:val="18"/>
                <w:szCs w:val="18"/>
              </w:rPr>
            </w:pPr>
            <w:r w:rsidRPr="00F12E16">
              <w:rPr>
                <w:rFonts w:cstheme="minorHAnsi"/>
                <w:color w:val="000000" w:themeColor="text1"/>
                <w:sz w:val="18"/>
                <w:szCs w:val="18"/>
              </w:rPr>
              <w:t>Stability margin evaluation of GFMI in frequency domain</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505D06A2" w14:textId="378E3980" w:rsidR="00952511" w:rsidRPr="00F12E16" w:rsidRDefault="00952511" w:rsidP="00CD4F3A">
            <w:pPr>
              <w:spacing w:after="0"/>
              <w:rPr>
                <w:rFonts w:cstheme="minorHAnsi"/>
                <w:color w:val="000000" w:themeColor="text1"/>
                <w:sz w:val="18"/>
                <w:szCs w:val="18"/>
              </w:rPr>
            </w:pPr>
            <w:r w:rsidRPr="00F12E16">
              <w:rPr>
                <w:rFonts w:cstheme="minorHAnsi"/>
                <w:color w:val="000000" w:themeColor="text1"/>
                <w:sz w:val="18"/>
                <w:szCs w:val="18"/>
              </w:rPr>
              <w:t>Performance evaluation of GFMI in frequency domain for different voltage controls (FVC, PVC, AVR) under different grid strengths and investigating enhancement strategies for the AVR method.</w:t>
            </w:r>
          </w:p>
        </w:tc>
        <w:tc>
          <w:tcPr>
            <w:tcW w:w="1984" w:type="dxa"/>
            <w:gridSpan w:val="3"/>
            <w:tcBorders>
              <w:top w:val="nil"/>
              <w:left w:val="nil"/>
              <w:bottom w:val="single" w:sz="6" w:space="0" w:color="000000"/>
              <w:right w:val="single" w:sz="6" w:space="0" w:color="000000"/>
            </w:tcBorders>
          </w:tcPr>
          <w:p w14:paraId="4AEE3EF0" w14:textId="1B191E05" w:rsidR="00952511"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rPr>
              <w:t>85% → 95%</w:t>
            </w:r>
          </w:p>
        </w:tc>
      </w:tr>
      <w:tr w:rsidR="00952511" w:rsidRPr="00F334F0" w14:paraId="265B969E" w14:textId="30F15FF2" w:rsidTr="00F12E16">
        <w:trPr>
          <w:trHeight w:val="276"/>
        </w:trPr>
        <w:tc>
          <w:tcPr>
            <w:tcW w:w="7789" w:type="dxa"/>
            <w:gridSpan w:val="3"/>
            <w:tcBorders>
              <w:top w:val="nil"/>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3B7F869A" w14:textId="66C42881" w:rsidR="00952511" w:rsidRPr="00F12E16" w:rsidRDefault="00952511" w:rsidP="00CD4F3A">
            <w:pPr>
              <w:spacing w:before="40" w:after="0"/>
              <w:rPr>
                <w:rFonts w:cstheme="minorHAnsi"/>
                <w:color w:val="FFFFFF" w:themeColor="background1"/>
                <w:sz w:val="18"/>
                <w:szCs w:val="18"/>
              </w:rPr>
            </w:pPr>
          </w:p>
        </w:tc>
        <w:tc>
          <w:tcPr>
            <w:tcW w:w="1984" w:type="dxa"/>
            <w:gridSpan w:val="3"/>
            <w:tcBorders>
              <w:top w:val="nil"/>
              <w:left w:val="single" w:sz="6" w:space="0" w:color="000000"/>
              <w:bottom w:val="single" w:sz="6" w:space="0" w:color="000000"/>
              <w:right w:val="single" w:sz="6" w:space="0" w:color="000000"/>
            </w:tcBorders>
            <w:shd w:val="clear" w:color="auto" w:fill="000000"/>
          </w:tcPr>
          <w:p w14:paraId="36FA89D3" w14:textId="77777777" w:rsidR="00952511" w:rsidRPr="00F12E16" w:rsidRDefault="00952511" w:rsidP="00CD4F3A">
            <w:pPr>
              <w:spacing w:before="40" w:after="0"/>
              <w:rPr>
                <w:rFonts w:cstheme="minorHAnsi"/>
                <w:color w:val="FFFFFF" w:themeColor="background1"/>
                <w:sz w:val="18"/>
                <w:szCs w:val="18"/>
              </w:rPr>
            </w:pPr>
          </w:p>
        </w:tc>
      </w:tr>
      <w:tr w:rsidR="00965739" w:rsidRPr="00F334F0" w14:paraId="482DC437" w14:textId="4486455C" w:rsidTr="00F12E16">
        <w:trPr>
          <w:trHeight w:val="373"/>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ADE89E" w14:textId="77777777" w:rsidR="00965739" w:rsidRPr="00F12E16" w:rsidRDefault="00965739" w:rsidP="00CD4F3A">
            <w:pPr>
              <w:spacing w:before="40" w:after="0"/>
              <w:rPr>
                <w:rFonts w:cstheme="minorHAnsi"/>
                <w:sz w:val="18"/>
                <w:szCs w:val="18"/>
              </w:rPr>
            </w:pPr>
            <w:r w:rsidRPr="00F12E16">
              <w:rPr>
                <w:rFonts w:cstheme="minorHAnsi"/>
                <w:sz w:val="18"/>
                <w:szCs w:val="18"/>
              </w:rPr>
              <w:t>3.1</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04C1B83D"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Voltage stability boundary</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0EA0C18C" w14:textId="0E80F0E4" w:rsidR="00965739" w:rsidRPr="00F12E16" w:rsidRDefault="00965739" w:rsidP="00CD4F3A">
            <w:pPr>
              <w:spacing w:after="0"/>
              <w:rPr>
                <w:rFonts w:cstheme="minorHAnsi"/>
                <w:color w:val="000000" w:themeColor="text1"/>
                <w:sz w:val="18"/>
                <w:szCs w:val="18"/>
              </w:rPr>
            </w:pPr>
            <w:r w:rsidRPr="00F12E16">
              <w:rPr>
                <w:rFonts w:asciiTheme="minorHAnsi" w:hAnsiTheme="minorHAnsi" w:cstheme="minorHAnsi"/>
                <w:color w:val="000000" w:themeColor="text1"/>
                <w:sz w:val="18"/>
                <w:szCs w:val="18"/>
              </w:rPr>
              <w:t>Developed a mathematical model of a new dynamic resilient metric for large disturbance voltage stability evaluation.</w:t>
            </w:r>
          </w:p>
        </w:tc>
        <w:tc>
          <w:tcPr>
            <w:tcW w:w="1984" w:type="dxa"/>
            <w:gridSpan w:val="3"/>
            <w:vMerge w:val="restart"/>
            <w:tcBorders>
              <w:top w:val="nil"/>
              <w:left w:val="nil"/>
              <w:right w:val="single" w:sz="6" w:space="0" w:color="000000"/>
            </w:tcBorders>
          </w:tcPr>
          <w:p w14:paraId="6E1FAEDD" w14:textId="27D4E909" w:rsidR="00965739" w:rsidRPr="00F12E16" w:rsidRDefault="00824620" w:rsidP="00CD4F3A">
            <w:pPr>
              <w:spacing w:after="0"/>
              <w:rPr>
                <w:rFonts w:asciiTheme="minorHAnsi" w:hAnsiTheme="minorHAnsi" w:cstheme="minorHAnsi"/>
                <w:color w:val="000000" w:themeColor="text1"/>
                <w:sz w:val="18"/>
                <w:szCs w:val="18"/>
              </w:rPr>
            </w:pPr>
            <w:r w:rsidRPr="00F12E16">
              <w:rPr>
                <w:rFonts w:asciiTheme="minorHAnsi" w:hAnsiTheme="minorHAnsi" w:cstheme="minorHAnsi"/>
                <w:color w:val="000000" w:themeColor="text1"/>
                <w:sz w:val="18"/>
                <w:szCs w:val="18"/>
              </w:rPr>
              <w:t>2</w:t>
            </w:r>
            <w:r w:rsidR="00965739" w:rsidRPr="00F12E16">
              <w:rPr>
                <w:rFonts w:asciiTheme="minorHAnsi" w:hAnsiTheme="minorHAnsi" w:cstheme="minorHAnsi"/>
                <w:color w:val="000000" w:themeColor="text1"/>
                <w:sz w:val="18"/>
                <w:szCs w:val="18"/>
              </w:rPr>
              <w:t xml:space="preserve">0% → </w:t>
            </w:r>
            <w:r w:rsidR="00C0419A">
              <w:rPr>
                <w:rFonts w:asciiTheme="minorHAnsi" w:hAnsiTheme="minorHAnsi" w:cstheme="minorHAnsi"/>
                <w:color w:val="000000" w:themeColor="text1"/>
                <w:sz w:val="18"/>
                <w:szCs w:val="18"/>
              </w:rPr>
              <w:t>6</w:t>
            </w:r>
            <w:r w:rsidR="00965739" w:rsidRPr="00F12E16">
              <w:rPr>
                <w:rFonts w:asciiTheme="minorHAnsi" w:hAnsiTheme="minorHAnsi" w:cstheme="minorHAnsi"/>
                <w:color w:val="000000" w:themeColor="text1"/>
                <w:sz w:val="18"/>
                <w:szCs w:val="18"/>
              </w:rPr>
              <w:t xml:space="preserve">0% </w:t>
            </w:r>
          </w:p>
        </w:tc>
      </w:tr>
      <w:tr w:rsidR="00965739" w:rsidRPr="00F334F0" w14:paraId="6C7C74F8" w14:textId="50844953" w:rsidTr="00F12E16">
        <w:trPr>
          <w:trHeight w:val="554"/>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CD6034" w14:textId="77777777" w:rsidR="00965739" w:rsidRPr="00F12E16" w:rsidRDefault="00965739" w:rsidP="00CD4F3A">
            <w:pPr>
              <w:spacing w:before="40" w:after="0"/>
              <w:rPr>
                <w:rFonts w:cstheme="minorHAnsi"/>
                <w:sz w:val="18"/>
                <w:szCs w:val="18"/>
              </w:rPr>
            </w:pPr>
            <w:r w:rsidRPr="00F12E16">
              <w:rPr>
                <w:rFonts w:cstheme="minorHAnsi"/>
                <w:sz w:val="18"/>
                <w:szCs w:val="18"/>
              </w:rPr>
              <w:t>3.2</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47F065C9"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Voltage control, recovery, collapse</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67D49B78" w14:textId="77777777" w:rsidR="00965739" w:rsidRPr="00F12E16" w:rsidRDefault="00965739" w:rsidP="00CD4F3A">
            <w:pPr>
              <w:pStyle w:val="paragraph"/>
              <w:spacing w:before="40" w:beforeAutospacing="0" w:after="0" w:afterAutospacing="0"/>
              <w:textAlignment w:val="baseline"/>
              <w:rPr>
                <w:rStyle w:val="normaltextrun"/>
                <w:rFonts w:asciiTheme="minorHAnsi" w:hAnsiTheme="minorHAnsi" w:cstheme="minorHAnsi"/>
                <w:color w:val="000000" w:themeColor="text1"/>
                <w:sz w:val="18"/>
                <w:szCs w:val="18"/>
              </w:rPr>
            </w:pPr>
            <w:r w:rsidRPr="00F12E16">
              <w:rPr>
                <w:rFonts w:asciiTheme="minorHAnsi" w:hAnsiTheme="minorHAnsi" w:cstheme="minorHAnsi"/>
                <w:color w:val="000000" w:themeColor="text1"/>
                <w:sz w:val="18"/>
                <w:szCs w:val="18"/>
              </w:rPr>
              <w:t xml:space="preserve">Implemented an adaptive continuation algorithm using a Python script and ran it in DIgSILENT </w:t>
            </w:r>
            <w:proofErr w:type="spellStart"/>
            <w:r w:rsidRPr="00F12E16">
              <w:rPr>
                <w:rFonts w:asciiTheme="minorHAnsi" w:hAnsiTheme="minorHAnsi" w:cstheme="minorHAnsi"/>
                <w:color w:val="000000" w:themeColor="text1"/>
                <w:sz w:val="18"/>
                <w:szCs w:val="18"/>
              </w:rPr>
              <w:t>PowerFactory</w:t>
            </w:r>
            <w:proofErr w:type="spellEnd"/>
            <w:r w:rsidRPr="00F12E16">
              <w:rPr>
                <w:rFonts w:asciiTheme="minorHAnsi" w:hAnsiTheme="minorHAnsi" w:cstheme="minorHAnsi"/>
                <w:color w:val="000000" w:themeColor="text1"/>
                <w:sz w:val="18"/>
                <w:szCs w:val="18"/>
              </w:rPr>
              <w:t xml:space="preserve"> on a test case.</w:t>
            </w:r>
          </w:p>
          <w:p w14:paraId="7D958782" w14:textId="1C8EF006" w:rsidR="00965739" w:rsidRPr="00F12E16" w:rsidRDefault="00965739" w:rsidP="00CD4F3A">
            <w:pPr>
              <w:spacing w:after="0"/>
              <w:rPr>
                <w:rFonts w:cstheme="minorHAnsi"/>
                <w:color w:val="000000" w:themeColor="text1"/>
                <w:sz w:val="18"/>
                <w:szCs w:val="18"/>
              </w:rPr>
            </w:pPr>
            <w:r w:rsidRPr="00F12E16">
              <w:rPr>
                <w:rFonts w:asciiTheme="minorHAnsi" w:hAnsiTheme="minorHAnsi" w:cstheme="minorHAnsi"/>
                <w:color w:val="000000" w:themeColor="text1"/>
                <w:sz w:val="18"/>
                <w:szCs w:val="18"/>
              </w:rPr>
              <w:t>Assessing short-term and long-term voltage stability in high-IBR systems and evaluating the impact of varying control parameters.</w:t>
            </w:r>
          </w:p>
        </w:tc>
        <w:tc>
          <w:tcPr>
            <w:tcW w:w="1984" w:type="dxa"/>
            <w:gridSpan w:val="3"/>
            <w:vMerge/>
            <w:tcBorders>
              <w:left w:val="nil"/>
              <w:bottom w:val="single" w:sz="6" w:space="0" w:color="000000"/>
              <w:right w:val="single" w:sz="6" w:space="0" w:color="000000"/>
            </w:tcBorders>
          </w:tcPr>
          <w:p w14:paraId="7DFDC47F" w14:textId="77777777" w:rsidR="00965739" w:rsidRPr="00F12E16" w:rsidRDefault="00965739" w:rsidP="00CD4F3A">
            <w:pPr>
              <w:pStyle w:val="paragraph"/>
              <w:spacing w:before="40" w:beforeAutospacing="0" w:after="0" w:afterAutospacing="0"/>
              <w:textAlignment w:val="baseline"/>
              <w:rPr>
                <w:rFonts w:asciiTheme="minorHAnsi" w:hAnsiTheme="minorHAnsi" w:cstheme="minorHAnsi"/>
                <w:color w:val="000000" w:themeColor="text1"/>
                <w:sz w:val="18"/>
                <w:szCs w:val="18"/>
              </w:rPr>
            </w:pPr>
          </w:p>
        </w:tc>
      </w:tr>
      <w:tr w:rsidR="00952511" w:rsidRPr="00F334F0" w14:paraId="25E2B479" w14:textId="0B684A0E" w:rsidTr="00F12E16">
        <w:trPr>
          <w:trHeight w:val="191"/>
        </w:trPr>
        <w:tc>
          <w:tcPr>
            <w:tcW w:w="843" w:type="dxa"/>
            <w:tcBorders>
              <w:top w:val="nil"/>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7DA039EA" w14:textId="77777777" w:rsidR="00952511" w:rsidRPr="00F12E16" w:rsidRDefault="00952511" w:rsidP="00CD4F3A">
            <w:pPr>
              <w:spacing w:before="40" w:after="0"/>
              <w:rPr>
                <w:rFonts w:cstheme="minorHAnsi"/>
                <w:color w:val="FFFFFF"/>
                <w:sz w:val="18"/>
                <w:szCs w:val="18"/>
              </w:rPr>
            </w:pPr>
            <w:r w:rsidRPr="00F12E16">
              <w:rPr>
                <w:rFonts w:cstheme="minorHAnsi"/>
                <w:color w:val="FFFFFF"/>
                <w:sz w:val="18"/>
                <w:szCs w:val="18"/>
              </w:rPr>
              <w:t>4</w:t>
            </w:r>
          </w:p>
        </w:tc>
        <w:tc>
          <w:tcPr>
            <w:tcW w:w="2126" w:type="dxa"/>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06DAAE89" w14:textId="77777777" w:rsidR="00952511" w:rsidRPr="00F12E16" w:rsidRDefault="00952511" w:rsidP="00CD4F3A">
            <w:pPr>
              <w:spacing w:before="40" w:after="0"/>
              <w:rPr>
                <w:rFonts w:cstheme="minorHAnsi"/>
                <w:color w:val="FFFFFF" w:themeColor="background1"/>
                <w:sz w:val="18"/>
                <w:szCs w:val="18"/>
              </w:rPr>
            </w:pPr>
            <w:r w:rsidRPr="00F12E16">
              <w:rPr>
                <w:rFonts w:cstheme="minorHAnsi"/>
                <w:color w:val="FFFFFF" w:themeColor="background1"/>
                <w:sz w:val="18"/>
                <w:szCs w:val="18"/>
              </w:rPr>
              <w:t>Model and model validation</w:t>
            </w:r>
          </w:p>
        </w:tc>
        <w:tc>
          <w:tcPr>
            <w:tcW w:w="6095" w:type="dxa"/>
            <w:gridSpan w:val="2"/>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0E66803C" w14:textId="77777777" w:rsidR="00952511" w:rsidRPr="00F12E16" w:rsidRDefault="00952511" w:rsidP="00CD4F3A">
            <w:pPr>
              <w:spacing w:before="40" w:after="0"/>
              <w:rPr>
                <w:rFonts w:cstheme="minorHAnsi"/>
                <w:color w:val="000000" w:themeColor="text1"/>
                <w:sz w:val="18"/>
                <w:szCs w:val="18"/>
              </w:rPr>
            </w:pPr>
            <w:r w:rsidRPr="00F12E16">
              <w:rPr>
                <w:rFonts w:cstheme="minorHAnsi"/>
                <w:color w:val="000000" w:themeColor="text1"/>
                <w:sz w:val="18"/>
                <w:szCs w:val="18"/>
              </w:rPr>
              <w:t xml:space="preserve"> </w:t>
            </w:r>
          </w:p>
        </w:tc>
        <w:tc>
          <w:tcPr>
            <w:tcW w:w="220" w:type="dxa"/>
            <w:tcBorders>
              <w:top w:val="nil"/>
              <w:left w:val="nil"/>
              <w:bottom w:val="single" w:sz="6" w:space="0" w:color="000000"/>
              <w:right w:val="single" w:sz="6" w:space="0" w:color="000000"/>
            </w:tcBorders>
            <w:shd w:val="clear" w:color="auto" w:fill="000000"/>
            <w:tcMar>
              <w:top w:w="0" w:type="dxa"/>
              <w:left w:w="100" w:type="dxa"/>
              <w:bottom w:w="0" w:type="dxa"/>
              <w:right w:w="100" w:type="dxa"/>
            </w:tcMar>
          </w:tcPr>
          <w:p w14:paraId="0D5235B2" w14:textId="77777777" w:rsidR="00952511" w:rsidRPr="00F12E16" w:rsidRDefault="00952511" w:rsidP="00CD4F3A">
            <w:pPr>
              <w:spacing w:before="240" w:after="0"/>
              <w:rPr>
                <w:rFonts w:cstheme="minorHAnsi"/>
                <w:color w:val="000000" w:themeColor="text1"/>
                <w:sz w:val="18"/>
                <w:szCs w:val="18"/>
              </w:rPr>
            </w:pPr>
            <w:r w:rsidRPr="00F12E16">
              <w:rPr>
                <w:rFonts w:cstheme="minorHAnsi"/>
                <w:color w:val="000000" w:themeColor="text1"/>
                <w:sz w:val="18"/>
                <w:szCs w:val="18"/>
              </w:rPr>
              <w:t xml:space="preserve"> </w:t>
            </w:r>
          </w:p>
        </w:tc>
        <w:tc>
          <w:tcPr>
            <w:tcW w:w="489" w:type="dxa"/>
            <w:tcBorders>
              <w:top w:val="nil"/>
              <w:left w:val="nil"/>
              <w:bottom w:val="single" w:sz="6" w:space="0" w:color="000000"/>
              <w:right w:val="single" w:sz="6" w:space="0" w:color="000000"/>
            </w:tcBorders>
            <w:shd w:val="clear" w:color="auto" w:fill="000000"/>
          </w:tcPr>
          <w:p w14:paraId="3AEDAFC3" w14:textId="77777777" w:rsidR="00952511" w:rsidRPr="00F12E16" w:rsidRDefault="00952511" w:rsidP="00CD4F3A">
            <w:pPr>
              <w:spacing w:before="240" w:after="0"/>
              <w:rPr>
                <w:rFonts w:cstheme="minorHAnsi"/>
                <w:color w:val="000000" w:themeColor="text1"/>
                <w:sz w:val="18"/>
                <w:szCs w:val="18"/>
              </w:rPr>
            </w:pPr>
          </w:p>
        </w:tc>
      </w:tr>
      <w:tr w:rsidR="00965739" w:rsidRPr="00F334F0" w14:paraId="55ECE8D0" w14:textId="4B7C99EA" w:rsidTr="00F12E16">
        <w:trPr>
          <w:trHeight w:val="373"/>
        </w:trPr>
        <w:tc>
          <w:tcPr>
            <w:tcW w:w="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325263" w14:textId="77777777" w:rsidR="00965739" w:rsidRPr="00F12E16" w:rsidRDefault="00965739" w:rsidP="00CD4F3A">
            <w:pPr>
              <w:spacing w:before="40" w:after="0"/>
              <w:rPr>
                <w:rFonts w:cstheme="minorHAnsi"/>
                <w:sz w:val="18"/>
                <w:szCs w:val="18"/>
              </w:rPr>
            </w:pPr>
            <w:r w:rsidRPr="00F12E16">
              <w:rPr>
                <w:rFonts w:cstheme="minorHAnsi"/>
                <w:sz w:val="18"/>
                <w:szCs w:val="18"/>
              </w:rPr>
              <w:t>4.2</w:t>
            </w: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14:paraId="768F5DED"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Modelling and model validation</w:t>
            </w:r>
          </w:p>
        </w:tc>
        <w:tc>
          <w:tcPr>
            <w:tcW w:w="4820" w:type="dxa"/>
            <w:tcBorders>
              <w:top w:val="nil"/>
              <w:left w:val="nil"/>
              <w:bottom w:val="single" w:sz="6" w:space="0" w:color="000000"/>
              <w:right w:val="single" w:sz="6" w:space="0" w:color="000000"/>
            </w:tcBorders>
            <w:tcMar>
              <w:top w:w="0" w:type="dxa"/>
              <w:left w:w="100" w:type="dxa"/>
              <w:bottom w:w="0" w:type="dxa"/>
              <w:right w:w="100" w:type="dxa"/>
            </w:tcMar>
          </w:tcPr>
          <w:p w14:paraId="00B491E0" w14:textId="77777777" w:rsidR="00965739" w:rsidRPr="00F12E16" w:rsidRDefault="00965739" w:rsidP="00CD4F3A">
            <w:pPr>
              <w:spacing w:after="0"/>
              <w:rPr>
                <w:rFonts w:cstheme="minorHAnsi"/>
                <w:color w:val="000000" w:themeColor="text1"/>
                <w:sz w:val="18"/>
                <w:szCs w:val="18"/>
              </w:rPr>
            </w:pPr>
            <w:r w:rsidRPr="00F12E16">
              <w:rPr>
                <w:rFonts w:cstheme="minorHAnsi"/>
                <w:color w:val="000000" w:themeColor="text1"/>
                <w:sz w:val="18"/>
                <w:szCs w:val="18"/>
                <w:lang w:val="en-US"/>
              </w:rPr>
              <w:t>Identified the required parameters for large load model development, modeling requirements of large load for transmission system studies</w:t>
            </w:r>
            <w:r w:rsidRPr="00F12E16">
              <w:rPr>
                <w:rFonts w:cstheme="minorHAnsi"/>
                <w:color w:val="000000" w:themeColor="text1"/>
                <w:sz w:val="18"/>
                <w:szCs w:val="18"/>
              </w:rPr>
              <w:t>.</w:t>
            </w:r>
          </w:p>
          <w:p w14:paraId="510F6044" w14:textId="0EA6F87D"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Aggregated large load models are developed for dynamic validation testing.</w:t>
            </w:r>
          </w:p>
        </w:tc>
        <w:tc>
          <w:tcPr>
            <w:tcW w:w="1984" w:type="dxa"/>
            <w:gridSpan w:val="3"/>
            <w:vMerge w:val="restart"/>
            <w:tcBorders>
              <w:top w:val="nil"/>
              <w:left w:val="nil"/>
              <w:right w:val="single" w:sz="6" w:space="0" w:color="000000"/>
            </w:tcBorders>
          </w:tcPr>
          <w:p w14:paraId="06298A31" w14:textId="1E5A6FC9" w:rsidR="00965739" w:rsidRPr="00F12E16" w:rsidRDefault="00965739" w:rsidP="00CD4F3A">
            <w:pPr>
              <w:spacing w:after="0"/>
              <w:rPr>
                <w:rFonts w:cstheme="minorHAnsi"/>
                <w:color w:val="000000" w:themeColor="text1"/>
                <w:sz w:val="18"/>
                <w:szCs w:val="18"/>
                <w:lang w:val="en-US"/>
              </w:rPr>
            </w:pPr>
            <w:r w:rsidRPr="00F12E16">
              <w:rPr>
                <w:rFonts w:cstheme="minorHAnsi"/>
                <w:color w:val="000000" w:themeColor="text1"/>
                <w:sz w:val="18"/>
                <w:szCs w:val="18"/>
                <w:lang w:val="en-US"/>
              </w:rPr>
              <w:t>0% → 30% (new research priority)</w:t>
            </w:r>
          </w:p>
        </w:tc>
      </w:tr>
      <w:tr w:rsidR="00965739" w:rsidRPr="00F334F0" w14:paraId="7E5224DD" w14:textId="02A727A9" w:rsidTr="00F12E16">
        <w:trPr>
          <w:trHeight w:val="373"/>
        </w:trPr>
        <w:tc>
          <w:tcPr>
            <w:tcW w:w="843"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7CAC53D8" w14:textId="77777777" w:rsidR="00965739" w:rsidRPr="00F12E16" w:rsidRDefault="00965739" w:rsidP="00CD4F3A">
            <w:pPr>
              <w:spacing w:before="40" w:after="0"/>
              <w:rPr>
                <w:rFonts w:cstheme="minorHAnsi"/>
                <w:sz w:val="18"/>
                <w:szCs w:val="18"/>
              </w:rPr>
            </w:pPr>
            <w:r w:rsidRPr="00F12E16">
              <w:rPr>
                <w:rFonts w:cstheme="minorHAnsi"/>
                <w:sz w:val="18"/>
                <w:szCs w:val="18"/>
              </w:rPr>
              <w:t>4.3</w:t>
            </w:r>
          </w:p>
        </w:tc>
        <w:tc>
          <w:tcPr>
            <w:tcW w:w="2126" w:type="dxa"/>
            <w:tcBorders>
              <w:top w:val="nil"/>
              <w:left w:val="nil"/>
              <w:bottom w:val="single" w:sz="4" w:space="0" w:color="auto"/>
              <w:right w:val="single" w:sz="6" w:space="0" w:color="000000"/>
            </w:tcBorders>
            <w:tcMar>
              <w:top w:w="0" w:type="dxa"/>
              <w:left w:w="100" w:type="dxa"/>
              <w:bottom w:w="0" w:type="dxa"/>
              <w:right w:w="100" w:type="dxa"/>
            </w:tcMar>
          </w:tcPr>
          <w:p w14:paraId="7A196EF7" w14:textId="77777777" w:rsidR="00965739" w:rsidRPr="00F12E16" w:rsidRDefault="00965739" w:rsidP="00CD4F3A">
            <w:pPr>
              <w:spacing w:before="40" w:after="0"/>
              <w:rPr>
                <w:rFonts w:cstheme="minorHAnsi"/>
                <w:color w:val="000000" w:themeColor="text1"/>
                <w:sz w:val="18"/>
                <w:szCs w:val="18"/>
              </w:rPr>
            </w:pPr>
            <w:r w:rsidRPr="00F12E16">
              <w:rPr>
                <w:rFonts w:cstheme="minorHAnsi"/>
                <w:color w:val="000000" w:themeColor="text1"/>
                <w:sz w:val="18"/>
                <w:szCs w:val="18"/>
              </w:rPr>
              <w:t>Voltage and reactive power management</w:t>
            </w:r>
          </w:p>
        </w:tc>
        <w:tc>
          <w:tcPr>
            <w:tcW w:w="4820" w:type="dxa"/>
            <w:tcBorders>
              <w:top w:val="nil"/>
              <w:left w:val="nil"/>
              <w:bottom w:val="single" w:sz="4" w:space="0" w:color="auto"/>
              <w:right w:val="single" w:sz="6" w:space="0" w:color="000000"/>
            </w:tcBorders>
            <w:tcMar>
              <w:top w:w="0" w:type="dxa"/>
              <w:left w:w="100" w:type="dxa"/>
              <w:bottom w:w="0" w:type="dxa"/>
              <w:right w:w="100" w:type="dxa"/>
            </w:tcMar>
          </w:tcPr>
          <w:p w14:paraId="134E6C44" w14:textId="77777777" w:rsidR="00965739" w:rsidRPr="00F12E16" w:rsidRDefault="00965739" w:rsidP="00CD4F3A">
            <w:pPr>
              <w:pStyle w:val="paragraph"/>
              <w:spacing w:before="40" w:after="0" w:afterAutospacing="0"/>
              <w:textAlignment w:val="baseline"/>
              <w:rPr>
                <w:rFonts w:asciiTheme="minorHAnsi" w:hAnsiTheme="minorHAnsi" w:cstheme="minorHAnsi"/>
                <w:color w:val="000000" w:themeColor="text1"/>
                <w:sz w:val="18"/>
                <w:szCs w:val="18"/>
              </w:rPr>
            </w:pPr>
            <w:r w:rsidRPr="00F12E16">
              <w:rPr>
                <w:rFonts w:asciiTheme="minorHAnsi" w:hAnsiTheme="minorHAnsi" w:cstheme="minorHAnsi"/>
                <w:color w:val="000000" w:themeColor="text1"/>
                <w:sz w:val="18"/>
                <w:szCs w:val="18"/>
              </w:rPr>
              <w:t>Investigated the impact of a large disturbance (e.g., a 3-phase symmetrical fault) and fault location on healthy buses (considering their electrical distances from the faulty bus) in terms of voltages for different levels of renewable integration.</w:t>
            </w:r>
          </w:p>
          <w:p w14:paraId="555A2534" w14:textId="39B296C2" w:rsidR="00965739" w:rsidRPr="00F12E16" w:rsidRDefault="00965739" w:rsidP="00CD4F3A">
            <w:pPr>
              <w:pStyle w:val="paragraph"/>
              <w:spacing w:before="0" w:beforeAutospacing="0" w:after="0" w:afterAutospacing="0"/>
              <w:textAlignment w:val="baseline"/>
              <w:rPr>
                <w:rFonts w:cstheme="minorHAnsi"/>
                <w:color w:val="000000" w:themeColor="text1"/>
                <w:sz w:val="18"/>
                <w:szCs w:val="18"/>
              </w:rPr>
            </w:pPr>
            <w:r w:rsidRPr="00F12E16">
              <w:rPr>
                <w:rFonts w:cstheme="minorHAnsi"/>
                <w:color w:val="000000" w:themeColor="text1"/>
                <w:sz w:val="18"/>
                <w:szCs w:val="18"/>
              </w:rPr>
              <w:t xml:space="preserve">Computation of new local and global </w:t>
            </w:r>
            <w:r w:rsidRPr="00F12E16">
              <w:rPr>
                <w:rFonts w:asciiTheme="minorHAnsi" w:hAnsiTheme="minorHAnsi" w:cstheme="minorHAnsi"/>
                <w:color w:val="000000" w:themeColor="text1"/>
                <w:sz w:val="18"/>
                <w:szCs w:val="18"/>
              </w:rPr>
              <w:t xml:space="preserve">dynamic resilient </w:t>
            </w:r>
            <w:r w:rsidRPr="00F12E16">
              <w:rPr>
                <w:rFonts w:cstheme="minorHAnsi"/>
                <w:color w:val="000000" w:themeColor="text1"/>
                <w:sz w:val="18"/>
                <w:szCs w:val="18"/>
              </w:rPr>
              <w:t xml:space="preserve">index to quantify the system's overall dynamic signature </w:t>
            </w:r>
          </w:p>
        </w:tc>
        <w:tc>
          <w:tcPr>
            <w:tcW w:w="1984" w:type="dxa"/>
            <w:gridSpan w:val="3"/>
            <w:vMerge/>
            <w:tcBorders>
              <w:left w:val="nil"/>
              <w:bottom w:val="single" w:sz="4" w:space="0" w:color="auto"/>
              <w:right w:val="single" w:sz="6" w:space="0" w:color="000000"/>
            </w:tcBorders>
          </w:tcPr>
          <w:p w14:paraId="61A9382A" w14:textId="77777777" w:rsidR="00965739" w:rsidRPr="00F12E16" w:rsidRDefault="00965739" w:rsidP="00CD4F3A">
            <w:pPr>
              <w:pStyle w:val="paragraph"/>
              <w:spacing w:before="40" w:after="0" w:afterAutospacing="0"/>
              <w:textAlignment w:val="baseline"/>
              <w:rPr>
                <w:rFonts w:asciiTheme="minorHAnsi" w:hAnsiTheme="minorHAnsi" w:cstheme="minorHAnsi"/>
                <w:color w:val="000000" w:themeColor="text1"/>
                <w:sz w:val="18"/>
                <w:szCs w:val="18"/>
              </w:rPr>
            </w:pPr>
          </w:p>
        </w:tc>
      </w:tr>
    </w:tbl>
    <w:p w14:paraId="4BFAB10D" w14:textId="77777777" w:rsidR="003B2E8F" w:rsidRPr="00E27D3B" w:rsidRDefault="003B2E8F" w:rsidP="003B2E8F">
      <w:pPr>
        <w:pStyle w:val="Heading2"/>
        <w:ind w:left="1134" w:hanging="1134"/>
      </w:pPr>
      <w:bookmarkStart w:id="19" w:name="_Toc233734294"/>
      <w:r w:rsidRPr="00E27D3B">
        <w:lastRenderedPageBreak/>
        <w:t>Summary of Stage 5 Research Achievements</w:t>
      </w:r>
      <w:bookmarkEnd w:id="19"/>
    </w:p>
    <w:p w14:paraId="6B670B53" w14:textId="77777777" w:rsidR="003B2E8F" w:rsidRPr="00E27D3B" w:rsidRDefault="003B2E8F" w:rsidP="003B2E8F">
      <w:pPr>
        <w:spacing w:after="0"/>
        <w:rPr>
          <w:sz w:val="24"/>
          <w:szCs w:val="24"/>
        </w:rPr>
      </w:pPr>
      <w:r w:rsidRPr="00E27D3B">
        <w:rPr>
          <w:sz w:val="24"/>
          <w:szCs w:val="24"/>
        </w:rPr>
        <w:t>Stage 5 of the AR-PST Topic 2 project has built upon previous research and significantly advanced the assessment of small-signal stability, voltage stability, and large-load modelling in high IBR penetration and emerging large converter-dominated load scenarios. The key contributions of the five work packages are summarized below:</w:t>
      </w:r>
    </w:p>
    <w:p w14:paraId="6B2A538E" w14:textId="77777777" w:rsidR="003B2E8F" w:rsidRPr="00E27D3B" w:rsidRDefault="003B2E8F" w:rsidP="003B2E8F">
      <w:pPr>
        <w:spacing w:after="0"/>
        <w:rPr>
          <w:sz w:val="24"/>
          <w:szCs w:val="24"/>
        </w:rPr>
      </w:pPr>
      <w:r w:rsidRPr="00E27D3B">
        <w:rPr>
          <w:b/>
          <w:bCs/>
          <w:sz w:val="24"/>
          <w:szCs w:val="24"/>
        </w:rPr>
        <w:t>1. Small-Signal Stability (SSS)</w:t>
      </w:r>
    </w:p>
    <w:p w14:paraId="51D457B6" w14:textId="77777777" w:rsidR="003B2E8F" w:rsidRPr="00E27D3B" w:rsidRDefault="003B2E8F" w:rsidP="003B2E8F">
      <w:pPr>
        <w:numPr>
          <w:ilvl w:val="0"/>
          <w:numId w:val="37"/>
        </w:numPr>
        <w:spacing w:after="0"/>
        <w:rPr>
          <w:sz w:val="24"/>
          <w:szCs w:val="24"/>
        </w:rPr>
      </w:pPr>
      <w:r w:rsidRPr="00E27D3B">
        <w:rPr>
          <w:b/>
          <w:bCs/>
          <w:sz w:val="24"/>
          <w:szCs w:val="24"/>
        </w:rPr>
        <w:t>Literature review and modelling approach:</w:t>
      </w:r>
      <w:r w:rsidRPr="00E27D3B">
        <w:rPr>
          <w:sz w:val="24"/>
          <w:szCs w:val="24"/>
        </w:rPr>
        <w:t xml:space="preserve"> A comprehensive study of methods, test systems, and software tools for small-signal stability analysis of IBR-dominated systems was conducted. Based on these studies, </w:t>
      </w:r>
      <w:r w:rsidRPr="00E27D3B">
        <w:rPr>
          <w:b/>
          <w:bCs/>
          <w:sz w:val="24"/>
          <w:szCs w:val="24"/>
        </w:rPr>
        <w:t>state-space (eigenvalue-based) and data-driven models</w:t>
      </w:r>
      <w:r w:rsidRPr="00E27D3B">
        <w:rPr>
          <w:sz w:val="24"/>
          <w:szCs w:val="24"/>
        </w:rPr>
        <w:t xml:space="preserve"> were recommended to evaluate SSS under different IBR control strategies. </w:t>
      </w:r>
      <w:r>
        <w:rPr>
          <w:sz w:val="24"/>
          <w:szCs w:val="24"/>
        </w:rPr>
        <w:t>Three</w:t>
      </w:r>
      <w:r w:rsidRPr="00E27D3B">
        <w:rPr>
          <w:sz w:val="24"/>
          <w:szCs w:val="24"/>
        </w:rPr>
        <w:t xml:space="preserve"> representative test systems were established: (1) SMIB with 1–2 IBRs, and (2) Modified IEEE 39-bus (New England) system with mixed IBRs</w:t>
      </w:r>
      <w:r>
        <w:rPr>
          <w:sz w:val="24"/>
          <w:szCs w:val="24"/>
        </w:rPr>
        <w:t xml:space="preserve">, and (3) </w:t>
      </w:r>
      <w:r w:rsidRPr="007A6887">
        <w:rPr>
          <w:sz w:val="24"/>
          <w:szCs w:val="24"/>
        </w:rPr>
        <w:t>the modified and simplified 14-generator Australian power system with VSM-controlled GFMI</w:t>
      </w:r>
      <w:r>
        <w:rPr>
          <w:sz w:val="24"/>
          <w:szCs w:val="24"/>
        </w:rPr>
        <w:t>.</w:t>
      </w:r>
    </w:p>
    <w:p w14:paraId="5A35B4F6" w14:textId="77777777" w:rsidR="003B2E8F" w:rsidRDefault="003B2E8F" w:rsidP="003B2E8F">
      <w:pPr>
        <w:numPr>
          <w:ilvl w:val="0"/>
          <w:numId w:val="37"/>
        </w:numPr>
        <w:spacing w:after="0"/>
        <w:rPr>
          <w:sz w:val="24"/>
          <w:szCs w:val="24"/>
        </w:rPr>
      </w:pPr>
      <w:r w:rsidRPr="00E27D3B">
        <w:rPr>
          <w:b/>
          <w:bCs/>
          <w:sz w:val="24"/>
          <w:szCs w:val="24"/>
        </w:rPr>
        <w:t>Eigenvalue and mode analysis:</w:t>
      </w:r>
      <w:r w:rsidRPr="00E27D3B">
        <w:rPr>
          <w:sz w:val="24"/>
          <w:szCs w:val="24"/>
        </w:rPr>
        <w:t xml:space="preserve"> Built-in DIgSILENT </w:t>
      </w:r>
      <w:proofErr w:type="spellStart"/>
      <w:r w:rsidRPr="00E27D3B">
        <w:rPr>
          <w:sz w:val="24"/>
          <w:szCs w:val="24"/>
        </w:rPr>
        <w:t>PowerFactory</w:t>
      </w:r>
      <w:proofErr w:type="spellEnd"/>
      <w:r w:rsidRPr="00E27D3B">
        <w:rPr>
          <w:sz w:val="24"/>
          <w:szCs w:val="24"/>
        </w:rPr>
        <w:t xml:space="preserve"> models for power-controlled GFLI, droop-controlled GFMI, and VSM-controlled GFMI were analysed under varying SCRs. Dominant eigenvalues, controllability, observability, and participation factors were used to determine which state variables and control parameters impact specific oscillatory modes.</w:t>
      </w:r>
    </w:p>
    <w:p w14:paraId="596C2505" w14:textId="77777777" w:rsidR="003B2E8F" w:rsidRPr="00E27D3B" w:rsidRDefault="003B2E8F" w:rsidP="003B2E8F">
      <w:pPr>
        <w:numPr>
          <w:ilvl w:val="0"/>
          <w:numId w:val="37"/>
        </w:numPr>
        <w:spacing w:after="0"/>
        <w:rPr>
          <w:sz w:val="24"/>
          <w:szCs w:val="24"/>
        </w:rPr>
      </w:pPr>
      <w:r w:rsidRPr="00E27D3B">
        <w:rPr>
          <w:b/>
          <w:bCs/>
          <w:sz w:val="24"/>
          <w:szCs w:val="24"/>
        </w:rPr>
        <w:t>Test system extension:</w:t>
      </w:r>
      <w:r w:rsidRPr="00E27D3B">
        <w:rPr>
          <w:sz w:val="24"/>
          <w:szCs w:val="24"/>
        </w:rPr>
        <w:t xml:space="preserve"> The IEEE 39-bus system was modified to replace three synchronous generators with VSM-controlled GFMIs, enabling evaluation of SSS under different inverter operating points (Pref, </w:t>
      </w:r>
      <w:proofErr w:type="spellStart"/>
      <w:r w:rsidRPr="00E27D3B">
        <w:rPr>
          <w:sz w:val="24"/>
          <w:szCs w:val="24"/>
        </w:rPr>
        <w:t>Qref</w:t>
      </w:r>
      <w:proofErr w:type="spellEnd"/>
      <w:r w:rsidRPr="00E27D3B">
        <w:rPr>
          <w:sz w:val="24"/>
          <w:szCs w:val="24"/>
        </w:rPr>
        <w:t>) at a larger network scale.</w:t>
      </w:r>
    </w:p>
    <w:p w14:paraId="24D520FC" w14:textId="77777777" w:rsidR="003B2E8F" w:rsidRPr="00E27D3B" w:rsidRDefault="003B2E8F" w:rsidP="003B2E8F">
      <w:pPr>
        <w:numPr>
          <w:ilvl w:val="0"/>
          <w:numId w:val="37"/>
        </w:numPr>
        <w:spacing w:after="0"/>
        <w:rPr>
          <w:sz w:val="24"/>
          <w:szCs w:val="24"/>
        </w:rPr>
      </w:pPr>
      <w:r w:rsidRPr="00E27D3B">
        <w:rPr>
          <w:b/>
          <w:bCs/>
          <w:sz w:val="24"/>
          <w:szCs w:val="24"/>
        </w:rPr>
        <w:t>Data-driven evaluation:</w:t>
      </w:r>
      <w:r w:rsidRPr="00E27D3B">
        <w:rPr>
          <w:sz w:val="24"/>
          <w:szCs w:val="24"/>
        </w:rPr>
        <w:t xml:space="preserve"> A </w:t>
      </w:r>
      <w:r w:rsidRPr="00E27D3B">
        <w:rPr>
          <w:b/>
          <w:bCs/>
          <w:sz w:val="24"/>
          <w:szCs w:val="24"/>
        </w:rPr>
        <w:t>Gaussian Process Regression (GPR) and Eigensystem Realization Algorithm (ERA)</w:t>
      </w:r>
      <w:r w:rsidRPr="00E27D3B">
        <w:rPr>
          <w:sz w:val="24"/>
          <w:szCs w:val="24"/>
        </w:rPr>
        <w:t xml:space="preserve"> based data-driven time-domain (DDTD) method was developed to evaluate SSS. Comparative studies against ANN- and ERA-based models demonstrated high prediction accuracy and eigenvalue estimation for both SMIB and IEEE 39-bus systems, allowing black-box stability evaluation where detailed OEM and control information is unavailable.</w:t>
      </w:r>
      <w:r w:rsidRPr="00E27D3B">
        <w:rPr>
          <w:b/>
          <w:bCs/>
          <w:sz w:val="24"/>
          <w:szCs w:val="24"/>
        </w:rPr>
        <w:t xml:space="preserve"> </w:t>
      </w:r>
    </w:p>
    <w:p w14:paraId="1F5F3A2B" w14:textId="77777777" w:rsidR="003B2E8F" w:rsidRPr="00E27D3B" w:rsidRDefault="003B2E8F" w:rsidP="003B2E8F">
      <w:pPr>
        <w:numPr>
          <w:ilvl w:val="0"/>
          <w:numId w:val="37"/>
        </w:numPr>
        <w:spacing w:after="0"/>
        <w:rPr>
          <w:sz w:val="24"/>
          <w:szCs w:val="24"/>
        </w:rPr>
      </w:pPr>
      <w:r w:rsidRPr="00E27D3B">
        <w:rPr>
          <w:b/>
          <w:bCs/>
          <w:sz w:val="24"/>
          <w:szCs w:val="24"/>
        </w:rPr>
        <w:t>Voltage control evaluation:</w:t>
      </w:r>
      <w:r w:rsidRPr="00E27D3B">
        <w:rPr>
          <w:sz w:val="24"/>
          <w:szCs w:val="24"/>
        </w:rPr>
        <w:t xml:space="preserve"> Grid-forming inverter controls, including FVC, PVC, and AVR, were implemented and tested under very weak, weak, and strong grid conditions. The results highlighted that AVR-controlled inverters tend to have the lowest stability margins, providing insights into optimal control selection. </w:t>
      </w:r>
    </w:p>
    <w:p w14:paraId="23473633" w14:textId="77777777" w:rsidR="003B2E8F" w:rsidRDefault="003B2E8F" w:rsidP="003B2E8F">
      <w:pPr>
        <w:numPr>
          <w:ilvl w:val="0"/>
          <w:numId w:val="37"/>
        </w:numPr>
        <w:spacing w:after="0"/>
        <w:rPr>
          <w:sz w:val="24"/>
          <w:szCs w:val="24"/>
        </w:rPr>
      </w:pPr>
      <w:r w:rsidRPr="60762895">
        <w:rPr>
          <w:b/>
          <w:bCs/>
          <w:sz w:val="24"/>
          <w:szCs w:val="24"/>
        </w:rPr>
        <w:t>AVR enhancement</w:t>
      </w:r>
      <w:r w:rsidRPr="0099033E">
        <w:rPr>
          <w:b/>
          <w:bCs/>
          <w:sz w:val="24"/>
          <w:szCs w:val="24"/>
        </w:rPr>
        <w:t xml:space="preserve">: </w:t>
      </w:r>
      <w:r w:rsidRPr="0099033E">
        <w:rPr>
          <w:color w:val="000000" w:themeColor="text1"/>
          <w:sz w:val="24"/>
          <w:szCs w:val="24"/>
        </w:rPr>
        <w:t>The improvement of AVR-based GFMI stability has been carried out incorporating a virtual impedance loop and adaptive tuning of the K</w:t>
      </w:r>
      <w:r w:rsidRPr="0099033E">
        <w:rPr>
          <w:color w:val="000000" w:themeColor="text1"/>
          <w:sz w:val="24"/>
          <w:szCs w:val="24"/>
          <w:vertAlign w:val="subscript"/>
        </w:rPr>
        <w:t>i-q</w:t>
      </w:r>
      <w:r w:rsidRPr="0099033E">
        <w:rPr>
          <w:color w:val="000000" w:themeColor="text1"/>
          <w:sz w:val="24"/>
          <w:szCs w:val="24"/>
        </w:rPr>
        <w:t xml:space="preserve"> values based on grid SCR</w:t>
      </w:r>
      <w:r w:rsidRPr="0099033E">
        <w:rPr>
          <w:sz w:val="24"/>
          <w:szCs w:val="24"/>
        </w:rPr>
        <w:t>.</w:t>
      </w:r>
      <w:r>
        <w:rPr>
          <w:sz w:val="24"/>
          <w:szCs w:val="24"/>
        </w:rPr>
        <w:t xml:space="preserve"> </w:t>
      </w:r>
      <w:r w:rsidRPr="60762895">
        <w:rPr>
          <w:sz w:val="24"/>
          <w:szCs w:val="24"/>
        </w:rPr>
        <w:t>This is crucial for enabling AVR applications in secondary frequency control, enhancing interconnection stability, and enabling faster recovery following disturbances in high-renewable power systems.</w:t>
      </w:r>
    </w:p>
    <w:p w14:paraId="7DF70D4D" w14:textId="77777777" w:rsidR="003B2E8F" w:rsidRPr="00E27D3B" w:rsidRDefault="003B2E8F" w:rsidP="003B2E8F">
      <w:pPr>
        <w:jc w:val="both"/>
        <w:rPr>
          <w:sz w:val="24"/>
          <w:szCs w:val="24"/>
        </w:rPr>
      </w:pPr>
      <w:r w:rsidRPr="00E27D3B">
        <w:rPr>
          <w:b/>
          <w:bCs/>
          <w:sz w:val="24"/>
          <w:szCs w:val="24"/>
        </w:rPr>
        <w:t xml:space="preserve">2. </w:t>
      </w:r>
      <w:r>
        <w:rPr>
          <w:b/>
          <w:bCs/>
          <w:sz w:val="24"/>
          <w:szCs w:val="24"/>
        </w:rPr>
        <w:t xml:space="preserve">(a) </w:t>
      </w:r>
      <w:r w:rsidRPr="00E27D3B">
        <w:rPr>
          <w:b/>
          <w:bCs/>
          <w:sz w:val="24"/>
          <w:szCs w:val="24"/>
        </w:rPr>
        <w:t xml:space="preserve">Dynamic Signature of the Power System (DVRI and </w:t>
      </w:r>
      <w:proofErr w:type="spellStart"/>
      <w:r w:rsidRPr="00E27D3B">
        <w:rPr>
          <w:b/>
          <w:bCs/>
          <w:sz w:val="24"/>
          <w:szCs w:val="24"/>
        </w:rPr>
        <w:t>sysDVRI</w:t>
      </w:r>
      <w:proofErr w:type="spellEnd"/>
      <w:r w:rsidRPr="00E27D3B">
        <w:rPr>
          <w:b/>
          <w:bCs/>
          <w:sz w:val="24"/>
          <w:szCs w:val="24"/>
        </w:rPr>
        <w:t xml:space="preserve"> stability indices)</w:t>
      </w:r>
    </w:p>
    <w:p w14:paraId="09C64DD2" w14:textId="77777777" w:rsidR="003B2E8F" w:rsidRPr="00E27D3B" w:rsidRDefault="003B2E8F" w:rsidP="003B2E8F">
      <w:pPr>
        <w:numPr>
          <w:ilvl w:val="0"/>
          <w:numId w:val="38"/>
        </w:numPr>
        <w:spacing w:after="0"/>
        <w:jc w:val="both"/>
        <w:rPr>
          <w:sz w:val="24"/>
          <w:szCs w:val="24"/>
        </w:rPr>
      </w:pPr>
      <w:r w:rsidRPr="00E27D3B">
        <w:rPr>
          <w:b/>
          <w:bCs/>
          <w:sz w:val="24"/>
          <w:szCs w:val="24"/>
        </w:rPr>
        <w:t>Development of DVRI:</w:t>
      </w:r>
      <w:r w:rsidRPr="00E27D3B">
        <w:rPr>
          <w:sz w:val="24"/>
          <w:szCs w:val="24"/>
        </w:rPr>
        <w:t xml:space="preserve"> A new vector-based </w:t>
      </w:r>
      <w:r w:rsidRPr="00E27D3B">
        <w:rPr>
          <w:b/>
          <w:bCs/>
          <w:sz w:val="24"/>
          <w:szCs w:val="24"/>
        </w:rPr>
        <w:t>Dynamic Voltage Resilience Index (DVRI)</w:t>
      </w:r>
      <w:r w:rsidRPr="00E27D3B">
        <w:rPr>
          <w:sz w:val="24"/>
          <w:szCs w:val="24"/>
        </w:rPr>
        <w:t xml:space="preserve"> was proposed to quantify both short-term (STVS) and long-term voltage stability (LTVS) for post-</w:t>
      </w:r>
      <w:r w:rsidRPr="00E27D3B">
        <w:rPr>
          <w:sz w:val="24"/>
          <w:szCs w:val="24"/>
        </w:rPr>
        <w:lastRenderedPageBreak/>
        <w:t>fault voltage trajectories, overcoming limitations of existing scalar large-disturbance voltage stability indices.</w:t>
      </w:r>
    </w:p>
    <w:p w14:paraId="6347D562" w14:textId="4B41307F" w:rsidR="00103927" w:rsidRPr="00E27D3B" w:rsidRDefault="00103927" w:rsidP="00CD4F3A">
      <w:pPr>
        <w:numPr>
          <w:ilvl w:val="0"/>
          <w:numId w:val="38"/>
        </w:numPr>
        <w:spacing w:after="0"/>
        <w:jc w:val="both"/>
        <w:rPr>
          <w:sz w:val="24"/>
          <w:szCs w:val="24"/>
        </w:rPr>
      </w:pPr>
      <w:r w:rsidRPr="00E27D3B">
        <w:rPr>
          <w:b/>
          <w:bCs/>
          <w:sz w:val="24"/>
          <w:szCs w:val="24"/>
        </w:rPr>
        <w:t>Waveform classification:</w:t>
      </w:r>
      <w:r w:rsidRPr="00E27D3B">
        <w:rPr>
          <w:sz w:val="24"/>
          <w:szCs w:val="24"/>
        </w:rPr>
        <w:t xml:space="preserve"> A statistical method was introduced to distinguish oscillatory and non-oscillatory voltage recovery without plotting waveforms, addressing shortcomings of existing indices.</w:t>
      </w:r>
    </w:p>
    <w:p w14:paraId="7964AF52" w14:textId="1D241001" w:rsidR="00D833FB" w:rsidRDefault="00103927" w:rsidP="00CD4F3A">
      <w:pPr>
        <w:numPr>
          <w:ilvl w:val="0"/>
          <w:numId w:val="38"/>
        </w:numPr>
        <w:spacing w:after="0"/>
        <w:jc w:val="both"/>
        <w:rPr>
          <w:sz w:val="24"/>
          <w:szCs w:val="24"/>
        </w:rPr>
      </w:pPr>
      <w:r w:rsidRPr="00E27D3B">
        <w:rPr>
          <w:b/>
          <w:bCs/>
          <w:sz w:val="24"/>
          <w:szCs w:val="24"/>
        </w:rPr>
        <w:t>System-level extension (</w:t>
      </w:r>
      <w:proofErr w:type="spellStart"/>
      <w:r w:rsidRPr="00E27D3B">
        <w:rPr>
          <w:b/>
          <w:bCs/>
          <w:sz w:val="24"/>
          <w:szCs w:val="24"/>
        </w:rPr>
        <w:t>sysDVRI</w:t>
      </w:r>
      <w:proofErr w:type="spellEnd"/>
      <w:r w:rsidRPr="00E27D3B">
        <w:rPr>
          <w:b/>
          <w:bCs/>
          <w:sz w:val="24"/>
          <w:szCs w:val="24"/>
        </w:rPr>
        <w:t>):</w:t>
      </w:r>
      <w:r w:rsidRPr="00E27D3B">
        <w:rPr>
          <w:sz w:val="24"/>
          <w:szCs w:val="24"/>
        </w:rPr>
        <w:t xml:space="preserve"> </w:t>
      </w:r>
      <w:r w:rsidRPr="001449B7">
        <w:rPr>
          <w:color w:val="000000" w:themeColor="text1"/>
          <w:sz w:val="24"/>
          <w:szCs w:val="24"/>
        </w:rPr>
        <w:t>The</w:t>
      </w:r>
      <w:r w:rsidR="001127A6" w:rsidRPr="001449B7">
        <w:rPr>
          <w:color w:val="000000" w:themeColor="text1"/>
          <w:sz w:val="24"/>
          <w:szCs w:val="24"/>
        </w:rPr>
        <w:t xml:space="preserve"> System Level Dynamic Voltage Resilience Index (</w:t>
      </w:r>
      <w:proofErr w:type="spellStart"/>
      <w:r w:rsidRPr="001449B7">
        <w:rPr>
          <w:color w:val="000000" w:themeColor="text1"/>
          <w:sz w:val="24"/>
          <w:szCs w:val="24"/>
        </w:rPr>
        <w:t>sysDVRI</w:t>
      </w:r>
      <w:proofErr w:type="spellEnd"/>
      <w:r w:rsidR="001127A6" w:rsidRPr="001449B7">
        <w:rPr>
          <w:color w:val="000000" w:themeColor="text1"/>
          <w:sz w:val="24"/>
          <w:szCs w:val="24"/>
        </w:rPr>
        <w:t>)</w:t>
      </w:r>
      <w:r w:rsidRPr="00E27D3B">
        <w:rPr>
          <w:sz w:val="24"/>
          <w:szCs w:val="24"/>
        </w:rPr>
        <w:t xml:space="preserve"> provides a single vector-based measure of system dynamic performance, enabling planning- and operation-focused assessments of voltage stability across the network.</w:t>
      </w:r>
    </w:p>
    <w:p w14:paraId="73326AAA" w14:textId="5A1F2F41" w:rsidR="00103927" w:rsidRPr="00D833FB" w:rsidRDefault="00103927" w:rsidP="00CD4F3A">
      <w:pPr>
        <w:numPr>
          <w:ilvl w:val="0"/>
          <w:numId w:val="38"/>
        </w:numPr>
        <w:spacing w:after="0"/>
        <w:jc w:val="both"/>
        <w:rPr>
          <w:sz w:val="24"/>
          <w:szCs w:val="24"/>
        </w:rPr>
      </w:pPr>
      <w:r w:rsidRPr="00D833FB">
        <w:rPr>
          <w:b/>
          <w:bCs/>
          <w:sz w:val="24"/>
          <w:szCs w:val="24"/>
        </w:rPr>
        <w:t>Impact assessment of renewable penetration and dynamic load:</w:t>
      </w:r>
      <w:r w:rsidRPr="00D833FB">
        <w:rPr>
          <w:sz w:val="24"/>
          <w:szCs w:val="24"/>
        </w:rPr>
        <w:t xml:space="preserve"> DVRI and </w:t>
      </w:r>
      <w:proofErr w:type="spellStart"/>
      <w:r w:rsidRPr="00D833FB">
        <w:rPr>
          <w:sz w:val="24"/>
          <w:szCs w:val="24"/>
        </w:rPr>
        <w:t>sysDVRI</w:t>
      </w:r>
      <w:proofErr w:type="spellEnd"/>
      <w:r w:rsidRPr="00D833FB">
        <w:rPr>
          <w:sz w:val="24"/>
          <w:szCs w:val="24"/>
        </w:rPr>
        <w:t xml:space="preserve"> were used to systematically evaluate the effect of higher solar and wind integration and dynamic load models on the system’s overall dynamic signature.</w:t>
      </w:r>
    </w:p>
    <w:p w14:paraId="6F045D98" w14:textId="77777777" w:rsidR="00103927" w:rsidRPr="00590CFC" w:rsidRDefault="00103927" w:rsidP="003B2E8F">
      <w:pPr>
        <w:spacing w:beforeLines="120" w:before="288" w:line="22" w:lineRule="atLeast"/>
        <w:ind w:left="360"/>
        <w:jc w:val="both"/>
      </w:pPr>
      <w:r w:rsidRPr="00590CFC">
        <w:rPr>
          <w:b/>
          <w:bCs/>
          <w:sz w:val="24"/>
          <w:szCs w:val="24"/>
          <w:lang w:val="en-US"/>
        </w:rPr>
        <w:t>(b) Dynamic Signature of the Power System (SDVPI stability index)</w:t>
      </w:r>
    </w:p>
    <w:p w14:paraId="15878689" w14:textId="581DFA4A" w:rsidR="00103927" w:rsidRPr="00590CFC" w:rsidRDefault="00103927" w:rsidP="003B2E8F">
      <w:pPr>
        <w:pStyle w:val="ListParagraph0"/>
        <w:numPr>
          <w:ilvl w:val="0"/>
          <w:numId w:val="53"/>
        </w:numPr>
        <w:spacing w:beforeLines="120" w:before="288" w:line="22" w:lineRule="atLeast"/>
        <w:ind w:left="714" w:hanging="357"/>
        <w:jc w:val="both"/>
        <w:rPr>
          <w:b/>
          <w:bCs/>
          <w:lang w:val="en-US"/>
        </w:rPr>
      </w:pPr>
      <w:r w:rsidRPr="00590CFC">
        <w:rPr>
          <w:b/>
          <w:bCs/>
          <w:lang w:val="en-US"/>
        </w:rPr>
        <w:t>Development of SDVPI:</w:t>
      </w:r>
      <w:r w:rsidRPr="00590CFC">
        <w:rPr>
          <w:lang w:val="en-US"/>
        </w:rPr>
        <w:t xml:space="preserve"> A general, simple, and comprehensive Small-Disturbance Voltage Performance Index (SDVPI) is proposed, based on the adaptive continuation </w:t>
      </w:r>
      <w:r w:rsidR="0052041F">
        <w:rPr>
          <w:lang w:val="en-US"/>
        </w:rPr>
        <w:t>power</w:t>
      </w:r>
      <w:r w:rsidRPr="00590CFC">
        <w:rPr>
          <w:lang w:val="en-US"/>
        </w:rPr>
        <w:t xml:space="preserve"> flow (AC</w:t>
      </w:r>
      <w:r w:rsidR="0052041F">
        <w:rPr>
          <w:lang w:val="en-US"/>
        </w:rPr>
        <w:t>P</w:t>
      </w:r>
      <w:r w:rsidRPr="00590CFC">
        <w:rPr>
          <w:lang w:val="en-US"/>
        </w:rPr>
        <w:t>F) method, to evaluate voltage stability under small disturbances.</w:t>
      </w:r>
    </w:p>
    <w:p w14:paraId="0B40E20E" w14:textId="77777777" w:rsidR="00103927" w:rsidRPr="00590CFC" w:rsidRDefault="00103927" w:rsidP="00CD4F3A">
      <w:pPr>
        <w:pStyle w:val="ListParagraph0"/>
        <w:numPr>
          <w:ilvl w:val="0"/>
          <w:numId w:val="53"/>
        </w:numPr>
        <w:spacing w:after="0" w:line="240" w:lineRule="auto"/>
        <w:ind w:left="720"/>
        <w:jc w:val="both"/>
        <w:rPr>
          <w:b/>
          <w:bCs/>
          <w:lang w:val="en-US"/>
        </w:rPr>
      </w:pPr>
      <w:r w:rsidRPr="00590CFC">
        <w:rPr>
          <w:b/>
          <w:bCs/>
          <w:lang w:val="en-US"/>
        </w:rPr>
        <w:t>Mathematical formulation:</w:t>
      </w:r>
      <w:r w:rsidRPr="00590CFC">
        <w:rPr>
          <w:lang w:val="en-US"/>
        </w:rPr>
        <w:t xml:space="preserve"> A quantitative framework is developed to determine the system’s proximity to the voltage collapse margin, clearly identifying the boundary between stable and unstable operating regions.</w:t>
      </w:r>
    </w:p>
    <w:p w14:paraId="532CF3F9" w14:textId="77777777" w:rsidR="00103927" w:rsidRPr="00590CFC" w:rsidRDefault="00103927" w:rsidP="00CD4F3A">
      <w:pPr>
        <w:pStyle w:val="ListParagraph0"/>
        <w:numPr>
          <w:ilvl w:val="0"/>
          <w:numId w:val="53"/>
        </w:numPr>
        <w:spacing w:after="0" w:line="240" w:lineRule="auto"/>
        <w:ind w:left="720"/>
        <w:jc w:val="both"/>
        <w:rPr>
          <w:b/>
          <w:bCs/>
          <w:lang w:val="en-US"/>
        </w:rPr>
      </w:pPr>
      <w:r w:rsidRPr="00590CFC">
        <w:rPr>
          <w:b/>
          <w:bCs/>
          <w:lang w:val="en-US"/>
        </w:rPr>
        <w:t>Scenario-based assessment:</w:t>
      </w:r>
      <w:r w:rsidRPr="00590CFC">
        <w:rPr>
          <w:lang w:val="en-US"/>
        </w:rPr>
        <w:t xml:space="preserve"> The impact of varying load and generation conditions is systematically analyzed on a modified 39-bus system, where SDVPI is computed using DIgSILENT </w:t>
      </w:r>
      <w:proofErr w:type="spellStart"/>
      <w:r w:rsidRPr="00590CFC">
        <w:rPr>
          <w:lang w:val="en-US"/>
        </w:rPr>
        <w:t>PowerFactory</w:t>
      </w:r>
      <w:proofErr w:type="spellEnd"/>
      <w:r w:rsidRPr="00590CFC">
        <w:rPr>
          <w:lang w:val="en-US"/>
        </w:rPr>
        <w:t xml:space="preserve"> to identify the weakest bus.</w:t>
      </w:r>
    </w:p>
    <w:p w14:paraId="7E987CD5" w14:textId="77777777" w:rsidR="00103927" w:rsidRPr="00590CFC" w:rsidRDefault="00103927" w:rsidP="00CD4F3A">
      <w:pPr>
        <w:pStyle w:val="ListParagraph0"/>
        <w:spacing w:after="0" w:line="240" w:lineRule="auto"/>
        <w:jc w:val="both"/>
        <w:rPr>
          <w:b/>
          <w:bCs/>
          <w:lang w:val="en-US"/>
        </w:rPr>
      </w:pPr>
    </w:p>
    <w:p w14:paraId="3AF9EE5E" w14:textId="0522F0FE" w:rsidR="00103927" w:rsidRPr="00590CFC" w:rsidRDefault="00103927" w:rsidP="00CD4F3A">
      <w:pPr>
        <w:spacing w:after="0"/>
        <w:ind w:left="360"/>
        <w:jc w:val="both"/>
        <w:rPr>
          <w:b/>
          <w:bCs/>
          <w:lang w:val="en-US"/>
        </w:rPr>
      </w:pPr>
      <w:r w:rsidRPr="00590CFC">
        <w:rPr>
          <w:b/>
          <w:bCs/>
          <w:lang w:val="en-US"/>
        </w:rPr>
        <w:t>(</w:t>
      </w:r>
      <w:proofErr w:type="gramStart"/>
      <w:r w:rsidRPr="00590CFC">
        <w:rPr>
          <w:b/>
          <w:bCs/>
          <w:lang w:val="en-US"/>
        </w:rPr>
        <w:t>c )</w:t>
      </w:r>
      <w:proofErr w:type="gramEnd"/>
      <w:r w:rsidR="00AD596A">
        <w:rPr>
          <w:b/>
          <w:bCs/>
          <w:lang w:val="en-US"/>
        </w:rPr>
        <w:t xml:space="preserve"> </w:t>
      </w:r>
      <w:r w:rsidRPr="00590CFC">
        <w:rPr>
          <w:b/>
          <w:bCs/>
          <w:lang w:val="en-US"/>
        </w:rPr>
        <w:t>Dynamic Signature of the Power System (SSSI stability index)</w:t>
      </w:r>
    </w:p>
    <w:p w14:paraId="213A50B6" w14:textId="77777777" w:rsidR="00103927" w:rsidRPr="00590CFC" w:rsidRDefault="00103927" w:rsidP="00CD4F3A">
      <w:pPr>
        <w:pStyle w:val="ListParagraph0"/>
        <w:numPr>
          <w:ilvl w:val="0"/>
          <w:numId w:val="54"/>
        </w:numPr>
        <w:spacing w:after="0" w:line="240" w:lineRule="auto"/>
        <w:jc w:val="both"/>
        <w:rPr>
          <w:lang w:val="en-US"/>
        </w:rPr>
      </w:pPr>
      <w:r w:rsidRPr="00590CFC">
        <w:rPr>
          <w:b/>
          <w:bCs/>
          <w:lang w:val="en-US"/>
        </w:rPr>
        <w:t>Development of SSSI (SSOASI):</w:t>
      </w:r>
      <w:r w:rsidRPr="00590CFC">
        <w:rPr>
          <w:lang w:val="en-US"/>
        </w:rPr>
        <w:t xml:space="preserve"> A Small-Signal Stability Index, termed SSOASI, is introduced to evaluate system security by capturing variations in oscillatory behavior through minimum permissible damping of system modes.</w:t>
      </w:r>
    </w:p>
    <w:p w14:paraId="5537114F" w14:textId="77777777" w:rsidR="00103927" w:rsidRPr="00590CFC" w:rsidRDefault="00103927" w:rsidP="00CD4F3A">
      <w:pPr>
        <w:pStyle w:val="ListParagraph0"/>
        <w:numPr>
          <w:ilvl w:val="0"/>
          <w:numId w:val="54"/>
        </w:numPr>
        <w:spacing w:after="0" w:line="240" w:lineRule="auto"/>
        <w:jc w:val="both"/>
        <w:rPr>
          <w:lang w:val="en-US"/>
        </w:rPr>
      </w:pPr>
      <w:r w:rsidRPr="00590CFC">
        <w:rPr>
          <w:b/>
          <w:bCs/>
          <w:lang w:val="en-US"/>
        </w:rPr>
        <w:t>Mathematical formulation:</w:t>
      </w:r>
      <w:r w:rsidRPr="00590CFC">
        <w:rPr>
          <w:lang w:val="en-US"/>
        </w:rPr>
        <w:t xml:space="preserve"> A rigorous formulation is developed to quantify small-signal stability under changes in generation mix, network topology, and load conditions, including contingency events.</w:t>
      </w:r>
    </w:p>
    <w:p w14:paraId="3C9FF092" w14:textId="77777777" w:rsidR="00103927" w:rsidRPr="00590CFC" w:rsidRDefault="00103927" w:rsidP="00CD4F3A">
      <w:pPr>
        <w:pStyle w:val="ListParagraph0"/>
        <w:numPr>
          <w:ilvl w:val="0"/>
          <w:numId w:val="54"/>
        </w:numPr>
        <w:spacing w:after="0" w:line="240" w:lineRule="auto"/>
        <w:jc w:val="both"/>
        <w:rPr>
          <w:lang w:val="en-US"/>
        </w:rPr>
      </w:pPr>
      <w:r w:rsidRPr="00590CFC">
        <w:rPr>
          <w:b/>
          <w:bCs/>
          <w:lang w:val="en-US"/>
        </w:rPr>
        <w:t>Scenario-based security assessment:</w:t>
      </w:r>
      <w:r w:rsidRPr="00590CFC">
        <w:rPr>
          <w:lang w:val="en-US"/>
        </w:rPr>
        <w:t xml:space="preserve"> The system’s security is evaluated under different generation scenarios using the modified 39-bus system, demonstrating the effectiveness of the proposed index.</w:t>
      </w:r>
    </w:p>
    <w:p w14:paraId="07DD7199" w14:textId="77777777" w:rsidR="002561A3" w:rsidRPr="00E27D3B" w:rsidRDefault="002561A3" w:rsidP="00CD4F3A">
      <w:pPr>
        <w:spacing w:after="0"/>
        <w:rPr>
          <w:sz w:val="24"/>
          <w:szCs w:val="24"/>
        </w:rPr>
      </w:pPr>
      <w:r w:rsidRPr="00E27D3B">
        <w:rPr>
          <w:b/>
          <w:bCs/>
          <w:sz w:val="24"/>
          <w:szCs w:val="24"/>
        </w:rPr>
        <w:t>3. Large-Disturbance Voltage Stability (LDVS)</w:t>
      </w:r>
    </w:p>
    <w:p w14:paraId="555BAAD6" w14:textId="77777777" w:rsidR="002561A3" w:rsidRPr="00E27D3B" w:rsidRDefault="002561A3" w:rsidP="00CD4F3A">
      <w:pPr>
        <w:numPr>
          <w:ilvl w:val="0"/>
          <w:numId w:val="39"/>
        </w:numPr>
        <w:spacing w:after="0"/>
        <w:rPr>
          <w:sz w:val="24"/>
          <w:szCs w:val="24"/>
        </w:rPr>
      </w:pPr>
      <w:r w:rsidRPr="00E27D3B">
        <w:rPr>
          <w:b/>
          <w:bCs/>
          <w:sz w:val="24"/>
          <w:szCs w:val="24"/>
        </w:rPr>
        <w:t>Definition and assessment:</w:t>
      </w:r>
      <w:r w:rsidRPr="00E27D3B">
        <w:rPr>
          <w:sz w:val="24"/>
          <w:szCs w:val="24"/>
        </w:rPr>
        <w:t xml:space="preserve"> LDVS evaluates the system’s ability to maintain acceptable voltages following severe disturbances such as faults, line outages, or generator trips.</w:t>
      </w:r>
    </w:p>
    <w:p w14:paraId="38B5ACAF" w14:textId="77777777" w:rsidR="002561A3" w:rsidRPr="00E27D3B" w:rsidRDefault="002561A3" w:rsidP="00CD4F3A">
      <w:pPr>
        <w:numPr>
          <w:ilvl w:val="0"/>
          <w:numId w:val="39"/>
        </w:numPr>
        <w:spacing w:after="0"/>
        <w:rPr>
          <w:sz w:val="24"/>
          <w:szCs w:val="24"/>
        </w:rPr>
      </w:pPr>
      <w:r w:rsidRPr="00E27D3B">
        <w:rPr>
          <w:b/>
          <w:bCs/>
          <w:sz w:val="24"/>
          <w:szCs w:val="24"/>
        </w:rPr>
        <w:t>Modeling and simulation:</w:t>
      </w:r>
      <w:r w:rsidRPr="00E27D3B">
        <w:rPr>
          <w:sz w:val="24"/>
          <w:szCs w:val="24"/>
        </w:rPr>
        <w:t xml:space="preserve"> Time-domain simulations using DIgSILENT </w:t>
      </w:r>
      <w:proofErr w:type="spellStart"/>
      <w:r w:rsidRPr="00E27D3B">
        <w:rPr>
          <w:sz w:val="24"/>
          <w:szCs w:val="24"/>
        </w:rPr>
        <w:t>PowerFactory</w:t>
      </w:r>
      <w:proofErr w:type="spellEnd"/>
      <w:r w:rsidRPr="00E27D3B">
        <w:rPr>
          <w:sz w:val="24"/>
          <w:szCs w:val="24"/>
        </w:rPr>
        <w:t xml:space="preserve"> incorporated </w:t>
      </w:r>
      <w:r w:rsidRPr="00E27D3B">
        <w:rPr>
          <w:b/>
          <w:bCs/>
          <w:sz w:val="24"/>
          <w:szCs w:val="24"/>
        </w:rPr>
        <w:t>AEMO composite load models</w:t>
      </w:r>
      <w:r w:rsidRPr="00E27D3B">
        <w:rPr>
          <w:sz w:val="24"/>
          <w:szCs w:val="24"/>
        </w:rPr>
        <w:t xml:space="preserve"> to capture dynamic load behaviour, particularly induction motors. Adaptive continuation methods were applied to quantify voltage stability margins and identify critical contingencies and weak buses.</w:t>
      </w:r>
    </w:p>
    <w:p w14:paraId="2CAE805B" w14:textId="731D5F29" w:rsidR="002561A3" w:rsidRPr="00E27D3B" w:rsidRDefault="002561A3" w:rsidP="00CD4F3A">
      <w:pPr>
        <w:numPr>
          <w:ilvl w:val="0"/>
          <w:numId w:val="39"/>
        </w:numPr>
        <w:spacing w:after="0"/>
        <w:rPr>
          <w:sz w:val="24"/>
          <w:szCs w:val="24"/>
        </w:rPr>
      </w:pPr>
      <w:r w:rsidRPr="00E27D3B">
        <w:rPr>
          <w:b/>
          <w:bCs/>
          <w:sz w:val="24"/>
          <w:szCs w:val="24"/>
        </w:rPr>
        <w:lastRenderedPageBreak/>
        <w:t>Short-term vs. long-term dynamics:</w:t>
      </w:r>
      <w:r w:rsidRPr="00E27D3B">
        <w:rPr>
          <w:sz w:val="24"/>
          <w:szCs w:val="24"/>
        </w:rPr>
        <w:t xml:space="preserve"> Both </w:t>
      </w:r>
      <w:r w:rsidR="00AE786A" w:rsidRPr="00E27D3B">
        <w:rPr>
          <w:sz w:val="24"/>
          <w:szCs w:val="24"/>
        </w:rPr>
        <w:t>short-term voltage stability (</w:t>
      </w:r>
      <w:r w:rsidRPr="00E27D3B">
        <w:rPr>
          <w:sz w:val="24"/>
          <w:szCs w:val="24"/>
        </w:rPr>
        <w:t>STVS</w:t>
      </w:r>
      <w:r w:rsidR="00AE786A" w:rsidRPr="00E27D3B">
        <w:rPr>
          <w:sz w:val="24"/>
          <w:szCs w:val="24"/>
        </w:rPr>
        <w:t>)</w:t>
      </w:r>
      <w:r w:rsidRPr="00E27D3B">
        <w:rPr>
          <w:sz w:val="24"/>
          <w:szCs w:val="24"/>
        </w:rPr>
        <w:t xml:space="preserve"> and </w:t>
      </w:r>
      <w:r w:rsidR="00AE786A" w:rsidRPr="00E27D3B">
        <w:rPr>
          <w:sz w:val="24"/>
          <w:szCs w:val="24"/>
        </w:rPr>
        <w:t>long-term voltage stability (</w:t>
      </w:r>
      <w:r w:rsidRPr="00E27D3B">
        <w:rPr>
          <w:sz w:val="24"/>
          <w:szCs w:val="24"/>
        </w:rPr>
        <w:t>LTVS</w:t>
      </w:r>
      <w:r w:rsidR="00AE786A" w:rsidRPr="00E27D3B">
        <w:rPr>
          <w:sz w:val="24"/>
          <w:szCs w:val="24"/>
        </w:rPr>
        <w:t>)</w:t>
      </w:r>
      <w:r w:rsidRPr="00E27D3B">
        <w:rPr>
          <w:sz w:val="24"/>
          <w:szCs w:val="24"/>
        </w:rPr>
        <w:t xml:space="preserve"> were analysed, providing a comprehensive understanding of immediate and delayed voltage responses in high-IBR systems.</w:t>
      </w:r>
    </w:p>
    <w:p w14:paraId="47914514" w14:textId="77777777" w:rsidR="002561A3" w:rsidRPr="00E27D3B" w:rsidRDefault="002561A3" w:rsidP="00CD4F3A">
      <w:pPr>
        <w:spacing w:after="0"/>
        <w:rPr>
          <w:sz w:val="24"/>
          <w:szCs w:val="24"/>
        </w:rPr>
      </w:pPr>
      <w:r w:rsidRPr="00E27D3B">
        <w:rPr>
          <w:b/>
          <w:bCs/>
          <w:sz w:val="24"/>
          <w:szCs w:val="24"/>
        </w:rPr>
        <w:t>4. Small-Disturbance Voltage Stability (SDVS)</w:t>
      </w:r>
    </w:p>
    <w:p w14:paraId="2B13DFEA" w14:textId="77777777" w:rsidR="002561A3" w:rsidRPr="00E27D3B" w:rsidRDefault="002561A3" w:rsidP="00CD4F3A">
      <w:pPr>
        <w:numPr>
          <w:ilvl w:val="0"/>
          <w:numId w:val="40"/>
        </w:numPr>
        <w:spacing w:after="0"/>
        <w:rPr>
          <w:sz w:val="24"/>
          <w:szCs w:val="24"/>
        </w:rPr>
      </w:pPr>
      <w:r w:rsidRPr="00E27D3B">
        <w:rPr>
          <w:b/>
          <w:bCs/>
          <w:sz w:val="24"/>
          <w:szCs w:val="24"/>
        </w:rPr>
        <w:t>Assessment under normal operation:</w:t>
      </w:r>
      <w:r w:rsidRPr="00E27D3B">
        <w:rPr>
          <w:sz w:val="24"/>
          <w:szCs w:val="24"/>
        </w:rPr>
        <w:t xml:space="preserve"> SDVS characterizes the system’s ability to maintain voltages under small perturbations, such as incremental load or generation changes.</w:t>
      </w:r>
    </w:p>
    <w:p w14:paraId="3481F112" w14:textId="77777777" w:rsidR="002561A3" w:rsidRPr="00E27D3B" w:rsidRDefault="002561A3" w:rsidP="00CD4F3A">
      <w:pPr>
        <w:numPr>
          <w:ilvl w:val="0"/>
          <w:numId w:val="40"/>
        </w:numPr>
        <w:spacing w:after="0"/>
        <w:rPr>
          <w:sz w:val="24"/>
          <w:szCs w:val="24"/>
        </w:rPr>
      </w:pPr>
      <w:r w:rsidRPr="00E27D3B">
        <w:rPr>
          <w:b/>
          <w:bCs/>
          <w:sz w:val="24"/>
          <w:szCs w:val="24"/>
        </w:rPr>
        <w:t>Impact of IBR penetration:</w:t>
      </w:r>
      <w:r w:rsidRPr="00E27D3B">
        <w:rPr>
          <w:sz w:val="24"/>
          <w:szCs w:val="24"/>
        </w:rPr>
        <w:t xml:space="preserve"> Reduced reactive power support from IBRs and interactions with dynamic loads (e.g., residential induction motors) were analysed to determine system </w:t>
      </w:r>
      <w:proofErr w:type="spellStart"/>
      <w:r w:rsidRPr="00E27D3B">
        <w:rPr>
          <w:sz w:val="24"/>
          <w:szCs w:val="24"/>
        </w:rPr>
        <w:t>loadability</w:t>
      </w:r>
      <w:proofErr w:type="spellEnd"/>
      <w:r w:rsidRPr="00E27D3B">
        <w:rPr>
          <w:sz w:val="24"/>
          <w:szCs w:val="24"/>
        </w:rPr>
        <w:t xml:space="preserve"> and voltage collapse limits.</w:t>
      </w:r>
    </w:p>
    <w:p w14:paraId="780A09F1" w14:textId="436B737B" w:rsidR="002561A3" w:rsidRPr="00E27D3B" w:rsidRDefault="002561A3" w:rsidP="00CD4F3A">
      <w:pPr>
        <w:numPr>
          <w:ilvl w:val="0"/>
          <w:numId w:val="40"/>
        </w:numPr>
        <w:spacing w:after="0"/>
        <w:rPr>
          <w:sz w:val="24"/>
          <w:szCs w:val="24"/>
        </w:rPr>
      </w:pPr>
      <w:r w:rsidRPr="00E27D3B">
        <w:rPr>
          <w:b/>
          <w:bCs/>
          <w:sz w:val="24"/>
          <w:szCs w:val="24"/>
        </w:rPr>
        <w:t>CPF-based analysis:</w:t>
      </w:r>
      <w:r w:rsidRPr="00E27D3B">
        <w:rPr>
          <w:sz w:val="24"/>
          <w:szCs w:val="24"/>
        </w:rPr>
        <w:t xml:space="preserve"> </w:t>
      </w:r>
      <w:r w:rsidR="00AE786A" w:rsidRPr="00E27D3B">
        <w:rPr>
          <w:sz w:val="24"/>
          <w:szCs w:val="24"/>
        </w:rPr>
        <w:t>Adaptive c</w:t>
      </w:r>
      <w:r w:rsidRPr="00E27D3B">
        <w:rPr>
          <w:sz w:val="24"/>
          <w:szCs w:val="24"/>
        </w:rPr>
        <w:t>ontinuation power flow (</w:t>
      </w:r>
      <w:r w:rsidR="00AE786A" w:rsidRPr="00E27D3B">
        <w:rPr>
          <w:sz w:val="24"/>
          <w:szCs w:val="24"/>
        </w:rPr>
        <w:t xml:space="preserve">adaptive </w:t>
      </w:r>
      <w:r w:rsidRPr="00E27D3B">
        <w:rPr>
          <w:sz w:val="24"/>
          <w:szCs w:val="24"/>
        </w:rPr>
        <w:t>P–V curve) studies identified critical loading conditions and maximum permissible loads, providing practical inputs for stability screening and operational planning.</w:t>
      </w:r>
    </w:p>
    <w:p w14:paraId="3A2FA62B" w14:textId="10716F3A" w:rsidR="00945749" w:rsidRPr="00E27D3B" w:rsidRDefault="002561A3" w:rsidP="00CD4F3A">
      <w:pPr>
        <w:spacing w:after="0"/>
        <w:rPr>
          <w:sz w:val="24"/>
          <w:szCs w:val="24"/>
        </w:rPr>
      </w:pPr>
      <w:r w:rsidRPr="00E27D3B">
        <w:rPr>
          <w:b/>
          <w:bCs/>
          <w:sz w:val="24"/>
          <w:szCs w:val="24"/>
        </w:rPr>
        <w:t xml:space="preserve">5. </w:t>
      </w:r>
      <w:r w:rsidR="00945749" w:rsidRPr="00E27D3B">
        <w:rPr>
          <w:b/>
          <w:bCs/>
          <w:sz w:val="24"/>
          <w:szCs w:val="24"/>
        </w:rPr>
        <w:t>Large-Load Modelling</w:t>
      </w:r>
    </w:p>
    <w:p w14:paraId="51068E25" w14:textId="77777777" w:rsidR="00945749" w:rsidRPr="00E27D3B" w:rsidRDefault="00945749" w:rsidP="00CD4F3A">
      <w:pPr>
        <w:numPr>
          <w:ilvl w:val="0"/>
          <w:numId w:val="41"/>
        </w:numPr>
        <w:spacing w:after="0"/>
        <w:rPr>
          <w:sz w:val="24"/>
          <w:szCs w:val="24"/>
        </w:rPr>
      </w:pPr>
      <w:r w:rsidRPr="00E27D3B">
        <w:rPr>
          <w:b/>
          <w:bCs/>
          <w:sz w:val="24"/>
          <w:szCs w:val="24"/>
        </w:rPr>
        <w:t>Dynamic load model development:</w:t>
      </w:r>
      <w:r w:rsidRPr="00E27D3B">
        <w:rPr>
          <w:sz w:val="24"/>
          <w:szCs w:val="24"/>
        </w:rPr>
        <w:t xml:space="preserve"> Using the Composite Load Model (CMLD) framework, generic models capturing converter behaviour, ride-through, and redundancy are created for RMS studies.</w:t>
      </w:r>
    </w:p>
    <w:p w14:paraId="03880912" w14:textId="77777777" w:rsidR="00945749" w:rsidRPr="00E27D3B" w:rsidRDefault="00945749" w:rsidP="00CD4F3A">
      <w:pPr>
        <w:numPr>
          <w:ilvl w:val="0"/>
          <w:numId w:val="41"/>
        </w:numPr>
        <w:spacing w:after="0"/>
        <w:rPr>
          <w:sz w:val="24"/>
          <w:szCs w:val="24"/>
        </w:rPr>
      </w:pPr>
      <w:r w:rsidRPr="00E27D3B">
        <w:rPr>
          <w:b/>
          <w:bCs/>
          <w:sz w:val="24"/>
          <w:szCs w:val="24"/>
        </w:rPr>
        <w:t>Validation and integration:</w:t>
      </w:r>
      <w:r w:rsidRPr="00E27D3B">
        <w:rPr>
          <w:sz w:val="24"/>
          <w:szCs w:val="24"/>
        </w:rPr>
        <w:t xml:space="preserve"> Models were validated against simulations, and integration with IBR-dominated networks assessed their impact on both voltage and small-signal stability.</w:t>
      </w:r>
    </w:p>
    <w:p w14:paraId="14D0B309" w14:textId="77777777" w:rsidR="00945749" w:rsidRPr="00E27D3B" w:rsidRDefault="00945749" w:rsidP="00CD4F3A">
      <w:pPr>
        <w:numPr>
          <w:ilvl w:val="0"/>
          <w:numId w:val="41"/>
        </w:numPr>
        <w:spacing w:after="0"/>
        <w:rPr>
          <w:sz w:val="24"/>
          <w:szCs w:val="24"/>
        </w:rPr>
      </w:pPr>
      <w:r w:rsidRPr="00E27D3B">
        <w:rPr>
          <w:b/>
          <w:bCs/>
          <w:sz w:val="24"/>
          <w:szCs w:val="24"/>
        </w:rPr>
        <w:t>Practical framework:</w:t>
      </w:r>
      <w:r w:rsidRPr="00E27D3B">
        <w:rPr>
          <w:sz w:val="24"/>
          <w:szCs w:val="24"/>
        </w:rPr>
        <w:t xml:space="preserve"> A </w:t>
      </w:r>
      <w:r w:rsidRPr="00E27D3B">
        <w:rPr>
          <w:b/>
          <w:bCs/>
          <w:sz w:val="24"/>
          <w:szCs w:val="24"/>
        </w:rPr>
        <w:t>Dynamic Model Acceptance Test (DMAT)</w:t>
      </w:r>
      <w:r w:rsidRPr="00E27D3B">
        <w:rPr>
          <w:sz w:val="24"/>
          <w:szCs w:val="24"/>
        </w:rPr>
        <w:t xml:space="preserve"> framework was developed with AEMO for standardized testing, enabling robust planning and risk assessment for large emerging loads.</w:t>
      </w:r>
    </w:p>
    <w:p w14:paraId="68C405B2" w14:textId="3B78AA5D" w:rsidR="002561A3" w:rsidRPr="00E27D3B" w:rsidRDefault="002561A3" w:rsidP="00CD4F3A">
      <w:pPr>
        <w:pStyle w:val="BodyText"/>
        <w:spacing w:line="240" w:lineRule="auto"/>
        <w:rPr>
          <w:szCs w:val="24"/>
        </w:rPr>
        <w:sectPr w:rsidR="002561A3" w:rsidRPr="00E27D3B" w:rsidSect="002561A3">
          <w:footerReference w:type="even" r:id="rId24"/>
          <w:footerReference w:type="default" r:id="rId25"/>
          <w:pgSz w:w="11906" w:h="16838" w:code="9"/>
          <w:pgMar w:top="1134" w:right="1134" w:bottom="1134" w:left="1134" w:header="510" w:footer="624" w:gutter="0"/>
          <w:pgNumType w:start="1"/>
          <w:cols w:space="284"/>
          <w:docGrid w:linePitch="360"/>
        </w:sectPr>
      </w:pPr>
      <w:r w:rsidRPr="00E27D3B">
        <w:rPr>
          <w:szCs w:val="24"/>
        </w:rPr>
        <w:t>Further details of the completed research tasks are presented in the subsequent chapters of this report.</w:t>
      </w:r>
    </w:p>
    <w:bookmarkStart w:id="20" w:name="_Toc233734295" w:displacedByCustomXml="next"/>
    <w:sdt>
      <w:sdtPr>
        <w:rPr>
          <w:rStyle w:val="PartNumber"/>
          <w:b/>
          <w:bCs/>
          <w:sz w:val="24"/>
          <w:szCs w:val="24"/>
        </w:rPr>
        <w:id w:val="1268040629"/>
        <w:docPartObj>
          <w:docPartGallery w:val="Cover Pages"/>
        </w:docPartObj>
      </w:sdtPr>
      <w:sdtEndPr>
        <w:rPr>
          <w:rStyle w:val="DefaultParagraphFont"/>
          <w:b w:val="0"/>
          <w:bCs w:val="0"/>
          <w:color w:val="000000"/>
        </w:rPr>
      </w:sdtEndPr>
      <w:sdtContent>
        <w:sdt>
          <w:sdtPr>
            <w:rPr>
              <w:rStyle w:val="PartNumber"/>
              <w:b/>
              <w:bCs/>
              <w:sz w:val="24"/>
              <w:szCs w:val="24"/>
            </w:rPr>
            <w:id w:val="1465841013"/>
            <w:docPartObj>
              <w:docPartGallery w:val="Cover Pages"/>
            </w:docPartObj>
          </w:sdtPr>
          <w:sdtEndPr>
            <w:rPr>
              <w:rStyle w:val="DefaultParagraphFont"/>
              <w:b w:val="0"/>
              <w:bCs w:val="0"/>
              <w:color w:val="757579" w:themeColor="accent3"/>
              <w:sz w:val="80"/>
              <w:szCs w:val="80"/>
            </w:rPr>
          </w:sdtEndPr>
          <w:sdtContent>
            <w:p w14:paraId="431B7E77" w14:textId="77777777" w:rsidR="002561A3" w:rsidRPr="00E27D3B" w:rsidRDefault="002561A3" w:rsidP="00CD4F3A">
              <w:pPr>
                <w:pStyle w:val="PartTitle"/>
              </w:pPr>
              <w:r w:rsidRPr="00E27D3B">
                <w:rPr>
                  <w:rStyle w:val="PartNumber"/>
                </w:rPr>
                <w:t>Part II</w:t>
              </w:r>
              <w:r w:rsidRPr="00E27D3B">
                <w:rPr>
                  <w:rStyle w:val="PartNumber"/>
                </w:rPr>
                <w:tab/>
              </w:r>
              <w:r w:rsidRPr="00E27D3B">
                <w:t xml:space="preserve">Small-signal Stability </w:t>
              </w:r>
            </w:p>
          </w:sdtContent>
        </w:sdt>
        <w:bookmarkEnd w:id="20" w:displacedByCustomXml="prev"/>
        <w:p w14:paraId="10CF7E4A" w14:textId="77777777" w:rsidR="002561A3" w:rsidRPr="00E27D3B" w:rsidRDefault="002561A3"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584512" behindDoc="1" locked="0" layoutInCell="1" allowOverlap="1" wp14:anchorId="492F35D8" wp14:editId="12E7B93D">
                    <wp:simplePos x="0" y="0"/>
                    <wp:positionH relativeFrom="page">
                      <wp:posOffset>0</wp:posOffset>
                    </wp:positionH>
                    <wp:positionV relativeFrom="page">
                      <wp:align>bottom</wp:align>
                    </wp:positionV>
                    <wp:extent cx="7596000" cy="5400000"/>
                    <wp:effectExtent l="0" t="0" r="5080" b="0"/>
                    <wp:wrapNone/>
                    <wp:docPr id="445386634" name="Text Box 4453866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224835916"/>
                                  <w:picture/>
                                </w:sdtPr>
                                <w:sdtEndPr/>
                                <w:sdtContent>
                                  <w:p w14:paraId="73AB2B42" w14:textId="77777777" w:rsidR="002561A3" w:rsidRDefault="002561A3" w:rsidP="002561A3">
                                    <w:r>
                                      <w:rPr>
                                        <w:noProof/>
                                      </w:rPr>
                                      <w:drawing>
                                        <wp:inline distT="0" distB="0" distL="0" distR="0" wp14:anchorId="08A77A1E" wp14:editId="1C047D2F">
                                          <wp:extent cx="7635600" cy="5426540"/>
                                          <wp:effectExtent l="0" t="0" r="3810" b="3175"/>
                                          <wp:docPr id="570530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F35D8" id="Text Box 445386634" o:spid="_x0000_s1028" type="#_x0000_t202" alt="&quot;&quot;" style="position:absolute;margin-left:0;margin-top:0;width:598.1pt;height:425.2pt;z-index:-2517319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" fillcolor="#00a9ce [3204]" stroked="f" strokeweight=".5pt">
                    <v:textbox inset="0,0,0,0">
                      <w:txbxContent>
                        <w:sdt>
                          <w:sdtPr>
                            <w:id w:val="-224835916"/>
                            <w:picture/>
                          </w:sdtPr>
                          <w:sdtEndPr/>
                          <w:sdtContent>
                            <w:p w14:paraId="73AB2B42" w14:textId="77777777" w:rsidR="002561A3" w:rsidRDefault="002561A3" w:rsidP="002561A3">
                              <w:r>
                                <w:rPr>
                                  <w:noProof/>
                                </w:rPr>
                                <w:drawing>
                                  <wp:inline distT="0" distB="0" distL="0" distR="0" wp14:anchorId="08A77A1E" wp14:editId="1C047D2F">
                                    <wp:extent cx="7635600" cy="5426540"/>
                                    <wp:effectExtent l="0" t="0" r="3810" b="3175"/>
                                    <wp:docPr id="570530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592704" behindDoc="1" locked="1" layoutInCell="1" allowOverlap="1" wp14:anchorId="0DEA87A6" wp14:editId="5EBA06A4">
                    <wp:simplePos x="0" y="0"/>
                    <wp:positionH relativeFrom="page">
                      <wp:align>left</wp:align>
                    </wp:positionH>
                    <wp:positionV relativeFrom="page">
                      <wp:align>top</wp:align>
                    </wp:positionV>
                    <wp:extent cx="7559675" cy="5345430"/>
                    <wp:effectExtent l="0" t="0" r="3175" b="7620"/>
                    <wp:wrapNone/>
                    <wp:docPr id="276154063"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EC21C" id="Rectangle 85" o:spid="_x0000_s1026" alt="&quot;&quot;" style="position:absolute;margin-left:0;margin-top:0;width:595.25pt;height:420.9pt;z-index:-2517237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1E09477C" w14:textId="195D097F" w:rsidR="00E2284F" w:rsidRPr="00E27D3B" w:rsidRDefault="002561A3" w:rsidP="00CD4F3A">
      <w:pPr>
        <w:pStyle w:val="Heading1"/>
        <w:spacing w:line="240" w:lineRule="auto"/>
      </w:pPr>
      <w:bookmarkStart w:id="21" w:name="_Toc233734296"/>
      <w:r w:rsidRPr="00E27D3B">
        <w:lastRenderedPageBreak/>
        <w:t xml:space="preserve">Evaluation of </w:t>
      </w:r>
      <w:r w:rsidR="00484DE8">
        <w:t>S</w:t>
      </w:r>
      <w:r w:rsidRPr="00E27D3B">
        <w:t xml:space="preserve">mall-signal </w:t>
      </w:r>
      <w:r w:rsidR="00484DE8">
        <w:t>S</w:t>
      </w:r>
      <w:r w:rsidRPr="00E27D3B">
        <w:t xml:space="preserve">tability of </w:t>
      </w:r>
      <w:r w:rsidR="00484DE8">
        <w:t>P</w:t>
      </w:r>
      <w:r w:rsidRPr="00E27D3B">
        <w:t xml:space="preserve">ower </w:t>
      </w:r>
      <w:r w:rsidR="00484DE8">
        <w:t>S</w:t>
      </w:r>
      <w:r w:rsidRPr="00E27D3B">
        <w:t xml:space="preserve">ystems with </w:t>
      </w:r>
      <w:r w:rsidR="00484DE8">
        <w:t>D</w:t>
      </w:r>
      <w:r w:rsidRPr="00E27D3B">
        <w:t xml:space="preserve">ifferent </w:t>
      </w:r>
      <w:r w:rsidR="00484DE8">
        <w:t>C</w:t>
      </w:r>
      <w:r w:rsidRPr="00E27D3B">
        <w:t xml:space="preserve">ontrols of </w:t>
      </w:r>
      <w:r w:rsidR="00484DE8">
        <w:t>G</w:t>
      </w:r>
      <w:r w:rsidRPr="00E27D3B">
        <w:t xml:space="preserve">rid-following and </w:t>
      </w:r>
      <w:r w:rsidR="00484DE8">
        <w:t>G</w:t>
      </w:r>
      <w:r w:rsidR="00E2284F" w:rsidRPr="00E27D3B">
        <w:t xml:space="preserve">rid-forming </w:t>
      </w:r>
      <w:r w:rsidR="00484DE8">
        <w:t>I</w:t>
      </w:r>
      <w:r w:rsidR="00E2284F" w:rsidRPr="00E27D3B">
        <w:t>nverters</w:t>
      </w:r>
      <w:bookmarkEnd w:id="21"/>
    </w:p>
    <w:p w14:paraId="65083264" w14:textId="77777777" w:rsidR="00E2284F" w:rsidRPr="009B68EA" w:rsidRDefault="00E2284F" w:rsidP="00CD4F3A">
      <w:pPr>
        <w:pStyle w:val="Heading2"/>
        <w:numPr>
          <w:ilvl w:val="0"/>
          <w:numId w:val="52"/>
        </w:numPr>
        <w:ind w:left="0" w:firstLine="0"/>
      </w:pPr>
      <w:bookmarkStart w:id="22" w:name="_Ref230098716"/>
      <w:bookmarkStart w:id="23" w:name="_Toc233734297"/>
      <w:r w:rsidRPr="009B68EA">
        <w:t>Introduction</w:t>
      </w:r>
      <w:bookmarkEnd w:id="22"/>
      <w:bookmarkEnd w:id="23"/>
    </w:p>
    <w:p w14:paraId="078B91FD" w14:textId="77777777" w:rsidR="00D5218D" w:rsidRPr="003B2E8F" w:rsidRDefault="00E2284F" w:rsidP="00CD4F3A">
      <w:pPr>
        <w:pStyle w:val="BodyText"/>
        <w:spacing w:line="240" w:lineRule="auto"/>
        <w:rPr>
          <w:rFonts w:eastAsia="Times New Roman" w:cs="Calibri"/>
          <w:color w:val="auto"/>
          <w:szCs w:val="24"/>
        </w:rPr>
      </w:pPr>
      <w:r w:rsidRPr="003B2E8F">
        <w:rPr>
          <w:rFonts w:eastAsia="Times New Roman" w:cs="Calibri"/>
          <w:color w:val="auto"/>
          <w:szCs w:val="24"/>
        </w:rPr>
        <w:t xml:space="preserve">The increasing penetration of IBRs has introduced fast, control-dominated dynamics that challenge conventional model-based small-signal stability (SSS) analysis of power systems </w:t>
      </w:r>
      <w:r w:rsidRPr="003B2E8F">
        <w:rPr>
          <w:rFonts w:eastAsia="Times New Roman" w:cs="Calibri"/>
          <w:color w:val="auto"/>
          <w:szCs w:val="24"/>
        </w:rPr>
        <w:fldChar w:fldCharType="begin"/>
      </w:r>
      <w:r w:rsidRPr="003B2E8F">
        <w:rPr>
          <w:rFonts w:eastAsia="Times New Roman" w:cs="Calibri"/>
          <w:color w:val="auto"/>
          <w:szCs w:val="24"/>
        </w:rPr>
        <w:instrText xml:space="preserve"> REF _Ref223639880 \n \h  \* MERGEFORMAT </w:instrText>
      </w:r>
      <w:r w:rsidRPr="003B2E8F">
        <w:rPr>
          <w:rFonts w:eastAsia="Times New Roman" w:cs="Calibri"/>
          <w:color w:val="auto"/>
          <w:szCs w:val="24"/>
        </w:rPr>
      </w:r>
      <w:r w:rsidRPr="003B2E8F">
        <w:rPr>
          <w:rFonts w:eastAsia="Times New Roman" w:cs="Calibri"/>
          <w:color w:val="auto"/>
          <w:szCs w:val="24"/>
        </w:rPr>
        <w:fldChar w:fldCharType="separate"/>
      </w:r>
      <w:r w:rsidR="00753DAF" w:rsidRPr="003B2E8F">
        <w:rPr>
          <w:rFonts w:eastAsia="Times New Roman" w:cs="Calibri"/>
          <w:color w:val="auto"/>
          <w:szCs w:val="24"/>
          <w:cs/>
        </w:rPr>
        <w:t>‎</w:t>
      </w:r>
      <w:r w:rsidR="00753DAF" w:rsidRPr="003B2E8F">
        <w:rPr>
          <w:rFonts w:eastAsia="Times New Roman" w:cs="Calibri"/>
          <w:color w:val="auto"/>
          <w:szCs w:val="24"/>
        </w:rPr>
        <w:t>[3]</w:t>
      </w:r>
      <w:r w:rsidRPr="003B2E8F">
        <w:rPr>
          <w:rFonts w:eastAsia="Times New Roman" w:cs="Calibri"/>
          <w:color w:val="auto"/>
          <w:szCs w:val="24"/>
        </w:rPr>
        <w:fldChar w:fldCharType="end"/>
      </w:r>
      <w:r w:rsidRPr="003B2E8F">
        <w:rPr>
          <w:rFonts w:eastAsia="Times New Roman" w:cs="Calibri"/>
          <w:color w:val="auto"/>
          <w:szCs w:val="24"/>
        </w:rPr>
        <w:t xml:space="preserve">. IBRs are classified into two primary types: grid-following inverters (GFLIs) and grid-forming inverters (GFMIs), each with distinct dynamics suited for different grid conditions </w:t>
      </w:r>
      <w:r w:rsidRPr="003B2E8F">
        <w:rPr>
          <w:rFonts w:eastAsia="Times New Roman" w:cs="Calibri"/>
          <w:color w:val="auto"/>
          <w:szCs w:val="24"/>
        </w:rPr>
        <w:fldChar w:fldCharType="begin"/>
      </w:r>
      <w:r w:rsidRPr="003B2E8F">
        <w:rPr>
          <w:rFonts w:eastAsia="Times New Roman" w:cs="Calibri"/>
          <w:color w:val="auto"/>
          <w:szCs w:val="24"/>
        </w:rPr>
        <w:instrText xml:space="preserve"> REF _Ref223639897 \n \h  \* MERGEFORMAT </w:instrText>
      </w:r>
      <w:r w:rsidRPr="003B2E8F">
        <w:rPr>
          <w:rFonts w:eastAsia="Times New Roman" w:cs="Calibri"/>
          <w:color w:val="auto"/>
          <w:szCs w:val="24"/>
        </w:rPr>
      </w:r>
      <w:r w:rsidRPr="003B2E8F">
        <w:rPr>
          <w:rFonts w:eastAsia="Times New Roman" w:cs="Calibri"/>
          <w:color w:val="auto"/>
          <w:szCs w:val="24"/>
        </w:rPr>
        <w:fldChar w:fldCharType="separate"/>
      </w:r>
      <w:r w:rsidR="00753DAF" w:rsidRPr="003B2E8F">
        <w:rPr>
          <w:rFonts w:eastAsia="Times New Roman" w:cs="Calibri"/>
          <w:color w:val="auto"/>
          <w:szCs w:val="24"/>
          <w:cs/>
        </w:rPr>
        <w:t>‎</w:t>
      </w:r>
      <w:r w:rsidR="00753DAF" w:rsidRPr="003B2E8F">
        <w:rPr>
          <w:rFonts w:eastAsia="Times New Roman" w:cs="Calibri"/>
          <w:color w:val="auto"/>
          <w:szCs w:val="24"/>
        </w:rPr>
        <w:t>[4]</w:t>
      </w:r>
      <w:r w:rsidRPr="003B2E8F">
        <w:rPr>
          <w:rFonts w:eastAsia="Times New Roman" w:cs="Calibri"/>
          <w:color w:val="auto"/>
          <w:szCs w:val="24"/>
        </w:rPr>
        <w:fldChar w:fldCharType="end"/>
      </w:r>
      <w:r w:rsidRPr="003B2E8F">
        <w:rPr>
          <w:rFonts w:eastAsia="Times New Roman" w:cs="Calibri"/>
          <w:color w:val="auto"/>
          <w:szCs w:val="24"/>
        </w:rPr>
        <w:t xml:space="preserve">. GFLIs typically operate stably in strong grid connections, where they function as current sources that synchronize with the grid’s voltage and frequency </w:t>
      </w:r>
      <w:r w:rsidRPr="003B2E8F">
        <w:rPr>
          <w:rFonts w:eastAsia="Times New Roman" w:cs="Calibri"/>
          <w:color w:val="auto"/>
          <w:szCs w:val="24"/>
        </w:rPr>
        <w:fldChar w:fldCharType="begin"/>
      </w:r>
      <w:r w:rsidRPr="003B2E8F">
        <w:rPr>
          <w:rFonts w:eastAsia="Times New Roman" w:cs="Calibri"/>
          <w:color w:val="auto"/>
          <w:szCs w:val="24"/>
        </w:rPr>
        <w:instrText xml:space="preserve"> REF _Ref223639956 \n \h  \* MERGEFORMAT </w:instrText>
      </w:r>
      <w:r w:rsidRPr="003B2E8F">
        <w:rPr>
          <w:rFonts w:eastAsia="Times New Roman" w:cs="Calibri"/>
          <w:color w:val="auto"/>
          <w:szCs w:val="24"/>
        </w:rPr>
      </w:r>
      <w:r w:rsidRPr="003B2E8F">
        <w:rPr>
          <w:rFonts w:eastAsia="Times New Roman" w:cs="Calibri"/>
          <w:color w:val="auto"/>
          <w:szCs w:val="24"/>
        </w:rPr>
        <w:fldChar w:fldCharType="separate"/>
      </w:r>
      <w:r w:rsidR="00753DAF" w:rsidRPr="003B2E8F">
        <w:rPr>
          <w:rFonts w:eastAsia="Times New Roman" w:cs="Calibri"/>
          <w:color w:val="auto"/>
          <w:szCs w:val="24"/>
          <w:cs/>
        </w:rPr>
        <w:t>‎</w:t>
      </w:r>
      <w:r w:rsidR="00753DAF" w:rsidRPr="003B2E8F">
        <w:rPr>
          <w:rFonts w:eastAsia="Times New Roman" w:cs="Calibri"/>
          <w:color w:val="auto"/>
          <w:szCs w:val="24"/>
        </w:rPr>
        <w:t>[5]</w:t>
      </w:r>
      <w:r w:rsidRPr="003B2E8F">
        <w:rPr>
          <w:rFonts w:eastAsia="Times New Roman" w:cs="Calibri"/>
          <w:color w:val="auto"/>
          <w:szCs w:val="24"/>
        </w:rPr>
        <w:fldChar w:fldCharType="end"/>
      </w:r>
      <w:r w:rsidRPr="003B2E8F">
        <w:rPr>
          <w:rFonts w:eastAsia="Times New Roman" w:cs="Calibri"/>
          <w:color w:val="auto"/>
          <w:szCs w:val="24"/>
        </w:rPr>
        <w:t xml:space="preserve">. Unlike conventional grid-following inverters, GFMIs actively establish and regulate voltage and frequency rather than simply injecting current into an existing grid waveform, thereby mimicking key stabilising functions of synchronous machines and enhancing overall grid robustness </w:t>
      </w:r>
      <w:r w:rsidRPr="003B2E8F">
        <w:rPr>
          <w:rFonts w:eastAsia="Times New Roman" w:cs="Calibri"/>
          <w:color w:val="auto"/>
          <w:szCs w:val="24"/>
        </w:rPr>
        <w:fldChar w:fldCharType="begin"/>
      </w:r>
      <w:r w:rsidRPr="003B2E8F">
        <w:rPr>
          <w:rFonts w:eastAsia="Times New Roman" w:cs="Calibri"/>
          <w:color w:val="auto"/>
          <w:szCs w:val="24"/>
        </w:rPr>
        <w:instrText xml:space="preserve"> REF _Ref223637805 \n \h  \* MERGEFORMAT </w:instrText>
      </w:r>
      <w:r w:rsidRPr="003B2E8F">
        <w:rPr>
          <w:rFonts w:eastAsia="Times New Roman" w:cs="Calibri"/>
          <w:color w:val="auto"/>
          <w:szCs w:val="24"/>
        </w:rPr>
      </w:r>
      <w:r w:rsidRPr="003B2E8F">
        <w:rPr>
          <w:rFonts w:eastAsia="Times New Roman" w:cs="Calibri"/>
          <w:color w:val="auto"/>
          <w:szCs w:val="24"/>
        </w:rPr>
        <w:fldChar w:fldCharType="separate"/>
      </w:r>
      <w:r w:rsidR="00753DAF" w:rsidRPr="003B2E8F">
        <w:rPr>
          <w:rFonts w:eastAsia="Times New Roman" w:cs="Calibri"/>
          <w:color w:val="auto"/>
          <w:szCs w:val="24"/>
          <w:cs/>
        </w:rPr>
        <w:t>‎</w:t>
      </w:r>
      <w:r w:rsidR="00753DAF" w:rsidRPr="003B2E8F">
        <w:rPr>
          <w:rFonts w:eastAsia="Times New Roman" w:cs="Calibri"/>
          <w:color w:val="auto"/>
          <w:szCs w:val="24"/>
        </w:rPr>
        <w:t>[6]</w:t>
      </w:r>
      <w:r w:rsidRPr="003B2E8F">
        <w:rPr>
          <w:rFonts w:eastAsia="Times New Roman" w:cs="Calibri"/>
          <w:color w:val="auto"/>
          <w:szCs w:val="24"/>
        </w:rPr>
        <w:fldChar w:fldCharType="end"/>
      </w:r>
      <w:r w:rsidRPr="003B2E8F">
        <w:rPr>
          <w:rFonts w:eastAsia="Times New Roman" w:cs="Calibri"/>
          <w:color w:val="auto"/>
          <w:szCs w:val="24"/>
        </w:rPr>
        <w:t xml:space="preserve">. This capability allows them to provide virtual inertia and frequency support, stabilise voltage under weak grid conditions, and enable black-start and islanded microgrid operation, thereby making them essential for the reliable integration of high shares of solar, wind and battery energy storage systems in both distributed and utility-scale applications.  </w:t>
      </w:r>
    </w:p>
    <w:p w14:paraId="1D80505B" w14:textId="77777777" w:rsidR="00DC6D94" w:rsidRDefault="00E2284F" w:rsidP="00DC6D94">
      <w:pPr>
        <w:pStyle w:val="BodyText"/>
        <w:rPr>
          <w:rFonts w:eastAsia="Times New Roman" w:cs="Calibri"/>
          <w:color w:val="auto"/>
          <w:szCs w:val="24"/>
        </w:rPr>
      </w:pPr>
      <w:r w:rsidRPr="003B2E8F">
        <w:rPr>
          <w:rFonts w:eastAsia="Times New Roman" w:cs="Calibri"/>
          <w:color w:val="auto"/>
          <w:szCs w:val="24"/>
        </w:rPr>
        <w:t xml:space="preserve">In power systems, a SSS analysis is crucial because it helps evaluate and improve the system's capacity to sustain stability, regulate voltage and frequency, and effectively integrate renewable energy sources while guaranteeing a dependable and resilient power supply, particularly in the context of fluctuating resources </w:t>
      </w:r>
      <w:r w:rsidRPr="003B2E8F">
        <w:rPr>
          <w:rFonts w:eastAsia="Times New Roman" w:cs="Calibri"/>
          <w:color w:val="auto"/>
          <w:szCs w:val="24"/>
        </w:rPr>
        <w:fldChar w:fldCharType="begin"/>
      </w:r>
      <w:r w:rsidRPr="003B2E8F">
        <w:rPr>
          <w:rFonts w:eastAsia="Times New Roman" w:cs="Calibri"/>
          <w:color w:val="auto"/>
          <w:szCs w:val="24"/>
        </w:rPr>
        <w:instrText xml:space="preserve"> REF _Ref223637980 \n \h  \* MERGEFORMAT </w:instrText>
      </w:r>
      <w:r w:rsidRPr="003B2E8F">
        <w:rPr>
          <w:rFonts w:eastAsia="Times New Roman" w:cs="Calibri"/>
          <w:color w:val="auto"/>
          <w:szCs w:val="24"/>
        </w:rPr>
      </w:r>
      <w:r w:rsidRPr="003B2E8F">
        <w:rPr>
          <w:rFonts w:eastAsia="Times New Roman" w:cs="Calibri"/>
          <w:color w:val="auto"/>
          <w:szCs w:val="24"/>
        </w:rPr>
        <w:fldChar w:fldCharType="separate"/>
      </w:r>
      <w:r w:rsidR="00753DAF" w:rsidRPr="003B2E8F">
        <w:rPr>
          <w:rFonts w:eastAsia="Times New Roman" w:cs="Calibri"/>
          <w:color w:val="auto"/>
          <w:szCs w:val="24"/>
          <w:cs/>
        </w:rPr>
        <w:t>‎</w:t>
      </w:r>
      <w:r w:rsidR="00753DAF" w:rsidRPr="003B2E8F">
        <w:rPr>
          <w:rFonts w:eastAsia="Times New Roman" w:cs="Calibri"/>
          <w:color w:val="auto"/>
          <w:szCs w:val="24"/>
        </w:rPr>
        <w:t>[7]</w:t>
      </w:r>
      <w:r w:rsidRPr="003B2E8F">
        <w:rPr>
          <w:rFonts w:eastAsia="Times New Roman" w:cs="Calibri"/>
          <w:color w:val="auto"/>
          <w:szCs w:val="24"/>
        </w:rPr>
        <w:fldChar w:fldCharType="end"/>
      </w:r>
      <w:r w:rsidRPr="003B2E8F">
        <w:rPr>
          <w:rFonts w:eastAsia="Times New Roman" w:cs="Calibri"/>
          <w:color w:val="auto"/>
          <w:szCs w:val="24"/>
        </w:rPr>
        <w:t>. Existing SSS analysis methods have mostly considered eigenvalue analysis (white-box modelling) and data-driven frequency-domain (DDFD) impedance-based evaluation (black-box modelling) methodologies. Eigenvalue analysis as predominant in conventional power systems, while the latter approach is being investigated for IBR-based power systems. The former approach may suffer from limited data availability to fully represent the system dynamics, whereas the latter typically needs a careful trade-off between data size and model accuracy. Moreover, in the case of the DDFD impedance-based method, the impedance profile of IBRs in the low-frequency range is highly sensitive to variations in the operating point.</w:t>
      </w:r>
    </w:p>
    <w:p w14:paraId="0AD3E5F9" w14:textId="4A8815CA" w:rsidR="00FC17D7" w:rsidRPr="00937C85" w:rsidRDefault="00FC17D7" w:rsidP="00937C85">
      <w:pPr>
        <w:spacing w:after="0"/>
        <w:rPr>
          <w:sz w:val="24"/>
          <w:szCs w:val="24"/>
        </w:rPr>
      </w:pPr>
      <w:r w:rsidRPr="00937C85">
        <w:rPr>
          <w:sz w:val="24"/>
          <w:szCs w:val="24"/>
        </w:rPr>
        <w:t xml:space="preserve">In addition to the eigenvalue-based SSS of power systems with different IBR controls, a </w:t>
      </w:r>
      <w:bookmarkStart w:id="24" w:name="_Hlk220508927"/>
      <w:r w:rsidRPr="00937C85">
        <w:rPr>
          <w:sz w:val="24"/>
          <w:szCs w:val="24"/>
        </w:rPr>
        <w:t xml:space="preserve">Gaussian process regression (GPR) and eigensystem realization algorithm (ERA)-based data-driven time-domain (DDTD) method is proposed and implemented to evaluate the SSS of power systems with grid-forming inverters (GFMIs). DDTD in </w:t>
      </w:r>
      <w:proofErr w:type="spellStart"/>
      <w:r w:rsidRPr="00937C85">
        <w:rPr>
          <w:sz w:val="24"/>
          <w:szCs w:val="24"/>
        </w:rPr>
        <w:t>DigSILENT</w:t>
      </w:r>
      <w:proofErr w:type="spellEnd"/>
      <w:r w:rsidRPr="00937C85">
        <w:rPr>
          <w:sz w:val="24"/>
          <w:szCs w:val="24"/>
        </w:rPr>
        <w:t xml:space="preserve"> is being developed within an industry software environment, where many original equipment manufacturer models are implemented and tested for grid-integration studies. </w:t>
      </w:r>
      <w:bookmarkEnd w:id="24"/>
      <w:r w:rsidRPr="00937C85">
        <w:rPr>
          <w:sz w:val="24"/>
          <w:szCs w:val="24"/>
        </w:rPr>
        <w:t>The performance of the proposed model is evaluated using a single-machine infinite-bus (SMIB) and a modified IEEE 39-bus testing system with droop-controlled and virtual synchronous machine (VSM)-controlled GFMIs.</w:t>
      </w:r>
      <w:r w:rsidR="00A01CEA" w:rsidRPr="00937C85">
        <w:rPr>
          <w:sz w:val="24"/>
          <w:szCs w:val="24"/>
        </w:rPr>
        <w:t xml:space="preserve"> </w:t>
      </w:r>
      <w:r w:rsidRPr="00937C85">
        <w:rPr>
          <w:sz w:val="24"/>
          <w:szCs w:val="24"/>
        </w:rPr>
        <w:t xml:space="preserve">The remainder of this chapter is organised as follows. Section 2.2 presents an overview of different small-signal stability methods. Section 2.3 discusses the impact of different voltage control strategies on the small-signal stability of grid-forming inverters. Section 2.4 focuses on proposed approaches for enhancing the small-signal </w:t>
      </w:r>
      <w:r w:rsidRPr="00937C85">
        <w:rPr>
          <w:sz w:val="24"/>
          <w:szCs w:val="24"/>
        </w:rPr>
        <w:lastRenderedPageBreak/>
        <w:t>stability of AVR-based grid-forming inverters. Section 2.5 presents modal/eigenvalue-based small-signal stability analysis techniques, while Section 2.6 describes the proposed data-driven time-domain model-based small-signal stability analysis methods. Finally, Section 2.7 summarises the key findings and contributions of the chapter.</w:t>
      </w:r>
      <w:bookmarkStart w:id="25" w:name="_Toc224235061"/>
      <w:r w:rsidRPr="00937C85">
        <w:rPr>
          <w:sz w:val="24"/>
          <w:szCs w:val="24"/>
        </w:rPr>
        <w:t xml:space="preserve"> </w:t>
      </w:r>
      <w:bookmarkEnd w:id="25"/>
    </w:p>
    <w:p w14:paraId="39D0D18D" w14:textId="689FAA51" w:rsidR="00816FB0" w:rsidRPr="00816FB0" w:rsidRDefault="00E2284F" w:rsidP="00DC6D94">
      <w:pPr>
        <w:pStyle w:val="Heading2"/>
        <w:numPr>
          <w:ilvl w:val="0"/>
          <w:numId w:val="52"/>
        </w:numPr>
        <w:ind w:left="0" w:firstLine="0"/>
      </w:pPr>
      <w:r w:rsidRPr="003B2E8F">
        <w:rPr>
          <w:rFonts w:eastAsia="Times New Roman" w:cs="Calibri"/>
          <w:color w:val="auto"/>
          <w:szCs w:val="24"/>
        </w:rPr>
        <w:t xml:space="preserve"> </w:t>
      </w:r>
      <w:bookmarkStart w:id="26" w:name="_Ref230098753"/>
      <w:bookmarkStart w:id="27" w:name="_Toc233734298"/>
      <w:r w:rsidR="00816FB0" w:rsidRPr="00DC6D94">
        <w:t xml:space="preserve">Overview of Small-signal </w:t>
      </w:r>
      <w:r w:rsidR="00816FB0">
        <w:t>S</w:t>
      </w:r>
      <w:r w:rsidR="00816FB0" w:rsidRPr="00DC6D94">
        <w:t xml:space="preserve">tability </w:t>
      </w:r>
      <w:r w:rsidR="00816FB0">
        <w:t>M</w:t>
      </w:r>
      <w:r w:rsidR="00816FB0" w:rsidRPr="00DC6D94">
        <w:t>ethods</w:t>
      </w:r>
      <w:bookmarkEnd w:id="26"/>
      <w:bookmarkEnd w:id="27"/>
    </w:p>
    <w:p w14:paraId="64FD6019" w14:textId="77777777" w:rsidR="005575C4" w:rsidRDefault="00FC17D7" w:rsidP="00FC17D7">
      <w:pPr>
        <w:pStyle w:val="Heading3"/>
        <w:numPr>
          <w:ilvl w:val="0"/>
          <w:numId w:val="0"/>
        </w:numPr>
        <w:rPr>
          <w:rFonts w:eastAsia="Times New Roman" w:cs="Calibri"/>
          <w:b w:val="0"/>
          <w:sz w:val="24"/>
          <w:szCs w:val="24"/>
        </w:rPr>
      </w:pPr>
      <w:r w:rsidRPr="00FC17D7">
        <w:rPr>
          <w:rFonts w:eastAsia="Times New Roman" w:cs="Calibri"/>
          <w:b w:val="0"/>
          <w:sz w:val="24"/>
          <w:szCs w:val="24"/>
        </w:rPr>
        <w:t>A comprehensive literature review in stage-5 reveals that the main methods to evaluate the SSS and voltage boundaries of IBR-based power systems can thereby categorise as: Modal/Eigenvalue-based models (white-box modelling) </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_Ref223640990 \r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rPr>
        <w:t>[8]</w:t>
      </w:r>
      <w:r w:rsidRPr="00FC17D7">
        <w:rPr>
          <w:rFonts w:eastAsia="Times New Roman" w:cs="Calibri"/>
          <w:b w:val="0"/>
          <w:sz w:val="24"/>
          <w:szCs w:val="24"/>
        </w:rPr>
        <w:fldChar w:fldCharType="end"/>
      </w:r>
      <w:r w:rsidRPr="00FC17D7">
        <w:rPr>
          <w:rFonts w:eastAsia="Times New Roman" w:cs="Calibri"/>
          <w:b w:val="0"/>
          <w:sz w:val="24"/>
          <w:szCs w:val="24"/>
        </w:rPr>
        <w:t>–</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_Ref223641862 \r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rPr>
        <w:t>[32]</w:t>
      </w:r>
      <w:r w:rsidRPr="00FC17D7">
        <w:rPr>
          <w:rFonts w:eastAsia="Times New Roman" w:cs="Calibri"/>
          <w:b w:val="0"/>
          <w:sz w:val="24"/>
          <w:szCs w:val="24"/>
        </w:rPr>
        <w:fldChar w:fldCharType="end"/>
      </w:r>
      <w:r w:rsidRPr="00FC17D7">
        <w:rPr>
          <w:rFonts w:eastAsia="Times New Roman" w:cs="Calibri"/>
          <w:b w:val="0"/>
          <w:sz w:val="24"/>
          <w:szCs w:val="24"/>
        </w:rPr>
        <w:t xml:space="preserve">, and data-driven frequency-domain modelling (black-box modelling) and data-driven time-domain modelling (black-box modelling)  </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_Ref223640990 \n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cs/>
        </w:rPr>
        <w:t>‎</w:t>
      </w:r>
      <w:r w:rsidRPr="00FC17D7">
        <w:rPr>
          <w:rFonts w:eastAsia="Times New Roman" w:cs="Calibri"/>
          <w:b w:val="0"/>
          <w:sz w:val="24"/>
          <w:szCs w:val="24"/>
        </w:rPr>
        <w:t>[8]</w:t>
      </w:r>
      <w:r w:rsidRPr="00FC17D7">
        <w:rPr>
          <w:rFonts w:eastAsia="Times New Roman" w:cs="Calibri"/>
          <w:b w:val="0"/>
          <w:sz w:val="24"/>
          <w:szCs w:val="24"/>
        </w:rPr>
        <w:fldChar w:fldCharType="end"/>
      </w:r>
      <w:r w:rsidRPr="00FC17D7">
        <w:rPr>
          <w:rFonts w:eastAsia="Times New Roman" w:cs="Calibri"/>
          <w:b w:val="0"/>
          <w:sz w:val="24"/>
          <w:szCs w:val="24"/>
        </w:rPr>
        <w:t xml:space="preserve">, </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_Ref223641036 \n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cs/>
        </w:rPr>
        <w:t>‎</w:t>
      </w:r>
      <w:r w:rsidRPr="00FC17D7">
        <w:rPr>
          <w:rFonts w:eastAsia="Times New Roman" w:cs="Calibri"/>
          <w:b w:val="0"/>
          <w:sz w:val="24"/>
          <w:szCs w:val="24"/>
        </w:rPr>
        <w:t>[9]</w:t>
      </w:r>
      <w:r w:rsidRPr="00FC17D7">
        <w:rPr>
          <w:rFonts w:eastAsia="Times New Roman" w:cs="Calibri"/>
          <w:b w:val="0"/>
          <w:sz w:val="24"/>
          <w:szCs w:val="24"/>
        </w:rPr>
        <w:fldChar w:fldCharType="end"/>
      </w:r>
      <w:r w:rsidRPr="00FC17D7">
        <w:rPr>
          <w:rFonts w:eastAsia="Times New Roman" w:cs="Calibri"/>
          <w:b w:val="0"/>
          <w:sz w:val="24"/>
          <w:szCs w:val="24"/>
        </w:rPr>
        <w:t xml:space="preserve">, </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_Ref223640786 \n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cs/>
        </w:rPr>
        <w:t>‎</w:t>
      </w:r>
      <w:r w:rsidRPr="00FC17D7">
        <w:rPr>
          <w:rFonts w:eastAsia="Times New Roman" w:cs="Calibri"/>
          <w:b w:val="0"/>
          <w:sz w:val="24"/>
          <w:szCs w:val="24"/>
        </w:rPr>
        <w:t>[33]</w:t>
      </w:r>
      <w:r w:rsidRPr="00FC17D7">
        <w:rPr>
          <w:rFonts w:eastAsia="Times New Roman" w:cs="Calibri"/>
          <w:b w:val="0"/>
          <w:sz w:val="24"/>
          <w:szCs w:val="24"/>
        </w:rPr>
        <w:fldChar w:fldCharType="end"/>
      </w:r>
      <w:r w:rsidRPr="00FC17D7">
        <w:rPr>
          <w:rFonts w:eastAsia="Times New Roman" w:cs="Calibri"/>
          <w:b w:val="0"/>
          <w:sz w:val="24"/>
          <w:szCs w:val="24"/>
        </w:rPr>
        <w:t xml:space="preserve"> – </w:t>
      </w:r>
      <w:r w:rsidRPr="00FC17D7">
        <w:rPr>
          <w:rFonts w:eastAsia="Times New Roman" w:cs="Calibri"/>
          <w:b w:val="0"/>
          <w:sz w:val="24"/>
          <w:szCs w:val="24"/>
        </w:rPr>
        <w:fldChar w:fldCharType="begin"/>
      </w:r>
      <w:r w:rsidRPr="00FC17D7">
        <w:rPr>
          <w:rFonts w:eastAsia="Times New Roman" w:cs="Calibri"/>
          <w:b w:val="0"/>
          <w:sz w:val="24"/>
          <w:szCs w:val="24"/>
        </w:rPr>
        <w:instrText xml:space="preserve"> REF _Ref223640809 \n \h  \* MERGEFORMAT </w:instrText>
      </w:r>
      <w:r w:rsidRPr="00FC17D7">
        <w:rPr>
          <w:rFonts w:eastAsia="Times New Roman" w:cs="Calibri"/>
          <w:b w:val="0"/>
          <w:sz w:val="24"/>
          <w:szCs w:val="24"/>
        </w:rPr>
      </w:r>
      <w:r w:rsidRPr="00FC17D7">
        <w:rPr>
          <w:rFonts w:eastAsia="Times New Roman" w:cs="Calibri"/>
          <w:b w:val="0"/>
          <w:sz w:val="24"/>
          <w:szCs w:val="24"/>
        </w:rPr>
        <w:fldChar w:fldCharType="separate"/>
      </w:r>
      <w:r w:rsidRPr="00FC17D7">
        <w:rPr>
          <w:rFonts w:eastAsia="Times New Roman" w:cs="Calibri"/>
          <w:b w:val="0"/>
          <w:sz w:val="24"/>
          <w:szCs w:val="24"/>
          <w:cs/>
        </w:rPr>
        <w:t>‎</w:t>
      </w:r>
      <w:r w:rsidRPr="00FC17D7">
        <w:rPr>
          <w:rFonts w:eastAsia="Times New Roman" w:cs="Calibri"/>
          <w:b w:val="0"/>
          <w:sz w:val="24"/>
          <w:szCs w:val="24"/>
        </w:rPr>
        <w:t>[46]</w:t>
      </w:r>
      <w:r w:rsidRPr="00FC17D7">
        <w:rPr>
          <w:rFonts w:eastAsia="Times New Roman" w:cs="Calibri"/>
          <w:b w:val="0"/>
          <w:sz w:val="24"/>
          <w:szCs w:val="24"/>
        </w:rPr>
        <w:fldChar w:fldCharType="end"/>
      </w:r>
      <w:r w:rsidRPr="00FC17D7">
        <w:rPr>
          <w:rFonts w:eastAsia="Times New Roman" w:cs="Calibri"/>
          <w:b w:val="0"/>
          <w:sz w:val="24"/>
          <w:szCs w:val="24"/>
        </w:rPr>
        <w:t>.</w:t>
      </w:r>
    </w:p>
    <w:p w14:paraId="3AAC78BD" w14:textId="61D48CB3" w:rsidR="00FC17D7" w:rsidRPr="006B189E" w:rsidRDefault="00FC17D7" w:rsidP="00FC17D7">
      <w:pPr>
        <w:pStyle w:val="Heading3"/>
        <w:numPr>
          <w:ilvl w:val="0"/>
          <w:numId w:val="0"/>
        </w:numPr>
        <w:rPr>
          <w:rFonts w:eastAsia="Times New Roman" w:cs="Calibri"/>
          <w:bCs w:val="0"/>
          <w:sz w:val="24"/>
          <w:szCs w:val="24"/>
        </w:rPr>
      </w:pPr>
      <w:r w:rsidRPr="006B189E">
        <w:rPr>
          <w:rFonts w:eastAsia="Times New Roman" w:cs="Calibri"/>
          <w:bCs w:val="0"/>
          <w:sz w:val="24"/>
          <w:szCs w:val="24"/>
        </w:rPr>
        <w:t>2.2.1 Modal/Eigenvalue-based Models (White-Box Modelling) </w:t>
      </w:r>
    </w:p>
    <w:p w14:paraId="01CD1BC4" w14:textId="147A80D0" w:rsidR="00F334F0" w:rsidRDefault="00E2284F" w:rsidP="00CD4F3A">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Eigenvalue analysis is used to investigate SSS in the state-space model, which is a time-domain approach based on the explicit knowledge of IBR control architecture. One of the key requirements of eigenvalue-based methods is having full-insight into system dynamics for the accurate evaluation of SSS in IBR-dominated power systems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_Ref223640990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[8]</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In addition, eigenvalue-based SSS analysis provides local linear insight around an operating point but fails to capture nonlinear, operating-point-dependent, and fast control-driven dynamics prevalent in modern IBR-dominated power systems. Furthermore, accurate eigenvalue analysis requires detailed and validated models of inverter controls, network parameters, and operating points, which may be unavailable or uncertain in practice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_Ref223641036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[9]</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​A small-signal stability analysis tool for large-scale power systems with high inverter-based resource (IBR) penetration has been presented by the authors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_Ref223641056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[10]</w:t>
      </w:r>
      <w:r w:rsidRPr="00E27D3B">
        <w:rPr>
          <w:rFonts w:eastAsia="Times New Roman" w:cs="Calibri"/>
          <w:color w:val="auto"/>
          <w:sz w:val="24"/>
          <w:szCs w:val="24"/>
        </w:rPr>
        <w:fldChar w:fldCharType="end"/>
      </w:r>
      <w:r w:rsidRPr="00E27D3B">
        <w:rPr>
          <w:rFonts w:eastAsia="Times New Roman" w:cs="Calibri"/>
          <w:color w:val="auto"/>
          <w:sz w:val="24"/>
          <w:szCs w:val="24"/>
        </w:rPr>
        <w:t>.  </w:t>
      </w:r>
    </w:p>
    <w:p w14:paraId="27DA6DB8" w14:textId="3C180D90" w:rsidR="00E2284F" w:rsidRPr="00E27D3B" w:rsidRDefault="00E2284F" w:rsidP="00CD4F3A">
      <w:pPr>
        <w:spacing w:after="0"/>
        <w:textAlignment w:val="baseline"/>
        <w:rPr>
          <w:rFonts w:ascii="Segoe UI" w:eastAsia="Times New Roman" w:hAnsi="Segoe UI" w:cs="Segoe UI"/>
          <w:sz w:val="18"/>
          <w:szCs w:val="18"/>
        </w:rPr>
      </w:pPr>
      <w:r w:rsidRPr="00E27D3B">
        <w:rPr>
          <w:rFonts w:eastAsia="Times New Roman" w:cs="Calibri"/>
          <w:color w:val="auto"/>
          <w:sz w:val="24"/>
          <w:szCs w:val="24"/>
        </w:rPr>
        <w:t xml:space="preserve">To describe the whole power system network, a network transfer function matrix (NTFM) was first developed. This matrix contains information about the system structure, transmission lines, loads, locations of IBRs, etc.  Second, the sequence impedance/admittance responses of IBRs were obtained using the small-signal perturbation approach while taking frequency cross-coupling effects into account. The suggested stability analysis tool has been validated using various testing scenarios based on an altered IEEE-14 bus system.  According to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_Ref223641071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[11]</w:t>
      </w:r>
      <w:r w:rsidRPr="00E27D3B">
        <w:rPr>
          <w:rFonts w:eastAsia="Times New Roman" w:cs="Calibri"/>
          <w:color w:val="auto"/>
          <w:sz w:val="24"/>
          <w:szCs w:val="24"/>
        </w:rPr>
        <w:fldChar w:fldCharType="end"/>
      </w:r>
      <w:r w:rsidRPr="00E27D3B">
        <w:rPr>
          <w:rFonts w:eastAsia="Times New Roman" w:cs="Calibri"/>
          <w:color w:val="auto"/>
          <w:sz w:val="24"/>
          <w:szCs w:val="24"/>
        </w:rPr>
        <w:t>, the IBRs may induce oscillations in the system at a variety of frequencies, which ultimately jeopardize the stable operation of the entire system.  The development of efficient techniques for analysing the stability of power systems using IBRs has been the subject of numerous efforts in recent years.  Most current research reduces the system to a source-load system, or point-to-point connection system, and uses Nyquist criterion-based techniques to analyse the stability of the system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_Ref223641097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[12]</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_Ref223641099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[13]</w:t>
      </w:r>
      <w:r w:rsidRPr="00E27D3B">
        <w:rPr>
          <w:rFonts w:eastAsia="Times New Roman" w:cs="Calibri"/>
          <w:color w:val="auto"/>
          <w:sz w:val="24"/>
          <w:szCs w:val="24"/>
        </w:rPr>
        <w:fldChar w:fldCharType="end"/>
      </w:r>
      <w:r w:rsidRPr="00E27D3B">
        <w:rPr>
          <w:rFonts w:eastAsia="Times New Roman" w:cs="Calibri"/>
          <w:color w:val="auto"/>
          <w:sz w:val="24"/>
          <w:szCs w:val="24"/>
        </w:rPr>
        <w:t>.  GFM and GFL inverters are designed in PSCAD with programmable parameters and control schemes for ease of deployment. </w:t>
      </w:r>
    </w:p>
    <w:p w14:paraId="01AFF068" w14:textId="68BBC278" w:rsidR="00E2284F" w:rsidRPr="00E27D3B" w:rsidRDefault="00E2284F" w:rsidP="00CD4F3A">
      <w:pPr>
        <w:spacing w:after="0"/>
        <w:textAlignment w:val="baseline"/>
        <w:rPr>
          <w:rFonts w:eastAsia="Times New Roman" w:cs="Calibri"/>
          <w:sz w:val="24"/>
          <w:szCs w:val="24"/>
        </w:rPr>
      </w:pPr>
      <w:r w:rsidRPr="00E27D3B">
        <w:rPr>
          <w:rFonts w:eastAsia="Times New Roman" w:cs="Calibri"/>
          <w:color w:val="auto"/>
          <w:sz w:val="24"/>
          <w:szCs w:val="24"/>
        </w:rPr>
        <w:t xml:space="preserve">​The greatest permitted change in the admittance observed at a bus for a mode of interest is indicated by a new metric called Admittance Margin (AM), which was introduced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_Ref223641129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[14]</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For changes smaller than this maximum, the mode will remain stable.  AM is designed to be used to evaluate small-signal system strength at buses that do not yet have equipment connected but where a resource improvement is envisaged. It is recommended as a companion to the recently introduced small-signal system strength measure, impedance margin ratio (IMR).  It can pinpoint </w:t>
      </w:r>
      <w:r w:rsidRPr="00E27D3B">
        <w:rPr>
          <w:rFonts w:eastAsia="Times New Roman" w:cs="Calibri"/>
          <w:color w:val="auto"/>
          <w:sz w:val="24"/>
          <w:szCs w:val="24"/>
        </w:rPr>
        <w:lastRenderedPageBreak/>
        <w:t xml:space="preserve">the system's weak busses and direct the installation and positioning of upcoming IBRs appropriately. It is demonstrated that while installing grid-forming (GFM) inverters at buses with low AM could dramatically dampen some oscillatory modes, installing grid-following (GFL) inverters at buses with low AM should be avoided as this greatly destabilizes the system.  A modified IEEE 14-Bus test system with several IBRs is used to verify the AM metric's utility.  A semi-definite programming (SDP)-based approach has been proposed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_Ref223641149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[15]</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to address this problem.  The authors employed generalized short-circuit ratio (GSCR), a ratio for measuring small-signal stability from the perspective of grid strength, as the small-signal stability constraint in the suggested technique. The suggested SDP-based approach may be appropriate for a large-scale power system since the GSCR is a static value, avoiding the need to build the system's full model for small-signal stability analysis.  The established SDP was solved by the authors using the solver YALMIP.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_Ref223641168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[16]</w:t>
      </w:r>
      <w:r w:rsidRPr="00E27D3B">
        <w:rPr>
          <w:rFonts w:eastAsia="Times New Roman" w:cs="Calibri"/>
          <w:color w:val="auto"/>
          <w:sz w:val="24"/>
          <w:szCs w:val="24"/>
        </w:rPr>
        <w:fldChar w:fldCharType="end"/>
      </w:r>
      <w:r w:rsidRPr="00E27D3B">
        <w:rPr>
          <w:rFonts w:eastAsia="Times New Roman" w:cs="Calibri"/>
          <w:color w:val="auto"/>
          <w:sz w:val="24"/>
          <w:szCs w:val="24"/>
        </w:rPr>
        <w:t>, a small-signal model is created for a multi-converter system that combines VSG and GFL converters linked to an infinite bus.  The study </w:t>
      </w:r>
      <w:proofErr w:type="gramStart"/>
      <w:r w:rsidRPr="00E27D3B">
        <w:rPr>
          <w:rFonts w:eastAsia="Times New Roman" w:cs="Calibri"/>
          <w:color w:val="auto"/>
          <w:sz w:val="24"/>
          <w:szCs w:val="24"/>
        </w:rPr>
        <w:t>looked into</w:t>
      </w:r>
      <w:proofErr w:type="gramEnd"/>
      <w:r w:rsidRPr="00E27D3B">
        <w:rPr>
          <w:rFonts w:eastAsia="Times New Roman" w:cs="Calibri"/>
          <w:color w:val="auto"/>
          <w:sz w:val="24"/>
          <w:szCs w:val="24"/>
        </w:rPr>
        <w:t> how different grid following inverter (GFL)/virtual synchronous generator (VSG) capacity ratios affected system stability.  The suggested approach shows efficient stabilization under various grid settings, and PSCAD simulations confirm that adding 20 % VSG converters to GFL systems improves stability across a range of grid strengths.</w:t>
      </w:r>
      <w:r w:rsidRPr="00E27D3B">
        <w:rPr>
          <w:rFonts w:eastAsia="Times New Roman" w:cs="Calibri"/>
          <w:sz w:val="24"/>
          <w:szCs w:val="24"/>
        </w:rPr>
        <w:t> </w:t>
      </w:r>
    </w:p>
    <w:p w14:paraId="55A680F9" w14:textId="121C5C3B" w:rsidR="00E2284F" w:rsidRPr="00E27D3B" w:rsidRDefault="00E2284F" w:rsidP="00CD4F3A">
      <w:pPr>
        <w:spacing w:after="0"/>
        <w:textAlignment w:val="baseline"/>
        <w:rPr>
          <w:rFonts w:eastAsia="Times New Roman" w:cs="Calibri"/>
          <w:sz w:val="24"/>
          <w:szCs w:val="24"/>
        </w:rPr>
      </w:pPr>
      <w:r w:rsidRPr="00E27D3B">
        <w:rPr>
          <w:rFonts w:eastAsia="Times New Roman" w:cs="Calibri"/>
          <w:color w:val="auto"/>
          <w:sz w:val="24"/>
          <w:szCs w:val="24"/>
        </w:rPr>
        <w:t xml:space="preserve">​The authors of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_Ref223641188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[17]</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concentrated on small-signal stability and thoroughly examined GFM and GFL controls, paying particular attention to the relationships between synchronous generators (SGs) and IBRs.  MATLAB/Simulink time-domain simulations are used to validate the theoretical analyses.  Eigenvalue analysis has been performed for both GFL (without droop) and GFM inverters under the SCR of 0.85 to determine the effects of IBR penetration level on small-signal stability.  The coupling of multi-timescale control loops and the interactions of multiple inverters and other power devices can cause stability problems for power-electronics-dominated power systems, as was shown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_Ref223641207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[18]</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However, this analysis was restricted to 100% inverter-based microgrids, and the scalability should be further confirmed.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_Ref223641226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[19]</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the effect of photovoltaic (PV) power production systems' dynamic behaviour on the short-term transmission system voltage stability was examined; however, the findings were based on stiff and simplified grids.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_Ref223641248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[20]</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a method for analysing the effects of increased penetration of doubly fed induction generator wind turbines on the transient and small-signal stability of a large power system was developed; however, some important oscillation modes may be absent and the inner control loops of the inverter-controlled wind turbines are overlooked. Aggregated models are needed to accurately simulate the small-signal behaviour for analytical investigations and the large-signal behaviour in electromagnetic time-domain (EMT) simulations to lessen the burden of simulating huge networks.  For small-signal dynamic equivalencing of a renewable power plant, a stepwise general methodology has been proposed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_Ref223641261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[21]</w:t>
      </w:r>
      <w:r w:rsidRPr="00E27D3B">
        <w:rPr>
          <w:rFonts w:eastAsia="Times New Roman" w:cs="Calibri"/>
          <w:color w:val="auto"/>
          <w:sz w:val="24"/>
          <w:szCs w:val="24"/>
        </w:rPr>
        <w:fldChar w:fldCharType="end"/>
      </w:r>
      <w:r w:rsidRPr="00E27D3B">
        <w:rPr>
          <w:rFonts w:eastAsia="Times New Roman" w:cs="Calibri"/>
          <w:color w:val="auto"/>
          <w:sz w:val="24"/>
          <w:szCs w:val="24"/>
        </w:rPr>
        <w:t>, considering true heterogeneity in the hardware, control parameters, control structures, and unique positions of IBRs.  EMT simulations of several operating conditions in MATLAB/Simulink are used to validate the aggregated small-signal impedance model.</w:t>
      </w:r>
      <w:r w:rsidRPr="00E27D3B">
        <w:rPr>
          <w:rFonts w:eastAsia="Times New Roman" w:cs="Calibri"/>
          <w:sz w:val="24"/>
          <w:szCs w:val="24"/>
        </w:rPr>
        <w:t> </w:t>
      </w:r>
    </w:p>
    <w:p w14:paraId="6FAEBD54" w14:textId="246BDB9B" w:rsidR="00E2284F" w:rsidRPr="00E27D3B" w:rsidRDefault="00E2284F" w:rsidP="00CD4F3A">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_Ref223641677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[22]</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a novel optimization model for coordinating IBR’s active power outputs (i.e., operation adjustment) while meeting small-signal stability constraints was provided.  Additionally, to guarantee the presence of workable solutions and further improve the efficiency of the solution, a convex-relaxing approach and a dynamic region-adjustment method were combined.  Lastly, an 11-IBR test power system was used to validate the suggested method's performance.  The SCR was </w:t>
      </w:r>
      <w:r w:rsidRPr="00E27D3B">
        <w:rPr>
          <w:rFonts w:eastAsia="Times New Roman" w:cs="Calibri"/>
          <w:color w:val="auto"/>
          <w:sz w:val="24"/>
          <w:szCs w:val="24"/>
        </w:rPr>
        <w:lastRenderedPageBreak/>
        <w:t xml:space="preserve">suggested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_Ref223641694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[23]</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to assess small-signal stability of SMIB testing system.  SCR from SMIB system was extended to multiple homogeneous (or heterogeneous)-IBR systems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_Ref223641721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[24]</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_Ref223641723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[25]</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where the grid strength indicator is called GSCR. </w:t>
      </w:r>
    </w:p>
    <w:p w14:paraId="1DA22D70" w14:textId="298D36F5" w:rsidR="00E2284F" w:rsidRPr="00E27D3B" w:rsidRDefault="00E2284F" w:rsidP="00CD4F3A">
      <w:pPr>
        <w:spacing w:after="0"/>
        <w:textAlignment w:val="baseline"/>
        <w:rPr>
          <w:rFonts w:eastAsia="Times New Roman" w:cs="Calibri"/>
          <w:sz w:val="24"/>
          <w:szCs w:val="24"/>
        </w:rPr>
      </w:pPr>
      <w:r w:rsidRPr="00E27D3B">
        <w:rPr>
          <w:rFonts w:eastAsia="Times New Roman" w:cs="Calibri"/>
          <w:color w:val="auto"/>
          <w:sz w:val="24"/>
          <w:szCs w:val="24"/>
        </w:rPr>
        <w:t xml:space="preserve">Nevertheless, the generalized SCR was not an appropriate indice for non-rated operating circumstances; it was only appropriate for certified operating situations.  Ref.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_Ref223641762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[26]</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suggested a generalized operational SCR (</w:t>
      </w:r>
      <w:proofErr w:type="spellStart"/>
      <w:r w:rsidRPr="00E27D3B">
        <w:rPr>
          <w:rFonts w:eastAsia="Times New Roman" w:cs="Calibri"/>
          <w:color w:val="auto"/>
          <w:sz w:val="24"/>
          <w:szCs w:val="24"/>
        </w:rPr>
        <w:t>gOSCR</w:t>
      </w:r>
      <w:proofErr w:type="spellEnd"/>
      <w:r w:rsidRPr="00E27D3B">
        <w:rPr>
          <w:rFonts w:eastAsia="Times New Roman" w:cs="Calibri"/>
          <w:color w:val="auto"/>
          <w:sz w:val="24"/>
          <w:szCs w:val="24"/>
        </w:rPr>
        <w:t>) to assess small-signal stability for a multi-IBR system under non-rated operations to address this problem.  The system's small-signal stability margin will be represented in the following by </w:t>
      </w:r>
      <w:proofErr w:type="spellStart"/>
      <w:r w:rsidRPr="00E27D3B">
        <w:rPr>
          <w:rFonts w:eastAsia="Times New Roman" w:cs="Calibri"/>
          <w:color w:val="auto"/>
          <w:sz w:val="24"/>
          <w:szCs w:val="24"/>
        </w:rPr>
        <w:t>gOSCR</w:t>
      </w:r>
      <w:proofErr w:type="spellEnd"/>
      <w:r w:rsidRPr="00E27D3B">
        <w:rPr>
          <w:rFonts w:eastAsia="Times New Roman" w:cs="Calibri"/>
          <w:color w:val="auto"/>
          <w:sz w:val="24"/>
          <w:szCs w:val="24"/>
        </w:rPr>
        <w:t xml:space="preserve"> rather than the damping ratio.  A thorough sensitivity analysis of the VSG-based GFM inverter under various system conditions was carried out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_Ref223641782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[27]</w:t>
      </w:r>
      <w:r w:rsidRPr="00E27D3B">
        <w:rPr>
          <w:rFonts w:eastAsia="Times New Roman" w:cs="Calibri"/>
          <w:color w:val="auto"/>
          <w:sz w:val="24"/>
          <w:szCs w:val="24"/>
        </w:rPr>
        <w:fldChar w:fldCharType="end"/>
      </w:r>
      <w:r w:rsidRPr="00E27D3B">
        <w:rPr>
          <w:rFonts w:eastAsia="Times New Roman" w:cs="Calibri"/>
          <w:color w:val="auto"/>
          <w:sz w:val="24"/>
          <w:szCs w:val="24"/>
        </w:rPr>
        <w:t>.  The authors used DIgSILENT </w:t>
      </w:r>
      <w:proofErr w:type="spellStart"/>
      <w:r w:rsidRPr="00E27D3B">
        <w:rPr>
          <w:rFonts w:eastAsia="Times New Roman" w:cs="Calibri"/>
          <w:color w:val="auto"/>
          <w:sz w:val="24"/>
          <w:szCs w:val="24"/>
        </w:rPr>
        <w:t>PowerFactory</w:t>
      </w:r>
      <w:proofErr w:type="spellEnd"/>
      <w:r w:rsidRPr="00E27D3B">
        <w:rPr>
          <w:rFonts w:eastAsia="Times New Roman" w:cs="Calibri"/>
          <w:color w:val="auto"/>
          <w:sz w:val="24"/>
          <w:szCs w:val="24"/>
        </w:rPr>
        <w:t> simulations to confirm their thorough sensitivity analysis of the VSG-based GFM inverters in an IEEE-39 bus system.</w:t>
      </w:r>
      <w:r w:rsidRPr="00E27D3B">
        <w:rPr>
          <w:rFonts w:eastAsia="Times New Roman" w:cs="Calibri"/>
          <w:sz w:val="24"/>
          <w:szCs w:val="24"/>
        </w:rPr>
        <w:t> </w:t>
      </w:r>
    </w:p>
    <w:p w14:paraId="71B5E725" w14:textId="3D092E63" w:rsidR="00E2284F" w:rsidRPr="00E27D3B" w:rsidRDefault="00E2284F" w:rsidP="00CD4F3A">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​The authors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_Ref223641802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[28]</w:t>
      </w:r>
      <w:r w:rsidRPr="00E27D3B">
        <w:rPr>
          <w:rFonts w:eastAsia="Times New Roman" w:cs="Calibri"/>
          <w:color w:val="auto"/>
          <w:sz w:val="24"/>
          <w:szCs w:val="24"/>
        </w:rPr>
        <w:fldChar w:fldCharType="end"/>
      </w:r>
      <w:r w:rsidRPr="00E27D3B">
        <w:rPr>
          <w:rFonts w:eastAsia="Times New Roman" w:cs="Calibri"/>
          <w:color w:val="auto"/>
          <w:sz w:val="24"/>
          <w:szCs w:val="24"/>
        </w:rPr>
        <w:t>–</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_Ref223640276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[30]</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created both a detailed model of the complete microgrid and a small-signal model of an IBR with a VSG controller.  Important results showed that microgrid performance might be successfully enhanced by carefully adjusting the VSG settings.  The small-signal stability of a reduced CIGRE Nordic32 testing system and a two-area four-machine test system was examined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_Ref223641851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[31]</w:t>
      </w:r>
      <w:r w:rsidRPr="00E27D3B">
        <w:rPr>
          <w:rFonts w:eastAsia="Times New Roman" w:cs="Calibri"/>
          <w:color w:val="auto"/>
          <w:sz w:val="24"/>
          <w:szCs w:val="24"/>
        </w:rPr>
        <w:fldChar w:fldCharType="end"/>
      </w:r>
      <w:r w:rsidRPr="00E27D3B">
        <w:rPr>
          <w:rFonts w:eastAsia="Times New Roman" w:cs="Calibri"/>
          <w:color w:val="auto"/>
          <w:sz w:val="24"/>
          <w:szCs w:val="24"/>
        </w:rPr>
        <w:t>, with an emphasis on the inter-area mode damping and frequency </w:t>
      </w:r>
      <w:r w:rsidR="00F33BC6" w:rsidRPr="00E27D3B">
        <w:rPr>
          <w:rFonts w:eastAsia="Times New Roman" w:cs="Calibri"/>
          <w:color w:val="auto"/>
          <w:sz w:val="24"/>
          <w:szCs w:val="24"/>
        </w:rPr>
        <w:t>behaviour</w:t>
      </w:r>
      <w:r w:rsidRPr="00E27D3B">
        <w:rPr>
          <w:rFonts w:eastAsia="Times New Roman" w:cs="Calibri"/>
          <w:color w:val="auto"/>
          <w:sz w:val="24"/>
          <w:szCs w:val="24"/>
        </w:rPr>
        <w:t xml:space="preserve">.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_Ref223641862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[32]</w:t>
      </w:r>
      <w:r w:rsidRPr="00E27D3B">
        <w:rPr>
          <w:rFonts w:eastAsia="Times New Roman" w:cs="Calibri"/>
          <w:color w:val="auto"/>
          <w:sz w:val="24"/>
          <w:szCs w:val="24"/>
        </w:rPr>
        <w:fldChar w:fldCharType="end"/>
      </w:r>
      <w:r w:rsidRPr="00E27D3B">
        <w:rPr>
          <w:rFonts w:eastAsia="Times New Roman" w:cs="Calibri"/>
          <w:color w:val="auto"/>
          <w:sz w:val="24"/>
          <w:szCs w:val="24"/>
        </w:rPr>
        <w:t>, the power system electromechanical oscillation has been calculated to assess the effects of inadequate damping torque on the system.  These electromechanical oscillation modes were classified as control and torsional modes (&gt;2 Hz), inter-area (0.1–0.7 Hz), and local area (0.7–2 Hz).  Additionally, a 4-machine 2-area power system with a wind farm and an IEEE 39-bus power system with three wind farms were used to illustrate and evaluate the performance of different SSS criteria including Routh stability criterion, Nyquist/Bode plot-based methods, passivity-based methods, positive-net-damping methods, impedance-based methods, and bifurcation-based methods. </w:t>
      </w:r>
    </w:p>
    <w:p w14:paraId="3643A67F" w14:textId="18ED326E" w:rsidR="00D5218D" w:rsidRDefault="00E2284F" w:rsidP="00F12E16">
      <w:pPr>
        <w:pStyle w:val="Heading3"/>
        <w:numPr>
          <w:ilvl w:val="0"/>
          <w:numId w:val="0"/>
        </w:numPr>
      </w:pPr>
      <w:r w:rsidRPr="60762895">
        <w:t>​</w:t>
      </w:r>
      <w:r w:rsidR="00794EF4">
        <w:t>2.2.</w:t>
      </w:r>
      <w:proofErr w:type="gramStart"/>
      <w:r w:rsidR="00794EF4">
        <w:t xml:space="preserve">2 </w:t>
      </w:r>
      <w:r w:rsidR="00D5218D">
        <w:t xml:space="preserve"> </w:t>
      </w:r>
      <w:r w:rsidRPr="60762895">
        <w:t>Data</w:t>
      </w:r>
      <w:proofErr w:type="gramEnd"/>
      <w:r w:rsidRPr="60762895">
        <w:t xml:space="preserve">-driven </w:t>
      </w:r>
      <w:r w:rsidR="00391DDA">
        <w:t>F</w:t>
      </w:r>
      <w:r w:rsidRPr="60762895">
        <w:t xml:space="preserve">requency-domain and </w:t>
      </w:r>
      <w:r w:rsidR="00391DDA">
        <w:t>T</w:t>
      </w:r>
      <w:r w:rsidRPr="60762895">
        <w:t xml:space="preserve">ime-domain </w:t>
      </w:r>
      <w:r w:rsidR="00391DDA">
        <w:t>M</w:t>
      </w:r>
      <w:r w:rsidRPr="60762895">
        <w:t xml:space="preserve">odels (Black-box </w:t>
      </w:r>
      <w:r w:rsidR="00391DDA">
        <w:t>M</w:t>
      </w:r>
      <w:r w:rsidRPr="60762895">
        <w:t>odelling)</w:t>
      </w:r>
    </w:p>
    <w:p w14:paraId="6A715EE4" w14:textId="62DC3E01" w:rsidR="00E2284F" w:rsidRPr="00E27D3B" w:rsidRDefault="00E2284F" w:rsidP="00B46898">
      <w:pPr>
        <w:spacing w:after="0"/>
        <w:textAlignment w:val="baseline"/>
        <w:rPr>
          <w:rFonts w:ascii="Segoe UI" w:eastAsia="Times New Roman" w:hAnsi="Segoe UI" w:cs="Segoe UI"/>
          <w:sz w:val="18"/>
          <w:szCs w:val="18"/>
        </w:rPr>
      </w:pPr>
      <w:r w:rsidRPr="00E27D3B">
        <w:rPr>
          <w:rFonts w:eastAsia="Times New Roman" w:cs="Calibri"/>
          <w:color w:val="auto"/>
          <w:sz w:val="24"/>
          <w:szCs w:val="24"/>
        </w:rPr>
        <w:t xml:space="preserve"> In power systems, considerable attention has been directed towards data-driven modelling approaches over the past two decades to address the limitations of white-box modelling methods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_Ref223640990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[8]</w:t>
      </w:r>
      <w:r w:rsidRPr="00E27D3B">
        <w:rPr>
          <w:rFonts w:eastAsia="Times New Roman" w:cs="Calibri"/>
          <w:color w:val="auto"/>
          <w:sz w:val="24"/>
          <w:szCs w:val="24"/>
        </w:rPr>
        <w:fldChar w:fldCharType="end"/>
      </w:r>
      <w:r w:rsidRPr="00E27D3B">
        <w:rPr>
          <w:rFonts w:eastAsia="Times New Roman" w:cs="Calibri"/>
          <w:color w:val="auto"/>
          <w:sz w:val="24"/>
          <w:szCs w:val="24"/>
        </w:rPr>
        <w:t>. These approaches rely on measured or simulated time-domain data—such as voltages, currents, and power signals—to identify local dynamic characteristics, estimate system modes, or construct equivalent impedance or state-space representations without requiring full analytical models. By directly capturing the true closed-loop behaviour of IBRs and their interaction with the grid, data-driven methods enable practical, scalable, and adaptive stability assessment, particularly under varying grid strength, control settings, and operating conditions. </w:t>
      </w:r>
    </w:p>
    <w:p w14:paraId="1A5232C3" w14:textId="2E772408" w:rsidR="00E2284F" w:rsidRPr="00E27D3B" w:rsidRDefault="00E2284F" w:rsidP="00B46898">
      <w:pPr>
        <w:spacing w:after="0"/>
        <w:textAlignment w:val="baseline"/>
        <w:rPr>
          <w:rFonts w:eastAsia="Times New Roman" w:cs="Calibri"/>
          <w:sz w:val="24"/>
          <w:szCs w:val="24"/>
        </w:rPr>
      </w:pPr>
      <w:r w:rsidRPr="00E27D3B">
        <w:rPr>
          <w:rFonts w:eastAsia="Times New Roman" w:cs="Calibri"/>
          <w:color w:val="auto"/>
          <w:sz w:val="24"/>
          <w:szCs w:val="24"/>
        </w:rPr>
        <w:t xml:space="preserve">​In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_Ref223641036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[9]</w:t>
      </w:r>
      <w:r w:rsidRPr="00E27D3B">
        <w:rPr>
          <w:rFonts w:eastAsia="Times New Roman" w:cs="Calibri"/>
          <w:color w:val="auto"/>
          <w:sz w:val="24"/>
          <w:szCs w:val="24"/>
        </w:rPr>
        <w:fldChar w:fldCharType="end"/>
      </w:r>
      <w:r w:rsidRPr="00E27D3B">
        <w:rPr>
          <w:rFonts w:eastAsia="Times New Roman" w:cs="Calibri"/>
          <w:color w:val="auto"/>
          <w:sz w:val="24"/>
          <w:szCs w:val="24"/>
        </w:rPr>
        <w:t>, the authors proposed a data-driven frequency-domain approach using support vector machines (SVM) to create a generalized impedance model (IM) for VSM-controlled GFMI in the </w:t>
      </w:r>
      <w:proofErr w:type="spellStart"/>
      <w:r w:rsidRPr="00E27D3B">
        <w:rPr>
          <w:rFonts w:eastAsia="Times New Roman" w:cs="Calibri"/>
          <w:color w:val="auto"/>
          <w:sz w:val="24"/>
          <w:szCs w:val="24"/>
        </w:rPr>
        <w:t>dq</w:t>
      </w:r>
      <w:proofErr w:type="spellEnd"/>
      <w:r w:rsidRPr="00E27D3B">
        <w:rPr>
          <w:rFonts w:eastAsia="Times New Roman" w:cs="Calibri"/>
          <w:color w:val="auto"/>
          <w:sz w:val="24"/>
          <w:szCs w:val="24"/>
        </w:rPr>
        <w:t> reference frame. However, the method suffers from the limitation of practical applicability as manufacturers often withhold several parameters for commercial confidentiality. By leveraging a small training dataset, the algorithm demonstrated high predictive accuracy across various operating conditions while maintaining computational efficiency. The method required only a small dataset of 18 operating points for SVM training achieved accurate predictions of the </w:t>
      </w:r>
      <w:proofErr w:type="spellStart"/>
      <w:r w:rsidRPr="00E27D3B">
        <w:rPr>
          <w:rFonts w:eastAsia="Times New Roman" w:cs="Calibri"/>
          <w:color w:val="auto"/>
          <w:sz w:val="24"/>
          <w:szCs w:val="24"/>
        </w:rPr>
        <w:t>dq</w:t>
      </w:r>
      <w:proofErr w:type="spellEnd"/>
      <w:r w:rsidRPr="00E27D3B">
        <w:rPr>
          <w:rFonts w:eastAsia="Times New Roman" w:cs="Calibri"/>
          <w:color w:val="auto"/>
          <w:sz w:val="24"/>
          <w:szCs w:val="24"/>
        </w:rPr>
        <w:t xml:space="preserve"> reference frame IM of IBR. However, the proposed method was subjected to two challenges, as when parameters are inaccessible, specific IM </w:t>
      </w:r>
      <w:r w:rsidRPr="00E27D3B">
        <w:rPr>
          <w:rFonts w:eastAsia="Times New Roman" w:cs="Calibri"/>
          <w:color w:val="auto"/>
          <w:sz w:val="24"/>
          <w:szCs w:val="24"/>
        </w:rPr>
        <w:lastRenderedPageBreak/>
        <w:t>training was necessary for accurate representation, and, if parameters are accessible, incorporating them into the training input vector allows for generalisation without re-training. </w:t>
      </w:r>
      <w:r w:rsidRPr="00E27D3B">
        <w:rPr>
          <w:rFonts w:eastAsia="Times New Roman" w:cs="Calibri"/>
          <w:sz w:val="24"/>
          <w:szCs w:val="24"/>
        </w:rPr>
        <w:t> </w:t>
      </w:r>
    </w:p>
    <w:p w14:paraId="5E7225D3" w14:textId="11DA2308" w:rsidR="00E2284F" w:rsidRPr="00E27D3B" w:rsidRDefault="00E2284F" w:rsidP="00B46898">
      <w:pPr>
        <w:spacing w:after="0"/>
        <w:textAlignment w:val="baseline"/>
        <w:rPr>
          <w:rFonts w:eastAsia="Times New Roman" w:cs="Calibri"/>
          <w:sz w:val="24"/>
          <w:szCs w:val="24"/>
        </w:rPr>
      </w:pPr>
      <w:r w:rsidRPr="00E27D3B">
        <w:rPr>
          <w:rFonts w:eastAsia="Times New Roman" w:cs="Calibri"/>
          <w:color w:val="auto"/>
          <w:sz w:val="24"/>
          <w:szCs w:val="24"/>
        </w:rPr>
        <w:t xml:space="preserve">​Bode and Nyquist plots were used for the small-signal analysis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_Ref223640786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[33]</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that resulted from the impedance model, a frequency-domain technique that could be applied both with (white box) and without (black-box) knowledge of IBR control architecture.  The impedance (or admittance) of the IBR at a few operating points was needed for this data-driven method. This was accomplished by measuring impedance in the frequency domain at a certain operating point using pseudorandom binary sequences (PRBS), conducting frequency scans, injecting harmonics, and analysing transient responses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_Ref223641957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[34]</w:t>
      </w:r>
      <w:r w:rsidRPr="00E27D3B">
        <w:rPr>
          <w:rFonts w:eastAsia="Times New Roman" w:cs="Calibri"/>
          <w:color w:val="auto"/>
          <w:sz w:val="24"/>
          <w:szCs w:val="24"/>
        </w:rPr>
        <w:fldChar w:fldCharType="end"/>
      </w:r>
      <w:r w:rsidRPr="00E27D3B">
        <w:rPr>
          <w:rFonts w:eastAsia="Times New Roman" w:cs="Calibri"/>
          <w:color w:val="auto"/>
          <w:sz w:val="24"/>
          <w:szCs w:val="24"/>
        </w:rPr>
        <w:t>.  However, the number and distribution of measurement points throughout the whole range of operating points limited the accuracy of the model. </w:t>
      </w:r>
      <w:r w:rsidRPr="00E27D3B">
        <w:rPr>
          <w:rFonts w:eastAsia="Times New Roman" w:cs="Calibri"/>
          <w:sz w:val="24"/>
          <w:szCs w:val="24"/>
        </w:rPr>
        <w:t> </w:t>
      </w:r>
    </w:p>
    <w:p w14:paraId="2B4ECD28" w14:textId="40FC3B58" w:rsidR="00E2284F" w:rsidRPr="00E27D3B" w:rsidRDefault="00E2284F" w:rsidP="00B46898">
      <w:pPr>
        <w:spacing w:after="0"/>
        <w:textAlignment w:val="baseline"/>
        <w:rPr>
          <w:rFonts w:eastAsia="Times New Roman" w:cs="Calibri"/>
          <w:sz w:val="24"/>
          <w:szCs w:val="24"/>
        </w:rPr>
      </w:pPr>
      <w:r w:rsidRPr="00E27D3B">
        <w:rPr>
          <w:rFonts w:eastAsia="Times New Roman" w:cs="Calibri"/>
          <w:color w:val="auto"/>
          <w:sz w:val="24"/>
          <w:szCs w:val="24"/>
        </w:rPr>
        <w:t xml:space="preserve">​A method based on artificial neural networks (ANNs) was presented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_Ref223641971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[35]</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to determine the impedance model of IBRs over a wide range of operating points.  Recurrent neural networks (RNNs) were used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_Ref223641984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[36]</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to predict the impedance of IBRs, although this approach was limited to operating locations.  Similarly,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_Ref223642001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[37]</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proposed a deep learning approach based on multilayer feedforward neural networks (FNNs) for modelling and predicting the impedance of IBRs.  Additionally, the authors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_Ref223642013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[38]</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used transfer learning approaches with an offline data generation phase and an online impedance identifying phase to predict the impedance model of IBRs for modular multilevel converters.  To reduce the computational burden of online impedance determination, a data-driven impedance model utilizing physics-informed neural networks (PINNs) was proposed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_Ref223642025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5B70E9">
        <w:rPr>
          <w:rFonts w:eastAsia="Times New Roman" w:cs="Calibri"/>
          <w:color w:val="auto"/>
          <w:sz w:val="24"/>
          <w:szCs w:val="24"/>
        </w:rPr>
        <w:t>[39]</w:t>
      </w:r>
      <w:r w:rsidRPr="00E27D3B">
        <w:rPr>
          <w:rFonts w:eastAsia="Times New Roman" w:cs="Calibri"/>
          <w:color w:val="auto"/>
          <w:sz w:val="24"/>
          <w:szCs w:val="24"/>
        </w:rPr>
        <w:fldChar w:fldCharType="end"/>
      </w:r>
      <w:r w:rsidRPr="00E27D3B">
        <w:rPr>
          <w:rFonts w:eastAsia="Times New Roman" w:cs="Calibri"/>
          <w:color w:val="auto"/>
          <w:sz w:val="24"/>
          <w:szCs w:val="24"/>
        </w:rPr>
        <w:t>. Despite its effectiveness in reducing the computational load for real-time impedance identification, the PINN necessitates both offline and online training and some prior knowledge of IBR control structures. Furthermore, its validity is only tested for current-controlled GFLIs. To this end, a common concern in the data-driven methods is their heavy reliance on the amount of training data, limiting their practical utility due to data constraints.</w:t>
      </w:r>
      <w:r w:rsidRPr="00E27D3B">
        <w:rPr>
          <w:rFonts w:eastAsia="Times New Roman" w:cs="Calibri"/>
          <w:sz w:val="24"/>
          <w:szCs w:val="24"/>
        </w:rPr>
        <w:t> </w:t>
      </w:r>
      <w:r w:rsidRPr="00E27D3B">
        <w:rPr>
          <w:rFonts w:eastAsia="Times New Roman" w:cs="Calibri"/>
          <w:color w:val="auto"/>
          <w:sz w:val="24"/>
          <w:szCs w:val="24"/>
        </w:rPr>
        <w:t xml:space="preserve">In </w:t>
      </w:r>
      <w:r w:rsidR="005B70E9">
        <w:rPr>
          <w:rFonts w:eastAsia="Times New Roman" w:cs="Calibri"/>
          <w:color w:val="auto"/>
          <w:sz w:val="24"/>
          <w:szCs w:val="24"/>
        </w:rPr>
        <w:fldChar w:fldCharType="begin"/>
      </w:r>
      <w:r w:rsidR="005B70E9">
        <w:rPr>
          <w:rFonts w:eastAsia="Times New Roman" w:cs="Calibri"/>
          <w:color w:val="auto"/>
          <w:sz w:val="24"/>
          <w:szCs w:val="24"/>
        </w:rPr>
        <w:instrText xml:space="preserve"> REF _Ref230778118 \r \h </w:instrText>
      </w:r>
      <w:r w:rsidR="00CD4F3A">
        <w:rPr>
          <w:rFonts w:eastAsia="Times New Roman" w:cs="Calibri"/>
          <w:color w:val="auto"/>
          <w:sz w:val="24"/>
          <w:szCs w:val="24"/>
        </w:rPr>
        <w:instrText xml:space="preserve"> \* MERGEFORMAT </w:instrText>
      </w:r>
      <w:r w:rsidR="005B70E9">
        <w:rPr>
          <w:rFonts w:eastAsia="Times New Roman" w:cs="Calibri"/>
          <w:color w:val="auto"/>
          <w:sz w:val="24"/>
          <w:szCs w:val="24"/>
        </w:rPr>
      </w:r>
      <w:r w:rsidR="005B70E9">
        <w:rPr>
          <w:rFonts w:eastAsia="Times New Roman" w:cs="Calibri"/>
          <w:color w:val="auto"/>
          <w:sz w:val="24"/>
          <w:szCs w:val="24"/>
        </w:rPr>
        <w:fldChar w:fldCharType="separate"/>
      </w:r>
      <w:r w:rsidR="005B70E9">
        <w:rPr>
          <w:rFonts w:eastAsia="Times New Roman" w:cs="Calibri"/>
          <w:color w:val="auto"/>
          <w:sz w:val="24"/>
          <w:szCs w:val="24"/>
        </w:rPr>
        <w:t>[40]</w:t>
      </w:r>
      <w:r w:rsidR="005B70E9">
        <w:rPr>
          <w:rFonts w:eastAsia="Times New Roman" w:cs="Calibri"/>
          <w:color w:val="auto"/>
          <w:sz w:val="24"/>
          <w:szCs w:val="24"/>
        </w:rPr>
        <w:fldChar w:fldCharType="end"/>
      </w:r>
      <w:r w:rsidR="005B70E9">
        <w:rPr>
          <w:rFonts w:eastAsia="Times New Roman" w:cs="Calibri"/>
          <w:color w:val="auto"/>
          <w:sz w:val="24"/>
          <w:szCs w:val="24"/>
        </w:rPr>
        <w:t xml:space="preserve"> </w:t>
      </w:r>
      <w:r w:rsidRPr="00E27D3B">
        <w:rPr>
          <w:rFonts w:eastAsia="Times New Roman" w:cs="Calibri"/>
          <w:color w:val="auto"/>
          <w:sz w:val="24"/>
          <w:szCs w:val="24"/>
        </w:rPr>
        <w:t>the authors proposed eigensystem realization algorithm (ERA) which are widely used data-driven techniques for identifying the small-signal dynamics of IBRs from time-domain measurements. The proposed ERA method processed transient </w:t>
      </w:r>
      <w:proofErr w:type="spellStart"/>
      <w:r w:rsidRPr="00E27D3B">
        <w:rPr>
          <w:rFonts w:eastAsia="Times New Roman" w:cs="Calibri"/>
          <w:color w:val="auto"/>
          <w:sz w:val="24"/>
          <w:szCs w:val="24"/>
        </w:rPr>
        <w:t>dq</w:t>
      </w:r>
      <w:proofErr w:type="spellEnd"/>
      <w:r w:rsidRPr="00E27D3B">
        <w:rPr>
          <w:rFonts w:eastAsia="Times New Roman" w:cs="Calibri"/>
          <w:color w:val="auto"/>
          <w:sz w:val="24"/>
          <w:szCs w:val="24"/>
        </w:rPr>
        <w:t xml:space="preserve">-frame voltage and current responses to extract linear dynamic representations, which was expressed in the s-domain. ERA achieved this by constructing reduced-order state-space models from impulse or step response data, enabling the direct computation of s-domain or frequency-domain admittance without requiring prior knowledge of the system model. In this study, voltage and current measurements collected over a time window from 1 s to 1.98 s, sampled at 2.5 kHz, are used for ERA-based analysis to capture the relevant small-signal dynamics. Gaussian process regression (GPR) has been suggested in </w:t>
      </w:r>
      <w:r w:rsidR="005B70E9">
        <w:rPr>
          <w:rFonts w:eastAsia="Times New Roman" w:cs="Calibri"/>
          <w:color w:val="auto"/>
          <w:sz w:val="24"/>
          <w:szCs w:val="24"/>
        </w:rPr>
        <w:fldChar w:fldCharType="begin"/>
      </w:r>
      <w:r w:rsidR="005B70E9">
        <w:rPr>
          <w:rFonts w:eastAsia="Times New Roman" w:cs="Calibri"/>
          <w:color w:val="auto"/>
          <w:sz w:val="24"/>
          <w:szCs w:val="24"/>
        </w:rPr>
        <w:instrText xml:space="preserve"> REF _Ref230778220 \r \h </w:instrText>
      </w:r>
      <w:r w:rsidR="00CD4F3A">
        <w:rPr>
          <w:rFonts w:eastAsia="Times New Roman" w:cs="Calibri"/>
          <w:color w:val="auto"/>
          <w:sz w:val="24"/>
          <w:szCs w:val="24"/>
        </w:rPr>
        <w:instrText xml:space="preserve"> \* MERGEFORMAT </w:instrText>
      </w:r>
      <w:r w:rsidR="005B70E9">
        <w:rPr>
          <w:rFonts w:eastAsia="Times New Roman" w:cs="Calibri"/>
          <w:color w:val="auto"/>
          <w:sz w:val="24"/>
          <w:szCs w:val="24"/>
        </w:rPr>
      </w:r>
      <w:r w:rsidR="005B70E9">
        <w:rPr>
          <w:rFonts w:eastAsia="Times New Roman" w:cs="Calibri"/>
          <w:color w:val="auto"/>
          <w:sz w:val="24"/>
          <w:szCs w:val="24"/>
        </w:rPr>
        <w:fldChar w:fldCharType="separate"/>
      </w:r>
      <w:r w:rsidR="005B70E9">
        <w:rPr>
          <w:rFonts w:eastAsia="Times New Roman" w:cs="Calibri"/>
          <w:color w:val="auto"/>
          <w:sz w:val="24"/>
          <w:szCs w:val="24"/>
        </w:rPr>
        <w:t>[41]</w:t>
      </w:r>
      <w:r w:rsidR="005B70E9">
        <w:rPr>
          <w:rFonts w:eastAsia="Times New Roman" w:cs="Calibri"/>
          <w:color w:val="auto"/>
          <w:sz w:val="24"/>
          <w:szCs w:val="24"/>
        </w:rPr>
        <w:fldChar w:fldCharType="end"/>
      </w:r>
      <w:r w:rsidR="005B70E9">
        <w:rPr>
          <w:rFonts w:eastAsia="Times New Roman" w:cs="Calibri"/>
          <w:color w:val="auto"/>
          <w:sz w:val="24"/>
          <w:szCs w:val="24"/>
        </w:rPr>
        <w:t xml:space="preserve"> </w:t>
      </w:r>
      <w:r w:rsidRPr="00E27D3B">
        <w:rPr>
          <w:rFonts w:eastAsia="Times New Roman" w:cs="Calibri"/>
          <w:color w:val="auto"/>
          <w:sz w:val="24"/>
          <w:szCs w:val="24"/>
        </w:rPr>
        <w:t>as a practical way to overcome the drawbacks of artificial neural networks (ANNs).  GPR was suggested as a trained, non-parametric machine learning technique that modelled intricate, nonlinear interactions with exceptional adaptability and resilience.  Despite having little training data, it was able to handle noisy data, capture uncertainty, and produce seamless continual predictions. However, the method suffers from the limitations as: (1) low-frequency impedance is highly sensitive to operating point variations, and a considerable trade-off is required between accuracy and data size.</w:t>
      </w:r>
      <w:r w:rsidRPr="00E27D3B">
        <w:rPr>
          <w:rFonts w:eastAsia="Times New Roman" w:cs="Calibri"/>
          <w:sz w:val="24"/>
          <w:szCs w:val="24"/>
        </w:rPr>
        <w:t> </w:t>
      </w:r>
    </w:p>
    <w:p w14:paraId="09214336" w14:textId="16567FA7" w:rsidR="00E2284F" w:rsidRPr="00E27D3B" w:rsidRDefault="00E2284F" w:rsidP="00B46898">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​The authors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_Ref223642080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5B70E9">
        <w:rPr>
          <w:rFonts w:eastAsia="Times New Roman" w:cs="Calibri"/>
          <w:color w:val="auto"/>
          <w:sz w:val="24"/>
          <w:szCs w:val="24"/>
        </w:rPr>
        <w:t>[42]</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explored three system identification techniques: sweep frequency response analysis (SFRA), step excitation method (SEM), and eigensystem realization algorithm (ERA). SFRA employed sinusoidal signals of varying frequencies to measure the system's frequency response, while SEM and ERA utilized step functions to derive time-domain responses and transform them </w:t>
      </w:r>
      <w:r w:rsidRPr="00E27D3B">
        <w:rPr>
          <w:rFonts w:eastAsia="Times New Roman" w:cs="Calibri"/>
          <w:color w:val="auto"/>
          <w:sz w:val="24"/>
          <w:szCs w:val="24"/>
        </w:rPr>
        <w:lastRenderedPageBreak/>
        <w:t>into Laplace-domain transfer functions. Based on a critical comparison, it was found that SEM worked more efficiently in identifying the </w:t>
      </w:r>
      <w:proofErr w:type="spellStart"/>
      <w:r w:rsidRPr="00E27D3B">
        <w:rPr>
          <w:rFonts w:eastAsia="Times New Roman" w:cs="Calibri"/>
          <w:color w:val="auto"/>
          <w:sz w:val="24"/>
          <w:szCs w:val="24"/>
        </w:rPr>
        <w:t>dq</w:t>
      </w:r>
      <w:proofErr w:type="spellEnd"/>
      <w:r w:rsidRPr="00E27D3B">
        <w:rPr>
          <w:rFonts w:eastAsia="Times New Roman" w:cs="Calibri"/>
          <w:color w:val="auto"/>
          <w:sz w:val="24"/>
          <w:szCs w:val="24"/>
        </w:rPr>
        <w:t> admittance of GFMI over a frequency range of 1–100 Hz compared to frequency scanning. </w:t>
      </w:r>
    </w:p>
    <w:p w14:paraId="5C1C33A0" w14:textId="4D5E750C" w:rsidR="00E2284F" w:rsidRPr="00E27D3B" w:rsidRDefault="00E2284F" w:rsidP="00CD4F3A">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To ensure stability across different generation mixes, a hybrid convolutional recurrent neural network (CRNN) was proposed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_Ref223642090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[43]</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_Ref223642099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[44]</w:t>
      </w:r>
      <w:r w:rsidRPr="00E27D3B">
        <w:rPr>
          <w:rFonts w:eastAsia="Times New Roman" w:cs="Calibri"/>
          <w:color w:val="auto"/>
          <w:sz w:val="24"/>
          <w:szCs w:val="24"/>
        </w:rPr>
        <w:fldChar w:fldCharType="end"/>
      </w:r>
      <w:r w:rsidRPr="00E27D3B">
        <w:rPr>
          <w:rFonts w:eastAsia="Times New Roman" w:cs="Calibri"/>
          <w:color w:val="auto"/>
          <w:sz w:val="24"/>
          <w:szCs w:val="24"/>
        </w:rPr>
        <w:t>. The CRNN mitigated the computational burden associated with exhaustive simulations by learning the temporal patterns of both stable and unstable trajectories, thereby enabling generalization to previously unseen operating points within the ternary space. This predictive capability reduced the need for repeated simulations of every possible scenario. The training dataset comprised time-series measurements of bus voltages, frequency, and power under diverse stability conditions. Nevertheless, since the data were obtained from RMS simulations, transient dynamics under small disturbances may not have been fully captured.</w:t>
      </w:r>
    </w:p>
    <w:p w14:paraId="40F56621" w14:textId="286080BB" w:rsidR="00E2284F" w:rsidRPr="00E27D3B" w:rsidRDefault="00E2284F" w:rsidP="00CD4F3A">
      <w:pPr>
        <w:spacing w:after="0"/>
        <w:textAlignment w:val="baseline"/>
        <w:rPr>
          <w:rFonts w:eastAsia="Times New Roman" w:cs="Calibri"/>
          <w:color w:val="auto"/>
          <w:sz w:val="24"/>
          <w:szCs w:val="24"/>
        </w:rPr>
      </w:pPr>
      <w:r w:rsidRPr="00E27D3B">
        <w:rPr>
          <w:rFonts w:eastAsia="Times New Roman" w:cs="Calibri"/>
          <w:color w:val="auto"/>
          <w:sz w:val="24"/>
          <w:szCs w:val="24"/>
          <w:lang w:val="en-GB"/>
        </w:rPr>
        <w:t xml:space="preserve">The assessment of two popular techniques for small-signal stability analysis of IBR-based power systems is summarized in </w:t>
      </w:r>
      <w:r w:rsidRPr="00E27D3B">
        <w:rPr>
          <w:rFonts w:eastAsia="Times New Roman" w:cs="Calibri"/>
          <w:color w:val="auto"/>
          <w:sz w:val="24"/>
          <w:szCs w:val="24"/>
          <w:lang w:val="en-GB"/>
        </w:rPr>
        <w:fldChar w:fldCharType="begin"/>
      </w:r>
      <w:r w:rsidRPr="00E27D3B">
        <w:rPr>
          <w:rFonts w:eastAsia="Times New Roman" w:cs="Calibri"/>
          <w:color w:val="auto"/>
          <w:sz w:val="24"/>
          <w:szCs w:val="24"/>
          <w:lang w:val="en-GB"/>
        </w:rPr>
        <w:instrText xml:space="preserve"> REF _Ref223643057 \h  \* MERGEFORMAT </w:instrText>
      </w:r>
      <w:r w:rsidRPr="00E27D3B">
        <w:rPr>
          <w:rFonts w:eastAsia="Times New Roman" w:cs="Calibri"/>
          <w:color w:val="auto"/>
          <w:sz w:val="24"/>
          <w:szCs w:val="24"/>
          <w:lang w:val="en-GB"/>
        </w:rPr>
      </w:r>
      <w:r w:rsidRPr="00E27D3B">
        <w:rPr>
          <w:rFonts w:eastAsia="Times New Roman" w:cs="Calibri"/>
          <w:color w:val="auto"/>
          <w:sz w:val="24"/>
          <w:szCs w:val="24"/>
          <w:lang w:val="en-GB"/>
        </w:rPr>
        <w:fldChar w:fldCharType="separate"/>
      </w:r>
      <w:r w:rsidR="00753DAF" w:rsidRPr="00E27D3B">
        <w:t xml:space="preserve">Table </w:t>
      </w:r>
      <w:r w:rsidR="00753DAF">
        <w:rPr>
          <w:noProof/>
        </w:rPr>
        <w:t>2</w:t>
      </w:r>
      <w:r w:rsidRPr="00E27D3B">
        <w:rPr>
          <w:rFonts w:eastAsia="Times New Roman" w:cs="Calibri"/>
          <w:color w:val="auto"/>
          <w:sz w:val="24"/>
          <w:szCs w:val="24"/>
          <w:lang w:val="en-GB"/>
        </w:rPr>
        <w:fldChar w:fldCharType="end"/>
      </w:r>
      <w:r w:rsidRPr="00E27D3B">
        <w:rPr>
          <w:rFonts w:eastAsia="Times New Roman" w:cs="Calibri"/>
          <w:color w:val="auto"/>
          <w:sz w:val="24"/>
          <w:szCs w:val="24"/>
          <w:lang w:val="en-GB"/>
        </w:rPr>
        <w:t xml:space="preserve">. </w:t>
      </w:r>
      <w:r w:rsidRPr="00E27D3B">
        <w:rPr>
          <w:rFonts w:eastAsia="Times New Roman" w:cs="Calibri"/>
          <w:color w:val="auto"/>
          <w:sz w:val="24"/>
          <w:szCs w:val="24"/>
          <w:lang w:val="en-GB"/>
        </w:rPr>
        <w:fldChar w:fldCharType="begin"/>
      </w:r>
      <w:r w:rsidRPr="00E27D3B">
        <w:rPr>
          <w:rFonts w:eastAsia="Times New Roman" w:cs="Calibri"/>
          <w:color w:val="auto"/>
          <w:sz w:val="24"/>
          <w:szCs w:val="24"/>
          <w:lang w:val="en-GB"/>
        </w:rPr>
        <w:instrText xml:space="preserve"> REF _Ref223643066 \h  \* MERGEFORMAT </w:instrText>
      </w:r>
      <w:r w:rsidRPr="00E27D3B">
        <w:rPr>
          <w:rFonts w:eastAsia="Times New Roman" w:cs="Calibri"/>
          <w:color w:val="auto"/>
          <w:sz w:val="24"/>
          <w:szCs w:val="24"/>
          <w:lang w:val="en-GB"/>
        </w:rPr>
      </w:r>
      <w:r w:rsidRPr="00E27D3B">
        <w:rPr>
          <w:rFonts w:eastAsia="Times New Roman" w:cs="Calibri"/>
          <w:color w:val="auto"/>
          <w:sz w:val="24"/>
          <w:szCs w:val="24"/>
          <w:lang w:val="en-GB"/>
        </w:rPr>
        <w:fldChar w:fldCharType="separate"/>
      </w:r>
      <w:r w:rsidR="00753DAF" w:rsidRPr="00E27D3B">
        <w:t xml:space="preserve">Table </w:t>
      </w:r>
      <w:r w:rsidR="00753DAF">
        <w:rPr>
          <w:noProof/>
        </w:rPr>
        <w:t>3</w:t>
      </w:r>
      <w:r w:rsidRPr="00E27D3B">
        <w:rPr>
          <w:rFonts w:eastAsia="Times New Roman" w:cs="Calibri"/>
          <w:color w:val="auto"/>
          <w:sz w:val="24"/>
          <w:szCs w:val="24"/>
          <w:lang w:val="en-GB"/>
        </w:rPr>
        <w:fldChar w:fldCharType="end"/>
      </w:r>
      <w:r w:rsidRPr="00E27D3B">
        <w:rPr>
          <w:rFonts w:eastAsia="Times New Roman" w:cs="Calibri"/>
          <w:color w:val="auto"/>
          <w:sz w:val="24"/>
          <w:szCs w:val="24"/>
        </w:rPr>
        <w:t> summarizes the existing data-driven methods for SSS analysis of IBR-based power systems.</w:t>
      </w:r>
    </w:p>
    <w:p w14:paraId="4B28DD0F" w14:textId="0055076F" w:rsidR="00E2284F" w:rsidRPr="00E27D3B" w:rsidRDefault="00E2284F" w:rsidP="00CD4F3A">
      <w:pPr>
        <w:pStyle w:val="Caption"/>
        <w:spacing w:line="240" w:lineRule="auto"/>
      </w:pPr>
      <w:bookmarkStart w:id="28" w:name="_Ref223643057"/>
      <w:bookmarkStart w:id="29" w:name="_Toc224235157"/>
      <w:bookmarkStart w:id="30" w:name="_Toc233735296"/>
      <w:r w:rsidRPr="00E27D3B">
        <w:t xml:space="preserve">Table </w:t>
      </w:r>
      <w:fldSimple w:instr=" SEQ Table \* ARABIC ">
        <w:r w:rsidR="00753DAF">
          <w:rPr>
            <w:noProof/>
          </w:rPr>
          <w:t>2</w:t>
        </w:r>
      </w:fldSimple>
      <w:bookmarkEnd w:id="28"/>
      <w:r w:rsidRPr="00E27D3B">
        <w:t>: Modelling methods of small-signal stability.</w:t>
      </w:r>
      <w:bookmarkEnd w:id="29"/>
      <w:bookmarkEnd w:id="30"/>
    </w:p>
    <w:tbl>
      <w:tblPr>
        <w:tblW w:w="5000" w:type="pct"/>
        <w:jc w:val="center"/>
        <w:tblBorders>
          <w:bottom w:val="single" w:sz="4" w:space="0" w:color="auto"/>
        </w:tblBorders>
        <w:tblCellMar>
          <w:left w:w="0" w:type="dxa"/>
          <w:right w:w="0" w:type="dxa"/>
        </w:tblCellMar>
        <w:tblLook w:val="0600" w:firstRow="0" w:lastRow="0" w:firstColumn="0" w:lastColumn="0" w:noHBand="1" w:noVBand="1"/>
      </w:tblPr>
      <w:tblGrid>
        <w:gridCol w:w="2124"/>
        <w:gridCol w:w="3032"/>
        <w:gridCol w:w="4482"/>
      </w:tblGrid>
      <w:tr w:rsidR="00E2284F" w:rsidRPr="00F334F0" w14:paraId="284B0270" w14:textId="77777777" w:rsidTr="00F12E16">
        <w:trPr>
          <w:trHeight w:val="359"/>
          <w:jc w:val="center"/>
        </w:trPr>
        <w:tc>
          <w:tcPr>
            <w:tcW w:w="1102" w:type="pct"/>
            <w:shd w:val="clear" w:color="auto" w:fill="000000" w:themeFill="text1"/>
            <w:tcMar>
              <w:top w:w="43" w:type="dxa"/>
              <w:left w:w="87" w:type="dxa"/>
              <w:bottom w:w="43" w:type="dxa"/>
              <w:right w:w="87" w:type="dxa"/>
            </w:tcMar>
            <w:vAlign w:val="center"/>
            <w:hideMark/>
          </w:tcPr>
          <w:p w14:paraId="79B57252"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ASPECT / CRITERIA</w:t>
            </w:r>
          </w:p>
        </w:tc>
        <w:tc>
          <w:tcPr>
            <w:tcW w:w="1573" w:type="pct"/>
            <w:shd w:val="clear" w:color="auto" w:fill="000000" w:themeFill="text1"/>
            <w:tcMar>
              <w:top w:w="43" w:type="dxa"/>
              <w:left w:w="87" w:type="dxa"/>
              <w:bottom w:w="43" w:type="dxa"/>
              <w:right w:w="87" w:type="dxa"/>
            </w:tcMar>
            <w:vAlign w:val="center"/>
            <w:hideMark/>
          </w:tcPr>
          <w:p w14:paraId="40EFA6E1"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b/>
                <w:bCs/>
                <w:color w:val="auto"/>
                <w:sz w:val="18"/>
                <w:szCs w:val="18"/>
                <w:lang w:val="en-GB"/>
              </w:rPr>
              <w:t>STATE-SPACE MODEL (WHITE-BOX / EIGENVALUE-BASED)</w:t>
            </w:r>
          </w:p>
        </w:tc>
        <w:tc>
          <w:tcPr>
            <w:tcW w:w="2325" w:type="pct"/>
            <w:shd w:val="clear" w:color="auto" w:fill="000000" w:themeFill="text1"/>
            <w:tcMar>
              <w:top w:w="43" w:type="dxa"/>
              <w:left w:w="87" w:type="dxa"/>
              <w:bottom w:w="43" w:type="dxa"/>
              <w:right w:w="87" w:type="dxa"/>
            </w:tcMar>
            <w:vAlign w:val="center"/>
            <w:hideMark/>
          </w:tcPr>
          <w:p w14:paraId="44E1DF94"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b/>
                <w:bCs/>
                <w:color w:val="auto"/>
                <w:sz w:val="18"/>
                <w:szCs w:val="18"/>
                <w:lang w:val="en-GB"/>
              </w:rPr>
              <w:t>IMPEDANCE/ADMITTANCE-BASED MODEL (BLACK-BOX)</w:t>
            </w:r>
          </w:p>
        </w:tc>
      </w:tr>
      <w:tr w:rsidR="00E2284F" w:rsidRPr="00F334F0" w14:paraId="0D40A106" w14:textId="77777777" w:rsidTr="00F12E16">
        <w:trPr>
          <w:trHeight w:val="27"/>
          <w:jc w:val="center"/>
        </w:trPr>
        <w:tc>
          <w:tcPr>
            <w:tcW w:w="1102" w:type="pct"/>
            <w:shd w:val="clear" w:color="auto" w:fill="000000" w:themeFill="text1"/>
            <w:tcMar>
              <w:top w:w="43" w:type="dxa"/>
              <w:left w:w="87" w:type="dxa"/>
              <w:bottom w:w="43" w:type="dxa"/>
              <w:right w:w="87" w:type="dxa"/>
            </w:tcMar>
            <w:vAlign w:val="center"/>
            <w:hideMark/>
          </w:tcPr>
          <w:p w14:paraId="60A95C13"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DOMAIN OF ANALYSIS</w:t>
            </w:r>
          </w:p>
        </w:tc>
        <w:tc>
          <w:tcPr>
            <w:tcW w:w="1573" w:type="pct"/>
            <w:shd w:val="clear" w:color="auto" w:fill="000000" w:themeFill="text1"/>
            <w:tcMar>
              <w:top w:w="43" w:type="dxa"/>
              <w:left w:w="87" w:type="dxa"/>
              <w:bottom w:w="43" w:type="dxa"/>
              <w:right w:w="87" w:type="dxa"/>
            </w:tcMar>
            <w:vAlign w:val="center"/>
            <w:hideMark/>
          </w:tcPr>
          <w:p w14:paraId="5C3E397D"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TIME-DOMAIN</w:t>
            </w:r>
          </w:p>
        </w:tc>
        <w:tc>
          <w:tcPr>
            <w:tcW w:w="2325" w:type="pct"/>
            <w:shd w:val="clear" w:color="auto" w:fill="000000" w:themeFill="text1"/>
            <w:tcMar>
              <w:top w:w="43" w:type="dxa"/>
              <w:left w:w="87" w:type="dxa"/>
              <w:bottom w:w="43" w:type="dxa"/>
              <w:right w:w="87" w:type="dxa"/>
            </w:tcMar>
            <w:vAlign w:val="center"/>
            <w:hideMark/>
          </w:tcPr>
          <w:p w14:paraId="5A306286"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FREQUENCY-DOMAIN</w:t>
            </w:r>
          </w:p>
        </w:tc>
      </w:tr>
      <w:tr w:rsidR="00E2284F" w:rsidRPr="00F334F0" w14:paraId="2B845FF1" w14:textId="77777777" w:rsidTr="00F12E16">
        <w:trPr>
          <w:trHeight w:val="347"/>
          <w:jc w:val="center"/>
        </w:trPr>
        <w:tc>
          <w:tcPr>
            <w:tcW w:w="1102" w:type="pct"/>
            <w:shd w:val="clear" w:color="auto" w:fill="D9D9D9" w:themeFill="background1" w:themeFillShade="D9"/>
            <w:tcMar>
              <w:top w:w="43" w:type="dxa"/>
              <w:left w:w="87" w:type="dxa"/>
              <w:bottom w:w="43" w:type="dxa"/>
              <w:right w:w="87" w:type="dxa"/>
            </w:tcMar>
            <w:vAlign w:val="center"/>
            <w:hideMark/>
          </w:tcPr>
          <w:p w14:paraId="036E1DB4"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Modelling Type</w:t>
            </w:r>
          </w:p>
        </w:tc>
        <w:tc>
          <w:tcPr>
            <w:tcW w:w="1573" w:type="pct"/>
            <w:shd w:val="clear" w:color="auto" w:fill="D9D9D9" w:themeFill="background1" w:themeFillShade="D9"/>
            <w:tcMar>
              <w:top w:w="43" w:type="dxa"/>
              <w:left w:w="87" w:type="dxa"/>
              <w:bottom w:w="43" w:type="dxa"/>
              <w:right w:w="87" w:type="dxa"/>
            </w:tcMar>
            <w:vAlign w:val="center"/>
            <w:hideMark/>
          </w:tcPr>
          <w:p w14:paraId="3276308C" w14:textId="77777777" w:rsidR="00E2284F" w:rsidRPr="00F12E16" w:rsidRDefault="00E2284F" w:rsidP="00CD4F3A">
            <w:pPr>
              <w:spacing w:after="0"/>
              <w:textAlignment w:val="baseline"/>
              <w:rPr>
                <w:rFonts w:eastAsia="Times New Roman" w:cs="Calibri"/>
                <w:color w:val="auto"/>
                <w:sz w:val="18"/>
                <w:szCs w:val="18"/>
                <w:lang w:val="en-GB"/>
              </w:rPr>
            </w:pPr>
            <w:proofErr w:type="gramStart"/>
            <w:r w:rsidRPr="00F12E16">
              <w:rPr>
                <w:rFonts w:eastAsia="Times New Roman" w:cs="Calibri"/>
                <w:color w:val="auto"/>
                <w:sz w:val="18"/>
                <w:szCs w:val="18"/>
                <w:lang w:val="en-GB"/>
              </w:rPr>
              <w:t>White-box</w:t>
            </w:r>
            <w:proofErr w:type="gramEnd"/>
          </w:p>
        </w:tc>
        <w:tc>
          <w:tcPr>
            <w:tcW w:w="2325" w:type="pct"/>
            <w:shd w:val="clear" w:color="auto" w:fill="D9D9D9" w:themeFill="background1" w:themeFillShade="D9"/>
            <w:tcMar>
              <w:top w:w="43" w:type="dxa"/>
              <w:left w:w="87" w:type="dxa"/>
              <w:bottom w:w="43" w:type="dxa"/>
              <w:right w:w="87" w:type="dxa"/>
            </w:tcMar>
            <w:vAlign w:val="center"/>
            <w:hideMark/>
          </w:tcPr>
          <w:p w14:paraId="7B314080"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White-box &amp; Black-box</w:t>
            </w:r>
          </w:p>
        </w:tc>
      </w:tr>
      <w:tr w:rsidR="00E2284F" w:rsidRPr="00F334F0" w14:paraId="6D50005D" w14:textId="77777777" w:rsidTr="00F12E16">
        <w:trPr>
          <w:trHeight w:val="494"/>
          <w:jc w:val="center"/>
        </w:trPr>
        <w:tc>
          <w:tcPr>
            <w:tcW w:w="1102" w:type="pct"/>
            <w:tcMar>
              <w:top w:w="43" w:type="dxa"/>
              <w:left w:w="87" w:type="dxa"/>
              <w:bottom w:w="43" w:type="dxa"/>
              <w:right w:w="87" w:type="dxa"/>
            </w:tcMar>
            <w:vAlign w:val="center"/>
            <w:hideMark/>
          </w:tcPr>
          <w:p w14:paraId="10617AB1"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Model Requirements</w:t>
            </w:r>
          </w:p>
        </w:tc>
        <w:tc>
          <w:tcPr>
            <w:tcW w:w="1573" w:type="pct"/>
            <w:tcMar>
              <w:top w:w="43" w:type="dxa"/>
              <w:left w:w="87" w:type="dxa"/>
              <w:bottom w:w="43" w:type="dxa"/>
              <w:right w:w="87" w:type="dxa"/>
            </w:tcMar>
            <w:vAlign w:val="center"/>
            <w:hideMark/>
          </w:tcPr>
          <w:p w14:paraId="06AC9F7D"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Full knowledge of system topology, parameters, and inverter controls</w:t>
            </w:r>
          </w:p>
        </w:tc>
        <w:tc>
          <w:tcPr>
            <w:tcW w:w="2325" w:type="pct"/>
            <w:tcMar>
              <w:top w:w="43" w:type="dxa"/>
              <w:left w:w="87" w:type="dxa"/>
              <w:bottom w:w="43" w:type="dxa"/>
              <w:right w:w="87" w:type="dxa"/>
            </w:tcMar>
            <w:vAlign w:val="center"/>
            <w:hideMark/>
          </w:tcPr>
          <w:p w14:paraId="276F20F4"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Only input-output measurements; no internal details required</w:t>
            </w:r>
          </w:p>
        </w:tc>
      </w:tr>
      <w:tr w:rsidR="00E2284F" w:rsidRPr="00F334F0" w14:paraId="17393132" w14:textId="77777777" w:rsidTr="00F12E16">
        <w:trPr>
          <w:trHeight w:val="346"/>
          <w:jc w:val="center"/>
        </w:trPr>
        <w:tc>
          <w:tcPr>
            <w:tcW w:w="1102" w:type="pct"/>
            <w:shd w:val="clear" w:color="auto" w:fill="D9D9D9" w:themeFill="background1" w:themeFillShade="D9"/>
            <w:tcMar>
              <w:top w:w="43" w:type="dxa"/>
              <w:left w:w="87" w:type="dxa"/>
              <w:bottom w:w="43" w:type="dxa"/>
              <w:right w:w="87" w:type="dxa"/>
            </w:tcMar>
            <w:vAlign w:val="center"/>
            <w:hideMark/>
          </w:tcPr>
          <w:p w14:paraId="312AD3D1"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System Representation</w:t>
            </w:r>
          </w:p>
        </w:tc>
        <w:tc>
          <w:tcPr>
            <w:tcW w:w="1573" w:type="pct"/>
            <w:shd w:val="clear" w:color="auto" w:fill="D9D9D9" w:themeFill="background1" w:themeFillShade="D9"/>
            <w:tcMar>
              <w:top w:w="43" w:type="dxa"/>
              <w:left w:w="87" w:type="dxa"/>
              <w:bottom w:w="43" w:type="dxa"/>
              <w:right w:w="87" w:type="dxa"/>
            </w:tcMar>
            <w:vAlign w:val="center"/>
            <w:hideMark/>
          </w:tcPr>
          <w:p w14:paraId="530CBF48"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Can model MIMO systems</w:t>
            </w:r>
          </w:p>
        </w:tc>
        <w:tc>
          <w:tcPr>
            <w:tcW w:w="2325" w:type="pct"/>
            <w:shd w:val="clear" w:color="auto" w:fill="D9D9D9" w:themeFill="background1" w:themeFillShade="D9"/>
            <w:tcMar>
              <w:top w:w="43" w:type="dxa"/>
              <w:left w:w="87" w:type="dxa"/>
              <w:bottom w:w="43" w:type="dxa"/>
              <w:right w:w="87" w:type="dxa"/>
            </w:tcMar>
            <w:vAlign w:val="center"/>
            <w:hideMark/>
          </w:tcPr>
          <w:p w14:paraId="2B131C80"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Typically, SISO translates to electrical impedances</w:t>
            </w:r>
          </w:p>
        </w:tc>
      </w:tr>
      <w:tr w:rsidR="00E2284F" w:rsidRPr="00F334F0" w14:paraId="6213B560" w14:textId="77777777" w:rsidTr="00F12E16">
        <w:trPr>
          <w:trHeight w:val="347"/>
          <w:jc w:val="center"/>
        </w:trPr>
        <w:tc>
          <w:tcPr>
            <w:tcW w:w="1102" w:type="pct"/>
            <w:tcMar>
              <w:top w:w="43" w:type="dxa"/>
              <w:left w:w="87" w:type="dxa"/>
              <w:bottom w:w="43" w:type="dxa"/>
              <w:right w:w="87" w:type="dxa"/>
            </w:tcMar>
            <w:vAlign w:val="center"/>
            <w:hideMark/>
          </w:tcPr>
          <w:p w14:paraId="082104B6"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Analysis Approach</w:t>
            </w:r>
          </w:p>
        </w:tc>
        <w:tc>
          <w:tcPr>
            <w:tcW w:w="1573" w:type="pct"/>
            <w:tcMar>
              <w:top w:w="43" w:type="dxa"/>
              <w:left w:w="87" w:type="dxa"/>
              <w:bottom w:w="43" w:type="dxa"/>
              <w:right w:w="87" w:type="dxa"/>
            </w:tcMar>
            <w:vAlign w:val="center"/>
            <w:hideMark/>
          </w:tcPr>
          <w:p w14:paraId="75BE80C6"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Eigenvalue analysis, participation factors, linearization</w:t>
            </w:r>
          </w:p>
        </w:tc>
        <w:tc>
          <w:tcPr>
            <w:tcW w:w="2325" w:type="pct"/>
            <w:tcMar>
              <w:top w:w="43" w:type="dxa"/>
              <w:left w:w="87" w:type="dxa"/>
              <w:bottom w:w="43" w:type="dxa"/>
              <w:right w:w="87" w:type="dxa"/>
            </w:tcMar>
            <w:vAlign w:val="center"/>
            <w:hideMark/>
          </w:tcPr>
          <w:p w14:paraId="285F10C9"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Impedance-based analysis: Bode plots, Nyquist diagrams</w:t>
            </w:r>
          </w:p>
        </w:tc>
      </w:tr>
      <w:tr w:rsidR="00E2284F" w:rsidRPr="00F334F0" w14:paraId="1671125F" w14:textId="77777777" w:rsidTr="00F12E16">
        <w:trPr>
          <w:trHeight w:val="161"/>
          <w:jc w:val="center"/>
        </w:trPr>
        <w:tc>
          <w:tcPr>
            <w:tcW w:w="1102" w:type="pct"/>
            <w:shd w:val="clear" w:color="auto" w:fill="D9D9D9" w:themeFill="background1" w:themeFillShade="D9"/>
            <w:tcMar>
              <w:top w:w="43" w:type="dxa"/>
              <w:left w:w="87" w:type="dxa"/>
              <w:bottom w:w="43" w:type="dxa"/>
              <w:right w:w="87" w:type="dxa"/>
            </w:tcMar>
            <w:vAlign w:val="center"/>
            <w:hideMark/>
          </w:tcPr>
          <w:p w14:paraId="29221338"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Complexity</w:t>
            </w:r>
          </w:p>
        </w:tc>
        <w:tc>
          <w:tcPr>
            <w:tcW w:w="1573" w:type="pct"/>
            <w:shd w:val="clear" w:color="auto" w:fill="D9D9D9" w:themeFill="background1" w:themeFillShade="D9"/>
            <w:tcMar>
              <w:top w:w="43" w:type="dxa"/>
              <w:left w:w="87" w:type="dxa"/>
              <w:bottom w:w="43" w:type="dxa"/>
              <w:right w:w="87" w:type="dxa"/>
            </w:tcMar>
            <w:vAlign w:val="center"/>
            <w:hideMark/>
          </w:tcPr>
          <w:p w14:paraId="1B48220A"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High (complex)</w:t>
            </w:r>
          </w:p>
        </w:tc>
        <w:tc>
          <w:tcPr>
            <w:tcW w:w="2325" w:type="pct"/>
            <w:shd w:val="clear" w:color="auto" w:fill="D9D9D9" w:themeFill="background1" w:themeFillShade="D9"/>
            <w:tcMar>
              <w:top w:w="43" w:type="dxa"/>
              <w:left w:w="87" w:type="dxa"/>
              <w:bottom w:w="43" w:type="dxa"/>
              <w:right w:w="87" w:type="dxa"/>
            </w:tcMar>
            <w:vAlign w:val="center"/>
            <w:hideMark/>
          </w:tcPr>
          <w:p w14:paraId="394E932E"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Moderate to simple</w:t>
            </w:r>
          </w:p>
        </w:tc>
      </w:tr>
      <w:tr w:rsidR="00E2284F" w:rsidRPr="00F334F0" w14:paraId="0818535A" w14:textId="77777777" w:rsidTr="00F12E16">
        <w:trPr>
          <w:trHeight w:val="102"/>
          <w:jc w:val="center"/>
        </w:trPr>
        <w:tc>
          <w:tcPr>
            <w:tcW w:w="1102" w:type="pct"/>
            <w:tcMar>
              <w:top w:w="43" w:type="dxa"/>
              <w:left w:w="87" w:type="dxa"/>
              <w:bottom w:w="43" w:type="dxa"/>
              <w:right w:w="87" w:type="dxa"/>
            </w:tcMar>
            <w:vAlign w:val="center"/>
            <w:hideMark/>
          </w:tcPr>
          <w:p w14:paraId="0ADA8501"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Advantages</w:t>
            </w:r>
          </w:p>
        </w:tc>
        <w:tc>
          <w:tcPr>
            <w:tcW w:w="1573" w:type="pct"/>
            <w:tcMar>
              <w:top w:w="43" w:type="dxa"/>
              <w:left w:w="87" w:type="dxa"/>
              <w:bottom w:w="43" w:type="dxa"/>
              <w:right w:w="87" w:type="dxa"/>
            </w:tcMar>
            <w:vAlign w:val="center"/>
            <w:hideMark/>
          </w:tcPr>
          <w:p w14:paraId="7C2D3D91"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High accuracy; identifies root cause of oscillations; detailed mode analysis</w:t>
            </w:r>
          </w:p>
        </w:tc>
        <w:tc>
          <w:tcPr>
            <w:tcW w:w="2325" w:type="pct"/>
            <w:tcMar>
              <w:top w:w="43" w:type="dxa"/>
              <w:left w:w="87" w:type="dxa"/>
              <w:bottom w:w="43" w:type="dxa"/>
              <w:right w:w="87" w:type="dxa"/>
            </w:tcMar>
            <w:vAlign w:val="center"/>
            <w:hideMark/>
          </w:tcPr>
          <w:p w14:paraId="6E9FEB71"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Suitable for IBRs devices without access to internal design, scalable; does not require full system models.</w:t>
            </w:r>
          </w:p>
        </w:tc>
      </w:tr>
      <w:tr w:rsidR="00E2284F" w:rsidRPr="00F334F0" w14:paraId="4A4DDE0F" w14:textId="77777777" w:rsidTr="00F12E16">
        <w:trPr>
          <w:trHeight w:val="27"/>
          <w:jc w:val="center"/>
        </w:trPr>
        <w:tc>
          <w:tcPr>
            <w:tcW w:w="1102" w:type="pct"/>
            <w:shd w:val="clear" w:color="auto" w:fill="D9D9D9" w:themeFill="background1" w:themeFillShade="D9"/>
            <w:tcMar>
              <w:top w:w="43" w:type="dxa"/>
              <w:left w:w="87" w:type="dxa"/>
              <w:bottom w:w="43" w:type="dxa"/>
              <w:right w:w="87" w:type="dxa"/>
            </w:tcMar>
            <w:vAlign w:val="center"/>
            <w:hideMark/>
          </w:tcPr>
          <w:p w14:paraId="28425C91"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Limitations</w:t>
            </w:r>
          </w:p>
        </w:tc>
        <w:tc>
          <w:tcPr>
            <w:tcW w:w="1573" w:type="pct"/>
            <w:shd w:val="clear" w:color="auto" w:fill="D9D9D9" w:themeFill="background1" w:themeFillShade="D9"/>
            <w:tcMar>
              <w:top w:w="43" w:type="dxa"/>
              <w:left w:w="87" w:type="dxa"/>
              <w:bottom w:w="43" w:type="dxa"/>
              <w:right w:w="87" w:type="dxa"/>
            </w:tcMar>
            <w:vAlign w:val="center"/>
            <w:hideMark/>
          </w:tcPr>
          <w:p w14:paraId="14E5FB59"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Computationally intensive; requires a full system model; limited for black-box devices</w:t>
            </w:r>
          </w:p>
        </w:tc>
        <w:tc>
          <w:tcPr>
            <w:tcW w:w="2325" w:type="pct"/>
            <w:shd w:val="clear" w:color="auto" w:fill="D9D9D9" w:themeFill="background1" w:themeFillShade="D9"/>
            <w:tcMar>
              <w:top w:w="43" w:type="dxa"/>
              <w:left w:w="87" w:type="dxa"/>
              <w:bottom w:w="43" w:type="dxa"/>
              <w:right w:w="87" w:type="dxa"/>
            </w:tcMar>
            <w:vAlign w:val="center"/>
            <w:hideMark/>
          </w:tcPr>
          <w:p w14:paraId="55E8428C"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Limited internal insight; accuracy depends on measurement quality; may miss complex mode interactions</w:t>
            </w:r>
          </w:p>
        </w:tc>
      </w:tr>
      <w:tr w:rsidR="00E2284F" w:rsidRPr="00F334F0" w14:paraId="5EB08A7A" w14:textId="77777777" w:rsidTr="00F12E16">
        <w:trPr>
          <w:trHeight w:val="867"/>
          <w:jc w:val="center"/>
        </w:trPr>
        <w:tc>
          <w:tcPr>
            <w:tcW w:w="1102" w:type="pct"/>
            <w:tcMar>
              <w:top w:w="43" w:type="dxa"/>
              <w:left w:w="87" w:type="dxa"/>
              <w:bottom w:w="43" w:type="dxa"/>
              <w:right w:w="87" w:type="dxa"/>
            </w:tcMar>
            <w:vAlign w:val="center"/>
            <w:hideMark/>
          </w:tcPr>
          <w:p w14:paraId="284CC030" w14:textId="77777777" w:rsidR="00E2284F" w:rsidRPr="00F12E16" w:rsidRDefault="00E2284F" w:rsidP="00CD4F3A">
            <w:pPr>
              <w:spacing w:after="0"/>
              <w:textAlignment w:val="baseline"/>
              <w:rPr>
                <w:rFonts w:eastAsia="Times New Roman" w:cs="Calibri"/>
                <w:b/>
                <w:bCs/>
                <w:color w:val="auto"/>
                <w:sz w:val="18"/>
                <w:szCs w:val="18"/>
                <w:lang w:val="en-GB"/>
              </w:rPr>
            </w:pPr>
            <w:r w:rsidRPr="00F12E16">
              <w:rPr>
                <w:rFonts w:eastAsia="Times New Roman" w:cs="Calibri"/>
                <w:b/>
                <w:bCs/>
                <w:color w:val="auto"/>
                <w:sz w:val="18"/>
                <w:szCs w:val="18"/>
                <w:lang w:val="en-GB"/>
              </w:rPr>
              <w:t>Applications</w:t>
            </w:r>
          </w:p>
        </w:tc>
        <w:tc>
          <w:tcPr>
            <w:tcW w:w="1573" w:type="pct"/>
            <w:tcMar>
              <w:top w:w="43" w:type="dxa"/>
              <w:left w:w="87" w:type="dxa"/>
              <w:bottom w:w="43" w:type="dxa"/>
              <w:right w:w="87" w:type="dxa"/>
            </w:tcMar>
            <w:vAlign w:val="center"/>
            <w:hideMark/>
          </w:tcPr>
          <w:p w14:paraId="2375CA01"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Detailed system studies, control design, and modal analysis</w:t>
            </w:r>
          </w:p>
        </w:tc>
        <w:tc>
          <w:tcPr>
            <w:tcW w:w="2325" w:type="pct"/>
            <w:tcMar>
              <w:top w:w="43" w:type="dxa"/>
              <w:left w:w="87" w:type="dxa"/>
              <w:bottom w:w="43" w:type="dxa"/>
              <w:right w:w="87" w:type="dxa"/>
            </w:tcMar>
            <w:vAlign w:val="center"/>
            <w:hideMark/>
          </w:tcPr>
          <w:p w14:paraId="78D356A9" w14:textId="77777777" w:rsidR="00E2284F" w:rsidRPr="00F12E16" w:rsidRDefault="00E2284F" w:rsidP="00CD4F3A">
            <w:pPr>
              <w:spacing w:after="0"/>
              <w:textAlignment w:val="baseline"/>
              <w:rPr>
                <w:rFonts w:eastAsia="Times New Roman" w:cs="Calibri"/>
                <w:color w:val="auto"/>
                <w:sz w:val="18"/>
                <w:szCs w:val="18"/>
                <w:lang w:val="en-GB"/>
              </w:rPr>
            </w:pPr>
            <w:r w:rsidRPr="00F12E16">
              <w:rPr>
                <w:rFonts w:eastAsia="Times New Roman" w:cs="Calibri"/>
                <w:color w:val="auto"/>
                <w:sz w:val="18"/>
                <w:szCs w:val="18"/>
                <w:lang w:val="en-GB"/>
              </w:rPr>
              <w:t>Field measurements, weak-grid studies, black-box or experimental IBRs</w:t>
            </w:r>
          </w:p>
        </w:tc>
      </w:tr>
    </w:tbl>
    <w:p w14:paraId="675C1848" w14:textId="77777777" w:rsidR="00F334F0" w:rsidRDefault="00F334F0" w:rsidP="00CD4F3A">
      <w:pPr>
        <w:pStyle w:val="Caption"/>
        <w:spacing w:line="240" w:lineRule="auto"/>
      </w:pPr>
      <w:bookmarkStart w:id="31" w:name="_Ref223643066"/>
      <w:bookmarkStart w:id="32" w:name="_Toc224235158"/>
    </w:p>
    <w:p w14:paraId="35BD588A" w14:textId="2483979D" w:rsidR="00E2284F" w:rsidRPr="00E27D3B" w:rsidRDefault="00E2284F" w:rsidP="00CD4F3A">
      <w:pPr>
        <w:pStyle w:val="Caption"/>
        <w:spacing w:line="240" w:lineRule="auto"/>
      </w:pPr>
      <w:bookmarkStart w:id="33" w:name="_Toc233735297"/>
      <w:r w:rsidRPr="00E27D3B">
        <w:t xml:space="preserve">Table </w:t>
      </w:r>
      <w:fldSimple w:instr=" SEQ Table \* ARABIC ">
        <w:r w:rsidR="00753DAF">
          <w:rPr>
            <w:noProof/>
          </w:rPr>
          <w:t>3</w:t>
        </w:r>
      </w:fldSimple>
      <w:bookmarkEnd w:id="31"/>
      <w:r w:rsidRPr="00E27D3B">
        <w:t>: A summary of data-driven methods for small-signal stability analysis.</w:t>
      </w:r>
      <w:bookmarkEnd w:id="32"/>
      <w:bookmarkEnd w:id="33"/>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210"/>
        <w:gridCol w:w="5897"/>
        <w:gridCol w:w="2531"/>
      </w:tblGrid>
      <w:tr w:rsidR="00E2284F" w:rsidRPr="00F334F0" w14:paraId="22CA478A" w14:textId="77777777" w:rsidTr="00F12E16">
        <w:trPr>
          <w:trHeight w:val="360"/>
        </w:trPr>
        <w:tc>
          <w:tcPr>
            <w:tcW w:w="628" w:type="pct"/>
            <w:shd w:val="clear" w:color="auto" w:fill="000000" w:themeFill="text2"/>
            <w:hideMark/>
          </w:tcPr>
          <w:p w14:paraId="3BFA8764" w14:textId="77777777" w:rsidR="00E2284F" w:rsidRPr="00F12E16" w:rsidRDefault="00E2284F" w:rsidP="00CD4F3A">
            <w:pPr>
              <w:spacing w:after="0"/>
              <w:textAlignment w:val="baseline"/>
              <w:rPr>
                <w:rStyle w:val="Bold"/>
                <w:color w:val="FFFFFF" w:themeColor="background1"/>
                <w:sz w:val="18"/>
                <w:szCs w:val="18"/>
              </w:rPr>
            </w:pPr>
            <w:r w:rsidRPr="00F12E16">
              <w:rPr>
                <w:rStyle w:val="Bold"/>
                <w:color w:val="FFFFFF" w:themeColor="background1"/>
                <w:sz w:val="18"/>
                <w:szCs w:val="18"/>
              </w:rPr>
              <w:t>​METHODS </w:t>
            </w:r>
          </w:p>
        </w:tc>
        <w:tc>
          <w:tcPr>
            <w:tcW w:w="3059" w:type="pct"/>
            <w:shd w:val="clear" w:color="auto" w:fill="000000" w:themeFill="text2"/>
            <w:hideMark/>
          </w:tcPr>
          <w:p w14:paraId="1528D854" w14:textId="77777777" w:rsidR="00E2284F" w:rsidRPr="00F12E16" w:rsidRDefault="00E2284F" w:rsidP="00CD4F3A">
            <w:pPr>
              <w:spacing w:after="0"/>
              <w:textAlignment w:val="baseline"/>
              <w:rPr>
                <w:rStyle w:val="Bold"/>
                <w:color w:val="FFFFFF" w:themeColor="background1"/>
                <w:sz w:val="18"/>
                <w:szCs w:val="18"/>
              </w:rPr>
            </w:pPr>
            <w:r w:rsidRPr="00F12E16">
              <w:rPr>
                <w:rStyle w:val="Bold"/>
                <w:color w:val="FFFFFF" w:themeColor="background1"/>
                <w:sz w:val="18"/>
                <w:szCs w:val="18"/>
              </w:rPr>
              <w:t>​KEY FEATURES AND LIMITATIONS  </w:t>
            </w:r>
          </w:p>
        </w:tc>
        <w:tc>
          <w:tcPr>
            <w:tcW w:w="1313" w:type="pct"/>
            <w:shd w:val="clear" w:color="auto" w:fill="000000" w:themeFill="text2"/>
            <w:hideMark/>
          </w:tcPr>
          <w:p w14:paraId="5AFFCF8D" w14:textId="77777777" w:rsidR="00E2284F" w:rsidRPr="00F12E16" w:rsidRDefault="00E2284F" w:rsidP="00CD4F3A">
            <w:pPr>
              <w:spacing w:after="0"/>
              <w:textAlignment w:val="baseline"/>
              <w:rPr>
                <w:rStyle w:val="Bold"/>
                <w:color w:val="FFFFFF" w:themeColor="background1"/>
                <w:sz w:val="18"/>
                <w:szCs w:val="18"/>
              </w:rPr>
            </w:pPr>
            <w:r w:rsidRPr="00F12E16">
              <w:rPr>
                <w:rStyle w:val="Bold"/>
                <w:color w:val="FFFFFF" w:themeColor="background1"/>
                <w:sz w:val="18"/>
                <w:szCs w:val="18"/>
              </w:rPr>
              <w:t>​DATA REQUIREMENTS  </w:t>
            </w:r>
          </w:p>
        </w:tc>
      </w:tr>
      <w:tr w:rsidR="00E2284F" w:rsidRPr="00F334F0" w14:paraId="7CDDBC78" w14:textId="77777777" w:rsidTr="00F12E16">
        <w:trPr>
          <w:trHeight w:val="300"/>
        </w:trPr>
        <w:tc>
          <w:tcPr>
            <w:tcW w:w="628" w:type="pct"/>
            <w:shd w:val="clear" w:color="auto" w:fill="D9D9D9" w:themeFill="background2" w:themeFillShade="D9"/>
            <w:hideMark/>
          </w:tcPr>
          <w:p w14:paraId="45274183"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 PRBS</w:t>
            </w:r>
            <w:r w:rsidRPr="00F12E16">
              <w:rPr>
                <w:rFonts w:eastAsia="Times New Roman" w:cs="Calibri"/>
                <w:sz w:val="18"/>
                <w:szCs w:val="18"/>
              </w:rPr>
              <w:t> </w:t>
            </w:r>
          </w:p>
        </w:tc>
        <w:tc>
          <w:tcPr>
            <w:tcW w:w="3059" w:type="pct"/>
            <w:shd w:val="clear" w:color="auto" w:fill="D9D9D9" w:themeFill="background2" w:themeFillShade="D9"/>
            <w:hideMark/>
          </w:tcPr>
          <w:p w14:paraId="0E092A44"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​•Applies a step change at the </w:t>
            </w:r>
            <w:proofErr w:type="spellStart"/>
            <w:r w:rsidRPr="00F12E16">
              <w:rPr>
                <w:rFonts w:eastAsia="Times New Roman" w:cs="Calibri"/>
                <w:sz w:val="18"/>
                <w:szCs w:val="18"/>
                <w:lang w:val="en-GB"/>
              </w:rPr>
              <w:t>dq</w:t>
            </w:r>
            <w:proofErr w:type="spellEnd"/>
            <w:r w:rsidRPr="00F12E16">
              <w:rPr>
                <w:rFonts w:eastAsia="Times New Roman" w:cs="Calibri"/>
                <w:sz w:val="18"/>
                <w:szCs w:val="18"/>
                <w:lang w:val="en-GB"/>
              </w:rPr>
              <w:t> voltage source to collect time-domain data, which is then processed to estimate the continuous-time transfer function, representing the admittance of the IBR.</w:t>
            </w:r>
            <w:r w:rsidRPr="00F12E16">
              <w:rPr>
                <w:rFonts w:eastAsia="Times New Roman" w:cs="Calibri"/>
                <w:sz w:val="18"/>
                <w:szCs w:val="18"/>
              </w:rPr>
              <w:t> </w:t>
            </w:r>
          </w:p>
          <w:p w14:paraId="10A726DB"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lastRenderedPageBreak/>
              <w:t>​•Scalability issues for large datasets due to reliance on the full covariance matrix.</w:t>
            </w:r>
            <w:r w:rsidRPr="00F12E16">
              <w:rPr>
                <w:rFonts w:eastAsia="Times New Roman" w:cs="Calibri"/>
                <w:sz w:val="18"/>
                <w:szCs w:val="18"/>
              </w:rPr>
              <w:t> </w:t>
            </w:r>
          </w:p>
        </w:tc>
        <w:tc>
          <w:tcPr>
            <w:tcW w:w="1313" w:type="pct"/>
            <w:shd w:val="clear" w:color="auto" w:fill="D9D9D9" w:themeFill="background2" w:themeFillShade="D9"/>
            <w:hideMark/>
          </w:tcPr>
          <w:p w14:paraId="778A6337"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lastRenderedPageBreak/>
              <w:t>​•100 injections are required to extract the admittance matrix.</w:t>
            </w:r>
            <w:r w:rsidRPr="00F12E16">
              <w:rPr>
                <w:rFonts w:eastAsia="Times New Roman" w:cs="Calibri"/>
                <w:sz w:val="18"/>
                <w:szCs w:val="18"/>
              </w:rPr>
              <w:t> </w:t>
            </w:r>
          </w:p>
          <w:p w14:paraId="130D3603"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​•Data (voltage and currents)</w:t>
            </w:r>
            <w:r w:rsidRPr="00F12E16">
              <w:rPr>
                <w:rFonts w:eastAsia="Times New Roman" w:cs="Calibri"/>
                <w:sz w:val="18"/>
                <w:szCs w:val="18"/>
              </w:rPr>
              <w:t> </w:t>
            </w:r>
          </w:p>
        </w:tc>
      </w:tr>
      <w:tr w:rsidR="00E2284F" w:rsidRPr="00F334F0" w14:paraId="2B0B99F7" w14:textId="77777777" w:rsidTr="00F12E16">
        <w:trPr>
          <w:trHeight w:val="1170"/>
        </w:trPr>
        <w:tc>
          <w:tcPr>
            <w:tcW w:w="628" w:type="pct"/>
            <w:hideMark/>
          </w:tcPr>
          <w:p w14:paraId="61944E50"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 SVM</w:t>
            </w:r>
            <w:r w:rsidRPr="00F12E16">
              <w:rPr>
                <w:rFonts w:eastAsia="Times New Roman" w:cs="Calibri"/>
                <w:sz w:val="18"/>
                <w:szCs w:val="18"/>
              </w:rPr>
              <w:t> </w:t>
            </w:r>
          </w:p>
        </w:tc>
        <w:tc>
          <w:tcPr>
            <w:tcW w:w="3059" w:type="pct"/>
            <w:hideMark/>
          </w:tcPr>
          <w:p w14:paraId="118D43AF"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​•Create a generalised IM for IBRs in the </w:t>
            </w:r>
            <w:proofErr w:type="spellStart"/>
            <w:r w:rsidRPr="00F12E16">
              <w:rPr>
                <w:rFonts w:eastAsia="Times New Roman" w:cs="Calibri"/>
                <w:sz w:val="18"/>
                <w:szCs w:val="18"/>
                <w:lang w:val="en-GB"/>
              </w:rPr>
              <w:t>dq</w:t>
            </w:r>
            <w:proofErr w:type="spellEnd"/>
            <w:r w:rsidRPr="00F12E16">
              <w:rPr>
                <w:rFonts w:eastAsia="Times New Roman" w:cs="Calibri"/>
                <w:sz w:val="18"/>
                <w:szCs w:val="18"/>
                <w:lang w:val="en-GB"/>
              </w:rPr>
              <w:t> reference frame.</w:t>
            </w:r>
            <w:r w:rsidRPr="00F12E16">
              <w:rPr>
                <w:rFonts w:eastAsia="Times New Roman" w:cs="Calibri"/>
                <w:sz w:val="18"/>
                <w:szCs w:val="18"/>
              </w:rPr>
              <w:t> </w:t>
            </w:r>
          </w:p>
          <w:p w14:paraId="736A4446"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​•High predictive accuracy across various operating conditions.</w:t>
            </w:r>
            <w:r w:rsidRPr="00F12E16">
              <w:rPr>
                <w:rFonts w:eastAsia="Times New Roman" w:cs="Calibri"/>
                <w:sz w:val="18"/>
                <w:szCs w:val="18"/>
              </w:rPr>
              <w:t> </w:t>
            </w:r>
          </w:p>
          <w:p w14:paraId="4ECA1802"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When parameters are inaccessible, specific IM training is necessary for accurate representation.</w:t>
            </w:r>
            <w:r w:rsidRPr="00F12E16">
              <w:rPr>
                <w:rFonts w:eastAsia="Times New Roman" w:cs="Calibri"/>
                <w:sz w:val="18"/>
                <w:szCs w:val="18"/>
              </w:rPr>
              <w:t> </w:t>
            </w:r>
          </w:p>
          <w:p w14:paraId="3A07D1D4"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​•Practical applicability is limited as vendors often withhold several parameters.</w:t>
            </w:r>
            <w:r w:rsidRPr="00F12E16">
              <w:rPr>
                <w:rFonts w:eastAsia="Times New Roman" w:cs="Calibri"/>
                <w:sz w:val="18"/>
                <w:szCs w:val="18"/>
              </w:rPr>
              <w:t> </w:t>
            </w:r>
          </w:p>
        </w:tc>
        <w:tc>
          <w:tcPr>
            <w:tcW w:w="1313" w:type="pct"/>
            <w:hideMark/>
          </w:tcPr>
          <w:p w14:paraId="59098855"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​•18 operating points for SVM training</w:t>
            </w:r>
            <w:r w:rsidRPr="00F12E16">
              <w:rPr>
                <w:rFonts w:eastAsia="Times New Roman" w:cs="Calibri"/>
                <w:sz w:val="18"/>
                <w:szCs w:val="18"/>
              </w:rPr>
              <w:t> </w:t>
            </w:r>
          </w:p>
          <w:p w14:paraId="5DC0084F"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​•Input data (voltage, active power, and reactive power) can be obtained from perturbation measurements</w:t>
            </w:r>
            <w:r w:rsidRPr="00F12E16">
              <w:rPr>
                <w:rFonts w:eastAsia="Times New Roman" w:cs="Calibri"/>
                <w:sz w:val="18"/>
                <w:szCs w:val="18"/>
              </w:rPr>
              <w:t> </w:t>
            </w:r>
          </w:p>
        </w:tc>
      </w:tr>
      <w:tr w:rsidR="00E2284F" w:rsidRPr="00F334F0" w14:paraId="262150A9" w14:textId="77777777" w:rsidTr="00F12E16">
        <w:trPr>
          <w:trHeight w:val="855"/>
        </w:trPr>
        <w:tc>
          <w:tcPr>
            <w:tcW w:w="628" w:type="pct"/>
            <w:shd w:val="clear" w:color="auto" w:fill="D9D9D9" w:themeFill="background2" w:themeFillShade="D9"/>
            <w:hideMark/>
          </w:tcPr>
          <w:p w14:paraId="771E5558"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 ERA</w:t>
            </w:r>
            <w:r w:rsidRPr="00F12E16">
              <w:rPr>
                <w:rFonts w:eastAsia="Times New Roman" w:cs="Calibri"/>
                <w:sz w:val="18"/>
                <w:szCs w:val="18"/>
              </w:rPr>
              <w:t> </w:t>
            </w:r>
          </w:p>
        </w:tc>
        <w:tc>
          <w:tcPr>
            <w:tcW w:w="3059" w:type="pct"/>
            <w:shd w:val="clear" w:color="auto" w:fill="D9D9D9" w:themeFill="background2" w:themeFillShade="D9"/>
            <w:hideMark/>
          </w:tcPr>
          <w:p w14:paraId="61BD0F25"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​•Does not require the state-space model or system equations.</w:t>
            </w:r>
            <w:r w:rsidRPr="00F12E16">
              <w:rPr>
                <w:rFonts w:eastAsia="Times New Roman" w:cs="Calibri"/>
                <w:sz w:val="18"/>
                <w:szCs w:val="18"/>
              </w:rPr>
              <w:t> </w:t>
            </w:r>
          </w:p>
          <w:p w14:paraId="2CFAFA26"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​•ERA reconstructs a discrete-time state-space model.</w:t>
            </w:r>
            <w:r w:rsidRPr="00F12E16">
              <w:rPr>
                <w:rFonts w:eastAsia="Times New Roman" w:cs="Calibri"/>
                <w:sz w:val="18"/>
                <w:szCs w:val="18"/>
              </w:rPr>
              <w:t> </w:t>
            </w:r>
          </w:p>
          <w:p w14:paraId="335B5960"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​•Provides modal and small-signal stability information.</w:t>
            </w:r>
            <w:r w:rsidRPr="00F12E16">
              <w:rPr>
                <w:rFonts w:eastAsia="Times New Roman" w:cs="Calibri"/>
                <w:sz w:val="18"/>
                <w:szCs w:val="18"/>
              </w:rPr>
              <w:t> </w:t>
            </w:r>
          </w:p>
        </w:tc>
        <w:tc>
          <w:tcPr>
            <w:tcW w:w="1313" w:type="pct"/>
            <w:shd w:val="clear" w:color="auto" w:fill="D9D9D9" w:themeFill="background2" w:themeFillShade="D9"/>
            <w:hideMark/>
          </w:tcPr>
          <w:p w14:paraId="52807BFC"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Data (</w:t>
            </w:r>
            <w:r w:rsidRPr="00F12E16">
              <w:rPr>
                <w:rFonts w:eastAsia="Times New Roman" w:cs="Calibri"/>
                <w:b/>
                <w:bCs/>
                <w:sz w:val="18"/>
                <w:szCs w:val="18"/>
                <w:lang w:val="en-GB"/>
              </w:rPr>
              <w:t>voltage and currents</w:t>
            </w:r>
            <w:r w:rsidRPr="00F12E16">
              <w:rPr>
                <w:rFonts w:eastAsia="Times New Roman" w:cs="Calibri"/>
                <w:sz w:val="18"/>
                <w:szCs w:val="18"/>
                <w:lang w:val="en-GB"/>
              </w:rPr>
              <w:t>) in the time frame from 1s to 1.98s is used for analysis. Sampling frequency is 2.5 kHz</w:t>
            </w:r>
            <w:r w:rsidRPr="00F12E16">
              <w:rPr>
                <w:rFonts w:eastAsia="Times New Roman" w:cs="Calibri"/>
                <w:sz w:val="18"/>
                <w:szCs w:val="18"/>
              </w:rPr>
              <w:t> </w:t>
            </w:r>
          </w:p>
        </w:tc>
      </w:tr>
      <w:tr w:rsidR="00E2284F" w:rsidRPr="00F334F0" w14:paraId="2B2FCFFC" w14:textId="77777777" w:rsidTr="00F12E16">
        <w:trPr>
          <w:trHeight w:val="300"/>
        </w:trPr>
        <w:tc>
          <w:tcPr>
            <w:tcW w:w="628" w:type="pct"/>
            <w:hideMark/>
          </w:tcPr>
          <w:p w14:paraId="67201C43"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 GPR</w:t>
            </w:r>
            <w:r w:rsidRPr="00F12E16">
              <w:rPr>
                <w:rFonts w:eastAsia="Times New Roman" w:cs="Calibri"/>
                <w:sz w:val="18"/>
                <w:szCs w:val="18"/>
              </w:rPr>
              <w:t> </w:t>
            </w:r>
          </w:p>
        </w:tc>
        <w:tc>
          <w:tcPr>
            <w:tcW w:w="3059" w:type="pct"/>
            <w:hideMark/>
          </w:tcPr>
          <w:p w14:paraId="55E9315F"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​•Predict impedance models in the </w:t>
            </w:r>
            <w:proofErr w:type="spellStart"/>
            <w:r w:rsidRPr="00F12E16">
              <w:rPr>
                <w:rFonts w:eastAsia="Times New Roman" w:cs="Calibri"/>
                <w:sz w:val="18"/>
                <w:szCs w:val="18"/>
                <w:lang w:val="en-GB"/>
              </w:rPr>
              <w:t>dq</w:t>
            </w:r>
            <w:proofErr w:type="spellEnd"/>
            <w:r w:rsidRPr="00F12E16">
              <w:rPr>
                <w:rFonts w:eastAsia="Times New Roman" w:cs="Calibri"/>
                <w:sz w:val="18"/>
                <w:szCs w:val="18"/>
                <w:lang w:val="en-GB"/>
              </w:rPr>
              <w:t> reference frame, achieving accurate results with a minimal dataset.</w:t>
            </w:r>
            <w:r w:rsidRPr="00F12E16">
              <w:rPr>
                <w:rFonts w:eastAsia="Times New Roman" w:cs="Calibri"/>
                <w:sz w:val="18"/>
                <w:szCs w:val="18"/>
              </w:rPr>
              <w:t> </w:t>
            </w:r>
          </w:p>
          <w:p w14:paraId="6E17ED17"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​•reducing the cost and complexity of data collection.</w:t>
            </w:r>
            <w:r w:rsidRPr="00F12E16">
              <w:rPr>
                <w:rFonts w:eastAsia="Times New Roman" w:cs="Calibri"/>
                <w:sz w:val="18"/>
                <w:szCs w:val="18"/>
              </w:rPr>
              <w:t> </w:t>
            </w:r>
          </w:p>
          <w:p w14:paraId="26EF748F"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Uses inverter operating points (P, Q, and V)</w:t>
            </w:r>
            <w:r w:rsidRPr="00F12E16">
              <w:rPr>
                <w:rFonts w:eastAsia="Times New Roman" w:cs="Calibri"/>
                <w:b/>
                <w:bCs/>
                <w:sz w:val="18"/>
                <w:szCs w:val="18"/>
                <w:lang w:val="en-GB"/>
              </w:rPr>
              <w:t> </w:t>
            </w:r>
            <w:r w:rsidRPr="00F12E16">
              <w:rPr>
                <w:rFonts w:eastAsia="Times New Roman" w:cs="Calibri"/>
                <w:sz w:val="18"/>
                <w:szCs w:val="18"/>
                <w:lang w:val="en-GB"/>
              </w:rPr>
              <w:t>as inputs to predict output impedances.</w:t>
            </w:r>
            <w:r w:rsidRPr="00F12E16">
              <w:rPr>
                <w:rFonts w:eastAsia="Times New Roman" w:cs="Calibri"/>
                <w:sz w:val="18"/>
                <w:szCs w:val="18"/>
              </w:rPr>
              <w:t> </w:t>
            </w:r>
          </w:p>
          <w:p w14:paraId="4B574653"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​•A trade-off between the accuracy and data size is required.</w:t>
            </w:r>
            <w:r w:rsidRPr="00F12E16">
              <w:rPr>
                <w:rFonts w:eastAsia="Times New Roman" w:cs="Calibri"/>
                <w:sz w:val="18"/>
                <w:szCs w:val="18"/>
              </w:rPr>
              <w:t> </w:t>
            </w:r>
          </w:p>
          <w:p w14:paraId="6E31B6B7"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w:t>
            </w:r>
            <w:r w:rsidRPr="00F12E16">
              <w:rPr>
                <w:rFonts w:eastAsia="Times New Roman" w:cs="Calibri"/>
                <w:sz w:val="18"/>
                <w:szCs w:val="18"/>
              </w:rPr>
              <w:t> </w:t>
            </w:r>
          </w:p>
        </w:tc>
        <w:tc>
          <w:tcPr>
            <w:tcW w:w="1313" w:type="pct"/>
            <w:hideMark/>
          </w:tcPr>
          <w:p w14:paraId="043B7F26"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​•30 uniformly distributed operating points of active and reactive power</w:t>
            </w:r>
            <w:r w:rsidRPr="00F12E16">
              <w:rPr>
                <w:rFonts w:eastAsia="Times New Roman" w:cs="Calibri"/>
                <w:sz w:val="18"/>
                <w:szCs w:val="18"/>
              </w:rPr>
              <w:t> </w:t>
            </w:r>
          </w:p>
          <w:p w14:paraId="7989813C"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w:t>
            </w:r>
            <w:r w:rsidRPr="00F12E16">
              <w:rPr>
                <w:rFonts w:eastAsia="Times New Roman" w:cs="Calibri"/>
                <w:sz w:val="18"/>
                <w:szCs w:val="18"/>
              </w:rPr>
              <w:t> </w:t>
            </w:r>
          </w:p>
        </w:tc>
      </w:tr>
      <w:tr w:rsidR="00E2284F" w:rsidRPr="00F334F0" w14:paraId="5F85148A" w14:textId="77777777" w:rsidTr="00F12E16">
        <w:trPr>
          <w:trHeight w:val="300"/>
        </w:trPr>
        <w:tc>
          <w:tcPr>
            <w:tcW w:w="628" w:type="pct"/>
            <w:shd w:val="clear" w:color="auto" w:fill="D9D9D9" w:themeFill="background2" w:themeFillShade="D9"/>
            <w:hideMark/>
          </w:tcPr>
          <w:p w14:paraId="644AD3AE"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​ANN, CNN, RNN, FNN </w:t>
            </w:r>
            <w:r w:rsidRPr="00F12E16">
              <w:rPr>
                <w:rFonts w:eastAsia="Times New Roman" w:cs="Calibri"/>
                <w:sz w:val="18"/>
                <w:szCs w:val="18"/>
              </w:rPr>
              <w:t> </w:t>
            </w:r>
          </w:p>
        </w:tc>
        <w:tc>
          <w:tcPr>
            <w:tcW w:w="3059" w:type="pct"/>
            <w:shd w:val="clear" w:color="auto" w:fill="D9D9D9" w:themeFill="background2" w:themeFillShade="D9"/>
            <w:hideMark/>
          </w:tcPr>
          <w:p w14:paraId="25A7B1F3" w14:textId="67BAB559"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xml:space="preserve">​•These </w:t>
            </w:r>
            <w:r w:rsidRPr="00F12E16">
              <w:rPr>
                <w:rFonts w:eastAsia="Times New Roman" w:cs="Calibri"/>
                <w:color w:val="000000" w:themeColor="text1"/>
                <w:sz w:val="18"/>
                <w:szCs w:val="18"/>
                <w:lang w:val="en-GB"/>
              </w:rPr>
              <w:t xml:space="preserve">machine learning-based models </w:t>
            </w:r>
            <w:r w:rsidRPr="00F12E16">
              <w:rPr>
                <w:rFonts w:eastAsia="Times New Roman" w:cs="Calibri"/>
                <w:sz w:val="18"/>
                <w:szCs w:val="18"/>
                <w:lang w:val="en-GB"/>
              </w:rPr>
              <w:t>typically utilise bus voltage data with low sampling rates and long sampling windows</w:t>
            </w:r>
            <w:r w:rsidRPr="00F12E16">
              <w:rPr>
                <w:rFonts w:eastAsia="Times New Roman" w:cs="Calibri"/>
                <w:sz w:val="18"/>
                <w:szCs w:val="18"/>
              </w:rPr>
              <w:t> </w:t>
            </w:r>
          </w:p>
          <w:p w14:paraId="2D6274CC"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​•Overfitting risk requires a large amount of dataset.</w:t>
            </w:r>
            <w:r w:rsidRPr="00F12E16">
              <w:rPr>
                <w:rFonts w:eastAsia="Times New Roman" w:cs="Calibri"/>
                <w:sz w:val="18"/>
                <w:szCs w:val="18"/>
              </w:rPr>
              <w:t> </w:t>
            </w:r>
          </w:p>
          <w:p w14:paraId="35276E75"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w:t>
            </w:r>
            <w:r w:rsidRPr="00F12E16">
              <w:rPr>
                <w:rFonts w:eastAsia="Times New Roman" w:cs="Calibri"/>
                <w:sz w:val="18"/>
                <w:szCs w:val="18"/>
              </w:rPr>
              <w:t> </w:t>
            </w:r>
          </w:p>
        </w:tc>
        <w:tc>
          <w:tcPr>
            <w:tcW w:w="1313" w:type="pct"/>
            <w:shd w:val="clear" w:color="auto" w:fill="D9D9D9" w:themeFill="background2" w:themeFillShade="D9"/>
            <w:hideMark/>
          </w:tcPr>
          <w:p w14:paraId="44C548C2"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​•Voltage magnitude and phase angle, sampled at 100 Hz</w:t>
            </w:r>
            <w:r w:rsidRPr="00F12E16">
              <w:rPr>
                <w:rFonts w:eastAsia="Times New Roman" w:cs="Calibri"/>
                <w:sz w:val="18"/>
                <w:szCs w:val="18"/>
              </w:rPr>
              <w:t> </w:t>
            </w:r>
          </w:p>
        </w:tc>
      </w:tr>
      <w:tr w:rsidR="00E2284F" w:rsidRPr="00F334F0" w14:paraId="49338E27" w14:textId="77777777" w:rsidTr="00F12E16">
        <w:trPr>
          <w:trHeight w:val="300"/>
        </w:trPr>
        <w:tc>
          <w:tcPr>
            <w:tcW w:w="628" w:type="pct"/>
            <w:hideMark/>
          </w:tcPr>
          <w:p w14:paraId="0F71D8B7"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b/>
                <w:bCs/>
                <w:sz w:val="18"/>
                <w:szCs w:val="18"/>
                <w:lang w:val="en-GB"/>
              </w:rPr>
              <w:t>​Hybrid CRNN </w:t>
            </w:r>
            <w:r w:rsidRPr="00F12E16">
              <w:rPr>
                <w:rFonts w:eastAsia="Times New Roman" w:cs="Calibri"/>
                <w:sz w:val="18"/>
                <w:szCs w:val="18"/>
              </w:rPr>
              <w:t> </w:t>
            </w:r>
          </w:p>
        </w:tc>
        <w:tc>
          <w:tcPr>
            <w:tcW w:w="3059" w:type="pct"/>
            <w:hideMark/>
          </w:tcPr>
          <w:p w14:paraId="1D938B25"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​•CRNN plays a complementary role to conventional simulation-based analysis</w:t>
            </w:r>
            <w:r w:rsidRPr="00F12E16">
              <w:rPr>
                <w:rFonts w:eastAsia="Times New Roman" w:cs="Calibri"/>
                <w:sz w:val="18"/>
                <w:szCs w:val="18"/>
              </w:rPr>
              <w:t> </w:t>
            </w:r>
          </w:p>
          <w:p w14:paraId="404DD9CA"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​•The CRNN mitigates the challenge of prohibitive computational cost of by learning temporal signatures of stable and unstable trajectories, thereby enabling generalization to unseen operating points in the ternary space</w:t>
            </w:r>
            <w:r w:rsidRPr="00F12E16">
              <w:rPr>
                <w:rFonts w:eastAsia="Times New Roman" w:cs="Calibri"/>
                <w:sz w:val="18"/>
                <w:szCs w:val="18"/>
              </w:rPr>
              <w:t> </w:t>
            </w:r>
          </w:p>
          <w:p w14:paraId="05A901F0"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​•This predictive capability reduces the need for repeated simulation of every candidate scenario</w:t>
            </w:r>
            <w:r w:rsidRPr="00F12E16">
              <w:rPr>
                <w:rFonts w:eastAsia="Times New Roman" w:cs="Calibri"/>
                <w:sz w:val="18"/>
                <w:szCs w:val="18"/>
              </w:rPr>
              <w:t> </w:t>
            </w:r>
          </w:p>
          <w:p w14:paraId="3FBC08B6"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However, the model requires large number of data and may suffer from overfitting risk.</w:t>
            </w:r>
            <w:r w:rsidRPr="00F12E16">
              <w:rPr>
                <w:rFonts w:eastAsia="Times New Roman" w:cs="Calibri"/>
                <w:sz w:val="18"/>
                <w:szCs w:val="18"/>
              </w:rPr>
              <w:t> </w:t>
            </w:r>
          </w:p>
        </w:tc>
        <w:tc>
          <w:tcPr>
            <w:tcW w:w="1313" w:type="pct"/>
            <w:hideMark/>
          </w:tcPr>
          <w:p w14:paraId="2BA7149F"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 </w:t>
            </w:r>
            <w:r w:rsidRPr="00F12E16">
              <w:rPr>
                <w:rFonts w:eastAsia="Times New Roman" w:cs="Calibri"/>
                <w:sz w:val="18"/>
                <w:szCs w:val="18"/>
              </w:rPr>
              <w:t> </w:t>
            </w:r>
          </w:p>
          <w:p w14:paraId="43CEDDD2"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​•4,851 generation mix scenarios</w:t>
            </w:r>
            <w:r w:rsidRPr="00F12E16">
              <w:rPr>
                <w:rFonts w:eastAsia="Times New Roman" w:cs="Calibri"/>
                <w:sz w:val="18"/>
                <w:szCs w:val="18"/>
              </w:rPr>
              <w:t> </w:t>
            </w:r>
          </w:p>
          <w:p w14:paraId="722094C2"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​•The total 60000-time samples per feature (voltages magnitude, phase angle, and frequency)</w:t>
            </w:r>
            <w:r w:rsidRPr="00F12E16">
              <w:rPr>
                <w:rFonts w:eastAsia="Times New Roman" w:cs="Calibri"/>
                <w:sz w:val="18"/>
                <w:szCs w:val="18"/>
              </w:rPr>
              <w:t> </w:t>
            </w:r>
          </w:p>
          <w:p w14:paraId="66F7BDA7" w14:textId="77777777" w:rsidR="00E2284F" w:rsidRPr="00F12E16" w:rsidRDefault="00E2284F" w:rsidP="00CD4F3A">
            <w:pPr>
              <w:spacing w:after="0"/>
              <w:textAlignment w:val="baseline"/>
              <w:rPr>
                <w:rFonts w:ascii="Times New Roman" w:eastAsia="Times New Roman" w:hAnsi="Times New Roman"/>
                <w:sz w:val="18"/>
                <w:szCs w:val="18"/>
              </w:rPr>
            </w:pPr>
            <w:r w:rsidRPr="00F12E16">
              <w:rPr>
                <w:rFonts w:eastAsia="Times New Roman" w:cs="Calibri"/>
                <w:sz w:val="18"/>
                <w:szCs w:val="18"/>
                <w:lang w:val="en-GB"/>
              </w:rPr>
              <w:t>​</w:t>
            </w:r>
            <w:r w:rsidRPr="00F12E16">
              <w:rPr>
                <w:rFonts w:eastAsia="Times New Roman" w:cs="Calibri"/>
                <w:sz w:val="18"/>
                <w:szCs w:val="18"/>
              </w:rPr>
              <w:t> </w:t>
            </w:r>
          </w:p>
        </w:tc>
      </w:tr>
    </w:tbl>
    <w:p w14:paraId="32DC232B" w14:textId="0396CE79" w:rsidR="00E2284F" w:rsidRDefault="00E2284F" w:rsidP="00B46898">
      <w:pPr>
        <w:spacing w:after="0"/>
        <w:textAlignment w:val="baseline"/>
        <w:rPr>
          <w:rFonts w:eastAsia="Times New Roman" w:cs="Calibri"/>
          <w:color w:val="auto"/>
          <w:sz w:val="24"/>
          <w:szCs w:val="24"/>
        </w:rPr>
      </w:pPr>
      <w:r w:rsidRPr="00E27D3B">
        <w:rPr>
          <w:rFonts w:eastAsia="Times New Roman" w:cs="Calibri"/>
          <w:color w:val="auto"/>
          <w:sz w:val="24"/>
          <w:szCs w:val="24"/>
        </w:rPr>
        <w:t xml:space="preserve">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_Ref223642165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[45]</w:t>
      </w:r>
      <w:r w:rsidRPr="00E27D3B">
        <w:rPr>
          <w:rFonts w:eastAsia="Times New Roman" w:cs="Calibri"/>
          <w:color w:val="auto"/>
          <w:sz w:val="24"/>
          <w:szCs w:val="24"/>
        </w:rPr>
        <w:fldChar w:fldCharType="end"/>
      </w:r>
      <w:r w:rsidRPr="00E27D3B">
        <w:rPr>
          <w:rFonts w:eastAsia="Times New Roman" w:cs="Calibri"/>
          <w:color w:val="auto"/>
          <w:sz w:val="24"/>
          <w:szCs w:val="24"/>
        </w:rPr>
        <w:t xml:space="preserve">, a physics-informed neural network (PINN)–based data-driven approach was proposed to capture both the steady-state and dynamic behaviour of power systems using time-domain measurements, including voltage phase angle and frequency at the point of common coupling (PCC). However, the model was limited to estimating system outputs and could not directly determine eigenvalues or assess system stability. A data-driven hybrid model was introduced in </w:t>
      </w:r>
      <w:r w:rsidRPr="00E27D3B">
        <w:rPr>
          <w:rFonts w:eastAsia="Times New Roman" w:cs="Calibri"/>
          <w:color w:val="auto"/>
          <w:sz w:val="24"/>
          <w:szCs w:val="24"/>
        </w:rPr>
        <w:fldChar w:fldCharType="begin"/>
      </w:r>
      <w:r w:rsidRPr="00E27D3B">
        <w:rPr>
          <w:rFonts w:eastAsia="Times New Roman" w:cs="Calibri"/>
          <w:color w:val="auto"/>
          <w:sz w:val="24"/>
          <w:szCs w:val="24"/>
        </w:rPr>
        <w:instrText xml:space="preserve"> REF _Ref223640809 \n \h  \* MERGEFORMAT </w:instrText>
      </w:r>
      <w:r w:rsidRPr="00E27D3B">
        <w:rPr>
          <w:rFonts w:eastAsia="Times New Roman" w:cs="Calibri"/>
          <w:color w:val="auto"/>
          <w:sz w:val="24"/>
          <w:szCs w:val="24"/>
        </w:rPr>
      </w:r>
      <w:r w:rsidRPr="00E27D3B">
        <w:rPr>
          <w:rFonts w:eastAsia="Times New Roman" w:cs="Calibri"/>
          <w:color w:val="auto"/>
          <w:sz w:val="24"/>
          <w:szCs w:val="24"/>
        </w:rPr>
        <w:fldChar w:fldCharType="separate"/>
      </w:r>
      <w:r w:rsidR="00753DAF">
        <w:rPr>
          <w:rFonts w:eastAsia="Times New Roman" w:cs="Calibri"/>
          <w:color w:val="auto"/>
          <w:sz w:val="24"/>
          <w:szCs w:val="24"/>
          <w:cs/>
        </w:rPr>
        <w:t>‎</w:t>
      </w:r>
      <w:r w:rsidR="00753DAF">
        <w:rPr>
          <w:rFonts w:eastAsia="Times New Roman" w:cs="Calibri"/>
          <w:color w:val="auto"/>
          <w:sz w:val="24"/>
          <w:szCs w:val="24"/>
        </w:rPr>
        <w:t>[46]</w:t>
      </w:r>
      <w:r w:rsidRPr="00E27D3B">
        <w:rPr>
          <w:rFonts w:eastAsia="Times New Roman" w:cs="Calibri"/>
          <w:color w:val="auto"/>
          <w:sz w:val="24"/>
          <w:szCs w:val="24"/>
        </w:rPr>
        <w:fldChar w:fldCharType="end"/>
      </w:r>
      <w:r w:rsidRPr="00E27D3B">
        <w:rPr>
          <w:rFonts w:eastAsia="Times New Roman" w:cs="Calibri"/>
          <w:color w:val="auto"/>
          <w:sz w:val="24"/>
          <w:szCs w:val="24"/>
        </w:rPr>
        <w:t>, employing a temporal convolutional neural network to identify high-frequency switching states of power electronic devices and the operational status of renewable energy units in AC/DC power systems under varying weather conditions and other operating conditions. Validation of the model was performed using time-domain responses of DC voltage as well as active and reactive power. Nonetheless, the model did not incorporate stability assessment based on its predicted outputs.</w:t>
      </w:r>
    </w:p>
    <w:p w14:paraId="423DE7B6" w14:textId="77777777" w:rsidR="00E2284F" w:rsidRPr="00547C88" w:rsidRDefault="00E2284F" w:rsidP="00CD4F3A">
      <w:pPr>
        <w:pStyle w:val="ListParagraph0"/>
        <w:spacing w:after="0" w:line="240" w:lineRule="auto"/>
        <w:ind w:left="0"/>
        <w:textAlignment w:val="baseline"/>
        <w:rPr>
          <w:rFonts w:eastAsia="Times New Roman" w:cs="Calibri"/>
          <w:color w:val="000000" w:themeColor="text1"/>
        </w:rPr>
      </w:pPr>
      <w:bookmarkStart w:id="34" w:name="_Ref230098827"/>
      <w:r w:rsidRPr="00547C88">
        <w:rPr>
          <w:rFonts w:eastAsia="Times New Roman" w:cs="Calibri"/>
          <w:color w:val="000000" w:themeColor="text1"/>
        </w:rPr>
        <w:t xml:space="preserve">Conventional eigenvalue analysis (white-box model), widely used in traditional power systems, requires full knowledge of the system’s control architecture and parameter values, which are often unavailable in complex inverter-dominated systems due to vendor-specific control structures and proprietary settings. In contrast, data-driven (black-box model) impedance </w:t>
      </w:r>
      <w:r w:rsidRPr="00547C88">
        <w:rPr>
          <w:rFonts w:eastAsia="Times New Roman" w:cs="Calibri"/>
          <w:color w:val="000000" w:themeColor="text1"/>
        </w:rPr>
        <w:lastRenderedPageBreak/>
        <w:t>methods have emerged as a promising alternative. To overcome the limitations of white-box modelling, this project proposes a data-driven time-domain methodology (DDTD) combining Gaussian process regression (GPR) with the eigensystem realization algorithm (ERA) for small-signal stability assessment of power systems integrating grid-forming inverters.</w:t>
      </w:r>
    </w:p>
    <w:p w14:paraId="7C2DEE8D" w14:textId="35452CEA" w:rsidR="00E2284F" w:rsidRPr="00726D6A" w:rsidRDefault="00E2284F" w:rsidP="00CD4F3A">
      <w:pPr>
        <w:spacing w:after="0"/>
        <w:textAlignment w:val="baseline"/>
        <w:rPr>
          <w:rFonts w:eastAsia="Times New Roman" w:cs="Calibri"/>
          <w:color w:val="000000" w:themeColor="text1"/>
          <w:sz w:val="24"/>
          <w:szCs w:val="24"/>
        </w:rPr>
      </w:pPr>
      <w:r w:rsidRPr="00547C88">
        <w:rPr>
          <w:rFonts w:eastAsia="Times New Roman" w:cs="Calibri"/>
          <w:color w:val="000000" w:themeColor="text1"/>
          <w:sz w:val="24"/>
          <w:szCs w:val="24"/>
        </w:rPr>
        <w:t xml:space="preserve">The proposed GPR+ERA-based data-driven time-domain (DDTD) framework, which will be presented in </w:t>
      </w:r>
      <w:proofErr w:type="gramStart"/>
      <w:r w:rsidRPr="00547C88">
        <w:rPr>
          <w:rFonts w:eastAsia="Times New Roman" w:cs="Calibri"/>
          <w:color w:val="000000" w:themeColor="text1"/>
          <w:sz w:val="24"/>
          <w:szCs w:val="24"/>
        </w:rPr>
        <w:t>details</w:t>
      </w:r>
      <w:proofErr w:type="gramEnd"/>
      <w:r w:rsidRPr="00547C88">
        <w:rPr>
          <w:rFonts w:eastAsia="Times New Roman" w:cs="Calibri"/>
          <w:color w:val="000000" w:themeColor="text1"/>
          <w:sz w:val="24"/>
          <w:szCs w:val="24"/>
        </w:rPr>
        <w:t xml:space="preserve"> later in this section, is primarily intended for small-signal stability assessment of grid-forming inverter systems in scenarios where detailed dynamic models or controller information are unavailable or cannot be shared. By extracting system dynamics </w:t>
      </w:r>
      <w:r w:rsidR="00816252">
        <w:rPr>
          <w:rFonts w:eastAsia="Times New Roman" w:cs="Calibri"/>
          <w:color w:val="000000" w:themeColor="text1"/>
          <w:sz w:val="24"/>
          <w:szCs w:val="24"/>
        </w:rPr>
        <w:t>(</w:t>
      </w:r>
      <w:r w:rsidR="00816252" w:rsidRPr="00816252">
        <w:rPr>
          <w:rFonts w:eastAsia="Times New Roman" w:cs="Calibri"/>
          <w:color w:val="000000" w:themeColor="text1"/>
          <w:sz w:val="24"/>
          <w:szCs w:val="24"/>
        </w:rPr>
        <w:t>eigenvalues</w:t>
      </w:r>
      <w:r w:rsidR="00816252">
        <w:rPr>
          <w:rFonts w:eastAsia="Times New Roman" w:cs="Calibri"/>
          <w:color w:val="000000" w:themeColor="text1"/>
          <w:sz w:val="24"/>
          <w:szCs w:val="24"/>
        </w:rPr>
        <w:t xml:space="preserve">) </w:t>
      </w:r>
      <w:r w:rsidRPr="00547C88">
        <w:rPr>
          <w:rFonts w:eastAsia="Times New Roman" w:cs="Calibri"/>
          <w:color w:val="000000" w:themeColor="text1"/>
          <w:sz w:val="24"/>
          <w:szCs w:val="24"/>
        </w:rPr>
        <w:t>directly from time-domain responses, the method enables black-box identification of dominant modes. In addition, the integration of Gaussian Process Regression allows rapid prediction of eigenvalue trajectories across a range of operating conditions, supporting efficient stability screening. While not intended to fully replace conventional model-based modal analysis, the proposed approach complements it by providing a scalable and data-driven alternative when analytical models are difficult to obtain or validate.</w:t>
      </w:r>
    </w:p>
    <w:p w14:paraId="1F859885" w14:textId="77777777" w:rsidR="00E2284F" w:rsidRPr="009B68EA" w:rsidRDefault="00E2284F" w:rsidP="00CD4F3A">
      <w:pPr>
        <w:pStyle w:val="Heading2"/>
        <w:numPr>
          <w:ilvl w:val="0"/>
          <w:numId w:val="52"/>
        </w:numPr>
        <w:ind w:left="0" w:firstLine="0"/>
      </w:pPr>
      <w:bookmarkStart w:id="35" w:name="_Toc233734299"/>
      <w:r w:rsidRPr="009B68EA">
        <w:t>Impact of Different Voltage Control Strategies on Small-Signal Stability of Grid Forming Inverters</w:t>
      </w:r>
      <w:bookmarkEnd w:id="34"/>
      <w:bookmarkEnd w:id="35"/>
    </w:p>
    <w:p w14:paraId="6338F5BD" w14:textId="5FDA509C" w:rsidR="00E2284F" w:rsidRPr="00E27D3B" w:rsidRDefault="00E2284F" w:rsidP="00476993">
      <w:pPr>
        <w:pStyle w:val="BodyText"/>
        <w:spacing w:after="0"/>
      </w:pPr>
      <w:r w:rsidRPr="00E27D3B">
        <w:t xml:space="preserve">Grid-forming inverters (GFMIs) have emerged as vital technologies in modern power systems, enhancing stability and resilience through voltage regulation, synthetic inertia emulation, and frequency support. Therefore, understanding how control strategies affect their dynamic performance and stability is essential. The research team has implemented and evaluated different voltage control strategies of FVC, PVC, and AVR for grid-forming inverters. Small-signal stability analyses are conducted across very weak, weak, and strong grids </w:t>
      </w:r>
      <w:r w:rsidRPr="00E27D3B">
        <w:fldChar w:fldCharType="begin"/>
      </w:r>
      <w:r w:rsidRPr="00E27D3B">
        <w:instrText xml:space="preserve"> REF _Ref224033116 \n \h  \* MERGEFORMAT </w:instrText>
      </w:r>
      <w:r w:rsidRPr="00E27D3B">
        <w:fldChar w:fldCharType="separate"/>
      </w:r>
      <w:r w:rsidR="00753DAF">
        <w:rPr>
          <w:cs/>
        </w:rPr>
        <w:t>‎</w:t>
      </w:r>
      <w:r w:rsidR="00753DAF">
        <w:t>[47]</w:t>
      </w:r>
      <w:r w:rsidRPr="00E27D3B">
        <w:fldChar w:fldCharType="end"/>
      </w:r>
      <w:r w:rsidRPr="00E27D3B">
        <w:t xml:space="preserve">.  The results provide clear insights into the relative stability characteristics of these control strategies, with AVR exhibiting the lowest stability margins, as demonstrated by the Nyquist analysis. </w:t>
      </w:r>
    </w:p>
    <w:p w14:paraId="1B38422F" w14:textId="77777777" w:rsidR="00E2284F" w:rsidRPr="00E27D3B" w:rsidRDefault="00E2284F" w:rsidP="00B46898">
      <w:pPr>
        <w:pStyle w:val="BodyText"/>
        <w:spacing w:after="0"/>
      </w:pPr>
      <w:r w:rsidRPr="00E27D3B">
        <w:t>This section examines three voltage control methods for maintaining fixed PCC voltage: fixed voltage control (FVC), primary voltage control (PVC), and automatic voltage regulation (AVR). FVC sets a constant direct-axis voltage reference without a primary loop. PVC uses a proportional-integral controller based on the voltage magnitude error. AVR combines voltage regulation with reactive power control, adjusting the voltage reference via an integral controller. A comprehensive study using frequency-domain analysis (Bode and Nyquist plots) and EMT time-domain simulations in MATLAB/Simulink is presented. Results show all methods maintain comparable stability under very weak and weak grids but diverge as grid strength increases. Specifically, AVR shows reduced stability margins and low frequency oscillations under strong grid conditions, indicating robustness challenges. For practical use, FVC offers the highest stability across grid strengths, followed by PVC, with AVR showing reduced robustness at high short-circuit ratios (SCR).</w:t>
      </w:r>
    </w:p>
    <w:p w14:paraId="584FB57A" w14:textId="4AFBDFD9" w:rsidR="00E2284F" w:rsidRPr="00E27D3B" w:rsidRDefault="00E2284F" w:rsidP="00B46898">
      <w:pPr>
        <w:pStyle w:val="BodyText"/>
        <w:spacing w:after="0"/>
      </w:pPr>
      <w:r w:rsidRPr="00E27D3B">
        <w:fldChar w:fldCharType="begin"/>
      </w:r>
      <w:r w:rsidRPr="00E27D3B">
        <w:instrText xml:space="preserve"> REF _Ref223643940 \h  \* MERGEFORMAT </w:instrText>
      </w:r>
      <w:r w:rsidRPr="00E27D3B">
        <w:fldChar w:fldCharType="separate"/>
      </w:r>
      <w:r w:rsidR="00753DAF">
        <w:t xml:space="preserve">Figure </w:t>
      </w:r>
      <w:r w:rsidR="00753DAF">
        <w:rPr>
          <w:noProof/>
        </w:rPr>
        <w:t>3</w:t>
      </w:r>
      <w:r w:rsidRPr="00E27D3B">
        <w:fldChar w:fldCharType="end"/>
      </w:r>
      <w:r w:rsidRPr="00E27D3B">
        <w:t xml:space="preserve"> presents the configuration of a VSG-based GFMI used in this study. The power stage comprises a DC energy source, power semiconductor switches forming the inverter bridge, an output LC filter, and the grid represented by its Thevenin equivalent circuit, consisting of the grid voltage source (vg) in series with the equivalent grid impedance. As depicted in </w:t>
      </w:r>
      <w:r w:rsidRPr="00E27D3B">
        <w:fldChar w:fldCharType="begin"/>
      </w:r>
      <w:r w:rsidRPr="00E27D3B">
        <w:instrText xml:space="preserve"> REF _Ref223643940 \h  \* MERGEFORMAT </w:instrText>
      </w:r>
      <w:r w:rsidRPr="00E27D3B">
        <w:fldChar w:fldCharType="separate"/>
      </w:r>
      <w:r w:rsidR="00753DAF">
        <w:t xml:space="preserve">Figure </w:t>
      </w:r>
      <w:r w:rsidR="00753DAF">
        <w:rPr>
          <w:noProof/>
        </w:rPr>
        <w:t>3</w:t>
      </w:r>
      <w:r w:rsidRPr="00E27D3B">
        <w:fldChar w:fldCharType="end"/>
      </w:r>
      <w:r w:rsidRPr="00E27D3B">
        <w:t xml:space="preserve">, the GFMI employs a cascaded control architecture consisted of multiple control loops: an inner current control loop, a voltage control loop, and an outer primary control loop. The current control loop regulates the inductor current to limit over-current stress on the semiconductor switches and filter </w:t>
      </w:r>
      <w:r w:rsidRPr="00E27D3B">
        <w:lastRenderedPageBreak/>
        <w:t>inductance, whereas the voltage control loop maintains the capacitor voltage with inacceptable limits to prevent over-voltage. The outer VSG-based primary control loop generates the voltage and frequency references required for regulating the GFMI output power in accordance with predefined active and reactive power (or voltage) setpoints.</w:t>
      </w:r>
    </w:p>
    <w:p w14:paraId="04F1F033" w14:textId="77777777" w:rsidR="00E2284F" w:rsidRPr="00E27D3B" w:rsidRDefault="00E2284F" w:rsidP="00CD4F3A">
      <w:pPr>
        <w:pStyle w:val="BodyText"/>
        <w:keepNext/>
        <w:spacing w:line="240" w:lineRule="auto"/>
      </w:pPr>
      <w:r w:rsidRPr="00E27D3B">
        <w:rPr>
          <w:noProof/>
        </w:rPr>
        <w:drawing>
          <wp:inline distT="0" distB="0" distL="0" distR="0" wp14:anchorId="630703A2" wp14:editId="1F234B79">
            <wp:extent cx="6120130" cy="3903980"/>
            <wp:effectExtent l="0" t="0" r="0" b="1270"/>
            <wp:docPr id="1845336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36335" name=""/>
                    <pic:cNvPicPr/>
                  </pic:nvPicPr>
                  <pic:blipFill>
                    <a:blip r:embed="rId26"/>
                    <a:stretch>
                      <a:fillRect/>
                    </a:stretch>
                  </pic:blipFill>
                  <pic:spPr>
                    <a:xfrm>
                      <a:off x="0" y="0"/>
                      <a:ext cx="6120130" cy="3903980"/>
                    </a:xfrm>
                    <a:prstGeom prst="rect">
                      <a:avLst/>
                    </a:prstGeom>
                  </pic:spPr>
                </pic:pic>
              </a:graphicData>
            </a:graphic>
          </wp:inline>
        </w:drawing>
      </w:r>
    </w:p>
    <w:p w14:paraId="50989710" w14:textId="2DBB8DC5" w:rsidR="00E2284F" w:rsidRPr="00E27D3B" w:rsidRDefault="00E2284F" w:rsidP="00CD4F3A">
      <w:pPr>
        <w:pStyle w:val="Caption"/>
        <w:spacing w:line="240" w:lineRule="auto"/>
      </w:pPr>
      <w:bookmarkStart w:id="36" w:name="_Ref223643940"/>
      <w:bookmarkStart w:id="37" w:name="_Toc229777562"/>
      <w:bookmarkStart w:id="38" w:name="_Toc233735009"/>
      <w:r>
        <w:t xml:space="preserve">Figure </w:t>
      </w:r>
      <w:r w:rsidRPr="60762895">
        <w:fldChar w:fldCharType="begin"/>
      </w:r>
      <w:r>
        <w:instrText xml:space="preserve"> SEQ Figure \* ARABIC </w:instrText>
      </w:r>
      <w:r w:rsidRPr="60762895">
        <w:fldChar w:fldCharType="separate"/>
      </w:r>
      <w:r w:rsidR="00A85006">
        <w:rPr>
          <w:noProof/>
        </w:rPr>
        <w:t>3</w:t>
      </w:r>
      <w:r w:rsidRPr="60762895">
        <w:rPr>
          <w:noProof/>
        </w:rPr>
        <w:fldChar w:fldCharType="end"/>
      </w:r>
      <w:bookmarkEnd w:id="36"/>
      <w:r>
        <w:t xml:space="preserve">: Block diagram of the VSG-based GFMI implementing three different voltage control strategies under investigation: </w:t>
      </w:r>
      <w:r w:rsidRPr="00547C88">
        <w:t>Fixed</w:t>
      </w:r>
      <w:r>
        <w:t xml:space="preserve"> voltage control (FVC), primary voltage control (PVC), and automatic voltage regulation (AVR) </w:t>
      </w:r>
      <w:r>
        <w:fldChar w:fldCharType="begin"/>
      </w:r>
      <w:r>
        <w:instrText xml:space="preserve"> REF _Ref224033116 \n \h  \* MERGEFORMAT </w:instrText>
      </w:r>
      <w:r>
        <w:fldChar w:fldCharType="separate"/>
      </w:r>
      <w:r w:rsidR="00753DAF">
        <w:rPr>
          <w:cs/>
        </w:rPr>
        <w:t>‎</w:t>
      </w:r>
      <w:r w:rsidR="00753DAF">
        <w:t>[47]</w:t>
      </w:r>
      <w:r>
        <w:fldChar w:fldCharType="end"/>
      </w:r>
      <w:r>
        <w:t>.</w:t>
      </w:r>
      <w:bookmarkEnd w:id="37"/>
      <w:bookmarkEnd w:id="38"/>
    </w:p>
    <w:p w14:paraId="08E8260B" w14:textId="5DCFD30D" w:rsidR="00E2284F" w:rsidRDefault="00E2284F" w:rsidP="007A097E">
      <w:pPr>
        <w:pStyle w:val="BodyText"/>
        <w:spacing w:after="0"/>
        <w:rPr>
          <w:rFonts w:eastAsia="Times New Roman" w:cs="Calibri"/>
          <w:szCs w:val="24"/>
        </w:rPr>
      </w:pPr>
      <w:r w:rsidRPr="00E27D3B">
        <w:t xml:space="preserve">The GFMI system illustrated in </w:t>
      </w:r>
      <w:r w:rsidRPr="00E27D3B">
        <w:fldChar w:fldCharType="begin"/>
      </w:r>
      <w:r w:rsidRPr="00E27D3B">
        <w:instrText xml:space="preserve"> REF _Ref223643940 \h  \* MERGEFORMAT </w:instrText>
      </w:r>
      <w:r w:rsidRPr="00E27D3B">
        <w:fldChar w:fldCharType="separate"/>
      </w:r>
      <w:r w:rsidR="00753DAF">
        <w:t xml:space="preserve">Figure </w:t>
      </w:r>
      <w:r w:rsidR="00753DAF">
        <w:rPr>
          <w:noProof/>
        </w:rPr>
        <w:t>3</w:t>
      </w:r>
      <w:r w:rsidRPr="00E27D3B">
        <w:fldChar w:fldCharType="end"/>
      </w:r>
      <w:r w:rsidRPr="00E27D3B">
        <w:t xml:space="preserve"> is investigated in both the frequency and time domains to assess the impact of the three voltage control strategies: FVC, PVC, and AVR. The system parameters used in the study are listed in </w:t>
      </w:r>
      <w:r w:rsidRPr="00E27D3B">
        <w:fldChar w:fldCharType="begin"/>
      </w:r>
      <w:r w:rsidRPr="00E27D3B">
        <w:instrText xml:space="preserve"> REF _Ref224033475 \h  \* MERGEFORMAT </w:instrText>
      </w:r>
      <w:r w:rsidRPr="00E27D3B">
        <w:fldChar w:fldCharType="separate"/>
      </w:r>
      <w:r w:rsidR="00753DAF" w:rsidRPr="00E27D3B">
        <w:t xml:space="preserve">Table </w:t>
      </w:r>
      <w:r w:rsidR="00753DAF">
        <w:rPr>
          <w:noProof/>
        </w:rPr>
        <w:t>4</w:t>
      </w:r>
      <w:r w:rsidRPr="00E27D3B">
        <w:fldChar w:fldCharType="end"/>
      </w:r>
      <w:r w:rsidRPr="00E27D3B">
        <w:t xml:space="preserve">. In the frequency-domain, a total of nine case studies </w:t>
      </w:r>
      <w:proofErr w:type="gramStart"/>
      <w:r w:rsidRPr="00E27D3B">
        <w:t>are</w:t>
      </w:r>
      <w:proofErr w:type="gramEnd"/>
      <w:r w:rsidRPr="00E27D3B">
        <w:t xml:space="preserve"> conducted under varying grid strengths, corresponding to short-circuit ratios (SCR) of 1.2, 2.5, and 4.0, while maintaining a constant grid impedance ratio at </w:t>
      </w:r>
      <w:proofErr w:type="spellStart"/>
      <w:r w:rsidRPr="00E27D3B">
        <w:rPr>
          <w:i/>
          <w:iCs/>
        </w:rPr>
        <w:t>X</w:t>
      </w:r>
      <w:r w:rsidRPr="00E27D3B">
        <w:rPr>
          <w:vertAlign w:val="subscript"/>
        </w:rPr>
        <w:t>g</w:t>
      </w:r>
      <w:proofErr w:type="spellEnd"/>
      <w:r w:rsidRPr="00E27D3B">
        <w:t>/</w:t>
      </w:r>
      <w:proofErr w:type="spellStart"/>
      <w:r w:rsidRPr="00E27D3B">
        <w:rPr>
          <w:i/>
          <w:iCs/>
        </w:rPr>
        <w:t>R</w:t>
      </w:r>
      <w:r w:rsidRPr="00E27D3B">
        <w:rPr>
          <w:vertAlign w:val="subscript"/>
        </w:rPr>
        <w:t>g</w:t>
      </w:r>
      <w:proofErr w:type="spellEnd"/>
      <w:r w:rsidRPr="00E27D3B">
        <w:t xml:space="preserve"> = 8. Then, time-domain EMT simulations are employed to verify the stability conclusions drawn from the frequency-domain analysis. </w:t>
      </w:r>
      <w:r w:rsidRPr="00E27D3B">
        <w:rPr>
          <w:rFonts w:eastAsia="Times New Roman" w:cs="Calibri"/>
          <w:szCs w:val="24"/>
        </w:rPr>
        <w:t xml:space="preserve">Furthermore, additional scenarios are explored for a 10 % grid voltage sag, step changes in the active power reference </w:t>
      </w:r>
      <w:r w:rsidRPr="00E27D3B">
        <w:rPr>
          <w:rFonts w:eastAsia="Times New Roman" w:cs="Calibri"/>
          <w:i/>
          <w:iCs/>
          <w:szCs w:val="24"/>
        </w:rPr>
        <w:t>P</w:t>
      </w:r>
      <w:r w:rsidRPr="00E27D3B">
        <w:rPr>
          <w:rFonts w:eastAsia="Times New Roman" w:cs="Calibri"/>
          <w:szCs w:val="24"/>
          <w:vertAlign w:val="subscript"/>
        </w:rPr>
        <w:t>ref</w:t>
      </w:r>
      <w:r w:rsidRPr="00E27D3B">
        <w:rPr>
          <w:rFonts w:eastAsia="Times New Roman" w:cs="Calibri"/>
          <w:szCs w:val="24"/>
        </w:rPr>
        <w:t>, and progressive SCR increases to 5. Details of these analyses are presented in the following subsections.</w:t>
      </w:r>
    </w:p>
    <w:p w14:paraId="2A3EA796"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heme="majorEastAsia" w:cstheme="majorBidi"/>
          <w:bCs/>
          <w:vanish/>
          <w:color w:val="001D34" w:themeColor="accent2"/>
          <w:sz w:val="32"/>
          <w:szCs w:val="26"/>
        </w:rPr>
      </w:pPr>
    </w:p>
    <w:p w14:paraId="39F49C49"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heme="majorEastAsia" w:cstheme="majorBidi"/>
          <w:bCs/>
          <w:vanish/>
          <w:color w:val="001D34" w:themeColor="accent2"/>
          <w:sz w:val="32"/>
          <w:szCs w:val="26"/>
        </w:rPr>
      </w:pPr>
    </w:p>
    <w:p w14:paraId="76689F6D"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heme="majorEastAsia" w:cstheme="majorBidi"/>
          <w:bCs/>
          <w:vanish/>
          <w:color w:val="001D34" w:themeColor="accent2"/>
          <w:sz w:val="32"/>
          <w:szCs w:val="26"/>
        </w:rPr>
      </w:pPr>
    </w:p>
    <w:p w14:paraId="4F26A460" w14:textId="72288CB2" w:rsidR="00E2284F" w:rsidRPr="00F12E16" w:rsidRDefault="00E2284F" w:rsidP="00F12E16">
      <w:pPr>
        <w:pStyle w:val="Heading3"/>
        <w:numPr>
          <w:ilvl w:val="2"/>
          <w:numId w:val="76"/>
        </w:numPr>
        <w:rPr>
          <w:b w:val="0"/>
          <w:bCs w:val="0"/>
        </w:rPr>
      </w:pPr>
      <w:r w:rsidRPr="00F12E16">
        <w:t>Frequency-Domain Analysis</w:t>
      </w:r>
      <w:r w:rsidR="00816252" w:rsidRPr="00F12E16">
        <w:t xml:space="preserve"> of GFMI</w:t>
      </w:r>
      <w:r w:rsidR="00E32199">
        <w:t>s</w:t>
      </w:r>
      <w:r w:rsidR="00816252" w:rsidRPr="00F12E16">
        <w:t xml:space="preserve"> </w:t>
      </w:r>
      <w:r w:rsidR="00614453" w:rsidRPr="00F12E16">
        <w:t xml:space="preserve">Under </w:t>
      </w:r>
      <w:r w:rsidR="00816252" w:rsidRPr="00F12E16">
        <w:t>Different Voltage Control Strategies</w:t>
      </w:r>
    </w:p>
    <w:p w14:paraId="213A6A09" w14:textId="062D68EB" w:rsidR="00E2284F" w:rsidRPr="00726D6A" w:rsidRDefault="00E2284F" w:rsidP="007A097E">
      <w:pPr>
        <w:spacing w:after="0"/>
        <w:textAlignment w:val="baseline"/>
        <w:rPr>
          <w:rFonts w:eastAsia="Times New Roman" w:cs="Calibri"/>
          <w:sz w:val="24"/>
          <w:szCs w:val="24"/>
        </w:rPr>
      </w:pPr>
      <w:r w:rsidRPr="00E27D3B">
        <w:rPr>
          <w:rFonts w:eastAsia="Times New Roman" w:cs="Calibri"/>
          <w:sz w:val="24"/>
          <w:szCs w:val="24"/>
        </w:rPr>
        <w:t xml:space="preserve">Bode Plots: </w:t>
      </w:r>
      <w:r w:rsidRPr="00E27D3B">
        <w:rPr>
          <w:rFonts w:eastAsia="Times New Roman" w:cs="Calibri"/>
          <w:sz w:val="28"/>
          <w:szCs w:val="28"/>
        </w:rPr>
        <w:fldChar w:fldCharType="begin"/>
      </w:r>
      <w:r w:rsidRPr="00E27D3B">
        <w:rPr>
          <w:rFonts w:eastAsia="Times New Roman" w:cs="Calibri"/>
          <w:sz w:val="28"/>
          <w:szCs w:val="28"/>
        </w:rPr>
        <w:instrText xml:space="preserve"> REF _Ref223643993 \h  \* MERGEFORMAT </w:instrText>
      </w:r>
      <w:r w:rsidRPr="00E27D3B">
        <w:rPr>
          <w:rFonts w:eastAsia="Times New Roman" w:cs="Calibri"/>
          <w:sz w:val="28"/>
          <w:szCs w:val="28"/>
        </w:rPr>
      </w:r>
      <w:r w:rsidRPr="00E27D3B">
        <w:rPr>
          <w:rFonts w:eastAsia="Times New Roman" w:cs="Calibri"/>
          <w:sz w:val="28"/>
          <w:szCs w:val="28"/>
        </w:rPr>
        <w:fldChar w:fldCharType="separate"/>
      </w:r>
      <w:r w:rsidR="00753DAF" w:rsidRPr="00753DAF">
        <w:rPr>
          <w:sz w:val="24"/>
          <w:szCs w:val="24"/>
        </w:rPr>
        <w:t xml:space="preserve">Figure </w:t>
      </w:r>
      <w:r w:rsidR="00753DAF" w:rsidRPr="00753DAF">
        <w:rPr>
          <w:noProof/>
          <w:sz w:val="24"/>
          <w:szCs w:val="24"/>
        </w:rPr>
        <w:t>4</w:t>
      </w:r>
      <w:r w:rsidRPr="00E27D3B">
        <w:rPr>
          <w:rFonts w:eastAsia="Times New Roman" w:cs="Calibri"/>
          <w:sz w:val="28"/>
          <w:szCs w:val="28"/>
        </w:rPr>
        <w:fldChar w:fldCharType="end"/>
      </w:r>
      <w:r w:rsidRPr="00E27D3B">
        <w:rPr>
          <w:rFonts w:eastAsia="Times New Roman" w:cs="Calibri"/>
          <w:sz w:val="24"/>
          <w:szCs w:val="24"/>
        </w:rPr>
        <w:t xml:space="preserve">(a)–(c) presents the Bode plots of the output impedances of the GFMI under the three voltage control strategies—FVC, PVC, and AVR—for very weak (SCR=1.2), weak (SCR=2.5), and a relatively strong (SCR=4) grid condition, respectively. The grid impedance ratio is fixed at </w:t>
      </w:r>
      <w:proofErr w:type="spellStart"/>
      <w:r w:rsidRPr="60762895">
        <w:rPr>
          <w:rFonts w:eastAsia="Times New Roman" w:cs="Calibri"/>
          <w:i/>
          <w:iCs/>
          <w:sz w:val="24"/>
          <w:szCs w:val="24"/>
        </w:rPr>
        <w:t>X</w:t>
      </w:r>
      <w:r w:rsidRPr="00E27D3B">
        <w:rPr>
          <w:rFonts w:eastAsia="Times New Roman" w:cs="Calibri"/>
          <w:sz w:val="24"/>
          <w:szCs w:val="24"/>
          <w:vertAlign w:val="subscript"/>
        </w:rPr>
        <w:t>g</w:t>
      </w:r>
      <w:proofErr w:type="spellEnd"/>
      <w:r w:rsidRPr="00E27D3B">
        <w:rPr>
          <w:rFonts w:eastAsia="Times New Roman" w:cs="Calibri"/>
          <w:sz w:val="24"/>
          <w:szCs w:val="24"/>
        </w:rPr>
        <w:t>/</w:t>
      </w:r>
      <w:proofErr w:type="spellStart"/>
      <w:r w:rsidRPr="60762895">
        <w:rPr>
          <w:rFonts w:eastAsia="Times New Roman" w:cs="Calibri"/>
          <w:i/>
          <w:iCs/>
          <w:sz w:val="24"/>
          <w:szCs w:val="24"/>
        </w:rPr>
        <w:t>R</w:t>
      </w:r>
      <w:r w:rsidRPr="00E27D3B">
        <w:rPr>
          <w:rFonts w:eastAsia="Times New Roman" w:cs="Calibri"/>
          <w:sz w:val="24"/>
          <w:szCs w:val="24"/>
          <w:vertAlign w:val="subscript"/>
        </w:rPr>
        <w:t>g</w:t>
      </w:r>
      <w:proofErr w:type="spellEnd"/>
      <w:r w:rsidRPr="00E27D3B">
        <w:rPr>
          <w:rFonts w:eastAsia="Times New Roman" w:cs="Calibri"/>
          <w:sz w:val="24"/>
          <w:szCs w:val="24"/>
        </w:rPr>
        <w:t xml:space="preserve">=8, and the GFMI operates at nominal power across all scenarios. The impedance components show include </w:t>
      </w:r>
      <w:proofErr w:type="spellStart"/>
      <w:r w:rsidRPr="60762895">
        <w:rPr>
          <w:rFonts w:eastAsia="Times New Roman" w:cs="Calibri"/>
          <w:i/>
          <w:iCs/>
          <w:sz w:val="24"/>
          <w:szCs w:val="24"/>
        </w:rPr>
        <w:t>Z</w:t>
      </w:r>
      <w:r w:rsidRPr="00E27D3B">
        <w:rPr>
          <w:rFonts w:eastAsia="Times New Roman" w:cs="Calibri"/>
          <w:sz w:val="24"/>
          <w:szCs w:val="24"/>
          <w:vertAlign w:val="subscript"/>
        </w:rPr>
        <w:t>dd</w:t>
      </w:r>
      <w:proofErr w:type="spellEnd"/>
      <w:r w:rsidRPr="00E27D3B">
        <w:rPr>
          <w:rFonts w:eastAsia="Times New Roman" w:cs="Calibri"/>
          <w:sz w:val="24"/>
          <w:szCs w:val="24"/>
        </w:rPr>
        <w:t xml:space="preserve">, </w:t>
      </w:r>
      <w:proofErr w:type="spellStart"/>
      <w:r w:rsidRPr="60762895">
        <w:rPr>
          <w:rFonts w:eastAsia="Times New Roman" w:cs="Calibri"/>
          <w:i/>
          <w:iCs/>
          <w:sz w:val="24"/>
          <w:szCs w:val="24"/>
        </w:rPr>
        <w:t>Z</w:t>
      </w:r>
      <w:r w:rsidRPr="00E27D3B">
        <w:rPr>
          <w:rFonts w:eastAsia="Times New Roman" w:cs="Calibri"/>
          <w:sz w:val="24"/>
          <w:szCs w:val="24"/>
          <w:vertAlign w:val="subscript"/>
        </w:rPr>
        <w:t>dq</w:t>
      </w:r>
      <w:proofErr w:type="spellEnd"/>
      <w:r w:rsidRPr="00E27D3B">
        <w:rPr>
          <w:rFonts w:eastAsia="Times New Roman" w:cs="Calibri"/>
          <w:sz w:val="24"/>
          <w:szCs w:val="24"/>
        </w:rPr>
        <w:t xml:space="preserve">, </w:t>
      </w:r>
      <w:proofErr w:type="spellStart"/>
      <w:r w:rsidRPr="60762895">
        <w:rPr>
          <w:rFonts w:eastAsia="Times New Roman" w:cs="Calibri"/>
          <w:i/>
          <w:iCs/>
          <w:sz w:val="24"/>
          <w:szCs w:val="24"/>
        </w:rPr>
        <w:t>Z</w:t>
      </w:r>
      <w:r w:rsidRPr="00E27D3B">
        <w:rPr>
          <w:rFonts w:eastAsia="Times New Roman" w:cs="Calibri"/>
          <w:sz w:val="24"/>
          <w:szCs w:val="24"/>
          <w:vertAlign w:val="subscript"/>
        </w:rPr>
        <w:t>qd</w:t>
      </w:r>
      <w:proofErr w:type="spellEnd"/>
      <w:r w:rsidRPr="00E27D3B">
        <w:rPr>
          <w:rFonts w:eastAsia="Times New Roman" w:cs="Calibri"/>
          <w:sz w:val="24"/>
          <w:szCs w:val="24"/>
        </w:rPr>
        <w:t xml:space="preserve">, and </w:t>
      </w:r>
      <w:proofErr w:type="spellStart"/>
      <w:r w:rsidRPr="60762895">
        <w:rPr>
          <w:rFonts w:eastAsia="Times New Roman" w:cs="Calibri"/>
          <w:i/>
          <w:iCs/>
          <w:sz w:val="24"/>
          <w:szCs w:val="24"/>
        </w:rPr>
        <w:t>Z</w:t>
      </w:r>
      <w:r w:rsidRPr="00E27D3B">
        <w:rPr>
          <w:rFonts w:eastAsia="Times New Roman" w:cs="Calibri"/>
          <w:sz w:val="24"/>
          <w:szCs w:val="24"/>
          <w:vertAlign w:val="subscript"/>
        </w:rPr>
        <w:t>qq</w:t>
      </w:r>
      <w:proofErr w:type="spellEnd"/>
      <w:r w:rsidRPr="00E27D3B">
        <w:rPr>
          <w:rFonts w:eastAsia="Times New Roman" w:cs="Calibri"/>
          <w:sz w:val="24"/>
          <w:szCs w:val="24"/>
        </w:rPr>
        <w:t xml:space="preserve"> in the </w:t>
      </w:r>
      <w:proofErr w:type="spellStart"/>
      <w:r w:rsidRPr="00E27D3B">
        <w:rPr>
          <w:rFonts w:eastAsia="Times New Roman" w:cs="Calibri"/>
          <w:sz w:val="24"/>
          <w:szCs w:val="24"/>
        </w:rPr>
        <w:t>dq</w:t>
      </w:r>
      <w:proofErr w:type="spellEnd"/>
      <w:r w:rsidRPr="00E27D3B">
        <w:rPr>
          <w:rFonts w:eastAsia="Times New Roman" w:cs="Calibri"/>
          <w:sz w:val="24"/>
          <w:szCs w:val="24"/>
        </w:rPr>
        <w:t xml:space="preserve"> reference frame, providing insights into the inverter’s small-signal frequency response.</w:t>
      </w:r>
    </w:p>
    <w:p w14:paraId="5902926A" w14:textId="1F9AE293" w:rsidR="00E2284F" w:rsidRPr="00E27D3B" w:rsidRDefault="00E2284F" w:rsidP="00CD4F3A">
      <w:pPr>
        <w:pStyle w:val="Caption"/>
        <w:spacing w:line="240" w:lineRule="auto"/>
      </w:pPr>
      <w:bookmarkStart w:id="39" w:name="_Ref224033475"/>
      <w:bookmarkStart w:id="40" w:name="_Toc224235159"/>
      <w:bookmarkStart w:id="41" w:name="_Toc233735298"/>
      <w:r w:rsidRPr="00E27D3B">
        <w:lastRenderedPageBreak/>
        <w:t xml:space="preserve">Table </w:t>
      </w:r>
      <w:fldSimple w:instr=" SEQ Table \* ARABIC ">
        <w:r w:rsidR="00753DAF">
          <w:rPr>
            <w:noProof/>
          </w:rPr>
          <w:t>4</w:t>
        </w:r>
      </w:fldSimple>
      <w:bookmarkEnd w:id="39"/>
      <w:r w:rsidRPr="00E27D3B">
        <w:t xml:space="preserve">: </w:t>
      </w:r>
      <w:r w:rsidR="007A097E">
        <w:t>S</w:t>
      </w:r>
      <w:r w:rsidRPr="00E27D3B">
        <w:t>ystem parameters used in the study.</w:t>
      </w:r>
      <w:bookmarkEnd w:id="40"/>
      <w:bookmarkEnd w:id="41"/>
    </w:p>
    <w:tbl>
      <w:tblPr>
        <w:tblStyle w:val="TableGrid"/>
        <w:tblW w:w="4192" w:type="pct"/>
        <w:jc w:val="center"/>
        <w:tblBorders>
          <w:top w:val="doub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5"/>
        <w:gridCol w:w="1559"/>
        <w:gridCol w:w="3116"/>
      </w:tblGrid>
      <w:tr w:rsidR="00E2284F" w:rsidRPr="00614453" w14:paraId="05F60E1E" w14:textId="77777777" w:rsidTr="00F12E16">
        <w:trPr>
          <w:jc w:val="center"/>
        </w:trPr>
        <w:tc>
          <w:tcPr>
            <w:tcW w:w="965" w:type="pct"/>
            <w:shd w:val="clear" w:color="auto" w:fill="000000" w:themeFill="text2"/>
          </w:tcPr>
          <w:p w14:paraId="52B7E0B9" w14:textId="77777777" w:rsidR="00E2284F" w:rsidRPr="00F12E16" w:rsidRDefault="00E2284F" w:rsidP="00CD4F3A">
            <w:pPr>
              <w:pStyle w:val="BodyText"/>
              <w:spacing w:line="240" w:lineRule="auto"/>
              <w:rPr>
                <w:color w:val="FFFFFF" w:themeColor="background1"/>
                <w:sz w:val="18"/>
                <w:szCs w:val="18"/>
              </w:rPr>
            </w:pPr>
            <w:r w:rsidRPr="00F12E16">
              <w:rPr>
                <w:color w:val="FFFFFF" w:themeColor="background1"/>
                <w:sz w:val="18"/>
                <w:szCs w:val="18"/>
              </w:rPr>
              <w:t xml:space="preserve">Quantity </w:t>
            </w:r>
          </w:p>
        </w:tc>
        <w:tc>
          <w:tcPr>
            <w:tcW w:w="1142" w:type="pct"/>
            <w:shd w:val="clear" w:color="auto" w:fill="000000" w:themeFill="text2"/>
          </w:tcPr>
          <w:p w14:paraId="7334E87A" w14:textId="77777777" w:rsidR="00E2284F" w:rsidRPr="00F12E16" w:rsidRDefault="00E2284F" w:rsidP="00CD4F3A">
            <w:pPr>
              <w:pStyle w:val="BodyText"/>
              <w:spacing w:line="240" w:lineRule="auto"/>
              <w:rPr>
                <w:color w:val="FFFFFF" w:themeColor="background1"/>
                <w:sz w:val="18"/>
                <w:szCs w:val="18"/>
              </w:rPr>
            </w:pPr>
            <w:r w:rsidRPr="00F12E16">
              <w:rPr>
                <w:color w:val="FFFFFF" w:themeColor="background1"/>
                <w:sz w:val="18"/>
                <w:szCs w:val="18"/>
              </w:rPr>
              <w:t xml:space="preserve">Value </w:t>
            </w:r>
          </w:p>
        </w:tc>
        <w:tc>
          <w:tcPr>
            <w:tcW w:w="965" w:type="pct"/>
            <w:shd w:val="clear" w:color="auto" w:fill="000000" w:themeFill="text2"/>
          </w:tcPr>
          <w:p w14:paraId="4FC79744" w14:textId="77777777" w:rsidR="00E2284F" w:rsidRPr="00F12E16" w:rsidRDefault="00E2284F" w:rsidP="00CD4F3A">
            <w:pPr>
              <w:pStyle w:val="BodyText"/>
              <w:spacing w:line="240" w:lineRule="auto"/>
              <w:rPr>
                <w:color w:val="FFFFFF" w:themeColor="background1"/>
                <w:sz w:val="18"/>
                <w:szCs w:val="18"/>
              </w:rPr>
            </w:pPr>
            <w:r w:rsidRPr="00F12E16">
              <w:rPr>
                <w:color w:val="FFFFFF" w:themeColor="background1"/>
                <w:sz w:val="18"/>
                <w:szCs w:val="18"/>
              </w:rPr>
              <w:t xml:space="preserve">Unit </w:t>
            </w:r>
          </w:p>
        </w:tc>
        <w:tc>
          <w:tcPr>
            <w:tcW w:w="1929" w:type="pct"/>
            <w:shd w:val="clear" w:color="auto" w:fill="000000" w:themeFill="text2"/>
          </w:tcPr>
          <w:p w14:paraId="3702EACA" w14:textId="77777777" w:rsidR="00E2284F" w:rsidRPr="00F12E16" w:rsidRDefault="00E2284F" w:rsidP="00CD4F3A">
            <w:pPr>
              <w:pStyle w:val="BodyText"/>
              <w:spacing w:line="240" w:lineRule="auto"/>
              <w:rPr>
                <w:color w:val="FFFFFF" w:themeColor="background1"/>
                <w:sz w:val="18"/>
                <w:szCs w:val="18"/>
              </w:rPr>
            </w:pPr>
            <w:r w:rsidRPr="00F12E16">
              <w:rPr>
                <w:color w:val="FFFFFF" w:themeColor="background1"/>
                <w:sz w:val="18"/>
                <w:szCs w:val="18"/>
              </w:rPr>
              <w:t>Description</w:t>
            </w:r>
          </w:p>
        </w:tc>
      </w:tr>
      <w:tr w:rsidR="00E2284F" w:rsidRPr="00614453" w14:paraId="48FF3D82" w14:textId="77777777" w:rsidTr="00F12E16">
        <w:trPr>
          <w:jc w:val="center"/>
        </w:trPr>
        <w:tc>
          <w:tcPr>
            <w:tcW w:w="5000" w:type="pct"/>
            <w:gridSpan w:val="4"/>
            <w:shd w:val="clear" w:color="auto" w:fill="000000" w:themeFill="text2"/>
          </w:tcPr>
          <w:p w14:paraId="4B885A5B" w14:textId="77777777" w:rsidR="00E2284F" w:rsidRPr="00F12E16" w:rsidRDefault="00E2284F" w:rsidP="00CD4F3A">
            <w:pPr>
              <w:pStyle w:val="BodyText"/>
              <w:spacing w:line="240" w:lineRule="auto"/>
              <w:rPr>
                <w:sz w:val="18"/>
                <w:szCs w:val="18"/>
              </w:rPr>
            </w:pPr>
            <w:r w:rsidRPr="00F12E16">
              <w:rPr>
                <w:color w:val="FFFFFF" w:themeColor="background1"/>
                <w:sz w:val="18"/>
                <w:szCs w:val="18"/>
              </w:rPr>
              <w:t>Grid parameters</w:t>
            </w:r>
          </w:p>
        </w:tc>
      </w:tr>
      <w:tr w:rsidR="00E2284F" w:rsidRPr="00614453" w14:paraId="47B65B03" w14:textId="77777777" w:rsidTr="00F12E16">
        <w:trPr>
          <w:jc w:val="center"/>
        </w:trPr>
        <w:tc>
          <w:tcPr>
            <w:tcW w:w="965" w:type="pct"/>
            <w:shd w:val="clear" w:color="auto" w:fill="D9D9D9" w:themeFill="background2" w:themeFillShade="D9"/>
          </w:tcPr>
          <w:p w14:paraId="02E78603" w14:textId="77777777" w:rsidR="00E2284F" w:rsidRPr="00F12E16" w:rsidRDefault="00E2284F" w:rsidP="00CD4F3A">
            <w:pPr>
              <w:pStyle w:val="BodyText"/>
              <w:spacing w:line="240" w:lineRule="auto"/>
              <w:rPr>
                <w:sz w:val="18"/>
                <w:szCs w:val="18"/>
                <w:vertAlign w:val="subscript"/>
              </w:rPr>
            </w:pPr>
            <w:r w:rsidRPr="00F12E16">
              <w:rPr>
                <w:i/>
                <w:iCs/>
                <w:sz w:val="18"/>
                <w:szCs w:val="18"/>
              </w:rPr>
              <w:t>v</w:t>
            </w:r>
            <w:r w:rsidRPr="00F12E16">
              <w:rPr>
                <w:sz w:val="18"/>
                <w:szCs w:val="18"/>
                <w:vertAlign w:val="subscript"/>
              </w:rPr>
              <w:t>g</w:t>
            </w:r>
          </w:p>
        </w:tc>
        <w:tc>
          <w:tcPr>
            <w:tcW w:w="1142" w:type="pct"/>
            <w:shd w:val="clear" w:color="auto" w:fill="D9D9D9" w:themeFill="background2" w:themeFillShade="D9"/>
          </w:tcPr>
          <w:p w14:paraId="070CD625" w14:textId="77777777" w:rsidR="00E2284F" w:rsidRPr="00F12E16" w:rsidRDefault="00E2284F" w:rsidP="00CD4F3A">
            <w:pPr>
              <w:pStyle w:val="BodyText"/>
              <w:spacing w:line="240" w:lineRule="auto"/>
              <w:rPr>
                <w:sz w:val="18"/>
                <w:szCs w:val="18"/>
              </w:rPr>
            </w:pPr>
            <w:r w:rsidRPr="00F12E16">
              <w:rPr>
                <w:sz w:val="18"/>
                <w:szCs w:val="18"/>
              </w:rPr>
              <w:t>690</w:t>
            </w:r>
          </w:p>
        </w:tc>
        <w:tc>
          <w:tcPr>
            <w:tcW w:w="965" w:type="pct"/>
            <w:shd w:val="clear" w:color="auto" w:fill="D9D9D9" w:themeFill="background2" w:themeFillShade="D9"/>
          </w:tcPr>
          <w:p w14:paraId="127FEDA3" w14:textId="77777777" w:rsidR="00E2284F" w:rsidRPr="00F12E16" w:rsidRDefault="00E2284F" w:rsidP="00CD4F3A">
            <w:pPr>
              <w:pStyle w:val="BodyText"/>
              <w:spacing w:line="240" w:lineRule="auto"/>
              <w:rPr>
                <w:sz w:val="18"/>
                <w:szCs w:val="18"/>
              </w:rPr>
            </w:pPr>
            <w:r w:rsidRPr="00F12E16">
              <w:rPr>
                <w:sz w:val="18"/>
                <w:szCs w:val="18"/>
              </w:rPr>
              <w:t>V</w:t>
            </w:r>
          </w:p>
        </w:tc>
        <w:tc>
          <w:tcPr>
            <w:tcW w:w="1929" w:type="pct"/>
            <w:shd w:val="clear" w:color="auto" w:fill="D9D9D9" w:themeFill="background2" w:themeFillShade="D9"/>
          </w:tcPr>
          <w:p w14:paraId="50CC466B" w14:textId="77777777" w:rsidR="00E2284F" w:rsidRPr="00F12E16" w:rsidRDefault="00E2284F" w:rsidP="00CD4F3A">
            <w:pPr>
              <w:pStyle w:val="BodyText"/>
              <w:spacing w:line="240" w:lineRule="auto"/>
              <w:rPr>
                <w:sz w:val="18"/>
                <w:szCs w:val="18"/>
              </w:rPr>
            </w:pPr>
            <w:r w:rsidRPr="00F12E16">
              <w:rPr>
                <w:sz w:val="18"/>
                <w:szCs w:val="18"/>
              </w:rPr>
              <w:t>Grid voltage(L-L)</w:t>
            </w:r>
          </w:p>
        </w:tc>
      </w:tr>
      <w:tr w:rsidR="00E2284F" w:rsidRPr="00614453" w14:paraId="1C5BB0E5" w14:textId="77777777" w:rsidTr="00F12E16">
        <w:trPr>
          <w:jc w:val="center"/>
        </w:trPr>
        <w:tc>
          <w:tcPr>
            <w:tcW w:w="965" w:type="pct"/>
          </w:tcPr>
          <w:p w14:paraId="39CE660B" w14:textId="77777777" w:rsidR="00E2284F" w:rsidRPr="00F12E16" w:rsidRDefault="00E2284F" w:rsidP="00CD4F3A">
            <w:pPr>
              <w:pStyle w:val="BodyText"/>
              <w:spacing w:line="240" w:lineRule="auto"/>
              <w:rPr>
                <w:sz w:val="18"/>
                <w:szCs w:val="18"/>
              </w:rPr>
            </w:pPr>
            <w:proofErr w:type="spellStart"/>
            <w:r w:rsidRPr="00F12E16">
              <w:rPr>
                <w:rFonts w:cs="Calibri"/>
                <w:i/>
                <w:iCs/>
                <w:sz w:val="18"/>
                <w:szCs w:val="18"/>
              </w:rPr>
              <w:t>ω</w:t>
            </w:r>
            <w:r w:rsidRPr="00F12E16">
              <w:rPr>
                <w:sz w:val="18"/>
                <w:szCs w:val="18"/>
                <w:vertAlign w:val="subscript"/>
              </w:rPr>
              <w:t>nom</w:t>
            </w:r>
            <w:proofErr w:type="spellEnd"/>
          </w:p>
        </w:tc>
        <w:tc>
          <w:tcPr>
            <w:tcW w:w="1142" w:type="pct"/>
          </w:tcPr>
          <w:p w14:paraId="3E2D99AD" w14:textId="77777777" w:rsidR="00E2284F" w:rsidRPr="00F12E16" w:rsidRDefault="00E2284F" w:rsidP="00CD4F3A">
            <w:pPr>
              <w:pStyle w:val="BodyText"/>
              <w:spacing w:line="240" w:lineRule="auto"/>
              <w:rPr>
                <w:sz w:val="18"/>
                <w:szCs w:val="18"/>
              </w:rPr>
            </w:pPr>
            <w:r w:rsidRPr="00F12E16">
              <w:rPr>
                <w:sz w:val="18"/>
                <w:szCs w:val="18"/>
              </w:rPr>
              <w:t>2</w:t>
            </w:r>
            <w:r w:rsidRPr="00F12E16">
              <w:rPr>
                <w:rFonts w:cs="Calibri"/>
                <w:sz w:val="18"/>
                <w:szCs w:val="18"/>
              </w:rPr>
              <w:t>π×</w:t>
            </w:r>
            <w:r w:rsidRPr="00F12E16">
              <w:rPr>
                <w:sz w:val="18"/>
                <w:szCs w:val="18"/>
              </w:rPr>
              <w:t>50</w:t>
            </w:r>
          </w:p>
        </w:tc>
        <w:tc>
          <w:tcPr>
            <w:tcW w:w="965" w:type="pct"/>
          </w:tcPr>
          <w:p w14:paraId="766D47FA" w14:textId="77777777" w:rsidR="00E2284F" w:rsidRPr="00F12E16" w:rsidRDefault="00E2284F" w:rsidP="00CD4F3A">
            <w:pPr>
              <w:pStyle w:val="BodyText"/>
              <w:spacing w:line="240" w:lineRule="auto"/>
              <w:rPr>
                <w:sz w:val="18"/>
                <w:szCs w:val="18"/>
              </w:rPr>
            </w:pPr>
            <w:r w:rsidRPr="00F12E16">
              <w:rPr>
                <w:sz w:val="18"/>
                <w:szCs w:val="18"/>
              </w:rPr>
              <w:t>Rad/s</w:t>
            </w:r>
          </w:p>
        </w:tc>
        <w:tc>
          <w:tcPr>
            <w:tcW w:w="1929" w:type="pct"/>
          </w:tcPr>
          <w:p w14:paraId="596F429F" w14:textId="77777777" w:rsidR="00E2284F" w:rsidRPr="00F12E16" w:rsidRDefault="00E2284F" w:rsidP="00CD4F3A">
            <w:pPr>
              <w:pStyle w:val="BodyText"/>
              <w:spacing w:line="240" w:lineRule="auto"/>
              <w:rPr>
                <w:sz w:val="18"/>
                <w:szCs w:val="18"/>
              </w:rPr>
            </w:pPr>
            <w:r w:rsidRPr="00F12E16">
              <w:rPr>
                <w:sz w:val="18"/>
                <w:szCs w:val="18"/>
              </w:rPr>
              <w:t>Grid nominal angular frequency</w:t>
            </w:r>
          </w:p>
        </w:tc>
      </w:tr>
      <w:tr w:rsidR="00E2284F" w:rsidRPr="00614453" w14:paraId="037F9F0D" w14:textId="77777777" w:rsidTr="00F12E16">
        <w:trPr>
          <w:jc w:val="center"/>
        </w:trPr>
        <w:tc>
          <w:tcPr>
            <w:tcW w:w="965" w:type="pct"/>
            <w:shd w:val="clear" w:color="auto" w:fill="D9D9D9" w:themeFill="background2" w:themeFillShade="D9"/>
          </w:tcPr>
          <w:p w14:paraId="049E0096" w14:textId="77777777" w:rsidR="00E2284F" w:rsidRPr="00F12E16" w:rsidRDefault="00E2284F" w:rsidP="00CD4F3A">
            <w:pPr>
              <w:pStyle w:val="BodyText"/>
              <w:spacing w:line="240" w:lineRule="auto"/>
              <w:rPr>
                <w:rFonts w:cs="Calibri"/>
                <w:sz w:val="18"/>
                <w:szCs w:val="18"/>
              </w:rPr>
            </w:pPr>
            <w:r w:rsidRPr="00F12E16">
              <w:rPr>
                <w:rFonts w:cs="Calibri"/>
                <w:sz w:val="18"/>
                <w:szCs w:val="18"/>
              </w:rPr>
              <w:t>SCR</w:t>
            </w:r>
          </w:p>
        </w:tc>
        <w:tc>
          <w:tcPr>
            <w:tcW w:w="1142" w:type="pct"/>
            <w:shd w:val="clear" w:color="auto" w:fill="D9D9D9" w:themeFill="background2" w:themeFillShade="D9"/>
          </w:tcPr>
          <w:p w14:paraId="3C89213B" w14:textId="77777777" w:rsidR="00E2284F" w:rsidRPr="00F12E16" w:rsidRDefault="00E2284F" w:rsidP="00CD4F3A">
            <w:pPr>
              <w:pStyle w:val="BodyText"/>
              <w:spacing w:line="240" w:lineRule="auto"/>
              <w:rPr>
                <w:sz w:val="18"/>
                <w:szCs w:val="18"/>
              </w:rPr>
            </w:pPr>
            <w:r w:rsidRPr="00F12E16">
              <w:rPr>
                <w:sz w:val="18"/>
                <w:szCs w:val="18"/>
              </w:rPr>
              <w:t>1.2, 2.5, 4, and 5</w:t>
            </w:r>
          </w:p>
        </w:tc>
        <w:tc>
          <w:tcPr>
            <w:tcW w:w="965" w:type="pct"/>
            <w:shd w:val="clear" w:color="auto" w:fill="D9D9D9" w:themeFill="background2" w:themeFillShade="D9"/>
          </w:tcPr>
          <w:p w14:paraId="73CCAAC0" w14:textId="77777777" w:rsidR="00E2284F" w:rsidRPr="00F12E16" w:rsidRDefault="00E2284F" w:rsidP="00CD4F3A">
            <w:pPr>
              <w:pStyle w:val="BodyText"/>
              <w:spacing w:line="240" w:lineRule="auto"/>
              <w:rPr>
                <w:sz w:val="18"/>
                <w:szCs w:val="18"/>
              </w:rPr>
            </w:pPr>
            <w:r w:rsidRPr="00F12E16">
              <w:rPr>
                <w:sz w:val="18"/>
                <w:szCs w:val="18"/>
              </w:rPr>
              <w:t>-</w:t>
            </w:r>
          </w:p>
        </w:tc>
        <w:tc>
          <w:tcPr>
            <w:tcW w:w="1929" w:type="pct"/>
            <w:shd w:val="clear" w:color="auto" w:fill="D9D9D9" w:themeFill="background2" w:themeFillShade="D9"/>
          </w:tcPr>
          <w:p w14:paraId="0DBF6B2F" w14:textId="77777777" w:rsidR="00E2284F" w:rsidRPr="00F12E16" w:rsidRDefault="00E2284F" w:rsidP="00CD4F3A">
            <w:pPr>
              <w:pStyle w:val="BodyText"/>
              <w:spacing w:line="240" w:lineRule="auto"/>
              <w:rPr>
                <w:sz w:val="18"/>
                <w:szCs w:val="18"/>
              </w:rPr>
            </w:pPr>
          </w:p>
        </w:tc>
      </w:tr>
      <w:tr w:rsidR="00E2284F" w:rsidRPr="00614453" w14:paraId="370B9F65" w14:textId="77777777" w:rsidTr="00F12E16">
        <w:trPr>
          <w:jc w:val="center"/>
        </w:trPr>
        <w:tc>
          <w:tcPr>
            <w:tcW w:w="5000" w:type="pct"/>
            <w:gridSpan w:val="4"/>
            <w:shd w:val="clear" w:color="auto" w:fill="000000" w:themeFill="text2"/>
          </w:tcPr>
          <w:p w14:paraId="5205794F" w14:textId="77777777" w:rsidR="00E2284F" w:rsidRPr="00F12E16" w:rsidRDefault="00E2284F" w:rsidP="00CD4F3A">
            <w:pPr>
              <w:pStyle w:val="BodyText"/>
              <w:spacing w:line="240" w:lineRule="auto"/>
              <w:rPr>
                <w:color w:val="FFFFFF" w:themeColor="background1"/>
                <w:sz w:val="18"/>
                <w:szCs w:val="18"/>
              </w:rPr>
            </w:pPr>
            <w:r w:rsidRPr="00F12E16">
              <w:rPr>
                <w:color w:val="FFFFFF" w:themeColor="background1"/>
                <w:sz w:val="18"/>
                <w:szCs w:val="18"/>
              </w:rPr>
              <w:t>Inverter parameters</w:t>
            </w:r>
          </w:p>
        </w:tc>
      </w:tr>
      <w:tr w:rsidR="00E2284F" w:rsidRPr="00614453" w14:paraId="3DC01F6F" w14:textId="77777777" w:rsidTr="00F12E16">
        <w:trPr>
          <w:jc w:val="center"/>
        </w:trPr>
        <w:tc>
          <w:tcPr>
            <w:tcW w:w="965" w:type="pct"/>
            <w:shd w:val="clear" w:color="auto" w:fill="D9D9D9" w:themeFill="background2" w:themeFillShade="D9"/>
          </w:tcPr>
          <w:p w14:paraId="53EEBB69" w14:textId="77777777" w:rsidR="00E2284F" w:rsidRPr="00F12E16" w:rsidRDefault="00E2284F" w:rsidP="00CD4F3A">
            <w:pPr>
              <w:pStyle w:val="BodyText"/>
              <w:spacing w:line="240" w:lineRule="auto"/>
              <w:rPr>
                <w:rFonts w:cs="Calibri"/>
                <w:sz w:val="18"/>
                <w:szCs w:val="18"/>
              </w:rPr>
            </w:pPr>
            <w:proofErr w:type="spellStart"/>
            <w:r w:rsidRPr="00F12E16">
              <w:rPr>
                <w:rFonts w:cs="Calibri"/>
                <w:i/>
                <w:iCs/>
                <w:sz w:val="18"/>
                <w:szCs w:val="18"/>
              </w:rPr>
              <w:t>S</w:t>
            </w:r>
            <w:r w:rsidRPr="00F12E16">
              <w:rPr>
                <w:sz w:val="18"/>
                <w:szCs w:val="18"/>
                <w:vertAlign w:val="subscript"/>
              </w:rPr>
              <w:t>rated</w:t>
            </w:r>
            <w:proofErr w:type="spellEnd"/>
          </w:p>
        </w:tc>
        <w:tc>
          <w:tcPr>
            <w:tcW w:w="1142" w:type="pct"/>
            <w:shd w:val="clear" w:color="auto" w:fill="D9D9D9" w:themeFill="background2" w:themeFillShade="D9"/>
          </w:tcPr>
          <w:p w14:paraId="08987D32" w14:textId="77777777" w:rsidR="00E2284F" w:rsidRPr="00F12E16" w:rsidRDefault="00E2284F" w:rsidP="00CD4F3A">
            <w:pPr>
              <w:pStyle w:val="BodyText"/>
              <w:spacing w:line="240" w:lineRule="auto"/>
              <w:rPr>
                <w:sz w:val="18"/>
                <w:szCs w:val="18"/>
              </w:rPr>
            </w:pPr>
            <w:r w:rsidRPr="00F12E16">
              <w:rPr>
                <w:sz w:val="18"/>
                <w:szCs w:val="18"/>
              </w:rPr>
              <w:t>5.0</w:t>
            </w:r>
          </w:p>
        </w:tc>
        <w:tc>
          <w:tcPr>
            <w:tcW w:w="965" w:type="pct"/>
            <w:shd w:val="clear" w:color="auto" w:fill="D9D9D9" w:themeFill="background2" w:themeFillShade="D9"/>
          </w:tcPr>
          <w:p w14:paraId="5D0796AB" w14:textId="77777777" w:rsidR="00E2284F" w:rsidRPr="00F12E16" w:rsidRDefault="00E2284F" w:rsidP="00CD4F3A">
            <w:pPr>
              <w:pStyle w:val="BodyText"/>
              <w:spacing w:line="240" w:lineRule="auto"/>
              <w:rPr>
                <w:sz w:val="18"/>
                <w:szCs w:val="18"/>
              </w:rPr>
            </w:pPr>
            <w:r w:rsidRPr="00F12E16">
              <w:rPr>
                <w:sz w:val="18"/>
                <w:szCs w:val="18"/>
              </w:rPr>
              <w:t>MVA</w:t>
            </w:r>
          </w:p>
        </w:tc>
        <w:tc>
          <w:tcPr>
            <w:tcW w:w="1929" w:type="pct"/>
            <w:shd w:val="clear" w:color="auto" w:fill="D9D9D9" w:themeFill="background2" w:themeFillShade="D9"/>
          </w:tcPr>
          <w:p w14:paraId="072BFE1C" w14:textId="77777777" w:rsidR="00E2284F" w:rsidRPr="00F12E16" w:rsidRDefault="00E2284F" w:rsidP="00CD4F3A">
            <w:pPr>
              <w:pStyle w:val="BodyText"/>
              <w:spacing w:line="240" w:lineRule="auto"/>
              <w:rPr>
                <w:sz w:val="18"/>
                <w:szCs w:val="18"/>
              </w:rPr>
            </w:pPr>
            <w:r w:rsidRPr="00F12E16">
              <w:rPr>
                <w:sz w:val="18"/>
                <w:szCs w:val="18"/>
              </w:rPr>
              <w:t>Inverter rated power</w:t>
            </w:r>
          </w:p>
        </w:tc>
      </w:tr>
      <w:tr w:rsidR="00E2284F" w:rsidRPr="00614453" w14:paraId="6009ABEF" w14:textId="77777777" w:rsidTr="00F12E16">
        <w:trPr>
          <w:jc w:val="center"/>
        </w:trPr>
        <w:tc>
          <w:tcPr>
            <w:tcW w:w="965" w:type="pct"/>
          </w:tcPr>
          <w:p w14:paraId="0E82C60F" w14:textId="77777777" w:rsidR="00E2284F" w:rsidRPr="00F12E16" w:rsidRDefault="00E2284F" w:rsidP="00CD4F3A">
            <w:pPr>
              <w:pStyle w:val="BodyText"/>
              <w:spacing w:line="240" w:lineRule="auto"/>
              <w:rPr>
                <w:rFonts w:cs="Calibri"/>
                <w:sz w:val="18"/>
                <w:szCs w:val="18"/>
              </w:rPr>
            </w:pPr>
            <w:r w:rsidRPr="00F12E16">
              <w:rPr>
                <w:rFonts w:cs="Calibri"/>
                <w:i/>
                <w:iCs/>
                <w:sz w:val="18"/>
                <w:szCs w:val="18"/>
              </w:rPr>
              <w:t>P</w:t>
            </w:r>
            <w:r w:rsidRPr="00F12E16">
              <w:rPr>
                <w:sz w:val="18"/>
                <w:szCs w:val="18"/>
                <w:vertAlign w:val="subscript"/>
              </w:rPr>
              <w:t>rated</w:t>
            </w:r>
          </w:p>
        </w:tc>
        <w:tc>
          <w:tcPr>
            <w:tcW w:w="1142" w:type="pct"/>
          </w:tcPr>
          <w:p w14:paraId="49F4F408" w14:textId="77777777" w:rsidR="00E2284F" w:rsidRPr="00F12E16" w:rsidRDefault="00E2284F" w:rsidP="00CD4F3A">
            <w:pPr>
              <w:pStyle w:val="BodyText"/>
              <w:spacing w:line="240" w:lineRule="auto"/>
              <w:rPr>
                <w:sz w:val="18"/>
                <w:szCs w:val="18"/>
              </w:rPr>
            </w:pPr>
            <w:r w:rsidRPr="00F12E16">
              <w:rPr>
                <w:sz w:val="18"/>
                <w:szCs w:val="18"/>
              </w:rPr>
              <w:t>4.0</w:t>
            </w:r>
          </w:p>
        </w:tc>
        <w:tc>
          <w:tcPr>
            <w:tcW w:w="965" w:type="pct"/>
          </w:tcPr>
          <w:p w14:paraId="5542B4CA" w14:textId="77777777" w:rsidR="00E2284F" w:rsidRPr="00F12E16" w:rsidRDefault="00E2284F" w:rsidP="00CD4F3A">
            <w:pPr>
              <w:pStyle w:val="BodyText"/>
              <w:spacing w:line="240" w:lineRule="auto"/>
              <w:rPr>
                <w:sz w:val="18"/>
                <w:szCs w:val="18"/>
              </w:rPr>
            </w:pPr>
            <w:r w:rsidRPr="00F12E16">
              <w:rPr>
                <w:sz w:val="18"/>
                <w:szCs w:val="18"/>
              </w:rPr>
              <w:t>MW</w:t>
            </w:r>
          </w:p>
        </w:tc>
        <w:tc>
          <w:tcPr>
            <w:tcW w:w="1929" w:type="pct"/>
          </w:tcPr>
          <w:p w14:paraId="7B1E9A12" w14:textId="77777777" w:rsidR="00E2284F" w:rsidRPr="00F12E16" w:rsidRDefault="00E2284F" w:rsidP="00CD4F3A">
            <w:pPr>
              <w:pStyle w:val="BodyText"/>
              <w:spacing w:line="240" w:lineRule="auto"/>
              <w:rPr>
                <w:sz w:val="18"/>
                <w:szCs w:val="18"/>
              </w:rPr>
            </w:pPr>
            <w:r w:rsidRPr="00F12E16">
              <w:rPr>
                <w:sz w:val="18"/>
                <w:szCs w:val="18"/>
              </w:rPr>
              <w:t>Inverter rated active power</w:t>
            </w:r>
          </w:p>
        </w:tc>
      </w:tr>
      <w:tr w:rsidR="00E2284F" w:rsidRPr="00614453" w14:paraId="1BEFC313" w14:textId="77777777" w:rsidTr="00F12E16">
        <w:trPr>
          <w:jc w:val="center"/>
        </w:trPr>
        <w:tc>
          <w:tcPr>
            <w:tcW w:w="965" w:type="pct"/>
            <w:shd w:val="clear" w:color="auto" w:fill="D9D9D9" w:themeFill="background2" w:themeFillShade="D9"/>
          </w:tcPr>
          <w:p w14:paraId="6E15D25A" w14:textId="77777777" w:rsidR="00E2284F" w:rsidRPr="00F12E16" w:rsidRDefault="00E2284F" w:rsidP="00CD4F3A">
            <w:pPr>
              <w:pStyle w:val="BodyText"/>
              <w:spacing w:line="240" w:lineRule="auto"/>
              <w:rPr>
                <w:rFonts w:cs="Calibri"/>
                <w:sz w:val="18"/>
                <w:szCs w:val="18"/>
              </w:rPr>
            </w:pPr>
            <w:proofErr w:type="spellStart"/>
            <w:r w:rsidRPr="00F12E16">
              <w:rPr>
                <w:rFonts w:cs="Calibri"/>
                <w:i/>
                <w:iCs/>
                <w:sz w:val="18"/>
                <w:szCs w:val="18"/>
              </w:rPr>
              <w:t>Q</w:t>
            </w:r>
            <w:r w:rsidRPr="00F12E16">
              <w:rPr>
                <w:sz w:val="18"/>
                <w:szCs w:val="18"/>
                <w:vertAlign w:val="subscript"/>
              </w:rPr>
              <w:t>rated</w:t>
            </w:r>
            <w:proofErr w:type="spellEnd"/>
          </w:p>
        </w:tc>
        <w:tc>
          <w:tcPr>
            <w:tcW w:w="1142" w:type="pct"/>
            <w:shd w:val="clear" w:color="auto" w:fill="D9D9D9" w:themeFill="background2" w:themeFillShade="D9"/>
          </w:tcPr>
          <w:p w14:paraId="5633C16D" w14:textId="77777777" w:rsidR="00E2284F" w:rsidRPr="00F12E16" w:rsidRDefault="00E2284F" w:rsidP="00CD4F3A">
            <w:pPr>
              <w:pStyle w:val="BodyText"/>
              <w:spacing w:line="240" w:lineRule="auto"/>
              <w:rPr>
                <w:sz w:val="18"/>
                <w:szCs w:val="18"/>
              </w:rPr>
            </w:pPr>
            <w:r w:rsidRPr="00F12E16">
              <w:rPr>
                <w:sz w:val="18"/>
                <w:szCs w:val="18"/>
              </w:rPr>
              <w:t>3.0</w:t>
            </w:r>
          </w:p>
        </w:tc>
        <w:tc>
          <w:tcPr>
            <w:tcW w:w="965" w:type="pct"/>
            <w:shd w:val="clear" w:color="auto" w:fill="D9D9D9" w:themeFill="background2" w:themeFillShade="D9"/>
          </w:tcPr>
          <w:p w14:paraId="1A9060D2" w14:textId="77777777" w:rsidR="00E2284F" w:rsidRPr="00F12E16" w:rsidRDefault="00E2284F" w:rsidP="00CD4F3A">
            <w:pPr>
              <w:pStyle w:val="BodyText"/>
              <w:spacing w:line="240" w:lineRule="auto"/>
              <w:rPr>
                <w:sz w:val="18"/>
                <w:szCs w:val="18"/>
              </w:rPr>
            </w:pPr>
            <w:proofErr w:type="spellStart"/>
            <w:r w:rsidRPr="00F12E16">
              <w:rPr>
                <w:sz w:val="18"/>
                <w:szCs w:val="18"/>
              </w:rPr>
              <w:t>MVar</w:t>
            </w:r>
            <w:proofErr w:type="spellEnd"/>
          </w:p>
        </w:tc>
        <w:tc>
          <w:tcPr>
            <w:tcW w:w="1929" w:type="pct"/>
            <w:shd w:val="clear" w:color="auto" w:fill="D9D9D9" w:themeFill="background2" w:themeFillShade="D9"/>
          </w:tcPr>
          <w:p w14:paraId="2FDF132F" w14:textId="77777777" w:rsidR="00E2284F" w:rsidRPr="00F12E16" w:rsidRDefault="00E2284F" w:rsidP="00CD4F3A">
            <w:pPr>
              <w:pStyle w:val="BodyText"/>
              <w:spacing w:line="240" w:lineRule="auto"/>
              <w:rPr>
                <w:sz w:val="18"/>
                <w:szCs w:val="18"/>
              </w:rPr>
            </w:pPr>
            <w:r w:rsidRPr="00F12E16">
              <w:rPr>
                <w:sz w:val="18"/>
                <w:szCs w:val="18"/>
              </w:rPr>
              <w:t>Inverter rated reactive power</w:t>
            </w:r>
          </w:p>
        </w:tc>
      </w:tr>
      <w:tr w:rsidR="00E2284F" w:rsidRPr="00614453" w14:paraId="7804BDAD" w14:textId="77777777" w:rsidTr="00F12E16">
        <w:trPr>
          <w:jc w:val="center"/>
        </w:trPr>
        <w:tc>
          <w:tcPr>
            <w:tcW w:w="965" w:type="pct"/>
          </w:tcPr>
          <w:p w14:paraId="581B70F0" w14:textId="77777777" w:rsidR="00E2284F" w:rsidRPr="00F12E16" w:rsidRDefault="00E2284F" w:rsidP="00CD4F3A">
            <w:pPr>
              <w:pStyle w:val="BodyText"/>
              <w:spacing w:line="240" w:lineRule="auto"/>
              <w:rPr>
                <w:rFonts w:cs="Calibri"/>
                <w:sz w:val="18"/>
                <w:szCs w:val="18"/>
              </w:rPr>
            </w:pPr>
            <w:r w:rsidRPr="00F12E16">
              <w:rPr>
                <w:rFonts w:cs="Calibri"/>
                <w:i/>
                <w:iCs/>
                <w:sz w:val="18"/>
                <w:szCs w:val="18"/>
              </w:rPr>
              <w:t>v</w:t>
            </w:r>
            <w:r w:rsidRPr="00F12E16">
              <w:rPr>
                <w:sz w:val="18"/>
                <w:szCs w:val="18"/>
                <w:vertAlign w:val="subscript"/>
              </w:rPr>
              <w:t>dc</w:t>
            </w:r>
          </w:p>
        </w:tc>
        <w:tc>
          <w:tcPr>
            <w:tcW w:w="1142" w:type="pct"/>
          </w:tcPr>
          <w:p w14:paraId="2FC89A81" w14:textId="77777777" w:rsidR="00E2284F" w:rsidRPr="00F12E16" w:rsidRDefault="00E2284F" w:rsidP="00CD4F3A">
            <w:pPr>
              <w:pStyle w:val="BodyText"/>
              <w:spacing w:line="240" w:lineRule="auto"/>
              <w:rPr>
                <w:sz w:val="18"/>
                <w:szCs w:val="18"/>
              </w:rPr>
            </w:pPr>
            <w:r w:rsidRPr="00F12E16">
              <w:rPr>
                <w:sz w:val="18"/>
                <w:szCs w:val="18"/>
              </w:rPr>
              <w:t>1.5</w:t>
            </w:r>
          </w:p>
        </w:tc>
        <w:tc>
          <w:tcPr>
            <w:tcW w:w="965" w:type="pct"/>
          </w:tcPr>
          <w:p w14:paraId="3DDC0F3F" w14:textId="77777777" w:rsidR="00E2284F" w:rsidRPr="00F12E16" w:rsidRDefault="00E2284F" w:rsidP="00CD4F3A">
            <w:pPr>
              <w:pStyle w:val="BodyText"/>
              <w:spacing w:line="240" w:lineRule="auto"/>
              <w:rPr>
                <w:sz w:val="18"/>
                <w:szCs w:val="18"/>
              </w:rPr>
            </w:pPr>
            <w:r w:rsidRPr="00F12E16">
              <w:rPr>
                <w:sz w:val="18"/>
                <w:szCs w:val="18"/>
              </w:rPr>
              <w:t>kV</w:t>
            </w:r>
          </w:p>
        </w:tc>
        <w:tc>
          <w:tcPr>
            <w:tcW w:w="1929" w:type="pct"/>
          </w:tcPr>
          <w:p w14:paraId="3E41A932" w14:textId="77777777" w:rsidR="00E2284F" w:rsidRPr="00F12E16" w:rsidRDefault="00E2284F" w:rsidP="00CD4F3A">
            <w:pPr>
              <w:pStyle w:val="BodyText"/>
              <w:spacing w:line="240" w:lineRule="auto"/>
              <w:rPr>
                <w:sz w:val="18"/>
                <w:szCs w:val="18"/>
              </w:rPr>
            </w:pPr>
            <w:r w:rsidRPr="00F12E16">
              <w:rPr>
                <w:sz w:val="18"/>
                <w:szCs w:val="18"/>
              </w:rPr>
              <w:t>DC Bus voltage</w:t>
            </w:r>
          </w:p>
        </w:tc>
      </w:tr>
      <w:tr w:rsidR="00E2284F" w:rsidRPr="00614453" w14:paraId="3B241508" w14:textId="77777777" w:rsidTr="00F12E16">
        <w:trPr>
          <w:jc w:val="center"/>
        </w:trPr>
        <w:tc>
          <w:tcPr>
            <w:tcW w:w="965" w:type="pct"/>
            <w:shd w:val="clear" w:color="auto" w:fill="D9D9D9" w:themeFill="background2" w:themeFillShade="D9"/>
          </w:tcPr>
          <w:p w14:paraId="68ED7FDE" w14:textId="77777777" w:rsidR="00E2284F" w:rsidRPr="00F12E16" w:rsidRDefault="00E2284F" w:rsidP="00CD4F3A">
            <w:pPr>
              <w:pStyle w:val="BodyText"/>
              <w:spacing w:line="240" w:lineRule="auto"/>
              <w:rPr>
                <w:rFonts w:cs="Calibri"/>
                <w:sz w:val="18"/>
                <w:szCs w:val="18"/>
              </w:rPr>
            </w:pPr>
            <w:proofErr w:type="spellStart"/>
            <w:r w:rsidRPr="00F12E16">
              <w:rPr>
                <w:rFonts w:cs="Calibri"/>
                <w:i/>
                <w:iCs/>
                <w:sz w:val="18"/>
                <w:szCs w:val="18"/>
              </w:rPr>
              <w:t>L</w:t>
            </w:r>
            <w:r w:rsidRPr="00F12E16">
              <w:rPr>
                <w:sz w:val="18"/>
                <w:szCs w:val="18"/>
                <w:vertAlign w:val="subscript"/>
              </w:rPr>
              <w:t>f</w:t>
            </w:r>
            <w:proofErr w:type="spellEnd"/>
          </w:p>
        </w:tc>
        <w:tc>
          <w:tcPr>
            <w:tcW w:w="1142" w:type="pct"/>
            <w:shd w:val="clear" w:color="auto" w:fill="D9D9D9" w:themeFill="background2" w:themeFillShade="D9"/>
          </w:tcPr>
          <w:p w14:paraId="7A4F68BF" w14:textId="77777777" w:rsidR="00E2284F" w:rsidRPr="00F12E16" w:rsidRDefault="00E2284F" w:rsidP="00CD4F3A">
            <w:pPr>
              <w:pStyle w:val="BodyText"/>
              <w:spacing w:line="240" w:lineRule="auto"/>
              <w:rPr>
                <w:sz w:val="18"/>
                <w:szCs w:val="18"/>
              </w:rPr>
            </w:pPr>
            <w:r w:rsidRPr="00F12E16">
              <w:rPr>
                <w:sz w:val="18"/>
                <w:szCs w:val="18"/>
              </w:rPr>
              <w:t>95</w:t>
            </w:r>
          </w:p>
        </w:tc>
        <w:tc>
          <w:tcPr>
            <w:tcW w:w="965" w:type="pct"/>
            <w:shd w:val="clear" w:color="auto" w:fill="D9D9D9" w:themeFill="background2" w:themeFillShade="D9"/>
          </w:tcPr>
          <w:p w14:paraId="53726650" w14:textId="77777777" w:rsidR="00E2284F" w:rsidRPr="00F12E16" w:rsidRDefault="00E2284F" w:rsidP="00CD4F3A">
            <w:pPr>
              <w:pStyle w:val="BodyText"/>
              <w:spacing w:line="240" w:lineRule="auto"/>
              <w:rPr>
                <w:sz w:val="18"/>
                <w:szCs w:val="18"/>
              </w:rPr>
            </w:pPr>
            <w:r w:rsidRPr="00F12E16">
              <w:rPr>
                <w:rFonts w:cs="Calibri"/>
                <w:sz w:val="18"/>
                <w:szCs w:val="18"/>
              </w:rPr>
              <w:t>µ</w:t>
            </w:r>
            <w:r w:rsidRPr="00F12E16">
              <w:rPr>
                <w:sz w:val="18"/>
                <w:szCs w:val="18"/>
              </w:rPr>
              <w:t>H</w:t>
            </w:r>
          </w:p>
        </w:tc>
        <w:tc>
          <w:tcPr>
            <w:tcW w:w="1929" w:type="pct"/>
            <w:shd w:val="clear" w:color="auto" w:fill="D9D9D9" w:themeFill="background2" w:themeFillShade="D9"/>
          </w:tcPr>
          <w:p w14:paraId="66CBFFE0" w14:textId="77777777" w:rsidR="00E2284F" w:rsidRPr="00F12E16" w:rsidRDefault="00E2284F" w:rsidP="00CD4F3A">
            <w:pPr>
              <w:pStyle w:val="BodyText"/>
              <w:spacing w:line="240" w:lineRule="auto"/>
              <w:rPr>
                <w:sz w:val="18"/>
                <w:szCs w:val="18"/>
              </w:rPr>
            </w:pPr>
            <w:r w:rsidRPr="00F12E16">
              <w:rPr>
                <w:sz w:val="18"/>
                <w:szCs w:val="18"/>
              </w:rPr>
              <w:t xml:space="preserve">Filter inductance </w:t>
            </w:r>
          </w:p>
        </w:tc>
      </w:tr>
      <w:tr w:rsidR="00E2284F" w:rsidRPr="00614453" w14:paraId="74E94A68" w14:textId="77777777" w:rsidTr="00F12E16">
        <w:trPr>
          <w:jc w:val="center"/>
        </w:trPr>
        <w:tc>
          <w:tcPr>
            <w:tcW w:w="965" w:type="pct"/>
          </w:tcPr>
          <w:p w14:paraId="7247B9E2" w14:textId="77777777" w:rsidR="00E2284F" w:rsidRPr="00F12E16" w:rsidRDefault="00E2284F" w:rsidP="00CD4F3A">
            <w:pPr>
              <w:pStyle w:val="BodyText"/>
              <w:spacing w:line="240" w:lineRule="auto"/>
              <w:rPr>
                <w:rFonts w:cs="Calibri"/>
                <w:i/>
                <w:iCs/>
                <w:sz w:val="18"/>
                <w:szCs w:val="18"/>
              </w:rPr>
            </w:pPr>
            <w:r w:rsidRPr="00F12E16">
              <w:rPr>
                <w:rFonts w:cs="Calibri"/>
                <w:i/>
                <w:iCs/>
                <w:sz w:val="18"/>
                <w:szCs w:val="18"/>
              </w:rPr>
              <w:t>R</w:t>
            </w:r>
            <w:r w:rsidRPr="00F12E16">
              <w:rPr>
                <w:sz w:val="18"/>
                <w:szCs w:val="18"/>
                <w:vertAlign w:val="subscript"/>
              </w:rPr>
              <w:t>f</w:t>
            </w:r>
          </w:p>
        </w:tc>
        <w:tc>
          <w:tcPr>
            <w:tcW w:w="1142" w:type="pct"/>
          </w:tcPr>
          <w:p w14:paraId="44B2F51C" w14:textId="77777777" w:rsidR="00E2284F" w:rsidRPr="00F12E16" w:rsidRDefault="00E2284F" w:rsidP="00CD4F3A">
            <w:pPr>
              <w:pStyle w:val="BodyText"/>
              <w:spacing w:line="240" w:lineRule="auto"/>
              <w:rPr>
                <w:sz w:val="18"/>
                <w:szCs w:val="18"/>
              </w:rPr>
            </w:pPr>
            <w:r w:rsidRPr="00F12E16">
              <w:rPr>
                <w:sz w:val="18"/>
                <w:szCs w:val="18"/>
              </w:rPr>
              <w:t>10</w:t>
            </w:r>
          </w:p>
        </w:tc>
        <w:tc>
          <w:tcPr>
            <w:tcW w:w="965" w:type="pct"/>
          </w:tcPr>
          <w:p w14:paraId="2071FD21" w14:textId="77777777" w:rsidR="00E2284F" w:rsidRPr="00F12E16" w:rsidRDefault="00E2284F" w:rsidP="00CD4F3A">
            <w:pPr>
              <w:pStyle w:val="BodyText"/>
              <w:spacing w:line="240" w:lineRule="auto"/>
              <w:rPr>
                <w:sz w:val="18"/>
                <w:szCs w:val="18"/>
              </w:rPr>
            </w:pPr>
            <w:r w:rsidRPr="00F12E16">
              <w:rPr>
                <w:sz w:val="18"/>
                <w:szCs w:val="18"/>
              </w:rPr>
              <w:t>mΩ</w:t>
            </w:r>
          </w:p>
        </w:tc>
        <w:tc>
          <w:tcPr>
            <w:tcW w:w="1929" w:type="pct"/>
          </w:tcPr>
          <w:p w14:paraId="5008992E" w14:textId="77777777" w:rsidR="00E2284F" w:rsidRPr="00F12E16" w:rsidRDefault="00E2284F" w:rsidP="00CD4F3A">
            <w:pPr>
              <w:pStyle w:val="BodyText"/>
              <w:spacing w:line="240" w:lineRule="auto"/>
              <w:rPr>
                <w:sz w:val="18"/>
                <w:szCs w:val="18"/>
              </w:rPr>
            </w:pPr>
            <w:r w:rsidRPr="00F12E16">
              <w:rPr>
                <w:sz w:val="18"/>
                <w:szCs w:val="18"/>
              </w:rPr>
              <w:t>Filter resistance</w:t>
            </w:r>
          </w:p>
        </w:tc>
      </w:tr>
      <w:tr w:rsidR="00E2284F" w:rsidRPr="00614453" w14:paraId="08D9B7B3" w14:textId="77777777" w:rsidTr="00F12E16">
        <w:trPr>
          <w:jc w:val="center"/>
        </w:trPr>
        <w:tc>
          <w:tcPr>
            <w:tcW w:w="965" w:type="pct"/>
            <w:shd w:val="clear" w:color="auto" w:fill="D9D9D9" w:themeFill="background2" w:themeFillShade="D9"/>
          </w:tcPr>
          <w:p w14:paraId="34D869AC" w14:textId="77777777" w:rsidR="00E2284F" w:rsidRPr="00F12E16" w:rsidRDefault="00E2284F" w:rsidP="00CD4F3A">
            <w:pPr>
              <w:pStyle w:val="BodyText"/>
              <w:spacing w:line="240" w:lineRule="auto"/>
              <w:rPr>
                <w:rFonts w:cs="Calibri"/>
                <w:i/>
                <w:iCs/>
                <w:sz w:val="18"/>
                <w:szCs w:val="18"/>
              </w:rPr>
            </w:pPr>
            <w:r w:rsidRPr="00F12E16">
              <w:rPr>
                <w:rFonts w:cs="Calibri"/>
                <w:i/>
                <w:iCs/>
                <w:sz w:val="18"/>
                <w:szCs w:val="18"/>
              </w:rPr>
              <w:t>C</w:t>
            </w:r>
            <w:r w:rsidRPr="00F12E16">
              <w:rPr>
                <w:sz w:val="18"/>
                <w:szCs w:val="18"/>
                <w:vertAlign w:val="subscript"/>
              </w:rPr>
              <w:t>f</w:t>
            </w:r>
          </w:p>
        </w:tc>
        <w:tc>
          <w:tcPr>
            <w:tcW w:w="1142" w:type="pct"/>
            <w:shd w:val="clear" w:color="auto" w:fill="D9D9D9" w:themeFill="background2" w:themeFillShade="D9"/>
          </w:tcPr>
          <w:p w14:paraId="6D5AC8EB" w14:textId="77777777" w:rsidR="00E2284F" w:rsidRPr="00F12E16" w:rsidRDefault="00E2284F" w:rsidP="00CD4F3A">
            <w:pPr>
              <w:pStyle w:val="BodyText"/>
              <w:spacing w:line="240" w:lineRule="auto"/>
              <w:rPr>
                <w:sz w:val="18"/>
                <w:szCs w:val="18"/>
              </w:rPr>
            </w:pPr>
            <w:r w:rsidRPr="00F12E16">
              <w:rPr>
                <w:sz w:val="18"/>
                <w:szCs w:val="18"/>
              </w:rPr>
              <w:t>1</w:t>
            </w:r>
          </w:p>
        </w:tc>
        <w:tc>
          <w:tcPr>
            <w:tcW w:w="965" w:type="pct"/>
            <w:shd w:val="clear" w:color="auto" w:fill="D9D9D9" w:themeFill="background2" w:themeFillShade="D9"/>
          </w:tcPr>
          <w:p w14:paraId="4EDACC9E" w14:textId="77777777" w:rsidR="00E2284F" w:rsidRPr="00F12E16" w:rsidRDefault="00E2284F" w:rsidP="00CD4F3A">
            <w:pPr>
              <w:pStyle w:val="BodyText"/>
              <w:spacing w:line="240" w:lineRule="auto"/>
              <w:rPr>
                <w:sz w:val="18"/>
                <w:szCs w:val="18"/>
              </w:rPr>
            </w:pPr>
            <w:r w:rsidRPr="00F12E16">
              <w:rPr>
                <w:sz w:val="18"/>
                <w:szCs w:val="18"/>
              </w:rPr>
              <w:t>mF</w:t>
            </w:r>
          </w:p>
        </w:tc>
        <w:tc>
          <w:tcPr>
            <w:tcW w:w="1929" w:type="pct"/>
            <w:shd w:val="clear" w:color="auto" w:fill="D9D9D9" w:themeFill="background2" w:themeFillShade="D9"/>
          </w:tcPr>
          <w:p w14:paraId="3AE89CF2" w14:textId="77777777" w:rsidR="00E2284F" w:rsidRPr="00F12E16" w:rsidRDefault="00E2284F" w:rsidP="00CD4F3A">
            <w:pPr>
              <w:pStyle w:val="BodyText"/>
              <w:spacing w:line="240" w:lineRule="auto"/>
              <w:rPr>
                <w:sz w:val="18"/>
                <w:szCs w:val="18"/>
              </w:rPr>
            </w:pPr>
            <w:r w:rsidRPr="00F12E16">
              <w:rPr>
                <w:sz w:val="18"/>
                <w:szCs w:val="18"/>
              </w:rPr>
              <w:t>Filter capacitance</w:t>
            </w:r>
          </w:p>
        </w:tc>
      </w:tr>
      <w:tr w:rsidR="00E2284F" w:rsidRPr="00614453" w14:paraId="0E7CC2C3" w14:textId="77777777" w:rsidTr="00F12E16">
        <w:trPr>
          <w:jc w:val="center"/>
        </w:trPr>
        <w:tc>
          <w:tcPr>
            <w:tcW w:w="5000" w:type="pct"/>
            <w:gridSpan w:val="4"/>
            <w:shd w:val="clear" w:color="auto" w:fill="000000" w:themeFill="text2"/>
          </w:tcPr>
          <w:p w14:paraId="236901F4" w14:textId="77777777" w:rsidR="00E2284F" w:rsidRPr="00F12E16" w:rsidRDefault="00E2284F" w:rsidP="00CD4F3A">
            <w:pPr>
              <w:pStyle w:val="BodyText"/>
              <w:spacing w:line="240" w:lineRule="auto"/>
              <w:rPr>
                <w:sz w:val="18"/>
                <w:szCs w:val="18"/>
              </w:rPr>
            </w:pPr>
            <w:r w:rsidRPr="00F12E16">
              <w:rPr>
                <w:color w:val="FFFFFF" w:themeColor="background1"/>
                <w:sz w:val="18"/>
                <w:szCs w:val="18"/>
              </w:rPr>
              <w:t>Control parameters for primary loop</w:t>
            </w:r>
          </w:p>
        </w:tc>
      </w:tr>
      <w:tr w:rsidR="00E2284F" w:rsidRPr="00614453" w14:paraId="68D15EB7" w14:textId="77777777" w:rsidTr="00F12E16">
        <w:trPr>
          <w:jc w:val="center"/>
        </w:trPr>
        <w:tc>
          <w:tcPr>
            <w:tcW w:w="965" w:type="pct"/>
          </w:tcPr>
          <w:p w14:paraId="63487380" w14:textId="77777777" w:rsidR="00E2284F" w:rsidRPr="00F12E16" w:rsidRDefault="00E2284F" w:rsidP="00CD4F3A">
            <w:pPr>
              <w:pStyle w:val="BodyText"/>
              <w:spacing w:line="240" w:lineRule="auto"/>
              <w:rPr>
                <w:color w:val="FFFFFF" w:themeColor="background1"/>
                <w:sz w:val="18"/>
                <w:szCs w:val="18"/>
              </w:rPr>
            </w:pPr>
            <w:proofErr w:type="spellStart"/>
            <w:r w:rsidRPr="00F12E16">
              <w:rPr>
                <w:rFonts w:cs="Calibri"/>
                <w:i/>
                <w:iCs/>
                <w:sz w:val="18"/>
                <w:szCs w:val="18"/>
              </w:rPr>
              <w:t>D</w:t>
            </w:r>
            <w:r w:rsidRPr="00F12E16">
              <w:rPr>
                <w:sz w:val="18"/>
                <w:szCs w:val="18"/>
                <w:vertAlign w:val="subscript"/>
              </w:rPr>
              <w:t>p</w:t>
            </w:r>
            <w:proofErr w:type="spellEnd"/>
          </w:p>
        </w:tc>
        <w:tc>
          <w:tcPr>
            <w:tcW w:w="1142" w:type="pct"/>
          </w:tcPr>
          <w:p w14:paraId="6D83EC55" w14:textId="77777777" w:rsidR="00E2284F" w:rsidRPr="00F12E16" w:rsidRDefault="00E2284F" w:rsidP="00CD4F3A">
            <w:pPr>
              <w:pStyle w:val="BodyText"/>
              <w:spacing w:line="240" w:lineRule="auto"/>
              <w:rPr>
                <w:color w:val="FFFFFF" w:themeColor="background1"/>
                <w:sz w:val="18"/>
                <w:szCs w:val="18"/>
              </w:rPr>
            </w:pPr>
            <w:r w:rsidRPr="00F12E16">
              <w:rPr>
                <w:color w:val="auto"/>
                <w:sz w:val="18"/>
                <w:szCs w:val="18"/>
              </w:rPr>
              <w:t>1.273×10</w:t>
            </w:r>
            <w:r w:rsidRPr="00F12E16">
              <w:rPr>
                <w:color w:val="auto"/>
                <w:sz w:val="18"/>
                <w:szCs w:val="18"/>
                <w:vertAlign w:val="superscript"/>
              </w:rPr>
              <w:t>6</w:t>
            </w:r>
          </w:p>
        </w:tc>
        <w:tc>
          <w:tcPr>
            <w:tcW w:w="965" w:type="pct"/>
          </w:tcPr>
          <w:p w14:paraId="790E7C3A" w14:textId="77777777" w:rsidR="00E2284F" w:rsidRPr="00F12E16" w:rsidRDefault="00E2284F" w:rsidP="00CD4F3A">
            <w:pPr>
              <w:pStyle w:val="BodyText"/>
              <w:spacing w:line="240" w:lineRule="auto"/>
              <w:rPr>
                <w:color w:val="auto"/>
                <w:sz w:val="18"/>
                <w:szCs w:val="18"/>
              </w:rPr>
            </w:pPr>
            <w:r w:rsidRPr="00F12E16">
              <w:rPr>
                <w:color w:val="auto"/>
                <w:sz w:val="18"/>
                <w:szCs w:val="18"/>
              </w:rPr>
              <w:t>W·s/rad</w:t>
            </w:r>
          </w:p>
        </w:tc>
        <w:tc>
          <w:tcPr>
            <w:tcW w:w="1929" w:type="pct"/>
          </w:tcPr>
          <w:p w14:paraId="3BC0A6F2" w14:textId="77777777" w:rsidR="00E2284F" w:rsidRPr="00F12E16" w:rsidRDefault="00E2284F" w:rsidP="00CD4F3A">
            <w:pPr>
              <w:pStyle w:val="BodyText"/>
              <w:spacing w:line="240" w:lineRule="auto"/>
              <w:rPr>
                <w:color w:val="auto"/>
                <w:sz w:val="18"/>
                <w:szCs w:val="18"/>
              </w:rPr>
            </w:pPr>
            <w:r w:rsidRPr="00F12E16">
              <w:rPr>
                <w:color w:val="auto"/>
                <w:sz w:val="18"/>
                <w:szCs w:val="18"/>
              </w:rPr>
              <w:t>Damping coefficient</w:t>
            </w:r>
          </w:p>
        </w:tc>
      </w:tr>
      <w:tr w:rsidR="00E2284F" w:rsidRPr="00614453" w14:paraId="3B10B8B4" w14:textId="77777777" w:rsidTr="00F12E16">
        <w:trPr>
          <w:jc w:val="center"/>
        </w:trPr>
        <w:tc>
          <w:tcPr>
            <w:tcW w:w="965" w:type="pct"/>
            <w:shd w:val="clear" w:color="auto" w:fill="D9D9D9" w:themeFill="background2" w:themeFillShade="D9"/>
          </w:tcPr>
          <w:p w14:paraId="432B734A" w14:textId="77777777" w:rsidR="00E2284F" w:rsidRPr="00F12E16" w:rsidRDefault="00E2284F" w:rsidP="00CD4F3A">
            <w:pPr>
              <w:pStyle w:val="BodyText"/>
              <w:spacing w:line="240" w:lineRule="auto"/>
              <w:rPr>
                <w:i/>
                <w:iCs/>
                <w:color w:val="auto"/>
                <w:sz w:val="18"/>
                <w:szCs w:val="18"/>
              </w:rPr>
            </w:pPr>
            <w:r w:rsidRPr="00F12E16">
              <w:rPr>
                <w:i/>
                <w:iCs/>
                <w:color w:val="auto"/>
                <w:sz w:val="18"/>
                <w:szCs w:val="18"/>
              </w:rPr>
              <w:t>J</w:t>
            </w:r>
          </w:p>
        </w:tc>
        <w:tc>
          <w:tcPr>
            <w:tcW w:w="1142" w:type="pct"/>
            <w:shd w:val="clear" w:color="auto" w:fill="D9D9D9" w:themeFill="background2" w:themeFillShade="D9"/>
          </w:tcPr>
          <w:p w14:paraId="74F2AB6E" w14:textId="77777777" w:rsidR="00E2284F" w:rsidRPr="00F12E16" w:rsidRDefault="00E2284F" w:rsidP="00CD4F3A">
            <w:pPr>
              <w:pStyle w:val="BodyText"/>
              <w:spacing w:line="240" w:lineRule="auto"/>
              <w:rPr>
                <w:color w:val="auto"/>
                <w:sz w:val="18"/>
                <w:szCs w:val="18"/>
              </w:rPr>
            </w:pPr>
            <w:r w:rsidRPr="00F12E16">
              <w:rPr>
                <w:color w:val="auto"/>
                <w:sz w:val="18"/>
                <w:szCs w:val="18"/>
              </w:rPr>
              <w:t>2026</w:t>
            </w:r>
          </w:p>
        </w:tc>
        <w:tc>
          <w:tcPr>
            <w:tcW w:w="965" w:type="pct"/>
            <w:shd w:val="clear" w:color="auto" w:fill="D9D9D9" w:themeFill="background2" w:themeFillShade="D9"/>
          </w:tcPr>
          <w:p w14:paraId="1CA79B17" w14:textId="77777777" w:rsidR="00E2284F" w:rsidRPr="00F12E16" w:rsidRDefault="00E2284F" w:rsidP="00CD4F3A">
            <w:pPr>
              <w:pStyle w:val="BodyText"/>
              <w:spacing w:line="240" w:lineRule="auto"/>
              <w:rPr>
                <w:color w:val="auto"/>
                <w:sz w:val="18"/>
                <w:szCs w:val="18"/>
              </w:rPr>
            </w:pPr>
            <w:r w:rsidRPr="00F12E16">
              <w:rPr>
                <w:color w:val="auto"/>
                <w:sz w:val="18"/>
                <w:szCs w:val="18"/>
              </w:rPr>
              <w:t>W·s</w:t>
            </w:r>
            <w:r w:rsidRPr="00F12E16">
              <w:rPr>
                <w:color w:val="auto"/>
                <w:sz w:val="18"/>
                <w:szCs w:val="18"/>
                <w:vertAlign w:val="superscript"/>
              </w:rPr>
              <w:t>2</w:t>
            </w:r>
            <w:r w:rsidRPr="00F12E16">
              <w:rPr>
                <w:color w:val="auto"/>
                <w:sz w:val="18"/>
                <w:szCs w:val="18"/>
              </w:rPr>
              <w:t>/rad</w:t>
            </w:r>
          </w:p>
        </w:tc>
        <w:tc>
          <w:tcPr>
            <w:tcW w:w="1929" w:type="pct"/>
            <w:shd w:val="clear" w:color="auto" w:fill="D9D9D9" w:themeFill="background2" w:themeFillShade="D9"/>
          </w:tcPr>
          <w:p w14:paraId="64F58C35" w14:textId="77777777" w:rsidR="00E2284F" w:rsidRPr="00F12E16" w:rsidRDefault="00E2284F" w:rsidP="00CD4F3A">
            <w:pPr>
              <w:pStyle w:val="BodyText"/>
              <w:spacing w:line="240" w:lineRule="auto"/>
              <w:rPr>
                <w:color w:val="auto"/>
                <w:sz w:val="18"/>
                <w:szCs w:val="18"/>
              </w:rPr>
            </w:pPr>
            <w:r w:rsidRPr="00F12E16">
              <w:rPr>
                <w:color w:val="auto"/>
                <w:sz w:val="18"/>
                <w:szCs w:val="18"/>
              </w:rPr>
              <w:t>Inertia coefficient</w:t>
            </w:r>
          </w:p>
        </w:tc>
      </w:tr>
      <w:tr w:rsidR="00E2284F" w:rsidRPr="00614453" w14:paraId="66ABB13C" w14:textId="77777777" w:rsidTr="00F12E16">
        <w:trPr>
          <w:jc w:val="center"/>
        </w:trPr>
        <w:tc>
          <w:tcPr>
            <w:tcW w:w="965" w:type="pct"/>
          </w:tcPr>
          <w:p w14:paraId="0B8A9701" w14:textId="77777777" w:rsidR="00E2284F" w:rsidRPr="00F12E16" w:rsidRDefault="00E2284F" w:rsidP="00CD4F3A">
            <w:pPr>
              <w:pStyle w:val="BodyText"/>
              <w:spacing w:line="240" w:lineRule="auto"/>
              <w:rPr>
                <w:color w:val="auto"/>
                <w:sz w:val="18"/>
                <w:szCs w:val="18"/>
              </w:rPr>
            </w:pPr>
            <w:proofErr w:type="spellStart"/>
            <w:r w:rsidRPr="00F12E16">
              <w:rPr>
                <w:rFonts w:cs="Calibri"/>
                <w:i/>
                <w:iCs/>
                <w:sz w:val="18"/>
                <w:szCs w:val="18"/>
              </w:rPr>
              <w:t>V</w:t>
            </w:r>
            <w:r w:rsidRPr="00F12E16">
              <w:rPr>
                <w:sz w:val="18"/>
                <w:szCs w:val="18"/>
                <w:vertAlign w:val="subscript"/>
              </w:rPr>
              <w:t>d</w:t>
            </w:r>
            <w:proofErr w:type="spellEnd"/>
            <w:r w:rsidRPr="00F12E16">
              <w:rPr>
                <w:sz w:val="18"/>
                <w:szCs w:val="18"/>
                <w:vertAlign w:val="subscript"/>
              </w:rPr>
              <w:t>-ref-FVC</w:t>
            </w:r>
          </w:p>
        </w:tc>
        <w:tc>
          <w:tcPr>
            <w:tcW w:w="1142" w:type="pct"/>
          </w:tcPr>
          <w:p w14:paraId="5ECFAB06" w14:textId="77777777" w:rsidR="00E2284F" w:rsidRPr="00F12E16" w:rsidRDefault="00E2284F" w:rsidP="00CD4F3A">
            <w:pPr>
              <w:pStyle w:val="BodyText"/>
              <w:spacing w:line="240" w:lineRule="auto"/>
              <w:rPr>
                <w:color w:val="auto"/>
                <w:sz w:val="18"/>
                <w:szCs w:val="18"/>
              </w:rPr>
            </w:pPr>
            <w:r w:rsidRPr="00F12E16">
              <w:rPr>
                <w:color w:val="auto"/>
                <w:sz w:val="18"/>
                <w:szCs w:val="18"/>
              </w:rPr>
              <w:t xml:space="preserve">690× </w:t>
            </w:r>
            <w:proofErr w:type="gramStart"/>
            <w:r w:rsidRPr="00F12E16">
              <w:rPr>
                <w:color w:val="auto"/>
                <w:sz w:val="18"/>
                <w:szCs w:val="18"/>
              </w:rPr>
              <w:t>sqrt(</w:t>
            </w:r>
            <w:proofErr w:type="gramEnd"/>
            <w:r w:rsidRPr="00F12E16">
              <w:rPr>
                <w:color w:val="auto"/>
                <w:sz w:val="18"/>
                <w:szCs w:val="18"/>
              </w:rPr>
              <w:t>2/3)</w:t>
            </w:r>
          </w:p>
        </w:tc>
        <w:tc>
          <w:tcPr>
            <w:tcW w:w="965" w:type="pct"/>
          </w:tcPr>
          <w:p w14:paraId="5FE0DEB8" w14:textId="77777777" w:rsidR="00E2284F" w:rsidRPr="00F12E16" w:rsidRDefault="00E2284F" w:rsidP="00CD4F3A">
            <w:pPr>
              <w:pStyle w:val="BodyText"/>
              <w:spacing w:line="240" w:lineRule="auto"/>
              <w:rPr>
                <w:color w:val="auto"/>
                <w:sz w:val="18"/>
                <w:szCs w:val="18"/>
              </w:rPr>
            </w:pPr>
            <w:r w:rsidRPr="00F12E16">
              <w:rPr>
                <w:color w:val="auto"/>
                <w:sz w:val="18"/>
                <w:szCs w:val="18"/>
              </w:rPr>
              <w:t>V</w:t>
            </w:r>
          </w:p>
        </w:tc>
        <w:tc>
          <w:tcPr>
            <w:tcW w:w="1929" w:type="pct"/>
          </w:tcPr>
          <w:p w14:paraId="50CD1501" w14:textId="77777777" w:rsidR="00E2284F" w:rsidRPr="00F12E16" w:rsidRDefault="00E2284F" w:rsidP="00CD4F3A">
            <w:pPr>
              <w:pStyle w:val="BodyText"/>
              <w:spacing w:line="240" w:lineRule="auto"/>
              <w:rPr>
                <w:color w:val="auto"/>
                <w:sz w:val="18"/>
                <w:szCs w:val="18"/>
              </w:rPr>
            </w:pPr>
            <w:r w:rsidRPr="00F12E16">
              <w:rPr>
                <w:color w:val="auto"/>
                <w:sz w:val="18"/>
                <w:szCs w:val="18"/>
              </w:rPr>
              <w:t>Voltage reference of the FVC strategy</w:t>
            </w:r>
          </w:p>
        </w:tc>
      </w:tr>
      <w:tr w:rsidR="00E2284F" w:rsidRPr="00614453" w14:paraId="3F765033" w14:textId="77777777" w:rsidTr="00F12E16">
        <w:trPr>
          <w:jc w:val="center"/>
        </w:trPr>
        <w:tc>
          <w:tcPr>
            <w:tcW w:w="965" w:type="pct"/>
            <w:shd w:val="clear" w:color="auto" w:fill="D9D9D9" w:themeFill="background2" w:themeFillShade="D9"/>
          </w:tcPr>
          <w:p w14:paraId="63BB3DE3" w14:textId="77777777" w:rsidR="00E2284F" w:rsidRPr="00F12E16" w:rsidRDefault="00E2284F" w:rsidP="00CD4F3A">
            <w:pPr>
              <w:pStyle w:val="BodyText"/>
              <w:spacing w:line="240" w:lineRule="auto"/>
              <w:rPr>
                <w:color w:val="auto"/>
                <w:sz w:val="18"/>
                <w:szCs w:val="18"/>
              </w:rPr>
            </w:pPr>
            <w:proofErr w:type="spellStart"/>
            <w:r w:rsidRPr="00F12E16">
              <w:rPr>
                <w:rFonts w:cs="Calibri"/>
                <w:i/>
                <w:iCs/>
                <w:sz w:val="18"/>
                <w:szCs w:val="18"/>
              </w:rPr>
              <w:t>K</w:t>
            </w:r>
            <w:r w:rsidRPr="00F12E16">
              <w:rPr>
                <w:sz w:val="18"/>
                <w:szCs w:val="18"/>
                <w:vertAlign w:val="subscript"/>
              </w:rPr>
              <w:t>p</w:t>
            </w:r>
            <w:proofErr w:type="spellEnd"/>
            <w:r w:rsidRPr="00F12E16">
              <w:rPr>
                <w:sz w:val="18"/>
                <w:szCs w:val="18"/>
                <w:vertAlign w:val="subscript"/>
              </w:rPr>
              <w:t>-FVC</w:t>
            </w:r>
          </w:p>
        </w:tc>
        <w:tc>
          <w:tcPr>
            <w:tcW w:w="1142" w:type="pct"/>
            <w:shd w:val="clear" w:color="auto" w:fill="D9D9D9" w:themeFill="background2" w:themeFillShade="D9"/>
          </w:tcPr>
          <w:p w14:paraId="2142074E" w14:textId="77777777" w:rsidR="00E2284F" w:rsidRPr="00F12E16" w:rsidRDefault="00E2284F" w:rsidP="00CD4F3A">
            <w:pPr>
              <w:pStyle w:val="BodyText"/>
              <w:spacing w:line="240" w:lineRule="auto"/>
              <w:rPr>
                <w:color w:val="auto"/>
                <w:sz w:val="18"/>
                <w:szCs w:val="18"/>
              </w:rPr>
            </w:pPr>
            <w:r w:rsidRPr="00F12E16">
              <w:rPr>
                <w:color w:val="auto"/>
                <w:sz w:val="18"/>
                <w:szCs w:val="18"/>
              </w:rPr>
              <w:t>1.5×10</w:t>
            </w:r>
            <w:r w:rsidRPr="00F12E16">
              <w:rPr>
                <w:color w:val="auto"/>
                <w:sz w:val="18"/>
                <w:szCs w:val="18"/>
                <w:vertAlign w:val="superscript"/>
              </w:rPr>
              <w:t>−5</w:t>
            </w:r>
          </w:p>
        </w:tc>
        <w:tc>
          <w:tcPr>
            <w:tcW w:w="965" w:type="pct"/>
            <w:shd w:val="clear" w:color="auto" w:fill="D9D9D9" w:themeFill="background2" w:themeFillShade="D9"/>
          </w:tcPr>
          <w:p w14:paraId="7D1F0D01" w14:textId="77777777" w:rsidR="00E2284F" w:rsidRPr="00F12E16" w:rsidRDefault="00E2284F" w:rsidP="00CD4F3A">
            <w:pPr>
              <w:pStyle w:val="BodyText"/>
              <w:spacing w:line="240" w:lineRule="auto"/>
              <w:rPr>
                <w:color w:val="auto"/>
                <w:sz w:val="18"/>
                <w:szCs w:val="18"/>
              </w:rPr>
            </w:pPr>
            <w:r w:rsidRPr="00F12E16">
              <w:rPr>
                <w:color w:val="auto"/>
                <w:sz w:val="18"/>
                <w:szCs w:val="18"/>
              </w:rPr>
              <w:t>-</w:t>
            </w:r>
          </w:p>
        </w:tc>
        <w:tc>
          <w:tcPr>
            <w:tcW w:w="1929" w:type="pct"/>
            <w:shd w:val="clear" w:color="auto" w:fill="D9D9D9" w:themeFill="background2" w:themeFillShade="D9"/>
          </w:tcPr>
          <w:p w14:paraId="2B42DF1E" w14:textId="77777777" w:rsidR="00E2284F" w:rsidRPr="00F12E16" w:rsidRDefault="00E2284F" w:rsidP="00CD4F3A">
            <w:pPr>
              <w:pStyle w:val="BodyText"/>
              <w:spacing w:line="240" w:lineRule="auto"/>
              <w:rPr>
                <w:color w:val="auto"/>
                <w:sz w:val="18"/>
                <w:szCs w:val="18"/>
              </w:rPr>
            </w:pPr>
            <w:r w:rsidRPr="00F12E16">
              <w:rPr>
                <w:color w:val="auto"/>
                <w:sz w:val="18"/>
                <w:szCs w:val="18"/>
              </w:rPr>
              <w:t>Proportional gain of PVC strategy</w:t>
            </w:r>
          </w:p>
        </w:tc>
      </w:tr>
      <w:tr w:rsidR="00E2284F" w:rsidRPr="00614453" w14:paraId="533F6F62" w14:textId="77777777" w:rsidTr="00F12E16">
        <w:trPr>
          <w:jc w:val="center"/>
        </w:trPr>
        <w:tc>
          <w:tcPr>
            <w:tcW w:w="965" w:type="pct"/>
          </w:tcPr>
          <w:p w14:paraId="38EF8740" w14:textId="77777777" w:rsidR="00E2284F" w:rsidRPr="00F12E16" w:rsidRDefault="00E2284F" w:rsidP="00CD4F3A">
            <w:pPr>
              <w:pStyle w:val="BodyText"/>
              <w:spacing w:line="240" w:lineRule="auto"/>
              <w:rPr>
                <w:color w:val="auto"/>
                <w:sz w:val="18"/>
                <w:szCs w:val="18"/>
              </w:rPr>
            </w:pPr>
            <w:r w:rsidRPr="00F12E16">
              <w:rPr>
                <w:rFonts w:cs="Calibri"/>
                <w:i/>
                <w:iCs/>
                <w:sz w:val="18"/>
                <w:szCs w:val="18"/>
              </w:rPr>
              <w:t>K</w:t>
            </w:r>
            <w:r w:rsidRPr="00F12E16">
              <w:rPr>
                <w:sz w:val="18"/>
                <w:szCs w:val="18"/>
                <w:vertAlign w:val="subscript"/>
              </w:rPr>
              <w:t>i-FVC</w:t>
            </w:r>
          </w:p>
        </w:tc>
        <w:tc>
          <w:tcPr>
            <w:tcW w:w="1142" w:type="pct"/>
          </w:tcPr>
          <w:p w14:paraId="58246A1B" w14:textId="77777777" w:rsidR="00E2284F" w:rsidRPr="00F12E16" w:rsidRDefault="00E2284F" w:rsidP="00CD4F3A">
            <w:pPr>
              <w:pStyle w:val="BodyText"/>
              <w:spacing w:line="240" w:lineRule="auto"/>
              <w:rPr>
                <w:color w:val="auto"/>
                <w:sz w:val="18"/>
                <w:szCs w:val="18"/>
              </w:rPr>
            </w:pPr>
            <w:r w:rsidRPr="00F12E16">
              <w:rPr>
                <w:color w:val="auto"/>
                <w:sz w:val="18"/>
                <w:szCs w:val="18"/>
              </w:rPr>
              <w:t>75</w:t>
            </w:r>
          </w:p>
        </w:tc>
        <w:tc>
          <w:tcPr>
            <w:tcW w:w="965" w:type="pct"/>
          </w:tcPr>
          <w:p w14:paraId="08076F12" w14:textId="77777777" w:rsidR="00E2284F" w:rsidRPr="00F12E16" w:rsidRDefault="00E2284F" w:rsidP="00CD4F3A">
            <w:pPr>
              <w:pStyle w:val="BodyText"/>
              <w:spacing w:line="240" w:lineRule="auto"/>
              <w:rPr>
                <w:color w:val="auto"/>
                <w:sz w:val="18"/>
                <w:szCs w:val="18"/>
              </w:rPr>
            </w:pPr>
            <w:r w:rsidRPr="00F12E16">
              <w:rPr>
                <w:color w:val="auto"/>
                <w:sz w:val="18"/>
                <w:szCs w:val="18"/>
              </w:rPr>
              <w:t>-</w:t>
            </w:r>
          </w:p>
        </w:tc>
        <w:tc>
          <w:tcPr>
            <w:tcW w:w="1929" w:type="pct"/>
          </w:tcPr>
          <w:p w14:paraId="203CB02D" w14:textId="77777777" w:rsidR="00E2284F" w:rsidRPr="00F12E16" w:rsidRDefault="00E2284F" w:rsidP="00CD4F3A">
            <w:pPr>
              <w:pStyle w:val="BodyText"/>
              <w:spacing w:line="240" w:lineRule="auto"/>
              <w:rPr>
                <w:color w:val="auto"/>
                <w:sz w:val="18"/>
                <w:szCs w:val="18"/>
              </w:rPr>
            </w:pPr>
            <w:r w:rsidRPr="00F12E16">
              <w:rPr>
                <w:color w:val="auto"/>
                <w:sz w:val="18"/>
                <w:szCs w:val="18"/>
              </w:rPr>
              <w:t>Integral gain of PVC</w:t>
            </w:r>
          </w:p>
        </w:tc>
      </w:tr>
      <w:tr w:rsidR="00E2284F" w:rsidRPr="00614453" w14:paraId="3B97C769" w14:textId="77777777" w:rsidTr="00F12E16">
        <w:trPr>
          <w:jc w:val="center"/>
        </w:trPr>
        <w:tc>
          <w:tcPr>
            <w:tcW w:w="965" w:type="pct"/>
            <w:shd w:val="clear" w:color="auto" w:fill="D9D9D9" w:themeFill="background2" w:themeFillShade="D9"/>
          </w:tcPr>
          <w:p w14:paraId="43A0F5EB" w14:textId="77777777" w:rsidR="00E2284F" w:rsidRPr="00F12E16" w:rsidRDefault="00E2284F" w:rsidP="00CD4F3A">
            <w:pPr>
              <w:pStyle w:val="BodyText"/>
              <w:spacing w:line="240" w:lineRule="auto"/>
              <w:rPr>
                <w:color w:val="auto"/>
                <w:sz w:val="18"/>
                <w:szCs w:val="18"/>
              </w:rPr>
            </w:pPr>
            <w:proofErr w:type="spellStart"/>
            <w:r w:rsidRPr="00F12E16">
              <w:rPr>
                <w:rFonts w:cs="Calibri"/>
                <w:i/>
                <w:iCs/>
                <w:sz w:val="18"/>
                <w:szCs w:val="18"/>
              </w:rPr>
              <w:t>K</w:t>
            </w:r>
            <w:r w:rsidRPr="00F12E16">
              <w:rPr>
                <w:sz w:val="18"/>
                <w:szCs w:val="18"/>
                <w:vertAlign w:val="subscript"/>
              </w:rPr>
              <w:t>q</w:t>
            </w:r>
            <w:proofErr w:type="spellEnd"/>
            <w:r w:rsidRPr="00F12E16">
              <w:rPr>
                <w:sz w:val="18"/>
                <w:szCs w:val="18"/>
                <w:vertAlign w:val="subscript"/>
              </w:rPr>
              <w:t>-AVR</w:t>
            </w:r>
          </w:p>
        </w:tc>
        <w:tc>
          <w:tcPr>
            <w:tcW w:w="1142" w:type="pct"/>
            <w:shd w:val="clear" w:color="auto" w:fill="D9D9D9" w:themeFill="background2" w:themeFillShade="D9"/>
          </w:tcPr>
          <w:p w14:paraId="110700C1" w14:textId="77777777" w:rsidR="00E2284F" w:rsidRPr="00F12E16" w:rsidRDefault="00E2284F" w:rsidP="00CD4F3A">
            <w:pPr>
              <w:pStyle w:val="BodyText"/>
              <w:spacing w:line="240" w:lineRule="auto"/>
              <w:rPr>
                <w:color w:val="auto"/>
                <w:sz w:val="18"/>
                <w:szCs w:val="18"/>
              </w:rPr>
            </w:pPr>
            <w:r w:rsidRPr="00F12E16">
              <w:rPr>
                <w:color w:val="auto"/>
                <w:sz w:val="18"/>
                <w:szCs w:val="18"/>
              </w:rPr>
              <w:t>6.66×10</w:t>
            </w:r>
            <w:r w:rsidRPr="00F12E16">
              <w:rPr>
                <w:color w:val="auto"/>
                <w:sz w:val="18"/>
                <w:szCs w:val="18"/>
                <w:vertAlign w:val="superscript"/>
              </w:rPr>
              <w:t>4</w:t>
            </w:r>
          </w:p>
        </w:tc>
        <w:tc>
          <w:tcPr>
            <w:tcW w:w="965" w:type="pct"/>
            <w:shd w:val="clear" w:color="auto" w:fill="D9D9D9" w:themeFill="background2" w:themeFillShade="D9"/>
          </w:tcPr>
          <w:p w14:paraId="54B4B16C" w14:textId="77777777" w:rsidR="00E2284F" w:rsidRPr="00F12E16" w:rsidRDefault="00E2284F" w:rsidP="00CD4F3A">
            <w:pPr>
              <w:pStyle w:val="BodyText"/>
              <w:spacing w:line="240" w:lineRule="auto"/>
              <w:rPr>
                <w:color w:val="auto"/>
                <w:sz w:val="18"/>
                <w:szCs w:val="18"/>
              </w:rPr>
            </w:pPr>
            <w:r w:rsidRPr="00F12E16">
              <w:rPr>
                <w:color w:val="auto"/>
                <w:sz w:val="18"/>
                <w:szCs w:val="18"/>
              </w:rPr>
              <w:t>Var/V</w:t>
            </w:r>
          </w:p>
        </w:tc>
        <w:tc>
          <w:tcPr>
            <w:tcW w:w="1929" w:type="pct"/>
            <w:shd w:val="clear" w:color="auto" w:fill="D9D9D9" w:themeFill="background2" w:themeFillShade="D9"/>
          </w:tcPr>
          <w:p w14:paraId="330756C0" w14:textId="77777777" w:rsidR="00E2284F" w:rsidRPr="00F12E16" w:rsidRDefault="00E2284F" w:rsidP="00CD4F3A">
            <w:pPr>
              <w:pStyle w:val="BodyText"/>
              <w:spacing w:line="240" w:lineRule="auto"/>
              <w:rPr>
                <w:color w:val="auto"/>
                <w:sz w:val="18"/>
                <w:szCs w:val="18"/>
              </w:rPr>
            </w:pPr>
            <w:r w:rsidRPr="00F12E16">
              <w:rPr>
                <w:color w:val="auto"/>
                <w:sz w:val="18"/>
                <w:szCs w:val="18"/>
              </w:rPr>
              <w:t>Droop gain of AVR strategy</w:t>
            </w:r>
          </w:p>
        </w:tc>
      </w:tr>
      <w:tr w:rsidR="00E2284F" w:rsidRPr="00614453" w14:paraId="4D13A17E" w14:textId="77777777" w:rsidTr="00F12E16">
        <w:trPr>
          <w:jc w:val="center"/>
        </w:trPr>
        <w:tc>
          <w:tcPr>
            <w:tcW w:w="965" w:type="pct"/>
          </w:tcPr>
          <w:p w14:paraId="48C9E1CF" w14:textId="77777777" w:rsidR="00E2284F" w:rsidRPr="00F12E16" w:rsidRDefault="00E2284F" w:rsidP="00CD4F3A">
            <w:pPr>
              <w:pStyle w:val="BodyText"/>
              <w:spacing w:line="240" w:lineRule="auto"/>
              <w:rPr>
                <w:rFonts w:cs="Calibri"/>
                <w:i/>
                <w:iCs/>
                <w:sz w:val="18"/>
                <w:szCs w:val="18"/>
              </w:rPr>
            </w:pPr>
            <w:r w:rsidRPr="00F12E16">
              <w:rPr>
                <w:rFonts w:cs="Calibri"/>
                <w:i/>
                <w:iCs/>
                <w:sz w:val="18"/>
                <w:szCs w:val="18"/>
              </w:rPr>
              <w:t>K</w:t>
            </w:r>
            <w:r w:rsidRPr="00F12E16">
              <w:rPr>
                <w:sz w:val="18"/>
                <w:szCs w:val="18"/>
                <w:vertAlign w:val="subscript"/>
              </w:rPr>
              <w:t>i</w:t>
            </w:r>
          </w:p>
        </w:tc>
        <w:tc>
          <w:tcPr>
            <w:tcW w:w="1142" w:type="pct"/>
          </w:tcPr>
          <w:p w14:paraId="03E893CD" w14:textId="77777777" w:rsidR="00E2284F" w:rsidRPr="00F12E16" w:rsidRDefault="00E2284F" w:rsidP="00CD4F3A">
            <w:pPr>
              <w:pStyle w:val="BodyText"/>
              <w:spacing w:line="240" w:lineRule="auto"/>
              <w:rPr>
                <w:color w:val="auto"/>
                <w:sz w:val="18"/>
                <w:szCs w:val="18"/>
              </w:rPr>
            </w:pPr>
            <w:r w:rsidRPr="00F12E16">
              <w:rPr>
                <w:color w:val="auto"/>
                <w:sz w:val="18"/>
                <w:szCs w:val="18"/>
              </w:rPr>
              <w:t>0.01</w:t>
            </w:r>
          </w:p>
        </w:tc>
        <w:tc>
          <w:tcPr>
            <w:tcW w:w="965" w:type="pct"/>
          </w:tcPr>
          <w:p w14:paraId="0C7ACB89" w14:textId="77777777" w:rsidR="00E2284F" w:rsidRPr="00F12E16" w:rsidRDefault="00E2284F" w:rsidP="00CD4F3A">
            <w:pPr>
              <w:pStyle w:val="BodyText"/>
              <w:spacing w:line="240" w:lineRule="auto"/>
              <w:rPr>
                <w:color w:val="auto"/>
                <w:sz w:val="18"/>
                <w:szCs w:val="18"/>
              </w:rPr>
            </w:pPr>
            <w:r w:rsidRPr="00F12E16">
              <w:rPr>
                <w:color w:val="auto"/>
                <w:sz w:val="18"/>
                <w:szCs w:val="18"/>
              </w:rPr>
              <w:t>V/Var</w:t>
            </w:r>
          </w:p>
        </w:tc>
        <w:tc>
          <w:tcPr>
            <w:tcW w:w="1929" w:type="pct"/>
          </w:tcPr>
          <w:p w14:paraId="5DDEF2C0" w14:textId="77777777" w:rsidR="00E2284F" w:rsidRPr="00F12E16" w:rsidRDefault="00E2284F" w:rsidP="00CD4F3A">
            <w:pPr>
              <w:pStyle w:val="BodyText"/>
              <w:spacing w:line="240" w:lineRule="auto"/>
              <w:rPr>
                <w:color w:val="auto"/>
                <w:sz w:val="18"/>
                <w:szCs w:val="18"/>
              </w:rPr>
            </w:pPr>
            <w:r w:rsidRPr="00F12E16">
              <w:rPr>
                <w:color w:val="auto"/>
                <w:sz w:val="18"/>
                <w:szCs w:val="18"/>
              </w:rPr>
              <w:t>Integral gain of AVR strategy</w:t>
            </w:r>
          </w:p>
        </w:tc>
      </w:tr>
    </w:tbl>
    <w:p w14:paraId="05272E47" w14:textId="77777777" w:rsidR="00E2284F" w:rsidRPr="00E27D3B" w:rsidRDefault="00E2284F" w:rsidP="00B14ED4">
      <w:pPr>
        <w:pStyle w:val="BodyText"/>
        <w:spacing w:after="0"/>
      </w:pPr>
      <w:r w:rsidRPr="00E27D3B">
        <w:t xml:space="preserve">It can be observed that at high frequencies, all control strategies exhibit similar output impedance characteristics, indicating negligible influence from the different voltage control loops. However, notable differences emerge at low frequencies. FVC and PVC display similar behaviours, whereas AVR presents higher impedance magnitudes and sharper phase shifts at comparatively higher frequencies. For instance, the magnitude of </w:t>
      </w:r>
      <w:proofErr w:type="spellStart"/>
      <w:r w:rsidRPr="00E27D3B">
        <w:rPr>
          <w:i/>
          <w:iCs/>
        </w:rPr>
        <w:t>Z</w:t>
      </w:r>
      <w:r w:rsidRPr="00E27D3B">
        <w:rPr>
          <w:vertAlign w:val="subscript"/>
        </w:rPr>
        <w:t>dd</w:t>
      </w:r>
      <w:proofErr w:type="spellEnd"/>
      <w:r w:rsidRPr="00E27D3B">
        <w:rPr>
          <w:vertAlign w:val="subscript"/>
        </w:rPr>
        <w:t xml:space="preserve"> </w:t>
      </w:r>
      <w:r w:rsidRPr="00E27D3B">
        <w:t xml:space="preserve">and </w:t>
      </w:r>
      <w:proofErr w:type="spellStart"/>
      <w:r w:rsidRPr="00E27D3B">
        <w:rPr>
          <w:i/>
          <w:iCs/>
        </w:rPr>
        <w:t>Z</w:t>
      </w:r>
      <w:r w:rsidRPr="00E27D3B">
        <w:rPr>
          <w:vertAlign w:val="subscript"/>
        </w:rPr>
        <w:t>qq</w:t>
      </w:r>
      <w:proofErr w:type="spellEnd"/>
      <w:r w:rsidRPr="00E27D3B">
        <w:t xml:space="preserve"> under AVR is significantly greater than that of FVC and PVC, intersecting with the grid impedance curve at frequencies below 1Hz across all three SCR levels. In contrast, FVC and PVC impedance curves do not intersect the grid impedance within this low-frequency range, indicating improved impedance separation and reduced system interaction. </w:t>
      </w:r>
    </w:p>
    <w:p w14:paraId="5307E348" w14:textId="44012320" w:rsidR="00283AA5" w:rsidRDefault="00E2284F" w:rsidP="00B14ED4">
      <w:pPr>
        <w:pStyle w:val="BodyText"/>
        <w:spacing w:after="0"/>
      </w:pPr>
      <w:r w:rsidRPr="00E27D3B">
        <w:t xml:space="preserve">Nyquist Plots: </w:t>
      </w:r>
      <w:r w:rsidRPr="00E27D3B">
        <w:fldChar w:fldCharType="begin"/>
      </w:r>
      <w:r w:rsidRPr="00E27D3B">
        <w:instrText xml:space="preserve"> REF _Ref223643993 \h  \* MERGEFORMAT </w:instrText>
      </w:r>
      <w:r w:rsidRPr="00E27D3B">
        <w:fldChar w:fldCharType="separate"/>
      </w:r>
      <w:r w:rsidR="00753DAF" w:rsidRPr="00E27D3B">
        <w:t xml:space="preserve">Figure </w:t>
      </w:r>
      <w:r w:rsidR="00753DAF">
        <w:rPr>
          <w:noProof/>
        </w:rPr>
        <w:t>4</w:t>
      </w:r>
      <w:r w:rsidRPr="00E27D3B">
        <w:fldChar w:fldCharType="end"/>
      </w:r>
      <w:r w:rsidRPr="00E27D3B">
        <w:t xml:space="preserve">(d)–(f) depict the corresponding Nyquist plots for SCR values of 1.2, 2.5, and 4, respectively, showing the trajectories of the two eigenvalues of the </w:t>
      </w:r>
      <w:proofErr w:type="spellStart"/>
      <w:r w:rsidRPr="00E27D3B">
        <w:t>dq</w:t>
      </w:r>
      <w:proofErr w:type="spellEnd"/>
      <w:r w:rsidRPr="00E27D3B">
        <w:t xml:space="preserve"> frame 2-by-2 impedance matrix ratio for each control strategy. Both FVC and PVC maintain robust stability margins, with trajectories well separated from the critical point (−1,0j) in the complex plane. In contrast, the AVR </w:t>
      </w:r>
      <w:r w:rsidRPr="00E27D3B">
        <w:lastRenderedPageBreak/>
        <w:t xml:space="preserve">control method yields Nyquist plots that approach or nearly encircle the critical point as SCR increases. This effect is most notable in </w:t>
      </w:r>
      <w:r w:rsidRPr="00E27D3B">
        <w:fldChar w:fldCharType="begin"/>
      </w:r>
      <w:r w:rsidRPr="00E27D3B">
        <w:instrText xml:space="preserve"> REF _Ref223643993 \h  \* MERGEFORMAT </w:instrText>
      </w:r>
      <w:r w:rsidRPr="00E27D3B">
        <w:fldChar w:fldCharType="separate"/>
      </w:r>
      <w:r w:rsidR="00753DAF" w:rsidRPr="00E27D3B">
        <w:t xml:space="preserve">Figure </w:t>
      </w:r>
      <w:r w:rsidR="00753DAF">
        <w:rPr>
          <w:noProof/>
        </w:rPr>
        <w:t>4</w:t>
      </w:r>
      <w:r w:rsidRPr="00E27D3B">
        <w:fldChar w:fldCharType="end"/>
      </w:r>
      <w:r w:rsidRPr="00E27D3B">
        <w:t xml:space="preserve">(f), where the AVR trajectory at SCR=4 reveals a significant reduction in margins. These results indicate that while AVR improves voltage regulation via dynamic adjustment of </w:t>
      </w:r>
      <w:proofErr w:type="spellStart"/>
      <w:r w:rsidRPr="00E27D3B">
        <w:rPr>
          <w:i/>
          <w:iCs/>
        </w:rPr>
        <w:t>v</w:t>
      </w:r>
      <w:r w:rsidRPr="00E27D3B">
        <w:rPr>
          <w:vertAlign w:val="subscript"/>
        </w:rPr>
        <w:t>d</w:t>
      </w:r>
      <w:proofErr w:type="spellEnd"/>
      <w:r w:rsidRPr="00E27D3B">
        <w:rPr>
          <w:vertAlign w:val="subscript"/>
        </w:rPr>
        <w:t>−ref</w:t>
      </w:r>
      <w:r w:rsidRPr="00E27D3B">
        <w:t>, it compromises closed-loop stability under strong grid conditions. The subsequent time domain analysis verifies these findings.</w:t>
      </w:r>
    </w:p>
    <w:p w14:paraId="526FC2AF" w14:textId="77777777" w:rsidR="00E2284F" w:rsidRPr="00E27D3B" w:rsidRDefault="00E2284F" w:rsidP="00CD4F3A">
      <w:pPr>
        <w:pStyle w:val="BodyText"/>
        <w:keepNext/>
        <w:spacing w:line="240" w:lineRule="auto"/>
      </w:pPr>
      <w:r w:rsidRPr="00E27D3B">
        <w:rPr>
          <w:noProof/>
        </w:rPr>
        <w:drawing>
          <wp:inline distT="0" distB="0" distL="0" distR="0" wp14:anchorId="0EF54F97" wp14:editId="24F62D31">
            <wp:extent cx="6039506" cy="5868062"/>
            <wp:effectExtent l="0" t="0" r="0" b="0"/>
            <wp:docPr id="41074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47697" name="Picture 1"/>
                    <pic:cNvPicPr/>
                  </pic:nvPicPr>
                  <pic:blipFill>
                    <a:blip r:embed="rId27"/>
                    <a:stretch>
                      <a:fillRect/>
                    </a:stretch>
                  </pic:blipFill>
                  <pic:spPr>
                    <a:xfrm>
                      <a:off x="0" y="0"/>
                      <a:ext cx="6064736" cy="5892576"/>
                    </a:xfrm>
                    <a:prstGeom prst="rect">
                      <a:avLst/>
                    </a:prstGeom>
                  </pic:spPr>
                </pic:pic>
              </a:graphicData>
            </a:graphic>
          </wp:inline>
        </w:drawing>
      </w:r>
    </w:p>
    <w:p w14:paraId="248C98F4" w14:textId="7B3BF279" w:rsidR="00E2284F" w:rsidRDefault="00E2284F" w:rsidP="00CD4F3A">
      <w:pPr>
        <w:pStyle w:val="Caption"/>
        <w:spacing w:line="240" w:lineRule="auto"/>
      </w:pPr>
      <w:bookmarkStart w:id="42" w:name="_Ref223643993"/>
      <w:bookmarkStart w:id="43" w:name="_Toc229777564"/>
      <w:bookmarkStart w:id="44" w:name="_Toc233735010"/>
      <w:r w:rsidRPr="00E27D3B">
        <w:t xml:space="preserve">Figure </w:t>
      </w:r>
      <w:fldSimple w:instr=" SEQ Figure \* ARABIC ">
        <w:r w:rsidR="00A85006">
          <w:rPr>
            <w:noProof/>
          </w:rPr>
          <w:t>4</w:t>
        </w:r>
      </w:fldSimple>
      <w:bookmarkEnd w:id="42"/>
      <w:r w:rsidRPr="00E27D3B">
        <w:t xml:space="preserve">: </w:t>
      </w:r>
      <w:r w:rsidR="00B14ED4">
        <w:t>DQ</w:t>
      </w:r>
      <w:r w:rsidRPr="00E27D3B">
        <w:t>-domain output impedances and Nyquist plots of the VSG-based GFMI under three voltage control methods: (a) and (d) Very weak grid (SCR=1.2), (b) and (e) Weak grid (SCR=2.5), and (c) and (f)</w:t>
      </w:r>
      <w:r w:rsidR="00484109">
        <w:t xml:space="preserve"> </w:t>
      </w:r>
      <w:r w:rsidRPr="00E27D3B">
        <w:t>Strong grid (SCR=4.0)</w:t>
      </w:r>
      <w:r w:rsidRPr="0058643E">
        <w:t xml:space="preserve"> </w:t>
      </w:r>
      <w:r w:rsidRPr="00E27D3B">
        <w:fldChar w:fldCharType="begin"/>
      </w:r>
      <w:r w:rsidRPr="00E27D3B">
        <w:instrText xml:space="preserve"> REF _Ref224033116 \n \h  \* MERGEFORMAT </w:instrText>
      </w:r>
      <w:r w:rsidRPr="00E27D3B">
        <w:fldChar w:fldCharType="separate"/>
      </w:r>
      <w:r w:rsidR="00753DAF">
        <w:rPr>
          <w:cs/>
        </w:rPr>
        <w:t>‎</w:t>
      </w:r>
      <w:r w:rsidR="00753DAF">
        <w:t>[47]</w:t>
      </w:r>
      <w:r w:rsidRPr="00E27D3B">
        <w:fldChar w:fldCharType="end"/>
      </w:r>
      <w:r w:rsidRPr="00E27D3B">
        <w:t>.</w:t>
      </w:r>
      <w:bookmarkEnd w:id="43"/>
      <w:bookmarkEnd w:id="44"/>
    </w:p>
    <w:p w14:paraId="37088A43" w14:textId="410343BB" w:rsidR="00E2284F" w:rsidRPr="00E27D3B" w:rsidRDefault="00E2284F" w:rsidP="00614453">
      <w:pPr>
        <w:pStyle w:val="Heading3"/>
        <w:numPr>
          <w:ilvl w:val="2"/>
          <w:numId w:val="76"/>
        </w:numPr>
        <w:rPr>
          <w:rFonts w:eastAsia="Times New Roman" w:cs="Calibri"/>
          <w:b w:val="0"/>
          <w:bCs w:val="0"/>
          <w:i/>
          <w:iCs/>
          <w:sz w:val="24"/>
          <w:szCs w:val="24"/>
        </w:rPr>
      </w:pPr>
      <w:r w:rsidRPr="00681EDF">
        <w:rPr>
          <w:rFonts w:eastAsia="Times New Roman" w:cs="Calibri"/>
          <w:sz w:val="24"/>
          <w:szCs w:val="24"/>
        </w:rPr>
        <w:t>Time-Domain Verifications</w:t>
      </w:r>
      <w:r w:rsidR="00063E30">
        <w:rPr>
          <w:rFonts w:eastAsia="Times New Roman" w:cs="Calibri"/>
          <w:sz w:val="24"/>
          <w:szCs w:val="24"/>
        </w:rPr>
        <w:t xml:space="preserve"> </w:t>
      </w:r>
      <w:r w:rsidR="00063E30" w:rsidRPr="005F1D86">
        <w:t>of GFMI</w:t>
      </w:r>
      <w:r w:rsidR="00436C81">
        <w:t>s</w:t>
      </w:r>
      <w:r w:rsidR="00063E30" w:rsidRPr="005F1D86">
        <w:t xml:space="preserve"> Under Different Voltage Control Strategies</w:t>
      </w:r>
    </w:p>
    <w:p w14:paraId="52FAF710" w14:textId="00E48CA6" w:rsidR="00E2284F" w:rsidRPr="00E27D3B" w:rsidRDefault="00E2284F" w:rsidP="00DD3F88">
      <w:pPr>
        <w:spacing w:after="0"/>
        <w:textAlignment w:val="baseline"/>
        <w:rPr>
          <w:rFonts w:eastAsia="Times New Roman" w:cs="Calibri"/>
          <w:sz w:val="24"/>
          <w:szCs w:val="24"/>
        </w:rPr>
      </w:pPr>
      <w:r w:rsidRPr="00E27D3B">
        <w:rPr>
          <w:rFonts w:eastAsia="Times New Roman" w:cs="Calibri"/>
          <w:sz w:val="24"/>
          <w:szCs w:val="24"/>
        </w:rPr>
        <w:t xml:space="preserve">Time-domain EMT simulations implemented in MATLAB/Simulink are conducted to assess the dynamic performance of three GFMI voltage control strategies: FVC, PVC, and AVR. </w:t>
      </w:r>
      <w:r w:rsidRPr="00E27D3B">
        <w:rPr>
          <w:sz w:val="28"/>
          <w:szCs w:val="28"/>
        </w:rPr>
        <w:fldChar w:fldCharType="begin"/>
      </w:r>
      <w:r w:rsidRPr="00E27D3B">
        <w:rPr>
          <w:rFonts w:eastAsia="Times New Roman" w:cs="Calibri"/>
          <w:sz w:val="28"/>
          <w:szCs w:val="28"/>
        </w:rPr>
        <w:instrText xml:space="preserve"> REF _Ref223644047 \h </w:instrText>
      </w:r>
      <w:r w:rsidRPr="00E27D3B">
        <w:rPr>
          <w:sz w:val="28"/>
          <w:szCs w:val="28"/>
        </w:rPr>
        <w:instrText xml:space="preserve">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5</w:t>
      </w:r>
      <w:r w:rsidRPr="00E27D3B">
        <w:rPr>
          <w:sz w:val="28"/>
          <w:szCs w:val="28"/>
        </w:rPr>
        <w:fldChar w:fldCharType="end"/>
      </w:r>
      <w:r w:rsidRPr="00E27D3B">
        <w:rPr>
          <w:sz w:val="24"/>
          <w:szCs w:val="24"/>
        </w:rPr>
        <w:t xml:space="preserve"> </w:t>
      </w:r>
      <w:r w:rsidRPr="00E27D3B">
        <w:rPr>
          <w:rFonts w:eastAsia="Times New Roman" w:cs="Calibri"/>
          <w:sz w:val="24"/>
          <w:szCs w:val="24"/>
        </w:rPr>
        <w:t xml:space="preserve">compares their responses under identical conditions, including a step change in Pref at 5 s, a 10 % grid voltage sag during 10–15 s, and sequential SCR increases from 1.2 to 2.5, 4.0, and 5.0, all with </w:t>
      </w:r>
      <w:proofErr w:type="spellStart"/>
      <w:r w:rsidRPr="60762895">
        <w:rPr>
          <w:i/>
          <w:iCs/>
        </w:rPr>
        <w:t>X</w:t>
      </w:r>
      <w:r w:rsidRPr="00E27D3B">
        <w:rPr>
          <w:vertAlign w:val="subscript"/>
        </w:rPr>
        <w:t>g</w:t>
      </w:r>
      <w:proofErr w:type="spellEnd"/>
      <w:r w:rsidRPr="00E27D3B">
        <w:t>/</w:t>
      </w:r>
      <w:proofErr w:type="spellStart"/>
      <w:r w:rsidRPr="60762895">
        <w:rPr>
          <w:i/>
          <w:iCs/>
        </w:rPr>
        <w:t>R</w:t>
      </w:r>
      <w:r w:rsidRPr="00E27D3B">
        <w:rPr>
          <w:vertAlign w:val="subscript"/>
        </w:rPr>
        <w:t>g</w:t>
      </w:r>
      <w:proofErr w:type="spellEnd"/>
      <w:r w:rsidRPr="00E27D3B">
        <w:t xml:space="preserve">= </w:t>
      </w:r>
      <w:r w:rsidRPr="00E27D3B">
        <w:rPr>
          <w:rFonts w:eastAsia="Times New Roman" w:cs="Calibri"/>
          <w:sz w:val="24"/>
          <w:szCs w:val="24"/>
        </w:rPr>
        <w:t xml:space="preserve">fixed at 8. As shown in </w:t>
      </w:r>
      <w:r w:rsidRPr="00E27D3B">
        <w:rPr>
          <w:sz w:val="28"/>
          <w:szCs w:val="28"/>
        </w:rPr>
        <w:fldChar w:fldCharType="begin"/>
      </w:r>
      <w:r w:rsidRPr="00E27D3B">
        <w:rPr>
          <w:rFonts w:eastAsia="Times New Roman" w:cs="Calibri"/>
          <w:sz w:val="28"/>
          <w:szCs w:val="28"/>
        </w:rPr>
        <w:instrText xml:space="preserve"> REF _Ref223644047 \h </w:instrText>
      </w:r>
      <w:r w:rsidRPr="00E27D3B">
        <w:rPr>
          <w:sz w:val="28"/>
          <w:szCs w:val="28"/>
        </w:rPr>
        <w:instrText xml:space="preserve">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5</w:t>
      </w:r>
      <w:r w:rsidRPr="00E27D3B">
        <w:rPr>
          <w:sz w:val="28"/>
          <w:szCs w:val="28"/>
        </w:rPr>
        <w:fldChar w:fldCharType="end"/>
      </w:r>
      <w:r w:rsidRPr="00E27D3B">
        <w:rPr>
          <w:rFonts w:eastAsia="Times New Roman" w:cs="Calibri"/>
          <w:sz w:val="24"/>
          <w:szCs w:val="24"/>
        </w:rPr>
        <w:t xml:space="preserve">(a), (b) and (c), FVC and PVC regulate </w:t>
      </w:r>
      <w:proofErr w:type="spellStart"/>
      <w:r w:rsidRPr="60762895">
        <w:rPr>
          <w:rFonts w:eastAsia="Times New Roman" w:cs="Calibri"/>
          <w:i/>
          <w:iCs/>
          <w:sz w:val="24"/>
          <w:szCs w:val="24"/>
        </w:rPr>
        <w:t>V</w:t>
      </w:r>
      <w:r w:rsidRPr="00E27D3B">
        <w:rPr>
          <w:rFonts w:eastAsia="Times New Roman" w:cs="Calibri"/>
          <w:sz w:val="24"/>
          <w:szCs w:val="24"/>
          <w:vertAlign w:val="subscript"/>
        </w:rPr>
        <w:t>pcc</w:t>
      </w:r>
      <w:proofErr w:type="spellEnd"/>
      <w:r w:rsidRPr="00E27D3B">
        <w:rPr>
          <w:rFonts w:eastAsia="Times New Roman" w:cs="Calibri"/>
          <w:sz w:val="24"/>
          <w:szCs w:val="24"/>
        </w:rPr>
        <w:t xml:space="preserve"> to 1 </w:t>
      </w:r>
      <w:proofErr w:type="spellStart"/>
      <w:r w:rsidRPr="00E27D3B">
        <w:rPr>
          <w:rFonts w:eastAsia="Times New Roman" w:cs="Calibri"/>
          <w:sz w:val="24"/>
          <w:szCs w:val="24"/>
        </w:rPr>
        <w:t>p.u</w:t>
      </w:r>
      <w:proofErr w:type="spellEnd"/>
      <w:r w:rsidRPr="00E27D3B">
        <w:rPr>
          <w:rFonts w:eastAsia="Times New Roman" w:cs="Calibri"/>
          <w:sz w:val="24"/>
          <w:szCs w:val="24"/>
        </w:rPr>
        <w:t>. (</w:t>
      </w:r>
      <w:r w:rsidRPr="60762895">
        <w:rPr>
          <w:rFonts w:eastAsia="Times New Roman" w:cs="Calibri"/>
          <w:i/>
          <w:iCs/>
          <w:sz w:val="24"/>
          <w:szCs w:val="24"/>
        </w:rPr>
        <w:t>V</w:t>
      </w:r>
      <w:r w:rsidRPr="00E27D3B">
        <w:rPr>
          <w:rFonts w:eastAsia="Times New Roman" w:cs="Calibri"/>
          <w:sz w:val="24"/>
          <w:szCs w:val="24"/>
          <w:vertAlign w:val="subscript"/>
        </w:rPr>
        <w:t xml:space="preserve">LL−rms </w:t>
      </w:r>
      <w:r w:rsidRPr="00E27D3B">
        <w:rPr>
          <w:rFonts w:eastAsia="Times New Roman" w:cs="Calibri"/>
          <w:sz w:val="24"/>
          <w:szCs w:val="24"/>
        </w:rPr>
        <w:t xml:space="preserve">= </w:t>
      </w:r>
      <w:r w:rsidRPr="00E27D3B">
        <w:rPr>
          <w:rFonts w:eastAsia="Times New Roman" w:cs="Calibri"/>
          <w:sz w:val="24"/>
          <w:szCs w:val="24"/>
        </w:rPr>
        <w:lastRenderedPageBreak/>
        <w:t xml:space="preserve">690 V) during the sag, whereas AVR yields slightly lower voltage. </w:t>
      </w:r>
      <w:r w:rsidRPr="00E27D3B">
        <w:rPr>
          <w:sz w:val="28"/>
          <w:szCs w:val="28"/>
        </w:rPr>
        <w:fldChar w:fldCharType="begin"/>
      </w:r>
      <w:r w:rsidRPr="00E27D3B">
        <w:rPr>
          <w:rFonts w:eastAsia="Times New Roman" w:cs="Calibri"/>
          <w:sz w:val="28"/>
          <w:szCs w:val="28"/>
        </w:rPr>
        <w:instrText xml:space="preserve"> REF _Ref223644047 \h </w:instrText>
      </w:r>
      <w:r w:rsidRPr="00E27D3B">
        <w:rPr>
          <w:sz w:val="28"/>
          <w:szCs w:val="28"/>
        </w:rPr>
        <w:instrText xml:space="preserve">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5</w:t>
      </w:r>
      <w:r w:rsidRPr="00E27D3B">
        <w:rPr>
          <w:sz w:val="28"/>
          <w:szCs w:val="28"/>
        </w:rPr>
        <w:fldChar w:fldCharType="end"/>
      </w:r>
      <w:r w:rsidRPr="00E27D3B">
        <w:rPr>
          <w:rFonts w:eastAsia="Times New Roman" w:cs="Calibri"/>
          <w:sz w:val="24"/>
          <w:szCs w:val="24"/>
        </w:rPr>
        <w:t xml:space="preserve">(j)–(l) shows all controllers maintain stable </w:t>
      </w:r>
      <w:proofErr w:type="spellStart"/>
      <w:r w:rsidRPr="60762895">
        <w:rPr>
          <w:rFonts w:eastAsia="Times New Roman" w:cs="Calibri"/>
          <w:i/>
          <w:iCs/>
          <w:sz w:val="24"/>
          <w:szCs w:val="24"/>
        </w:rPr>
        <w:t>P</w:t>
      </w:r>
      <w:r w:rsidRPr="00E27D3B">
        <w:rPr>
          <w:rFonts w:eastAsia="Times New Roman" w:cs="Calibri"/>
          <w:sz w:val="24"/>
          <w:szCs w:val="24"/>
          <w:vertAlign w:val="subscript"/>
        </w:rPr>
        <w:t>pcc</w:t>
      </w:r>
      <w:proofErr w:type="spellEnd"/>
      <w:r w:rsidRPr="00E27D3B">
        <w:rPr>
          <w:rFonts w:eastAsia="Times New Roman" w:cs="Calibri"/>
          <w:sz w:val="24"/>
          <w:szCs w:val="24"/>
          <w:vertAlign w:val="subscript"/>
        </w:rPr>
        <w:t xml:space="preserve"> </w:t>
      </w:r>
      <w:r w:rsidRPr="00E27D3B">
        <w:rPr>
          <w:rFonts w:eastAsia="Times New Roman" w:cs="Calibri"/>
          <w:sz w:val="24"/>
          <w:szCs w:val="24"/>
        </w:rPr>
        <w:t xml:space="preserve">and </w:t>
      </w:r>
      <w:proofErr w:type="spellStart"/>
      <w:r w:rsidRPr="60762895">
        <w:rPr>
          <w:rFonts w:eastAsia="Times New Roman" w:cs="Calibri"/>
          <w:i/>
          <w:iCs/>
          <w:sz w:val="24"/>
          <w:szCs w:val="24"/>
        </w:rPr>
        <w:t>Q</w:t>
      </w:r>
      <w:r w:rsidRPr="00E27D3B">
        <w:rPr>
          <w:rFonts w:eastAsia="Times New Roman" w:cs="Calibri"/>
          <w:sz w:val="24"/>
          <w:szCs w:val="24"/>
          <w:vertAlign w:val="subscript"/>
        </w:rPr>
        <w:t>pcc</w:t>
      </w:r>
      <w:proofErr w:type="spellEnd"/>
      <w:r w:rsidRPr="00E27D3B">
        <w:rPr>
          <w:rFonts w:eastAsia="Times New Roman" w:cs="Calibri"/>
          <w:sz w:val="24"/>
          <w:szCs w:val="24"/>
        </w:rPr>
        <w:t xml:space="preserve"> tracking up to SCR = 4. However, AVR becomes unstable at SCR = 5, unlike FVC and PVC. </w:t>
      </w:r>
    </w:p>
    <w:p w14:paraId="00E4F7BC" w14:textId="77777777" w:rsidR="00E2284F" w:rsidRPr="00E27D3B" w:rsidRDefault="00E2284F" w:rsidP="00CD4F3A">
      <w:pPr>
        <w:pStyle w:val="BodyText"/>
        <w:spacing w:line="240" w:lineRule="auto"/>
      </w:pPr>
      <w:r w:rsidRPr="00E27D3B">
        <w:rPr>
          <w:noProof/>
        </w:rPr>
        <w:drawing>
          <wp:inline distT="0" distB="0" distL="0" distR="0" wp14:anchorId="029F962D" wp14:editId="3F50E9AE">
            <wp:extent cx="5551714" cy="2585770"/>
            <wp:effectExtent l="0" t="0" r="0" b="5080"/>
            <wp:docPr id="4687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4981" name=""/>
                    <pic:cNvPicPr/>
                  </pic:nvPicPr>
                  <pic:blipFill>
                    <a:blip r:embed="rId28"/>
                    <a:stretch>
                      <a:fillRect/>
                    </a:stretch>
                  </pic:blipFill>
                  <pic:spPr>
                    <a:xfrm>
                      <a:off x="0" y="0"/>
                      <a:ext cx="5569395" cy="2594005"/>
                    </a:xfrm>
                    <a:prstGeom prst="rect">
                      <a:avLst/>
                    </a:prstGeom>
                  </pic:spPr>
                </pic:pic>
              </a:graphicData>
            </a:graphic>
          </wp:inline>
        </w:drawing>
      </w:r>
    </w:p>
    <w:p w14:paraId="6B008F62" w14:textId="77777777" w:rsidR="00E2284F" w:rsidRPr="00E27D3B" w:rsidRDefault="00E2284F" w:rsidP="00CD4F3A">
      <w:pPr>
        <w:pStyle w:val="BodyText"/>
        <w:keepNext/>
        <w:spacing w:line="240" w:lineRule="auto"/>
      </w:pPr>
      <w:r w:rsidRPr="00E27D3B">
        <w:rPr>
          <w:noProof/>
        </w:rPr>
        <w:drawing>
          <wp:inline distT="0" distB="0" distL="0" distR="0" wp14:anchorId="1E218DEF" wp14:editId="084ECC84">
            <wp:extent cx="5529943" cy="2526286"/>
            <wp:effectExtent l="0" t="0" r="0" b="7620"/>
            <wp:docPr id="60332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23636" name=""/>
                    <pic:cNvPicPr/>
                  </pic:nvPicPr>
                  <pic:blipFill rotWithShape="1">
                    <a:blip r:embed="rId29"/>
                    <a:srcRect t="1256"/>
                    <a:stretch>
                      <a:fillRect/>
                    </a:stretch>
                  </pic:blipFill>
                  <pic:spPr bwMode="auto">
                    <a:xfrm>
                      <a:off x="0" y="0"/>
                      <a:ext cx="5550281" cy="2535577"/>
                    </a:xfrm>
                    <a:prstGeom prst="rect">
                      <a:avLst/>
                    </a:prstGeom>
                    <a:ln>
                      <a:noFill/>
                    </a:ln>
                    <a:extLst>
                      <a:ext uri="{53640926-AAD7-44D8-BBD7-CCE9431645EC}">
                        <a14:shadowObscured xmlns:a14="http://schemas.microsoft.com/office/drawing/2010/main"/>
                      </a:ext>
                    </a:extLst>
                  </pic:spPr>
                </pic:pic>
              </a:graphicData>
            </a:graphic>
          </wp:inline>
        </w:drawing>
      </w:r>
    </w:p>
    <w:p w14:paraId="0F898343" w14:textId="22734D66" w:rsidR="00E2284F" w:rsidRPr="00E27D3B" w:rsidRDefault="00E2284F" w:rsidP="00CD4F3A">
      <w:pPr>
        <w:pStyle w:val="Caption"/>
        <w:spacing w:line="240" w:lineRule="auto"/>
      </w:pPr>
      <w:bookmarkStart w:id="45" w:name="_Ref223644047"/>
      <w:bookmarkStart w:id="46" w:name="_Toc229777567"/>
      <w:bookmarkStart w:id="47" w:name="_Toc233735011"/>
      <w:r w:rsidRPr="00E27D3B">
        <w:t xml:space="preserve">Figure </w:t>
      </w:r>
      <w:fldSimple w:instr=" SEQ Figure \* ARABIC ">
        <w:r w:rsidR="00A85006">
          <w:rPr>
            <w:noProof/>
          </w:rPr>
          <w:t>5</w:t>
        </w:r>
      </w:fldSimple>
      <w:bookmarkEnd w:id="45"/>
      <w:r w:rsidRPr="00E27D3B">
        <w:t>: Dynamic performance comparison of FVC, PVC, and AVR strategies of GMFI under identical operating conditions. The first, second, and third columns correspond to FVC, PVC, and AVR strategies, respectively.</w:t>
      </w:r>
      <w:bookmarkEnd w:id="46"/>
      <w:bookmarkEnd w:id="47"/>
    </w:p>
    <w:p w14:paraId="297D6C7F" w14:textId="77777777" w:rsidR="00E2284F" w:rsidRPr="00E27D3B" w:rsidRDefault="00E2284F" w:rsidP="00CD4F3A">
      <w:pPr>
        <w:pStyle w:val="BodyText"/>
        <w:keepNext/>
        <w:spacing w:line="240" w:lineRule="auto"/>
      </w:pPr>
      <w:r w:rsidRPr="00E27D3B">
        <w:rPr>
          <w:noProof/>
        </w:rPr>
        <w:drawing>
          <wp:inline distT="0" distB="0" distL="0" distR="0" wp14:anchorId="52088A64" wp14:editId="2CB1FF23">
            <wp:extent cx="6120130" cy="1245235"/>
            <wp:effectExtent l="0" t="0" r="0" b="0"/>
            <wp:docPr id="1822672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72015" name=""/>
                    <pic:cNvPicPr/>
                  </pic:nvPicPr>
                  <pic:blipFill>
                    <a:blip r:embed="rId30"/>
                    <a:stretch>
                      <a:fillRect/>
                    </a:stretch>
                  </pic:blipFill>
                  <pic:spPr>
                    <a:xfrm>
                      <a:off x="0" y="0"/>
                      <a:ext cx="6120130" cy="1245235"/>
                    </a:xfrm>
                    <a:prstGeom prst="rect">
                      <a:avLst/>
                    </a:prstGeom>
                  </pic:spPr>
                </pic:pic>
              </a:graphicData>
            </a:graphic>
          </wp:inline>
        </w:drawing>
      </w:r>
    </w:p>
    <w:p w14:paraId="4BB7FEBB" w14:textId="159AF8CA" w:rsidR="00E2284F" w:rsidRPr="00E27D3B" w:rsidRDefault="00E2284F" w:rsidP="00CD4F3A">
      <w:pPr>
        <w:pStyle w:val="Caption"/>
        <w:spacing w:line="240" w:lineRule="auto"/>
      </w:pPr>
      <w:bookmarkStart w:id="48" w:name="_Ref223644112"/>
      <w:bookmarkStart w:id="49" w:name="_Toc229777568"/>
      <w:bookmarkStart w:id="50" w:name="_Toc233735012"/>
      <w:r w:rsidRPr="00E27D3B">
        <w:t xml:space="preserve">Figure </w:t>
      </w:r>
      <w:fldSimple w:instr=" SEQ Figure \* ARABIC ">
        <w:r w:rsidR="00A85006">
          <w:rPr>
            <w:noProof/>
          </w:rPr>
          <w:t>6</w:t>
        </w:r>
      </w:fldSimple>
      <w:bookmarkEnd w:id="48"/>
      <w:r w:rsidRPr="00E27D3B">
        <w:t>: FFT of PCC phase-A current (</w:t>
      </w:r>
      <w:proofErr w:type="spellStart"/>
      <w:proofErr w:type="gramStart"/>
      <w:r w:rsidRPr="00E27D3B">
        <w:t>ipcc,a</w:t>
      </w:r>
      <w:proofErr w:type="spellEnd"/>
      <w:proofErr w:type="gramEnd"/>
      <w:r w:rsidRPr="00E27D3B">
        <w:t xml:space="preserve">) of the GMFI under FVC, PVC, and AVR strategies for SCR = 5 and </w:t>
      </w:r>
      <w:proofErr w:type="spellStart"/>
      <w:r w:rsidRPr="00E27D3B">
        <w:t>Xg</w:t>
      </w:r>
      <w:proofErr w:type="spellEnd"/>
      <w:r w:rsidRPr="00E27D3B">
        <w:t>/</w:t>
      </w:r>
      <w:proofErr w:type="spellStart"/>
      <w:r w:rsidRPr="00E27D3B">
        <w:t>Rg</w:t>
      </w:r>
      <w:proofErr w:type="spellEnd"/>
      <w:r w:rsidRPr="00E27D3B">
        <w:t xml:space="preserve"> = 8: (a) FVC; (b) PVC; (c) AVR</w:t>
      </w:r>
      <w:r>
        <w:t xml:space="preserve"> </w:t>
      </w:r>
      <w:r w:rsidRPr="00E27D3B">
        <w:fldChar w:fldCharType="begin"/>
      </w:r>
      <w:r w:rsidRPr="00E27D3B">
        <w:instrText xml:space="preserve"> REF _Ref224033116 \n \h  \* MERGEFORMAT </w:instrText>
      </w:r>
      <w:r w:rsidRPr="00E27D3B">
        <w:fldChar w:fldCharType="separate"/>
      </w:r>
      <w:r w:rsidR="00753DAF">
        <w:rPr>
          <w:cs/>
        </w:rPr>
        <w:t>‎</w:t>
      </w:r>
      <w:r w:rsidR="00753DAF">
        <w:t>[47]</w:t>
      </w:r>
      <w:r w:rsidRPr="00E27D3B">
        <w:fldChar w:fldCharType="end"/>
      </w:r>
      <w:r w:rsidRPr="00E27D3B">
        <w:t>.</w:t>
      </w:r>
      <w:bookmarkEnd w:id="49"/>
      <w:bookmarkEnd w:id="50"/>
    </w:p>
    <w:p w14:paraId="56592BC1" w14:textId="4BAE6B35" w:rsidR="00E2284F" w:rsidRPr="00DF1AC2" w:rsidRDefault="00E2284F" w:rsidP="00DF1AC2">
      <w:pPr>
        <w:pStyle w:val="BodyText"/>
        <w:spacing w:after="0"/>
        <w:rPr>
          <w:rFonts w:eastAsia="Times New Roman" w:cs="Calibri"/>
        </w:rPr>
      </w:pPr>
      <w:r w:rsidRPr="60762895">
        <w:rPr>
          <w:rFonts w:eastAsia="Times New Roman" w:cs="Calibri"/>
        </w:rPr>
        <w:t xml:space="preserve">This observation aligns with the frequency-domain analysis, where the eigenvalue trajectory of the AVR in </w:t>
      </w:r>
      <w:r w:rsidRPr="00E27D3B">
        <w:fldChar w:fldCharType="begin"/>
      </w:r>
      <w:r w:rsidRPr="60762895">
        <w:rPr>
          <w:rFonts w:eastAsia="Times New Roman" w:cs="Calibri"/>
        </w:rPr>
        <w:instrText xml:space="preserve"> REF _Ref223643993 \h </w:instrText>
      </w:r>
      <w:r w:rsidRPr="00E27D3B">
        <w:instrText xml:space="preserve"> \* MERGEFORMAT </w:instrText>
      </w:r>
      <w:r w:rsidRPr="00E27D3B">
        <w:fldChar w:fldCharType="separate"/>
      </w:r>
      <w:r w:rsidR="00753DAF" w:rsidRPr="00E27D3B">
        <w:t xml:space="preserve">Figure </w:t>
      </w:r>
      <w:r w:rsidR="00753DAF">
        <w:rPr>
          <w:noProof/>
        </w:rPr>
        <w:t>4</w:t>
      </w:r>
      <w:r w:rsidRPr="00E27D3B">
        <w:fldChar w:fldCharType="end"/>
      </w:r>
      <w:r w:rsidRPr="60762895">
        <w:rPr>
          <w:rFonts w:eastAsia="Times New Roman" w:cs="Calibri"/>
        </w:rPr>
        <w:t xml:space="preserve">(f) approaches the critical point (−1,0j) on the Nyquist plot with the increment of SCR. </w:t>
      </w:r>
      <w:r w:rsidRPr="60762895">
        <w:rPr>
          <w:rFonts w:eastAsia="Times New Roman" w:cs="Calibri"/>
        </w:rPr>
        <w:fldChar w:fldCharType="begin"/>
      </w:r>
      <w:r w:rsidRPr="60762895">
        <w:rPr>
          <w:rFonts w:eastAsia="Times New Roman" w:cs="Calibri"/>
        </w:rPr>
        <w:instrText xml:space="preserve"> REF _Ref223644112 \h  \* MERGEFORMAT </w:instrText>
      </w:r>
      <w:r w:rsidRPr="60762895">
        <w:rPr>
          <w:rFonts w:eastAsia="Times New Roman" w:cs="Calibri"/>
        </w:rPr>
      </w:r>
      <w:r w:rsidRPr="60762895">
        <w:rPr>
          <w:rFonts w:eastAsia="Times New Roman" w:cs="Calibri"/>
        </w:rPr>
        <w:fldChar w:fldCharType="separate"/>
      </w:r>
      <w:r w:rsidR="00753DAF" w:rsidRPr="00E27D3B">
        <w:t xml:space="preserve">Figure </w:t>
      </w:r>
      <w:r w:rsidR="00753DAF">
        <w:rPr>
          <w:noProof/>
        </w:rPr>
        <w:t>6</w:t>
      </w:r>
      <w:r w:rsidRPr="60762895">
        <w:rPr>
          <w:rFonts w:eastAsia="Times New Roman" w:cs="Calibri"/>
        </w:rPr>
        <w:fldChar w:fldCharType="end"/>
      </w:r>
      <w:r w:rsidRPr="60762895">
        <w:rPr>
          <w:rFonts w:eastAsia="Times New Roman" w:cs="Calibri"/>
        </w:rPr>
        <w:t xml:space="preserve"> shows the FFT of the PCC current for phase A (</w:t>
      </w:r>
      <w:proofErr w:type="spellStart"/>
      <w:proofErr w:type="gramStart"/>
      <w:r w:rsidRPr="60762895">
        <w:rPr>
          <w:rFonts w:eastAsia="Times New Roman" w:cs="Calibri"/>
          <w:i/>
          <w:iCs/>
        </w:rPr>
        <w:t>i</w:t>
      </w:r>
      <w:r w:rsidRPr="60762895">
        <w:rPr>
          <w:rFonts w:eastAsia="Times New Roman" w:cs="Calibri"/>
          <w:vertAlign w:val="subscript"/>
        </w:rPr>
        <w:t>pcc,a</w:t>
      </w:r>
      <w:proofErr w:type="spellEnd"/>
      <w:proofErr w:type="gramEnd"/>
      <w:r w:rsidRPr="60762895">
        <w:rPr>
          <w:rFonts w:eastAsia="Times New Roman" w:cs="Calibri"/>
        </w:rPr>
        <w:t xml:space="preserve">) at SCR = 5. FVC and PVC exhibit a dominant 50 Hz com ponent, indicating stable operation. In contrast, AVR produces low-frequency </w:t>
      </w:r>
      <w:r w:rsidRPr="60762895">
        <w:rPr>
          <w:rFonts w:eastAsia="Times New Roman" w:cs="Calibri"/>
        </w:rPr>
        <w:lastRenderedPageBreak/>
        <w:t>oscillations and harmonic components at 15.3, 54.2, 84.7, and 154.2 Hz, confirming small-signal instability under strong grid conditions.</w:t>
      </w:r>
    </w:p>
    <w:p w14:paraId="35F07CEE" w14:textId="2063808C" w:rsidR="00E2284F" w:rsidRPr="009B68EA" w:rsidRDefault="00E2284F" w:rsidP="00CD4F3A">
      <w:pPr>
        <w:pStyle w:val="Heading2"/>
        <w:numPr>
          <w:ilvl w:val="0"/>
          <w:numId w:val="52"/>
        </w:numPr>
        <w:ind w:left="0" w:firstLine="0"/>
      </w:pPr>
      <w:bookmarkStart w:id="51" w:name="_Ref230098848"/>
      <w:bookmarkStart w:id="52" w:name="_Toc233734300"/>
      <w:r w:rsidRPr="009B68EA">
        <w:t>Enhancing Small-Signal Stability of AVR-</w:t>
      </w:r>
      <w:r w:rsidR="00DD3F88">
        <w:t>b</w:t>
      </w:r>
      <w:r w:rsidRPr="009B68EA">
        <w:t>ased Grid-Forming Inverters</w:t>
      </w:r>
      <w:bookmarkEnd w:id="51"/>
      <w:bookmarkEnd w:id="52"/>
    </w:p>
    <w:p w14:paraId="182C5178" w14:textId="20964CF1" w:rsidR="00E2284F" w:rsidRDefault="00E2284F" w:rsidP="00E22352">
      <w:pPr>
        <w:pStyle w:val="BodyText"/>
        <w:spacing w:after="0"/>
        <w:rPr>
          <w:rFonts w:eastAsia="Times New Roman" w:cs="Calibri"/>
          <w:szCs w:val="24"/>
        </w:rPr>
      </w:pPr>
      <w:r>
        <w:rPr>
          <w:rFonts w:eastAsia="Times New Roman" w:cs="Calibri"/>
          <w:szCs w:val="24"/>
        </w:rPr>
        <w:fldChar w:fldCharType="begin"/>
      </w:r>
      <w:r>
        <w:rPr>
          <w:rFonts w:eastAsia="Times New Roman" w:cs="Calibri"/>
          <w:szCs w:val="24"/>
        </w:rPr>
        <w:instrText xml:space="preserve"> REF _Ref229334285 \h </w:instrText>
      </w:r>
      <w:r w:rsidR="00CD4F3A">
        <w:rPr>
          <w:rFonts w:eastAsia="Times New Roman" w:cs="Calibri"/>
          <w:szCs w:val="24"/>
        </w:rPr>
        <w:instrText xml:space="preserve"> \* MERGEFORMAT </w:instrText>
      </w:r>
      <w:r>
        <w:rPr>
          <w:rFonts w:eastAsia="Times New Roman" w:cs="Calibri"/>
          <w:szCs w:val="24"/>
        </w:rPr>
      </w:r>
      <w:r>
        <w:rPr>
          <w:rFonts w:eastAsia="Times New Roman" w:cs="Calibri"/>
          <w:szCs w:val="24"/>
        </w:rPr>
        <w:fldChar w:fldCharType="separate"/>
      </w:r>
      <w:r w:rsidR="00753DAF">
        <w:t xml:space="preserve">Figure </w:t>
      </w:r>
      <w:r w:rsidR="00753DAF">
        <w:rPr>
          <w:noProof/>
        </w:rPr>
        <w:t>7</w:t>
      </w:r>
      <w:r>
        <w:rPr>
          <w:rFonts w:eastAsia="Times New Roman" w:cs="Calibri"/>
          <w:szCs w:val="24"/>
        </w:rPr>
        <w:fldChar w:fldCharType="end"/>
      </w:r>
      <w:r>
        <w:rPr>
          <w:rFonts w:eastAsia="Times New Roman" w:cs="Calibri"/>
          <w:szCs w:val="24"/>
        </w:rPr>
        <w:t xml:space="preserve"> shows the use of </w:t>
      </w:r>
      <w:r w:rsidRPr="004329D1">
        <w:rPr>
          <w:rFonts w:eastAsia="Times New Roman" w:cs="Calibri"/>
          <w:szCs w:val="24"/>
        </w:rPr>
        <w:t xml:space="preserve">a virtual impedance loop and adaptive tuning of the </w:t>
      </w:r>
      <w:r w:rsidRPr="004329D1">
        <w:rPr>
          <w:rFonts w:eastAsia="Times New Roman" w:cs="Calibri"/>
          <w:i/>
          <w:iCs/>
          <w:szCs w:val="24"/>
        </w:rPr>
        <w:t>K</w:t>
      </w:r>
      <w:r w:rsidRPr="004329D1">
        <w:rPr>
          <w:rFonts w:eastAsia="Times New Roman" w:cs="Calibri"/>
          <w:i/>
          <w:iCs/>
          <w:szCs w:val="24"/>
          <w:vertAlign w:val="subscript"/>
        </w:rPr>
        <w:t>i-q</w:t>
      </w:r>
      <w:r w:rsidRPr="004329D1">
        <w:rPr>
          <w:rFonts w:eastAsia="Times New Roman" w:cs="Calibri"/>
          <w:szCs w:val="24"/>
          <w:vertAlign w:val="subscript"/>
        </w:rPr>
        <w:t xml:space="preserve"> </w:t>
      </w:r>
      <w:r w:rsidRPr="004329D1">
        <w:rPr>
          <w:rFonts w:eastAsia="Times New Roman" w:cs="Calibri"/>
          <w:szCs w:val="24"/>
        </w:rPr>
        <w:t>values based on the grid SCR</w:t>
      </w:r>
      <w:r>
        <w:rPr>
          <w:rFonts w:eastAsia="Times New Roman" w:cs="Calibri"/>
          <w:szCs w:val="24"/>
        </w:rPr>
        <w:t xml:space="preserve"> to improve the performance of the AVR for the GFMI. The virtual impedance loop includes the virtual resistance, virtual inductance, and the overall virtual impedance. The values of the control parameter </w:t>
      </w:r>
      <w:r w:rsidRPr="004329D1">
        <w:rPr>
          <w:rFonts w:eastAsia="Times New Roman" w:cs="Calibri"/>
          <w:i/>
          <w:iCs/>
          <w:szCs w:val="24"/>
        </w:rPr>
        <w:t>K</w:t>
      </w:r>
      <w:r w:rsidRPr="004329D1">
        <w:rPr>
          <w:rFonts w:eastAsia="Times New Roman" w:cs="Calibri"/>
          <w:i/>
          <w:iCs/>
          <w:szCs w:val="24"/>
          <w:vertAlign w:val="subscript"/>
        </w:rPr>
        <w:t>i-q</w:t>
      </w:r>
      <w:r>
        <w:rPr>
          <w:rFonts w:eastAsia="Times New Roman" w:cs="Calibri"/>
          <w:szCs w:val="24"/>
        </w:rPr>
        <w:t xml:space="preserve"> are tuned using the adaptive tuning control based the values of the grid side SCR.</w:t>
      </w:r>
    </w:p>
    <w:p w14:paraId="773E153F" w14:textId="77777777" w:rsidR="00E2284F" w:rsidRPr="00E27D3B" w:rsidRDefault="00E2284F" w:rsidP="00CD4F3A">
      <w:pPr>
        <w:pStyle w:val="BodyText"/>
        <w:keepNext/>
        <w:spacing w:line="240" w:lineRule="auto"/>
      </w:pPr>
      <w:r w:rsidRPr="00252993">
        <w:rPr>
          <w:noProof/>
        </w:rPr>
        <w:drawing>
          <wp:inline distT="0" distB="0" distL="0" distR="0" wp14:anchorId="4395AF44" wp14:editId="60719D77">
            <wp:extent cx="6120130" cy="3784600"/>
            <wp:effectExtent l="0" t="0" r="0" b="6350"/>
            <wp:docPr id="1580367653" name="Picture 6">
              <a:extLst xmlns:a="http://schemas.openxmlformats.org/drawingml/2006/main">
                <a:ext uri="{FF2B5EF4-FFF2-40B4-BE49-F238E27FC236}">
                  <a16:creationId xmlns:a16="http://schemas.microsoft.com/office/drawing/2014/main" id="{9375ED2A-BC20-9974-9224-80055F5D3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375ED2A-BC20-9974-9224-80055F5D300F}"/>
                        </a:ext>
                      </a:extLst>
                    </pic:cNvPr>
                    <pic:cNvPicPr>
                      <a:picLocks noChangeAspect="1"/>
                    </pic:cNvPicPr>
                  </pic:nvPicPr>
                  <pic:blipFill>
                    <a:blip r:embed="rId31">
                      <a:extLst>
                        <a:ext uri="{28A0092B-C50C-407E-A947-70E740481C1C}">
                          <a14:useLocalDpi xmlns:a14="http://schemas.microsoft.com/office/drawing/2010/main" val="0"/>
                        </a:ext>
                      </a:extLst>
                    </a:blip>
                    <a:srcRect/>
                    <a:stretch/>
                  </pic:blipFill>
                  <pic:spPr>
                    <a:xfrm>
                      <a:off x="0" y="0"/>
                      <a:ext cx="6120130" cy="3784600"/>
                    </a:xfrm>
                    <a:prstGeom prst="rect">
                      <a:avLst/>
                    </a:prstGeom>
                  </pic:spPr>
                </pic:pic>
              </a:graphicData>
            </a:graphic>
          </wp:inline>
        </w:drawing>
      </w:r>
    </w:p>
    <w:p w14:paraId="23C21BFB" w14:textId="031C1173" w:rsidR="00E2284F" w:rsidRPr="00E27D3B" w:rsidRDefault="00E2284F" w:rsidP="00CD4F3A">
      <w:pPr>
        <w:pStyle w:val="Caption"/>
        <w:spacing w:line="240" w:lineRule="auto"/>
      </w:pPr>
      <w:bookmarkStart w:id="53" w:name="_Ref229334285"/>
      <w:bookmarkStart w:id="54" w:name="_Toc229777563"/>
      <w:bookmarkStart w:id="55" w:name="_Toc233735013"/>
      <w:r>
        <w:t xml:space="preserve">Figure </w:t>
      </w:r>
      <w:r w:rsidRPr="60762895">
        <w:fldChar w:fldCharType="begin"/>
      </w:r>
      <w:r>
        <w:instrText xml:space="preserve"> SEQ Figure \* ARABIC </w:instrText>
      </w:r>
      <w:r w:rsidRPr="60762895">
        <w:fldChar w:fldCharType="separate"/>
      </w:r>
      <w:r w:rsidR="00A85006">
        <w:rPr>
          <w:noProof/>
        </w:rPr>
        <w:t>7</w:t>
      </w:r>
      <w:r w:rsidRPr="60762895">
        <w:rPr>
          <w:noProof/>
        </w:rPr>
        <w:fldChar w:fldCharType="end"/>
      </w:r>
      <w:bookmarkEnd w:id="53"/>
      <w:r>
        <w:t xml:space="preserve">: Improving the performance of AVR using a virtual impedance loop and adaptive tuning of the </w:t>
      </w:r>
      <w:r w:rsidRPr="000A711F">
        <w:rPr>
          <w:i/>
          <w:iCs/>
        </w:rPr>
        <w:t>K</w:t>
      </w:r>
      <w:r w:rsidRPr="000A711F">
        <w:rPr>
          <w:i/>
          <w:iCs/>
          <w:vertAlign w:val="subscript"/>
        </w:rPr>
        <w:t>i-q</w:t>
      </w:r>
      <w:r>
        <w:t xml:space="preserve"> values based on the grid SCR.</w:t>
      </w:r>
      <w:bookmarkEnd w:id="54"/>
      <w:bookmarkEnd w:id="55"/>
      <w:r>
        <w:t xml:space="preserve"> </w:t>
      </w:r>
    </w:p>
    <w:p w14:paraId="25643C39"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imes New Roman" w:cs="Calibri"/>
          <w:bCs/>
          <w:vanish/>
          <w:color w:val="001D34" w:themeColor="accent2"/>
        </w:rPr>
      </w:pPr>
    </w:p>
    <w:p w14:paraId="7F0A355E" w14:textId="277D74C3" w:rsidR="00E2284F" w:rsidRDefault="00E2284F" w:rsidP="00F12E16">
      <w:pPr>
        <w:pStyle w:val="Heading3"/>
        <w:numPr>
          <w:ilvl w:val="2"/>
          <w:numId w:val="76"/>
        </w:numPr>
      </w:pPr>
      <w:r w:rsidRPr="00614453">
        <w:rPr>
          <w:rFonts w:eastAsia="Times New Roman" w:cs="Calibri"/>
          <w:sz w:val="24"/>
          <w:szCs w:val="24"/>
        </w:rPr>
        <w:t>Frequency-Domain Analysis</w:t>
      </w:r>
      <w:r w:rsidR="00063E30">
        <w:rPr>
          <w:rFonts w:eastAsia="Times New Roman" w:cs="Calibri"/>
          <w:sz w:val="24"/>
          <w:szCs w:val="24"/>
        </w:rPr>
        <w:t xml:space="preserve"> of </w:t>
      </w:r>
      <w:r w:rsidR="00063E30" w:rsidRPr="00063E30">
        <w:rPr>
          <w:rFonts w:eastAsia="Times New Roman" w:cs="Calibri"/>
          <w:sz w:val="24"/>
          <w:szCs w:val="24"/>
        </w:rPr>
        <w:t>AVR-Based Grid-Forming Inverters</w:t>
      </w:r>
    </w:p>
    <w:p w14:paraId="194B43BE" w14:textId="5CD1CAC4" w:rsidR="00454814" w:rsidRDefault="00E2284F" w:rsidP="00E22352">
      <w:pPr>
        <w:pStyle w:val="BodyText"/>
        <w:spacing w:after="0"/>
        <w:rPr>
          <w:rFonts w:asciiTheme="minorHAnsi" w:hAnsiTheme="minorHAnsi" w:cstheme="minorHAnsi"/>
          <w:iCs/>
          <w:color w:val="auto"/>
          <w:szCs w:val="24"/>
        </w:rPr>
      </w:pPr>
      <w:r w:rsidRPr="00E12454">
        <w:t xml:space="preserve">This </w:t>
      </w:r>
      <w:r>
        <w:t>part of the report presents</w:t>
      </w:r>
      <w:r w:rsidRPr="00E12454">
        <w:t xml:space="preserve"> the improvement of AVR-based GFMI stability incorporating a virtual impedance loop and adaptive tuning of the K</w:t>
      </w:r>
      <w:r w:rsidRPr="008B3EDB">
        <w:rPr>
          <w:vertAlign w:val="subscript"/>
        </w:rPr>
        <w:t>i-q</w:t>
      </w:r>
      <w:r w:rsidRPr="00E12454">
        <w:t xml:space="preserve"> values based on grid SCR.</w:t>
      </w:r>
      <w:r>
        <w:t xml:space="preserve"> </w:t>
      </w:r>
      <w:r>
        <w:fldChar w:fldCharType="begin"/>
      </w:r>
      <w:r>
        <w:instrText xml:space="preserve"> REF _Ref229334861 \h </w:instrText>
      </w:r>
      <w:r w:rsidR="00CD4F3A">
        <w:instrText xml:space="preserve"> \* MERGEFORMAT </w:instrText>
      </w:r>
      <w:r>
        <w:fldChar w:fldCharType="separate"/>
      </w:r>
      <w:r w:rsidR="00753DAF" w:rsidRPr="00E27D3B">
        <w:t xml:space="preserve">Figure </w:t>
      </w:r>
      <w:r w:rsidR="00753DAF">
        <w:rPr>
          <w:noProof/>
        </w:rPr>
        <w:t>8</w:t>
      </w:r>
      <w:r>
        <w:fldChar w:fldCharType="end"/>
      </w:r>
      <w:r>
        <w:t xml:space="preserve"> </w:t>
      </w:r>
      <w:r w:rsidRPr="009134B4">
        <w:rPr>
          <w:rFonts w:asciiTheme="minorHAnsi" w:hAnsiTheme="minorHAnsi" w:cstheme="minorHAnsi"/>
          <w:color w:val="auto"/>
          <w:szCs w:val="24"/>
        </w:rPr>
        <w:t>shows the frequency-domain</w:t>
      </w:r>
      <w:r w:rsidR="00436C81">
        <w:rPr>
          <w:rFonts w:asciiTheme="minorHAnsi" w:hAnsiTheme="minorHAnsi" w:cstheme="minorHAnsi"/>
          <w:color w:val="auto"/>
          <w:szCs w:val="24"/>
        </w:rPr>
        <w:t>,</w:t>
      </w:r>
      <w:r w:rsidRPr="009134B4">
        <w:rPr>
          <w:rFonts w:asciiTheme="minorHAnsi" w:hAnsiTheme="minorHAnsi" w:cstheme="minorHAnsi"/>
          <w:color w:val="auto"/>
          <w:szCs w:val="24"/>
        </w:rPr>
        <w:t xml:space="preserve"> DQ-domain </w:t>
      </w:r>
      <w:r w:rsidR="00436C81">
        <w:rPr>
          <w:rFonts w:asciiTheme="minorHAnsi" w:hAnsiTheme="minorHAnsi" w:cstheme="minorHAnsi"/>
          <w:color w:val="auto"/>
          <w:szCs w:val="24"/>
        </w:rPr>
        <w:t>o</w:t>
      </w:r>
      <w:r w:rsidRPr="009134B4">
        <w:rPr>
          <w:rFonts w:asciiTheme="minorHAnsi" w:hAnsiTheme="minorHAnsi" w:cstheme="minorHAnsi"/>
          <w:color w:val="auto"/>
          <w:szCs w:val="24"/>
        </w:rPr>
        <w:t xml:space="preserve">utput </w:t>
      </w:r>
      <w:r w:rsidR="00436C81">
        <w:rPr>
          <w:rFonts w:asciiTheme="minorHAnsi" w:hAnsiTheme="minorHAnsi" w:cstheme="minorHAnsi"/>
          <w:color w:val="auto"/>
          <w:szCs w:val="24"/>
        </w:rPr>
        <w:t>i</w:t>
      </w:r>
      <w:r w:rsidRPr="009134B4">
        <w:rPr>
          <w:rFonts w:asciiTheme="minorHAnsi" w:hAnsiTheme="minorHAnsi" w:cstheme="minorHAnsi"/>
          <w:color w:val="auto"/>
          <w:szCs w:val="24"/>
        </w:rPr>
        <w:t xml:space="preserve">mpedances &amp; Nyquist </w:t>
      </w:r>
      <w:r w:rsidR="00436C81">
        <w:rPr>
          <w:rFonts w:asciiTheme="minorHAnsi" w:hAnsiTheme="minorHAnsi" w:cstheme="minorHAnsi"/>
          <w:color w:val="auto"/>
          <w:szCs w:val="24"/>
        </w:rPr>
        <w:t>p</w:t>
      </w:r>
      <w:r w:rsidRPr="009134B4">
        <w:rPr>
          <w:rFonts w:asciiTheme="minorHAnsi" w:hAnsiTheme="minorHAnsi" w:cstheme="minorHAnsi"/>
          <w:color w:val="auto"/>
          <w:szCs w:val="24"/>
        </w:rPr>
        <w:t xml:space="preserve">lots of the VSG-based GFMI under AVR Control (@ SCR = 4, </w:t>
      </w:r>
      <w:r w:rsidRPr="009134B4">
        <w:rPr>
          <w:rFonts w:ascii="Cambria Math" w:hAnsi="Cambria Math" w:cs="Cambria Math"/>
          <w:color w:val="auto"/>
          <w:szCs w:val="24"/>
        </w:rPr>
        <w:t>𝑋</w:t>
      </w:r>
      <w:r w:rsidRPr="009134B4">
        <w:rPr>
          <w:rFonts w:asciiTheme="minorHAnsi" w:hAnsiTheme="minorHAnsi" w:cstheme="minorHAnsi"/>
          <w:color w:val="auto"/>
          <w:szCs w:val="24"/>
        </w:rPr>
        <w:t xml:space="preserve">_g  / </w:t>
      </w:r>
      <w:r w:rsidRPr="009134B4">
        <w:rPr>
          <w:rFonts w:ascii="Cambria Math" w:hAnsi="Cambria Math" w:cs="Cambria Math"/>
          <w:color w:val="auto"/>
          <w:szCs w:val="24"/>
        </w:rPr>
        <w:t>𝑅</w:t>
      </w:r>
      <w:r w:rsidRPr="009134B4">
        <w:rPr>
          <w:rFonts w:asciiTheme="minorHAnsi" w:hAnsiTheme="minorHAnsi" w:cstheme="minorHAnsi"/>
          <w:color w:val="auto"/>
          <w:szCs w:val="24"/>
        </w:rPr>
        <w:t xml:space="preserve">_g = 7) : </w:t>
      </w:r>
      <w:r w:rsidRPr="00B31468">
        <w:rPr>
          <w:rFonts w:asciiTheme="minorHAnsi" w:hAnsiTheme="minorHAnsi" w:cstheme="minorHAnsi"/>
          <w:color w:val="auto"/>
          <w:szCs w:val="24"/>
        </w:rPr>
        <w:t>(a) &amp; (d): Virtual resistance only (</w:t>
      </w:r>
      <m:oMath>
        <m:r>
          <w:rPr>
            <w:rFonts w:ascii="Cambria Math" w:hAnsi="Cambria Math" w:cstheme="minorHAnsi"/>
            <w:color w:val="auto"/>
            <w:szCs w:val="24"/>
          </w:rPr>
          <m:t>0, 0</m:t>
        </m:r>
        <m:sSub>
          <m:sSubPr>
            <m:ctrlPr>
              <w:rPr>
                <w:rFonts w:ascii="Cambria Math" w:hAnsi="Cambria Math" w:cstheme="minorHAnsi"/>
                <w:i/>
                <w:iCs/>
                <w:color w:val="auto"/>
                <w:szCs w:val="24"/>
              </w:rPr>
            </m:ctrlPr>
          </m:sSubPr>
          <m:e>
            <m:r>
              <w:rPr>
                <w:rFonts w:ascii="Cambria Math" w:hAnsi="Cambria Math" w:cstheme="minorHAnsi"/>
                <w:color w:val="auto"/>
                <w:szCs w:val="24"/>
              </w:rPr>
              <m:t>.5R</m:t>
            </m:r>
          </m:e>
          <m:sub>
            <m:r>
              <m:rPr>
                <m:sty m:val="p"/>
              </m:rPr>
              <w:rPr>
                <w:rFonts w:ascii="Cambria Math" w:hAnsi="Cambria Math" w:cstheme="minorHAnsi"/>
                <w:color w:val="auto"/>
                <w:szCs w:val="24"/>
              </w:rPr>
              <m:t>vir</m:t>
            </m:r>
          </m:sub>
        </m:sSub>
        <m:r>
          <w:rPr>
            <w:rFonts w:ascii="Cambria Math" w:hAnsi="Cambria Math" w:cstheme="minorHAnsi"/>
            <w:color w:val="auto"/>
            <w:szCs w:val="24"/>
          </w:rPr>
          <m:t>,</m:t>
        </m:r>
        <m:sSub>
          <m:sSubPr>
            <m:ctrlPr>
              <w:rPr>
                <w:rFonts w:ascii="Cambria Math" w:hAnsi="Cambria Math" w:cstheme="minorHAnsi"/>
                <w:i/>
                <w:iCs/>
                <w:color w:val="auto"/>
                <w:szCs w:val="24"/>
              </w:rPr>
            </m:ctrlPr>
          </m:sSubPr>
          <m:e>
            <m:r>
              <w:rPr>
                <w:rFonts w:ascii="Cambria Math" w:hAnsi="Cambria Math" w:cstheme="minorHAnsi"/>
                <w:color w:val="auto"/>
                <w:szCs w:val="24"/>
              </w:rPr>
              <m:t>R</m:t>
            </m:r>
          </m:e>
          <m:sub>
            <m:r>
              <m:rPr>
                <m:sty m:val="p"/>
              </m:rPr>
              <w:rPr>
                <w:rFonts w:ascii="Cambria Math" w:hAnsi="Cambria Math" w:cstheme="minorHAnsi"/>
                <w:color w:val="auto"/>
                <w:szCs w:val="24"/>
              </w:rPr>
              <m:t>vir</m:t>
            </m:r>
          </m:sub>
        </m:sSub>
        <m:r>
          <w:rPr>
            <w:rFonts w:ascii="Cambria Math" w:hAnsi="Cambria Math" w:cstheme="minorHAnsi"/>
            <w:color w:val="auto"/>
            <w:szCs w:val="24"/>
          </w:rPr>
          <m:t>)</m:t>
        </m:r>
      </m:oMath>
      <w:r w:rsidRPr="009134B4">
        <w:rPr>
          <w:rFonts w:asciiTheme="minorHAnsi" w:hAnsiTheme="minorHAnsi" w:cstheme="minorHAnsi"/>
          <w:iCs/>
          <w:color w:val="auto"/>
          <w:szCs w:val="24"/>
        </w:rPr>
        <w:t xml:space="preserve">, </w:t>
      </w:r>
      <w:r w:rsidRPr="00387CC7">
        <w:rPr>
          <w:rFonts w:asciiTheme="minorHAnsi" w:hAnsiTheme="minorHAnsi" w:cstheme="minorHAnsi"/>
          <w:iCs/>
          <w:color w:val="auto"/>
          <w:szCs w:val="24"/>
        </w:rPr>
        <w:t>(b) &amp; (e): Virtual inductance only(</w:t>
      </w:r>
      <m:oMath>
        <m:r>
          <w:rPr>
            <w:rFonts w:ascii="Cambria Math" w:hAnsi="Cambria Math" w:cstheme="minorHAnsi"/>
            <w:color w:val="auto"/>
            <w:szCs w:val="24"/>
          </w:rPr>
          <m:t>0, 0</m:t>
        </m:r>
        <m:sSub>
          <m:sSubPr>
            <m:ctrlPr>
              <w:rPr>
                <w:rFonts w:ascii="Cambria Math" w:hAnsi="Cambria Math" w:cstheme="minorHAnsi"/>
                <w:i/>
                <w:iCs/>
                <w:color w:val="auto"/>
                <w:szCs w:val="24"/>
              </w:rPr>
            </m:ctrlPr>
          </m:sSubPr>
          <m:e>
            <m:r>
              <w:rPr>
                <w:rFonts w:ascii="Cambria Math" w:hAnsi="Cambria Math" w:cstheme="minorHAnsi"/>
                <w:color w:val="auto"/>
                <w:szCs w:val="24"/>
              </w:rPr>
              <m:t>.5L</m:t>
            </m:r>
          </m:e>
          <m:sub>
            <m:r>
              <m:rPr>
                <m:sty m:val="p"/>
              </m:rPr>
              <w:rPr>
                <w:rFonts w:ascii="Cambria Math" w:hAnsi="Cambria Math" w:cstheme="minorHAnsi"/>
                <w:color w:val="auto"/>
                <w:szCs w:val="24"/>
              </w:rPr>
              <m:t>vir</m:t>
            </m:r>
          </m:sub>
        </m:sSub>
        <m:r>
          <w:rPr>
            <w:rFonts w:ascii="Cambria Math" w:hAnsi="Cambria Math" w:cstheme="minorHAnsi"/>
            <w:color w:val="auto"/>
            <w:szCs w:val="24"/>
          </w:rPr>
          <m:t>,</m:t>
        </m:r>
        <m:sSub>
          <m:sSubPr>
            <m:ctrlPr>
              <w:rPr>
                <w:rFonts w:ascii="Cambria Math" w:hAnsi="Cambria Math" w:cstheme="minorHAnsi"/>
                <w:i/>
                <w:iCs/>
                <w:color w:val="auto"/>
                <w:szCs w:val="24"/>
              </w:rPr>
            </m:ctrlPr>
          </m:sSubPr>
          <m:e>
            <m:r>
              <w:rPr>
                <w:rFonts w:ascii="Cambria Math" w:hAnsi="Cambria Math" w:cstheme="minorHAnsi"/>
                <w:color w:val="auto"/>
                <w:szCs w:val="24"/>
              </w:rPr>
              <m:t>L</m:t>
            </m:r>
          </m:e>
          <m:sub>
            <m:r>
              <m:rPr>
                <m:sty m:val="p"/>
              </m:rPr>
              <w:rPr>
                <w:rFonts w:ascii="Cambria Math" w:hAnsi="Cambria Math" w:cstheme="minorHAnsi"/>
                <w:color w:val="auto"/>
                <w:szCs w:val="24"/>
              </w:rPr>
              <m:t>vir</m:t>
            </m:r>
          </m:sub>
        </m:sSub>
        <m:r>
          <w:rPr>
            <w:rFonts w:ascii="Cambria Math" w:hAnsi="Cambria Math" w:cstheme="minorHAnsi"/>
            <w:color w:val="auto"/>
            <w:szCs w:val="24"/>
          </w:rPr>
          <m:t>)</m:t>
        </m:r>
      </m:oMath>
      <w:r w:rsidRPr="009134B4">
        <w:rPr>
          <w:rFonts w:asciiTheme="minorHAnsi" w:hAnsiTheme="minorHAnsi" w:cstheme="minorHAnsi"/>
          <w:iCs/>
          <w:color w:val="auto"/>
          <w:szCs w:val="24"/>
        </w:rPr>
        <w:t xml:space="preserve">, and </w:t>
      </w:r>
      <w:r w:rsidRPr="00387CC7">
        <w:rPr>
          <w:rFonts w:asciiTheme="minorHAnsi" w:hAnsiTheme="minorHAnsi" w:cstheme="minorHAnsi"/>
          <w:iCs/>
          <w:color w:val="auto"/>
          <w:szCs w:val="24"/>
        </w:rPr>
        <w:t>(c) &amp; (f): Virtual impedance (resistance + inductance)(</w:t>
      </w:r>
      <m:oMath>
        <m:r>
          <w:rPr>
            <w:rFonts w:ascii="Cambria Math" w:hAnsi="Cambria Math" w:cstheme="minorHAnsi"/>
            <w:color w:val="auto"/>
            <w:szCs w:val="24"/>
          </w:rPr>
          <m:t>0, 0</m:t>
        </m:r>
        <m:sSub>
          <m:sSubPr>
            <m:ctrlPr>
              <w:rPr>
                <w:rFonts w:ascii="Cambria Math" w:hAnsi="Cambria Math" w:cstheme="minorHAnsi"/>
                <w:i/>
                <w:iCs/>
                <w:color w:val="auto"/>
                <w:szCs w:val="24"/>
              </w:rPr>
            </m:ctrlPr>
          </m:sSubPr>
          <m:e>
            <m:r>
              <w:rPr>
                <w:rFonts w:ascii="Cambria Math" w:hAnsi="Cambria Math" w:cstheme="minorHAnsi"/>
                <w:color w:val="auto"/>
                <w:szCs w:val="24"/>
              </w:rPr>
              <m:t>.5Z</m:t>
            </m:r>
          </m:e>
          <m:sub>
            <m:r>
              <m:rPr>
                <m:sty m:val="p"/>
              </m:rPr>
              <w:rPr>
                <w:rFonts w:ascii="Cambria Math" w:hAnsi="Cambria Math" w:cstheme="minorHAnsi"/>
                <w:color w:val="auto"/>
                <w:szCs w:val="24"/>
              </w:rPr>
              <m:t>vir</m:t>
            </m:r>
          </m:sub>
        </m:sSub>
        <m:r>
          <w:rPr>
            <w:rFonts w:ascii="Cambria Math" w:hAnsi="Cambria Math" w:cstheme="minorHAnsi"/>
            <w:color w:val="auto"/>
            <w:szCs w:val="24"/>
          </w:rPr>
          <m:t>,</m:t>
        </m:r>
        <m:sSub>
          <m:sSubPr>
            <m:ctrlPr>
              <w:rPr>
                <w:rFonts w:ascii="Cambria Math" w:hAnsi="Cambria Math" w:cstheme="minorHAnsi"/>
                <w:i/>
                <w:iCs/>
                <w:color w:val="auto"/>
                <w:szCs w:val="24"/>
              </w:rPr>
            </m:ctrlPr>
          </m:sSubPr>
          <m:e>
            <m:r>
              <w:rPr>
                <w:rFonts w:ascii="Cambria Math" w:hAnsi="Cambria Math" w:cstheme="minorHAnsi"/>
                <w:color w:val="auto"/>
                <w:szCs w:val="24"/>
              </w:rPr>
              <m:t>Z</m:t>
            </m:r>
          </m:e>
          <m:sub>
            <m:r>
              <m:rPr>
                <m:sty m:val="p"/>
              </m:rPr>
              <w:rPr>
                <w:rFonts w:ascii="Cambria Math" w:hAnsi="Cambria Math" w:cstheme="minorHAnsi"/>
                <w:color w:val="auto"/>
                <w:szCs w:val="24"/>
              </w:rPr>
              <m:t>vir</m:t>
            </m:r>
          </m:sub>
        </m:sSub>
      </m:oMath>
      <w:r w:rsidRPr="00387CC7">
        <w:rPr>
          <w:rFonts w:asciiTheme="minorHAnsi" w:hAnsiTheme="minorHAnsi" w:cstheme="minorHAnsi"/>
          <w:iCs/>
          <w:color w:val="auto"/>
          <w:szCs w:val="24"/>
        </w:rPr>
        <w:t>)</w:t>
      </w:r>
      <w:r>
        <w:rPr>
          <w:rFonts w:asciiTheme="minorHAnsi" w:hAnsiTheme="minorHAnsi" w:cstheme="minorHAnsi"/>
          <w:iCs/>
          <w:color w:val="auto"/>
          <w:szCs w:val="24"/>
        </w:rPr>
        <w:t xml:space="preserve">. It is observed that </w:t>
      </w:r>
      <w:r w:rsidR="00063E30">
        <w:rPr>
          <w:rFonts w:asciiTheme="minorHAnsi" w:hAnsiTheme="minorHAnsi" w:cstheme="minorHAnsi"/>
          <w:iCs/>
          <w:color w:val="auto"/>
        </w:rPr>
        <w:t>v</w:t>
      </w:r>
      <w:r w:rsidRPr="00185F97">
        <w:rPr>
          <w:rFonts w:asciiTheme="minorHAnsi" w:hAnsiTheme="minorHAnsi" w:cstheme="minorHAnsi"/>
          <w:iCs/>
          <w:color w:val="auto"/>
        </w:rPr>
        <w:t xml:space="preserve">arying the values of </w:t>
      </w:r>
      <m:oMath>
        <m:sSub>
          <m:sSubPr>
            <m:ctrlPr>
              <w:rPr>
                <w:rFonts w:ascii="Cambria Math" w:hAnsi="Cambria Math" w:cstheme="minorHAnsi"/>
                <w:i/>
                <w:iCs/>
                <w:color w:val="auto"/>
              </w:rPr>
            </m:ctrlPr>
          </m:sSubPr>
          <m:e>
            <m:r>
              <w:rPr>
                <w:rFonts w:ascii="Cambria Math" w:hAnsi="Cambria Math" w:cstheme="minorHAnsi"/>
                <w:color w:val="auto"/>
              </w:rPr>
              <m:t>R</m:t>
            </m:r>
          </m:e>
          <m:sub>
            <m:r>
              <m:rPr>
                <m:sty m:val="p"/>
              </m:rPr>
              <w:rPr>
                <w:rFonts w:ascii="Cambria Math" w:hAnsi="Cambria Math" w:cstheme="minorHAnsi"/>
                <w:color w:val="auto"/>
              </w:rPr>
              <m:t>vir</m:t>
            </m:r>
          </m:sub>
        </m:sSub>
      </m:oMath>
      <w:r w:rsidRPr="00185F97">
        <w:rPr>
          <w:rFonts w:asciiTheme="minorHAnsi" w:hAnsiTheme="minorHAnsi" w:cstheme="minorHAnsi"/>
          <w:iCs/>
          <w:color w:val="auto"/>
          <w:rtl/>
        </w:rPr>
        <w:t>,</w:t>
      </w:r>
      <w:r w:rsidRPr="00185F97">
        <w:rPr>
          <w:rFonts w:asciiTheme="minorHAnsi" w:hAnsiTheme="minorHAnsi" w:cstheme="minorHAnsi"/>
          <w:iCs/>
          <w:color w:val="auto"/>
        </w:rPr>
        <w:t xml:space="preserve"> </w:t>
      </w:r>
      <m:oMath>
        <m:sSub>
          <m:sSubPr>
            <m:ctrlPr>
              <w:rPr>
                <w:rFonts w:ascii="Cambria Math" w:hAnsi="Cambria Math" w:cstheme="minorHAnsi"/>
                <w:i/>
                <w:iCs/>
                <w:color w:val="auto"/>
              </w:rPr>
            </m:ctrlPr>
          </m:sSubPr>
          <m:e>
            <m:r>
              <w:rPr>
                <w:rFonts w:ascii="Cambria Math" w:hAnsi="Cambria Math" w:cstheme="minorHAnsi"/>
                <w:color w:val="auto"/>
              </w:rPr>
              <m:t>L</m:t>
            </m:r>
          </m:e>
          <m:sub>
            <m:r>
              <m:rPr>
                <m:sty m:val="p"/>
              </m:rPr>
              <w:rPr>
                <w:rFonts w:ascii="Cambria Math" w:hAnsi="Cambria Math" w:cstheme="minorHAnsi"/>
                <w:color w:val="auto"/>
              </w:rPr>
              <m:t>vir</m:t>
            </m:r>
          </m:sub>
        </m:sSub>
        <m:r>
          <w:rPr>
            <w:rFonts w:ascii="Cambria Math" w:hAnsi="Cambria Math" w:cstheme="minorHAnsi"/>
            <w:color w:val="auto"/>
          </w:rPr>
          <m:t>  </m:t>
        </m:r>
      </m:oMath>
      <w:r w:rsidRPr="00185F97">
        <w:rPr>
          <w:rFonts w:asciiTheme="minorHAnsi" w:hAnsiTheme="minorHAnsi" w:cstheme="minorHAnsi"/>
          <w:iCs/>
          <w:color w:val="auto"/>
        </w:rPr>
        <w:t xml:space="preserve">and </w:t>
      </w:r>
      <m:oMath>
        <m:sSub>
          <m:sSubPr>
            <m:ctrlPr>
              <w:rPr>
                <w:rFonts w:ascii="Cambria Math" w:hAnsi="Cambria Math" w:cstheme="minorHAnsi"/>
                <w:i/>
                <w:iCs/>
                <w:color w:val="auto"/>
              </w:rPr>
            </m:ctrlPr>
          </m:sSubPr>
          <m:e>
            <m:r>
              <w:rPr>
                <w:rFonts w:ascii="Cambria Math" w:hAnsi="Cambria Math" w:cstheme="minorHAnsi"/>
                <w:color w:val="auto"/>
              </w:rPr>
              <m:t>Z</m:t>
            </m:r>
          </m:e>
          <m:sub>
            <m:r>
              <m:rPr>
                <m:sty m:val="p"/>
              </m:rPr>
              <w:rPr>
                <w:rFonts w:ascii="Cambria Math" w:hAnsi="Cambria Math" w:cstheme="minorHAnsi"/>
                <w:color w:val="auto"/>
              </w:rPr>
              <m:t>vir</m:t>
            </m:r>
          </m:sub>
        </m:sSub>
        <m:r>
          <w:rPr>
            <w:rFonts w:ascii="Cambria Math" w:hAnsi="Cambria Math" w:cstheme="minorHAnsi"/>
            <w:color w:val="auto"/>
          </w:rPr>
          <m:t> </m:t>
        </m:r>
      </m:oMath>
      <w:r w:rsidRPr="00185F97">
        <w:rPr>
          <w:rFonts w:asciiTheme="minorHAnsi" w:hAnsiTheme="minorHAnsi" w:cstheme="minorHAnsi"/>
          <w:iCs/>
          <w:color w:val="auto"/>
        </w:rPr>
        <w:t xml:space="preserve">has significant impact on output impedances at low frequencies and in Nyquist plots. </w:t>
      </w:r>
      <w:r w:rsidRPr="00185F97">
        <w:rPr>
          <w:rFonts w:asciiTheme="minorHAnsi" w:hAnsiTheme="minorHAnsi" w:cstheme="minorHAnsi"/>
          <w:iCs/>
          <w:color w:val="auto"/>
          <w:szCs w:val="24"/>
        </w:rPr>
        <w:t>Each approach—</w:t>
      </w:r>
      <m:oMath>
        <m:sSub>
          <m:sSubPr>
            <m:ctrlPr>
              <w:rPr>
                <w:rFonts w:ascii="Cambria Math" w:hAnsi="Cambria Math" w:cstheme="minorHAnsi"/>
                <w:i/>
                <w:iCs/>
                <w:color w:val="auto"/>
                <w:szCs w:val="24"/>
              </w:rPr>
            </m:ctrlPr>
          </m:sSubPr>
          <m:e>
            <m:r>
              <w:rPr>
                <w:rFonts w:ascii="Cambria Math" w:hAnsi="Cambria Math" w:cstheme="minorHAnsi"/>
                <w:color w:val="auto"/>
                <w:szCs w:val="24"/>
              </w:rPr>
              <m:t>R</m:t>
            </m:r>
          </m:e>
          <m:sub>
            <m:r>
              <m:rPr>
                <m:sty m:val="p"/>
              </m:rPr>
              <w:rPr>
                <w:rFonts w:ascii="Cambria Math" w:hAnsi="Cambria Math" w:cstheme="minorHAnsi"/>
                <w:color w:val="auto"/>
                <w:szCs w:val="24"/>
              </w:rPr>
              <m:t>vir</m:t>
            </m:r>
          </m:sub>
        </m:sSub>
      </m:oMath>
      <w:r w:rsidRPr="00185F97">
        <w:rPr>
          <w:rFonts w:asciiTheme="minorHAnsi" w:hAnsiTheme="minorHAnsi" w:cstheme="minorHAnsi"/>
          <w:iCs/>
          <w:color w:val="auto"/>
          <w:szCs w:val="24"/>
          <w:rtl/>
        </w:rPr>
        <w:t>,</w:t>
      </w:r>
      <w:r w:rsidRPr="00185F97">
        <w:rPr>
          <w:rFonts w:asciiTheme="minorHAnsi" w:hAnsiTheme="minorHAnsi" w:cstheme="minorHAnsi"/>
          <w:iCs/>
          <w:color w:val="auto"/>
          <w:szCs w:val="24"/>
        </w:rPr>
        <w:t xml:space="preserve"> </w:t>
      </w:r>
      <m:oMath>
        <m:sSub>
          <m:sSubPr>
            <m:ctrlPr>
              <w:rPr>
                <w:rFonts w:ascii="Cambria Math" w:hAnsi="Cambria Math" w:cstheme="minorHAnsi"/>
                <w:i/>
                <w:iCs/>
                <w:color w:val="auto"/>
                <w:szCs w:val="24"/>
              </w:rPr>
            </m:ctrlPr>
          </m:sSubPr>
          <m:e>
            <m:r>
              <w:rPr>
                <w:rFonts w:ascii="Cambria Math" w:hAnsi="Cambria Math" w:cstheme="minorHAnsi"/>
                <w:color w:val="auto"/>
                <w:szCs w:val="24"/>
              </w:rPr>
              <m:t>L</m:t>
            </m:r>
          </m:e>
          <m:sub>
            <m:r>
              <m:rPr>
                <m:sty m:val="p"/>
              </m:rPr>
              <w:rPr>
                <w:rFonts w:ascii="Cambria Math" w:hAnsi="Cambria Math" w:cstheme="minorHAnsi"/>
                <w:color w:val="auto"/>
                <w:szCs w:val="24"/>
              </w:rPr>
              <m:t>vir</m:t>
            </m:r>
          </m:sub>
        </m:sSub>
        <m:r>
          <w:rPr>
            <w:rFonts w:ascii="Cambria Math" w:hAnsi="Cambria Math" w:cstheme="minorHAnsi"/>
            <w:color w:val="auto"/>
            <w:szCs w:val="24"/>
          </w:rPr>
          <m:t>  </m:t>
        </m:r>
      </m:oMath>
      <w:r w:rsidRPr="00185F97">
        <w:rPr>
          <w:rFonts w:asciiTheme="minorHAnsi" w:hAnsiTheme="minorHAnsi" w:cstheme="minorHAnsi"/>
          <w:iCs/>
          <w:color w:val="auto"/>
          <w:szCs w:val="24"/>
        </w:rPr>
        <w:t xml:space="preserve">and </w:t>
      </w:r>
      <m:oMath>
        <m:sSub>
          <m:sSubPr>
            <m:ctrlPr>
              <w:rPr>
                <w:rFonts w:ascii="Cambria Math" w:hAnsi="Cambria Math" w:cstheme="minorHAnsi"/>
                <w:i/>
                <w:iCs/>
                <w:color w:val="auto"/>
                <w:szCs w:val="24"/>
              </w:rPr>
            </m:ctrlPr>
          </m:sSubPr>
          <m:e>
            <m:r>
              <w:rPr>
                <w:rFonts w:ascii="Cambria Math" w:hAnsi="Cambria Math" w:cstheme="minorHAnsi"/>
                <w:color w:val="auto"/>
                <w:szCs w:val="24"/>
              </w:rPr>
              <m:t>Z</m:t>
            </m:r>
          </m:e>
          <m:sub>
            <m:r>
              <m:rPr>
                <m:sty m:val="p"/>
              </m:rPr>
              <w:rPr>
                <w:rFonts w:ascii="Cambria Math" w:hAnsi="Cambria Math" w:cstheme="minorHAnsi"/>
                <w:color w:val="auto"/>
                <w:szCs w:val="24"/>
              </w:rPr>
              <m:t>vir</m:t>
            </m:r>
          </m:sub>
        </m:sSub>
      </m:oMath>
      <w:r w:rsidRPr="00185F97">
        <w:rPr>
          <w:rFonts w:asciiTheme="minorHAnsi" w:hAnsiTheme="minorHAnsi" w:cstheme="minorHAnsi"/>
          <w:iCs/>
          <w:color w:val="auto"/>
          <w:szCs w:val="24"/>
        </w:rPr>
        <w:t>—impacts stability differently</w:t>
      </w:r>
      <w:r>
        <w:rPr>
          <w:rFonts w:asciiTheme="minorHAnsi" w:hAnsiTheme="minorHAnsi" w:cstheme="minorHAnsi"/>
          <w:iCs/>
          <w:color w:val="auto"/>
          <w:szCs w:val="24"/>
        </w:rPr>
        <w:t xml:space="preserve"> and </w:t>
      </w:r>
      <w:r w:rsidRPr="00185F97">
        <w:rPr>
          <w:rFonts w:asciiTheme="minorHAnsi" w:hAnsiTheme="minorHAnsi" w:cstheme="minorHAnsi"/>
          <w:iCs/>
          <w:color w:val="auto"/>
          <w:szCs w:val="24"/>
        </w:rPr>
        <w:t xml:space="preserve"> </w:t>
      </w:r>
      <m:oMath>
        <m:sSub>
          <m:sSubPr>
            <m:ctrlPr>
              <w:rPr>
                <w:rFonts w:ascii="Cambria Math" w:hAnsi="Cambria Math" w:cstheme="minorHAnsi"/>
                <w:i/>
                <w:iCs/>
                <w:color w:val="auto"/>
                <w:szCs w:val="24"/>
              </w:rPr>
            </m:ctrlPr>
          </m:sSubPr>
          <m:e>
            <m:r>
              <w:rPr>
                <w:rFonts w:ascii="Cambria Math" w:hAnsi="Cambria Math" w:cstheme="minorHAnsi"/>
                <w:color w:val="auto"/>
                <w:szCs w:val="24"/>
              </w:rPr>
              <m:t>L</m:t>
            </m:r>
          </m:e>
          <m:sub>
            <m:r>
              <m:rPr>
                <m:sty m:val="p"/>
              </m:rPr>
              <w:rPr>
                <w:rFonts w:ascii="Cambria Math" w:hAnsi="Cambria Math" w:cstheme="minorHAnsi"/>
                <w:color w:val="auto"/>
                <w:szCs w:val="24"/>
              </w:rPr>
              <m:t>vir</m:t>
            </m:r>
          </m:sub>
        </m:sSub>
        <m:r>
          <w:rPr>
            <w:rFonts w:ascii="Cambria Math" w:hAnsi="Cambria Math" w:cstheme="minorHAnsi"/>
            <w:color w:val="auto"/>
            <w:szCs w:val="24"/>
          </w:rPr>
          <m:t> </m:t>
        </m:r>
      </m:oMath>
      <w:r w:rsidRPr="00185F97">
        <w:rPr>
          <w:rFonts w:asciiTheme="minorHAnsi" w:hAnsiTheme="minorHAnsi" w:cstheme="minorHAnsi"/>
          <w:iCs/>
          <w:color w:val="auto"/>
          <w:szCs w:val="24"/>
        </w:rPr>
        <w:t>performs best, pushing the Nyquist trajectory farthest from (-1, 0)</w:t>
      </w:r>
      <w:r>
        <w:rPr>
          <w:rFonts w:asciiTheme="minorHAnsi" w:hAnsiTheme="minorHAnsi" w:cstheme="minorHAnsi"/>
          <w:iCs/>
          <w:color w:val="auto"/>
          <w:szCs w:val="24"/>
        </w:rPr>
        <w:t>.</w:t>
      </w:r>
    </w:p>
    <w:p w14:paraId="1177BBBE" w14:textId="77777777" w:rsidR="009F4900" w:rsidRDefault="009F4900" w:rsidP="00ED1A2E">
      <w:pPr>
        <w:pStyle w:val="BodyText"/>
        <w:spacing w:line="240" w:lineRule="auto"/>
        <w:rPr>
          <w:rFonts w:asciiTheme="minorHAnsi" w:hAnsiTheme="minorHAnsi" w:cstheme="minorHAnsi"/>
          <w:iCs/>
          <w:color w:val="auto"/>
          <w:szCs w:val="24"/>
        </w:rPr>
      </w:pPr>
    </w:p>
    <w:p w14:paraId="5DBCC817" w14:textId="77777777" w:rsidR="009F4900" w:rsidRDefault="009F4900" w:rsidP="00ED1A2E">
      <w:pPr>
        <w:pStyle w:val="BodyText"/>
        <w:spacing w:line="240" w:lineRule="auto"/>
        <w:rPr>
          <w:rFonts w:asciiTheme="minorHAnsi" w:hAnsiTheme="minorHAnsi" w:cstheme="minorHAnsi"/>
          <w:iCs/>
          <w:color w:val="auto"/>
          <w:szCs w:val="24"/>
        </w:rPr>
      </w:pPr>
    </w:p>
    <w:p w14:paraId="3968141E" w14:textId="77777777" w:rsidR="009F4900" w:rsidRDefault="009F4900" w:rsidP="00ED1A2E">
      <w:pPr>
        <w:pStyle w:val="BodyText"/>
        <w:spacing w:line="240" w:lineRule="auto"/>
        <w:rPr>
          <w:rFonts w:asciiTheme="minorHAnsi" w:hAnsiTheme="minorHAnsi" w:cstheme="minorHAnsi"/>
          <w:iCs/>
          <w:color w:val="auto"/>
          <w:szCs w:val="24"/>
        </w:rPr>
      </w:pPr>
    </w:p>
    <w:p w14:paraId="40890DE4" w14:textId="77777777" w:rsidR="009F4900" w:rsidRDefault="009F4900" w:rsidP="00ED1A2E">
      <w:pPr>
        <w:pStyle w:val="BodyText"/>
        <w:spacing w:line="240" w:lineRule="auto"/>
        <w:rPr>
          <w:rFonts w:asciiTheme="minorHAnsi" w:hAnsiTheme="minorHAnsi" w:cstheme="minorHAnsi"/>
          <w:iCs/>
          <w:color w:val="auto"/>
          <w:szCs w:val="24"/>
        </w:rPr>
      </w:pPr>
    </w:p>
    <w:p w14:paraId="627B8B76" w14:textId="77777777" w:rsidR="00454814" w:rsidRDefault="00454814" w:rsidP="00CD4F3A">
      <w:pPr>
        <w:pStyle w:val="BodyText"/>
        <w:spacing w:line="240" w:lineRule="auto"/>
        <w:rPr>
          <w:rFonts w:asciiTheme="minorHAnsi" w:hAnsiTheme="minorHAnsi" w:cstheme="minorHAnsi"/>
          <w:iCs/>
          <w:color w:val="auto"/>
          <w:szCs w:val="24"/>
        </w:rPr>
      </w:pPr>
    </w:p>
    <w:p w14:paraId="3FCC3DAD" w14:textId="77BA3789" w:rsidR="00E2284F" w:rsidRPr="00603A48" w:rsidRDefault="009F4900" w:rsidP="00CD4F3A">
      <w:pPr>
        <w:pStyle w:val="BodyText"/>
        <w:spacing w:line="240" w:lineRule="auto"/>
        <w:rPr>
          <w:rFonts w:asciiTheme="minorHAnsi" w:hAnsiTheme="minorHAnsi" w:cstheme="minorHAnsi"/>
          <w:iCs/>
          <w:color w:val="auto"/>
        </w:rPr>
      </w:pPr>
      <w:r>
        <w:rPr>
          <w:noProof/>
        </w:rPr>
        <mc:AlternateContent>
          <mc:Choice Requires="wps">
            <w:drawing>
              <wp:anchor distT="0" distB="0" distL="114300" distR="114300" simplePos="0" relativeHeight="251748352" behindDoc="0" locked="0" layoutInCell="1" allowOverlap="1" wp14:anchorId="01B2CF4D" wp14:editId="1462CE76">
                <wp:simplePos x="0" y="0"/>
                <wp:positionH relativeFrom="column">
                  <wp:posOffset>4462780</wp:posOffset>
                </wp:positionH>
                <wp:positionV relativeFrom="paragraph">
                  <wp:posOffset>-35070</wp:posOffset>
                </wp:positionV>
                <wp:extent cx="897890" cy="297833"/>
                <wp:effectExtent l="0" t="0" r="16510" b="26035"/>
                <wp:wrapNone/>
                <wp:docPr id="364856365" name="Rectangle: Rounded Corners 6"/>
                <wp:cNvGraphicFramePr/>
                <a:graphic xmlns:a="http://schemas.openxmlformats.org/drawingml/2006/main">
                  <a:graphicData uri="http://schemas.microsoft.com/office/word/2010/wordprocessingShape">
                    <wps:wsp>
                      <wps:cNvSpPr txBox="1"/>
                      <wps:spPr>
                        <a:xfrm>
                          <a:off x="0" y="0"/>
                          <a:ext cx="897890" cy="297833"/>
                        </a:xfrm>
                        <a:prstGeom prst="rect">
                          <a:avLst/>
                        </a:prstGeom>
                        <a:solidFill>
                          <a:schemeClr val="accent1"/>
                        </a:solidFill>
                        <a:ln>
                          <a:solidFill>
                            <a:schemeClr val="accent1"/>
                          </a:solidFill>
                        </a:ln>
                      </wps:spPr>
                      <wps:style>
                        <a:lnRef idx="0">
                          <a:scrgbClr r="0" g="0" b="0"/>
                        </a:lnRef>
                        <a:fillRef idx="0">
                          <a:scrgbClr r="0" g="0" b="0"/>
                        </a:fillRef>
                        <a:effectRef idx="0">
                          <a:scrgbClr r="0" g="0" b="0"/>
                        </a:effectRef>
                        <a:fontRef idx="minor">
                          <a:schemeClr val="lt1"/>
                        </a:fontRef>
                      </wps:style>
                      <wps:txbx>
                        <w:txbxContent>
                          <w:p w14:paraId="23BCD681"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Z</m:t>
                                        </m:r>
                                      </m:e>
                                      <m:sub>
                                        <m:r>
                                          <m:rPr>
                                            <m:sty m:val="p"/>
                                          </m:rPr>
                                          <w:rPr>
                                            <w:rFonts w:ascii="Cambria Math" w:hAnsi="Cambria Math" w:cstheme="minorBidi"/>
                                            <w:color w:val="FFFFFF" w:themeColor="background1"/>
                                            <w:kern w:val="24"/>
                                            <w:sz w:val="32"/>
                                            <w:szCs w:val="32"/>
                                          </w:rPr>
                                          <m:t>vir</m:t>
                                        </m:r>
                                      </m:sub>
                                    </m:sSub>
                                  </m:e>
                                </m:d>
                              </m:oMath>
                            </m:oMathPara>
                          </w:p>
                        </w:txbxContent>
                      </wps:txbx>
                      <wps:bodyPr spcFirstLastPara="0" vert="horz" wrap="square" lIns="153734" tIns="0" rIns="153734" bIns="0" numCol="1" spcCol="1270" anchor="ctr" anchorCtr="0">
                        <a:noAutofit/>
                      </wps:bodyPr>
                    </wps:wsp>
                  </a:graphicData>
                </a:graphic>
                <wp14:sizeRelV relativeFrom="margin">
                  <wp14:pctHeight>0</wp14:pctHeight>
                </wp14:sizeRelV>
              </wp:anchor>
            </w:drawing>
          </mc:Choice>
          <mc:Fallback>
            <w:pict>
              <v:shape w14:anchorId="01B2CF4D" id="Rectangle: Rounded Corners 6" o:spid="_x0000_s1029" type="#_x0000_t202" style="position:absolute;margin-left:351.4pt;margin-top:-2.75pt;width:70.7pt;height:23.4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" fillcolor="#00a9ce [3204]" strokecolor="#00a9ce [3204]">
                <v:textbox inset="4.27039mm,0,4.27039mm,0">
                  <w:txbxContent>
                    <w:p w14:paraId="23BCD681"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Z</m:t>
                                  </m:r>
                                </m:e>
                                <m:sub>
                                  <m:r>
                                    <m:rPr>
                                      <m:sty m:val="p"/>
                                    </m:rPr>
                                    <w:rPr>
                                      <w:rFonts w:ascii="Cambria Math" w:hAnsi="Cambria Math" w:cstheme="minorBidi"/>
                                      <w:color w:val="FFFFFF" w:themeColor="background1"/>
                                      <w:kern w:val="24"/>
                                      <w:sz w:val="32"/>
                                      <w:szCs w:val="32"/>
                                    </w:rPr>
                                    <m:t>vir</m:t>
                                  </m:r>
                                </m:sub>
                              </m:sSub>
                            </m:e>
                          </m:d>
                        </m:oMath>
                      </m:oMathPara>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55BE971D" wp14:editId="79E94171">
                <wp:simplePos x="0" y="0"/>
                <wp:positionH relativeFrom="column">
                  <wp:posOffset>2529840</wp:posOffset>
                </wp:positionH>
                <wp:positionV relativeFrom="paragraph">
                  <wp:posOffset>-85870</wp:posOffset>
                </wp:positionV>
                <wp:extent cx="898046" cy="334409"/>
                <wp:effectExtent l="0" t="0" r="16510" b="27940"/>
                <wp:wrapNone/>
                <wp:docPr id="1520786295" name="Rectangle: Rounded Corners 6"/>
                <wp:cNvGraphicFramePr/>
                <a:graphic xmlns:a="http://schemas.openxmlformats.org/drawingml/2006/main">
                  <a:graphicData uri="http://schemas.microsoft.com/office/word/2010/wordprocessingShape">
                    <wps:wsp>
                      <wps:cNvSpPr txBox="1"/>
                      <wps:spPr>
                        <a:xfrm>
                          <a:off x="0" y="0"/>
                          <a:ext cx="898046" cy="334409"/>
                        </a:xfrm>
                        <a:prstGeom prst="rect">
                          <a:avLst/>
                        </a:prstGeom>
                        <a:solidFill>
                          <a:schemeClr val="accent1"/>
                        </a:solidFill>
                        <a:ln>
                          <a:solidFill>
                            <a:schemeClr val="accent1"/>
                          </a:solidFill>
                        </a:ln>
                      </wps:spPr>
                      <wps:style>
                        <a:lnRef idx="0">
                          <a:scrgbClr r="0" g="0" b="0"/>
                        </a:lnRef>
                        <a:fillRef idx="0">
                          <a:scrgbClr r="0" g="0" b="0"/>
                        </a:fillRef>
                        <a:effectRef idx="0">
                          <a:scrgbClr r="0" g="0" b="0"/>
                        </a:effectRef>
                        <a:fontRef idx="minor">
                          <a:schemeClr val="lt1"/>
                        </a:fontRef>
                      </wps:style>
                      <wps:txbx>
                        <w:txbxContent>
                          <w:p w14:paraId="1E7DD3AE"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L</m:t>
                                        </m:r>
                                      </m:e>
                                      <m:sub>
                                        <m:r>
                                          <m:rPr>
                                            <m:sty m:val="p"/>
                                          </m:rPr>
                                          <w:rPr>
                                            <w:rFonts w:ascii="Cambria Math" w:hAnsi="Cambria Math" w:cstheme="minorBidi"/>
                                            <w:color w:val="FFFFFF" w:themeColor="background1"/>
                                            <w:kern w:val="24"/>
                                            <w:sz w:val="32"/>
                                            <w:szCs w:val="32"/>
                                          </w:rPr>
                                          <m:t>vir</m:t>
                                        </m:r>
                                      </m:sub>
                                    </m:sSub>
                                  </m:e>
                                </m:d>
                              </m:oMath>
                            </m:oMathPara>
                          </w:p>
                        </w:txbxContent>
                      </wps:txbx>
                      <wps:bodyPr spcFirstLastPara="0" vert="horz" wrap="square" lIns="153734" tIns="0" rIns="153734" bIns="0" numCol="1" spcCol="1270" anchor="ctr" anchorCtr="0">
                        <a:noAutofit/>
                      </wps:bodyPr>
                    </wps:wsp>
                  </a:graphicData>
                </a:graphic>
                <wp14:sizeRelV relativeFrom="margin">
                  <wp14:pctHeight>0</wp14:pctHeight>
                </wp14:sizeRelV>
              </wp:anchor>
            </w:drawing>
          </mc:Choice>
          <mc:Fallback>
            <w:pict>
              <v:shape w14:anchorId="55BE971D" id="_x0000_s1030" type="#_x0000_t202" style="position:absolute;margin-left:199.2pt;margin-top:-6.75pt;width:70.7pt;height:26.3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" fillcolor="#00a9ce [3204]" strokecolor="#00a9ce [3204]">
                <v:textbox inset="4.27039mm,0,4.27039mm,0">
                  <w:txbxContent>
                    <w:p w14:paraId="1E7DD3AE"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L</m:t>
                                  </m:r>
                                </m:e>
                                <m:sub>
                                  <m:r>
                                    <m:rPr>
                                      <m:sty m:val="p"/>
                                    </m:rPr>
                                    <w:rPr>
                                      <w:rFonts w:ascii="Cambria Math" w:hAnsi="Cambria Math" w:cstheme="minorBidi"/>
                                      <w:color w:val="FFFFFF" w:themeColor="background1"/>
                                      <w:kern w:val="24"/>
                                      <w:sz w:val="32"/>
                                      <w:szCs w:val="32"/>
                                    </w:rPr>
                                    <m:t>vir</m:t>
                                  </m:r>
                                </m:sub>
                              </m:sSub>
                            </m:e>
                          </m:d>
                        </m:oMath>
                      </m:oMathPara>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30C31814" wp14:editId="17FD8C4F">
                <wp:simplePos x="0" y="0"/>
                <wp:positionH relativeFrom="column">
                  <wp:posOffset>742950</wp:posOffset>
                </wp:positionH>
                <wp:positionV relativeFrom="paragraph">
                  <wp:posOffset>-87848</wp:posOffset>
                </wp:positionV>
                <wp:extent cx="898131" cy="329184"/>
                <wp:effectExtent l="0" t="0" r="16510" b="13970"/>
                <wp:wrapNone/>
                <wp:docPr id="1613458634" name="Rectangle: Rounded Corners 6">
                  <a:extLst xmlns:a="http://schemas.openxmlformats.org/drawingml/2006/main">
                    <a:ext uri="{FF2B5EF4-FFF2-40B4-BE49-F238E27FC236}">
                      <a16:creationId xmlns:a16="http://schemas.microsoft.com/office/drawing/2014/main" id="{57181BCF-266C-E4AC-42DA-DFBD58178655}"/>
                    </a:ext>
                  </a:extLst>
                </wp:docPr>
                <wp:cNvGraphicFramePr/>
                <a:graphic xmlns:a="http://schemas.openxmlformats.org/drawingml/2006/main">
                  <a:graphicData uri="http://schemas.microsoft.com/office/word/2010/wordprocessingShape">
                    <wps:wsp>
                      <wps:cNvSpPr txBox="1"/>
                      <wps:spPr>
                        <a:xfrm>
                          <a:off x="0" y="0"/>
                          <a:ext cx="898131" cy="329184"/>
                        </a:xfrm>
                        <a:prstGeom prst="rect">
                          <a:avLst/>
                        </a:prstGeom>
                        <a:solidFill>
                          <a:schemeClr val="accent1"/>
                        </a:solidFill>
                        <a:ln>
                          <a:solidFill>
                            <a:schemeClr val="accent1"/>
                          </a:solidFill>
                        </a:ln>
                      </wps:spPr>
                      <wps:style>
                        <a:lnRef idx="0">
                          <a:scrgbClr r="0" g="0" b="0"/>
                        </a:lnRef>
                        <a:fillRef idx="0">
                          <a:scrgbClr r="0" g="0" b="0"/>
                        </a:fillRef>
                        <a:effectRef idx="0">
                          <a:scrgbClr r="0" g="0" b="0"/>
                        </a:effectRef>
                        <a:fontRef idx="minor">
                          <a:schemeClr val="lt1"/>
                        </a:fontRef>
                      </wps:style>
                      <wps:txbx>
                        <w:txbxContent>
                          <w:p w14:paraId="5C2E7242"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R</m:t>
                                        </m:r>
                                      </m:e>
                                      <m:sub>
                                        <m:r>
                                          <m:rPr>
                                            <m:sty m:val="p"/>
                                          </m:rPr>
                                          <w:rPr>
                                            <w:rFonts w:ascii="Cambria Math" w:hAnsi="Cambria Math" w:cstheme="minorBidi"/>
                                            <w:color w:val="FFFFFF" w:themeColor="background1"/>
                                            <w:kern w:val="24"/>
                                            <w:sz w:val="32"/>
                                            <w:szCs w:val="32"/>
                                          </w:rPr>
                                          <m:t>vir</m:t>
                                        </m:r>
                                      </m:sub>
                                    </m:sSub>
                                  </m:e>
                                </m:d>
                              </m:oMath>
                            </m:oMathPara>
                          </w:p>
                        </w:txbxContent>
                      </wps:txbx>
                      <wps:bodyPr spcFirstLastPara="0" vert="horz" wrap="square" lIns="153734" tIns="0" rIns="153734" bIns="0" numCol="1" spcCol="1270" anchor="ctr" anchorCtr="0">
                        <a:noAutofit/>
                      </wps:bodyPr>
                    </wps:wsp>
                  </a:graphicData>
                </a:graphic>
                <wp14:sizeRelV relativeFrom="margin">
                  <wp14:pctHeight>0</wp14:pctHeight>
                </wp14:sizeRelV>
              </wp:anchor>
            </w:drawing>
          </mc:Choice>
          <mc:Fallback>
            <w:pict>
              <v:shape w14:anchorId="30C31814" id="_x0000_s1031" type="#_x0000_t202" style="position:absolute;margin-left:58.5pt;margin-top:-6.9pt;width:70.7pt;height:25.9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" fillcolor="#00a9ce [3204]" strokecolor="#00a9ce [3204]">
                <v:textbox inset="4.27039mm,0,4.27039mm,0">
                  <w:txbxContent>
                    <w:p w14:paraId="5C2E7242" w14:textId="77777777" w:rsidR="00E2284F" w:rsidRDefault="00E2284F" w:rsidP="00E2284F">
                      <w:pPr>
                        <w:spacing w:after="134" w:line="216" w:lineRule="auto"/>
                        <w:jc w:val="center"/>
                        <w:rPr>
                          <w:rFonts w:ascii="Cambria Math" w:hAnsi="Cambria Math" w:cstheme="minorBidi"/>
                          <w:color w:val="FFFFFF" w:themeColor="light1"/>
                          <w:kern w:val="24"/>
                          <w:sz w:val="32"/>
                          <w:szCs w:val="32"/>
                        </w:rPr>
                      </w:pPr>
                      <m:oMathPara>
                        <m:oMathParaPr>
                          <m:jc m:val="centerGroup"/>
                        </m:oMathParaPr>
                        <m:oMath>
                          <m:r>
                            <w:rPr>
                              <w:rFonts w:ascii="Cambria Math" w:hAnsi="Cambria Math" w:cstheme="minorBidi"/>
                              <w:color w:val="FFFFFF" w:themeColor="light1"/>
                              <w:kern w:val="24"/>
                              <w:sz w:val="32"/>
                              <w:szCs w:val="32"/>
                            </w:rPr>
                            <m:t>f</m:t>
                          </m:r>
                          <m:d>
                            <m:dPr>
                              <m:ctrlPr>
                                <w:rPr>
                                  <w:rFonts w:ascii="Cambria Math" w:eastAsiaTheme="minorEastAsia" w:hAnsi="Cambria Math" w:cstheme="minorBidi"/>
                                  <w:i/>
                                  <w:iCs/>
                                  <w:color w:val="FFFFFF" w:themeColor="light1"/>
                                  <w:kern w:val="24"/>
                                  <w:sz w:val="32"/>
                                  <w:szCs w:val="32"/>
                                </w:rPr>
                              </m:ctrlPr>
                            </m:dPr>
                            <m:e>
                              <m:sSub>
                                <m:sSubPr>
                                  <m:ctrlPr>
                                    <w:rPr>
                                      <w:rFonts w:ascii="Cambria Math" w:eastAsiaTheme="minorEastAsia" w:hAnsi="Cambria Math" w:cstheme="minorBidi"/>
                                      <w:i/>
                                      <w:iCs/>
                                      <w:color w:val="FFFFFF" w:themeColor="background1"/>
                                      <w:kern w:val="24"/>
                                      <w:sz w:val="32"/>
                                      <w:szCs w:val="32"/>
                                    </w:rPr>
                                  </m:ctrlPr>
                                </m:sSubPr>
                                <m:e>
                                  <m:r>
                                    <w:rPr>
                                      <w:rFonts w:ascii="Cambria Math" w:hAnsi="Cambria Math" w:cstheme="minorBidi"/>
                                      <w:color w:val="FFFFFF" w:themeColor="background1"/>
                                      <w:kern w:val="24"/>
                                      <w:sz w:val="32"/>
                                      <w:szCs w:val="32"/>
                                    </w:rPr>
                                    <m:t>R</m:t>
                                  </m:r>
                                </m:e>
                                <m:sub>
                                  <m:r>
                                    <m:rPr>
                                      <m:sty m:val="p"/>
                                    </m:rPr>
                                    <w:rPr>
                                      <w:rFonts w:ascii="Cambria Math" w:hAnsi="Cambria Math" w:cstheme="minorBidi"/>
                                      <w:color w:val="FFFFFF" w:themeColor="background1"/>
                                      <w:kern w:val="24"/>
                                      <w:sz w:val="32"/>
                                      <w:szCs w:val="32"/>
                                    </w:rPr>
                                    <m:t>vir</m:t>
                                  </m:r>
                                </m:sub>
                              </m:sSub>
                            </m:e>
                          </m:d>
                        </m:oMath>
                      </m:oMathPara>
                    </w:p>
                  </w:txbxContent>
                </v:textbox>
              </v:shape>
            </w:pict>
          </mc:Fallback>
        </mc:AlternateContent>
      </w:r>
    </w:p>
    <w:p w14:paraId="1966FC94" w14:textId="6FDE174B" w:rsidR="00E2284F" w:rsidRPr="00E27D3B" w:rsidRDefault="00E2284F" w:rsidP="00CD4F3A">
      <w:pPr>
        <w:pStyle w:val="BodyText"/>
        <w:spacing w:line="240" w:lineRule="auto"/>
      </w:pPr>
      <w:r w:rsidRPr="00C214B7">
        <w:rPr>
          <w:noProof/>
        </w:rPr>
        <w:drawing>
          <wp:inline distT="0" distB="0" distL="0" distR="0" wp14:anchorId="04D48023" wp14:editId="2FA5A149">
            <wp:extent cx="6188871" cy="5398935"/>
            <wp:effectExtent l="0" t="0" r="2540" b="0"/>
            <wp:docPr id="5" name="Picture 4">
              <a:extLst xmlns:a="http://schemas.openxmlformats.org/drawingml/2006/main">
                <a:ext uri="{FF2B5EF4-FFF2-40B4-BE49-F238E27FC236}">
                  <a16:creationId xmlns:a16="http://schemas.microsoft.com/office/drawing/2014/main" id="{7CBB0587-4D6D-5FDE-845A-C6B7073BDB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CBB0587-4D6D-5FDE-845A-C6B7073BDB28}"/>
                        </a:ext>
                      </a:extLst>
                    </pic:cNvPr>
                    <pic:cNvPicPr>
                      <a:picLocks noChangeAspect="1"/>
                    </pic:cNvPicPr>
                  </pic:nvPicPr>
                  <pic:blipFill>
                    <a:blip r:embed="rId32"/>
                    <a:stretch>
                      <a:fillRect/>
                    </a:stretch>
                  </pic:blipFill>
                  <pic:spPr>
                    <a:xfrm>
                      <a:off x="0" y="0"/>
                      <a:ext cx="6198462" cy="5407302"/>
                    </a:xfrm>
                    <a:prstGeom prst="rect">
                      <a:avLst/>
                    </a:prstGeom>
                  </pic:spPr>
                </pic:pic>
              </a:graphicData>
            </a:graphic>
          </wp:inline>
        </w:drawing>
      </w:r>
    </w:p>
    <w:p w14:paraId="1EF46E5E" w14:textId="594FA904" w:rsidR="00E2284F" w:rsidRPr="00F06ADD" w:rsidRDefault="00E2284F" w:rsidP="00CD4F3A">
      <w:pPr>
        <w:pStyle w:val="Caption"/>
        <w:spacing w:line="240" w:lineRule="auto"/>
      </w:pPr>
      <w:bookmarkStart w:id="56" w:name="_Ref229334861"/>
      <w:bookmarkStart w:id="57" w:name="_Toc229777565"/>
      <w:bookmarkStart w:id="58" w:name="_Toc233735014"/>
      <w:r w:rsidRPr="00E27D3B">
        <w:t xml:space="preserve">Figure </w:t>
      </w:r>
      <w:fldSimple w:instr=" SEQ Figure \* ARABIC ">
        <w:r w:rsidR="00A85006">
          <w:t>8</w:t>
        </w:r>
      </w:fldSimple>
      <w:bookmarkEnd w:id="56"/>
      <w:r w:rsidRPr="00E27D3B">
        <w:t xml:space="preserve">: </w:t>
      </w:r>
      <w:r w:rsidRPr="00F06ADD">
        <w:t xml:space="preserve">DQ-domain </w:t>
      </w:r>
      <w:r w:rsidR="00851765">
        <w:t>o</w:t>
      </w:r>
      <w:r w:rsidRPr="00F06ADD">
        <w:t xml:space="preserve">utput </w:t>
      </w:r>
      <w:r w:rsidR="00851765">
        <w:t>i</w:t>
      </w:r>
      <w:r w:rsidRPr="00F06ADD">
        <w:t xml:space="preserve">mpedances &amp; Nyquist </w:t>
      </w:r>
      <w:r w:rsidR="00851765">
        <w:t>p</w:t>
      </w:r>
      <w:r w:rsidRPr="00F06ADD">
        <w:t xml:space="preserve">lots of the VSG-based GFMI under AVR Control (approach 1) </w:t>
      </w:r>
      <w:r w:rsidRPr="00DF1AC2">
        <w:rPr>
          <w:b w:val="0"/>
          <w:bCs w:val="0"/>
        </w:rPr>
        <w:t xml:space="preserve">(@ SCR = 4, </w:t>
      </w:r>
      <w:r w:rsidRPr="00DF1AC2">
        <w:rPr>
          <w:rFonts w:ascii="Cambria Math" w:hAnsi="Cambria Math" w:cs="Cambria Math"/>
          <w:b w:val="0"/>
          <w:bCs w:val="0"/>
        </w:rPr>
        <w:t>𝑋</w:t>
      </w:r>
      <w:r w:rsidRPr="00DF1AC2">
        <w:rPr>
          <w:b w:val="0"/>
          <w:bCs w:val="0"/>
        </w:rPr>
        <w:t xml:space="preserve">_g  / </w:t>
      </w:r>
      <w:r w:rsidRPr="00DF1AC2">
        <w:rPr>
          <w:rFonts w:ascii="Cambria Math" w:hAnsi="Cambria Math" w:cs="Cambria Math"/>
          <w:b w:val="0"/>
          <w:bCs w:val="0"/>
        </w:rPr>
        <w:t>𝑅</w:t>
      </w:r>
      <w:r w:rsidRPr="00DF1AC2">
        <w:rPr>
          <w:b w:val="0"/>
          <w:bCs w:val="0"/>
        </w:rPr>
        <w:t>_g = 7)</w:t>
      </w:r>
      <w:r w:rsidRPr="00F06ADD">
        <w:t xml:space="preserve"> : (a) &amp; (d): Virtual resistance only </w:t>
      </w:r>
      <w:r w:rsidRPr="00DF1AC2">
        <w:rPr>
          <w:b w:val="0"/>
          <w:bCs w:val="0"/>
        </w:rPr>
        <w:t>(</w:t>
      </w:r>
      <m:oMath>
        <m:r>
          <m:rPr>
            <m:sty m:val="p"/>
          </m:rPr>
          <w:rPr>
            <w:rFonts w:ascii="Cambria Math" w:hAnsi="Cambria Math"/>
          </w:rPr>
          <m:t>0, 0</m:t>
        </m:r>
        <m:sSub>
          <m:sSubPr>
            <m:ctrlPr>
              <w:rPr>
                <w:rFonts w:ascii="Cambria Math" w:hAnsi="Cambria Math"/>
                <w:b w:val="0"/>
                <w:bCs w:val="0"/>
              </w:rPr>
            </m:ctrlPr>
          </m:sSubPr>
          <m:e>
            <m:r>
              <m:rPr>
                <m:sty m:val="p"/>
              </m:rPr>
              <w:rPr>
                <w:rFonts w:ascii="Cambria Math" w:hAnsi="Cambria Math"/>
              </w:rPr>
              <m:t>.5</m:t>
            </m:r>
            <m:r>
              <w:rPr>
                <w:rFonts w:ascii="Cambria Math" w:hAnsi="Cambria Math"/>
              </w:rPr>
              <m:t>R</m:t>
            </m:r>
          </m:e>
          <m:sub>
            <m:r>
              <m:rPr>
                <m:sty m:val="p"/>
              </m:rPr>
              <w:rPr>
                <w:rFonts w:ascii="Cambria Math" w:hAnsi="Cambria Math"/>
              </w:rPr>
              <m:t>vir</m:t>
            </m:r>
          </m:sub>
        </m:sSub>
        <m:r>
          <m:rPr>
            <m:sty m:val="p"/>
          </m:rPr>
          <w:rPr>
            <w:rFonts w:ascii="Cambria Math" w:hAnsi="Cambria Math"/>
          </w:rPr>
          <m:t>,</m:t>
        </m:r>
        <m:sSub>
          <m:sSubPr>
            <m:ctrlPr>
              <w:rPr>
                <w:rFonts w:ascii="Cambria Math" w:hAnsi="Cambria Math"/>
                <w:b w:val="0"/>
                <w:bCs w:val="0"/>
              </w:rPr>
            </m:ctrlPr>
          </m:sSubPr>
          <m:e>
            <m:r>
              <w:rPr>
                <w:rFonts w:ascii="Cambria Math" w:hAnsi="Cambria Math"/>
              </w:rPr>
              <m:t>R</m:t>
            </m:r>
          </m:e>
          <m:sub>
            <m:r>
              <m:rPr>
                <m:sty m:val="p"/>
              </m:rPr>
              <w:rPr>
                <w:rFonts w:ascii="Cambria Math" w:hAnsi="Cambria Math"/>
              </w:rPr>
              <m:t>vir</m:t>
            </m:r>
          </m:sub>
        </m:sSub>
        <m:r>
          <m:rPr>
            <m:sty m:val="p"/>
          </m:rPr>
          <w:rPr>
            <w:rFonts w:ascii="Cambria Math" w:hAnsi="Cambria Math"/>
          </w:rPr>
          <m:t>)</m:t>
        </m:r>
      </m:oMath>
      <w:r w:rsidRPr="00F06ADD">
        <w:t>, (b) &amp; (e): Virtual inductance only</w:t>
      </w:r>
      <w:r w:rsidR="00DF1AC2">
        <w:t xml:space="preserve"> </w:t>
      </w:r>
      <w:r w:rsidRPr="00DF1AC2">
        <w:rPr>
          <w:b w:val="0"/>
          <w:bCs w:val="0"/>
        </w:rPr>
        <w:t>(</w:t>
      </w:r>
      <m:oMath>
        <m:r>
          <m:rPr>
            <m:sty m:val="p"/>
          </m:rPr>
          <w:rPr>
            <w:rFonts w:ascii="Cambria Math" w:hAnsi="Cambria Math"/>
          </w:rPr>
          <m:t>0, 0</m:t>
        </m:r>
        <m:sSub>
          <m:sSubPr>
            <m:ctrlPr>
              <w:rPr>
                <w:rFonts w:ascii="Cambria Math" w:hAnsi="Cambria Math"/>
                <w:b w:val="0"/>
                <w:bCs w:val="0"/>
              </w:rPr>
            </m:ctrlPr>
          </m:sSubPr>
          <m:e>
            <m:r>
              <m:rPr>
                <m:sty m:val="p"/>
              </m:rPr>
              <w:rPr>
                <w:rFonts w:ascii="Cambria Math" w:hAnsi="Cambria Math"/>
              </w:rPr>
              <m:t>.5</m:t>
            </m:r>
            <m:r>
              <w:rPr>
                <w:rFonts w:ascii="Cambria Math" w:hAnsi="Cambria Math"/>
              </w:rPr>
              <m:t>L</m:t>
            </m:r>
          </m:e>
          <m:sub>
            <m:r>
              <m:rPr>
                <m:sty m:val="p"/>
              </m:rPr>
              <w:rPr>
                <w:rFonts w:ascii="Cambria Math" w:hAnsi="Cambria Math"/>
              </w:rPr>
              <m:t>vir</m:t>
            </m:r>
          </m:sub>
        </m:sSub>
        <m:r>
          <m:rPr>
            <m:sty m:val="p"/>
          </m:rPr>
          <w:rPr>
            <w:rFonts w:ascii="Cambria Math" w:hAnsi="Cambria Math"/>
          </w:rPr>
          <m:t>,</m:t>
        </m:r>
        <m:sSub>
          <m:sSubPr>
            <m:ctrlPr>
              <w:rPr>
                <w:rFonts w:ascii="Cambria Math" w:hAnsi="Cambria Math"/>
                <w:b w:val="0"/>
                <w:bCs w:val="0"/>
              </w:rPr>
            </m:ctrlPr>
          </m:sSubPr>
          <m:e>
            <m:r>
              <w:rPr>
                <w:rFonts w:ascii="Cambria Math" w:hAnsi="Cambria Math"/>
              </w:rPr>
              <m:t>L</m:t>
            </m:r>
          </m:e>
          <m:sub>
            <m:r>
              <m:rPr>
                <m:sty m:val="p"/>
              </m:rPr>
              <w:rPr>
                <w:rFonts w:ascii="Cambria Math" w:hAnsi="Cambria Math"/>
              </w:rPr>
              <m:t>vir</m:t>
            </m:r>
          </m:sub>
        </m:sSub>
        <m:r>
          <m:rPr>
            <m:sty m:val="p"/>
          </m:rPr>
          <w:rPr>
            <w:rFonts w:ascii="Cambria Math" w:hAnsi="Cambria Math"/>
          </w:rPr>
          <m:t>)</m:t>
        </m:r>
      </m:oMath>
      <w:r w:rsidRPr="00F06ADD">
        <w:t>, and (c) &amp; (f): Virtual impedance (resistance + inductance)</w:t>
      </w:r>
      <w:r w:rsidRPr="00DF1AC2">
        <w:rPr>
          <w:b w:val="0"/>
          <w:bCs w:val="0"/>
        </w:rPr>
        <w:t>(</w:t>
      </w:r>
      <m:oMath>
        <m:r>
          <m:rPr>
            <m:sty m:val="p"/>
          </m:rPr>
          <w:rPr>
            <w:rFonts w:ascii="Cambria Math" w:hAnsi="Cambria Math"/>
          </w:rPr>
          <m:t>0, 0</m:t>
        </m:r>
        <m:sSub>
          <m:sSubPr>
            <m:ctrlPr>
              <w:rPr>
                <w:rFonts w:ascii="Cambria Math" w:hAnsi="Cambria Math"/>
                <w:b w:val="0"/>
                <w:bCs w:val="0"/>
              </w:rPr>
            </m:ctrlPr>
          </m:sSubPr>
          <m:e>
            <m:r>
              <m:rPr>
                <m:sty m:val="p"/>
              </m:rPr>
              <w:rPr>
                <w:rFonts w:ascii="Cambria Math" w:hAnsi="Cambria Math"/>
              </w:rPr>
              <m:t>.5</m:t>
            </m:r>
            <m:r>
              <w:rPr>
                <w:rFonts w:ascii="Cambria Math" w:hAnsi="Cambria Math"/>
              </w:rPr>
              <m:t>Z</m:t>
            </m:r>
          </m:e>
          <m:sub>
            <m:r>
              <m:rPr>
                <m:sty m:val="p"/>
              </m:rPr>
              <w:rPr>
                <w:rFonts w:ascii="Cambria Math" w:hAnsi="Cambria Math"/>
              </w:rPr>
              <m:t>vir</m:t>
            </m:r>
          </m:sub>
        </m:sSub>
        <m:r>
          <m:rPr>
            <m:sty m:val="p"/>
          </m:rPr>
          <w:rPr>
            <w:rFonts w:ascii="Cambria Math" w:hAnsi="Cambria Math"/>
          </w:rPr>
          <m:t>,</m:t>
        </m:r>
        <m:sSub>
          <m:sSubPr>
            <m:ctrlPr>
              <w:rPr>
                <w:rFonts w:ascii="Cambria Math" w:hAnsi="Cambria Math"/>
                <w:b w:val="0"/>
                <w:bCs w:val="0"/>
              </w:rPr>
            </m:ctrlPr>
          </m:sSubPr>
          <m:e>
            <m:r>
              <w:rPr>
                <w:rFonts w:ascii="Cambria Math" w:hAnsi="Cambria Math"/>
              </w:rPr>
              <m:t>Z</m:t>
            </m:r>
          </m:e>
          <m:sub>
            <m:r>
              <m:rPr>
                <m:sty m:val="p"/>
              </m:rPr>
              <w:rPr>
                <w:rFonts w:ascii="Cambria Math" w:hAnsi="Cambria Math"/>
              </w:rPr>
              <m:t>vir</m:t>
            </m:r>
          </m:sub>
        </m:sSub>
      </m:oMath>
      <w:r w:rsidRPr="00DF1AC2">
        <w:rPr>
          <w:b w:val="0"/>
          <w:bCs w:val="0"/>
        </w:rPr>
        <w:t>)</w:t>
      </w:r>
      <w:bookmarkEnd w:id="57"/>
      <w:r w:rsidR="00851765">
        <w:t>.</w:t>
      </w:r>
      <w:bookmarkEnd w:id="58"/>
    </w:p>
    <w:p w14:paraId="5142D086" w14:textId="6A11B67F" w:rsidR="00DC6D94" w:rsidRDefault="00E2284F" w:rsidP="00ED1A2E">
      <w:pPr>
        <w:spacing w:after="0"/>
        <w:rPr>
          <w:rFonts w:ascii="Cambria Math" w:eastAsia="+mn-ea" w:hAnsi="Cambria Math" w:cs="Cambria Math"/>
          <w:iCs/>
          <w:kern w:val="24"/>
          <w:sz w:val="24"/>
          <w:szCs w:val="24"/>
        </w:rPr>
      </w:pPr>
      <w:r w:rsidRPr="00F37E7B">
        <w:rPr>
          <w:rFonts w:asciiTheme="minorHAnsi" w:hAnsiTheme="minorHAnsi" w:cstheme="minorHAnsi"/>
          <w:sz w:val="24"/>
          <w:szCs w:val="24"/>
        </w:rPr>
        <w:fldChar w:fldCharType="begin"/>
      </w:r>
      <w:r w:rsidRPr="00F37E7B">
        <w:rPr>
          <w:rFonts w:asciiTheme="minorHAnsi" w:hAnsiTheme="minorHAnsi" w:cstheme="minorHAnsi"/>
          <w:sz w:val="24"/>
          <w:szCs w:val="24"/>
        </w:rPr>
        <w:instrText xml:space="preserve"> REF _Ref229336290 \h  \* MERGEFORMAT </w:instrText>
      </w:r>
      <w:r w:rsidRPr="00F37E7B">
        <w:rPr>
          <w:rFonts w:asciiTheme="minorHAnsi" w:hAnsiTheme="minorHAnsi" w:cstheme="minorHAnsi"/>
          <w:sz w:val="24"/>
          <w:szCs w:val="24"/>
        </w:rPr>
      </w:r>
      <w:r w:rsidRPr="00F37E7B">
        <w:rPr>
          <w:rFonts w:asciiTheme="minorHAnsi" w:hAnsiTheme="minorHAnsi" w:cstheme="minorHAnsi"/>
          <w:sz w:val="24"/>
          <w:szCs w:val="24"/>
        </w:rPr>
        <w:fldChar w:fldCharType="separate"/>
      </w:r>
      <w:r w:rsidR="00753DAF" w:rsidRPr="00753DAF">
        <w:rPr>
          <w:rFonts w:asciiTheme="minorHAnsi" w:hAnsiTheme="minorHAnsi" w:cstheme="minorHAnsi"/>
          <w:sz w:val="24"/>
          <w:szCs w:val="24"/>
        </w:rPr>
        <w:t xml:space="preserve">Figure </w:t>
      </w:r>
      <w:r w:rsidR="00753DAF" w:rsidRPr="00753DAF">
        <w:rPr>
          <w:rFonts w:asciiTheme="minorHAnsi" w:hAnsiTheme="minorHAnsi" w:cstheme="minorHAnsi"/>
          <w:noProof/>
          <w:sz w:val="24"/>
          <w:szCs w:val="24"/>
        </w:rPr>
        <w:t>9</w:t>
      </w:r>
      <w:r w:rsidRPr="00F37E7B">
        <w:rPr>
          <w:rFonts w:asciiTheme="minorHAnsi" w:hAnsiTheme="minorHAnsi" w:cstheme="minorHAnsi"/>
          <w:sz w:val="24"/>
          <w:szCs w:val="24"/>
        </w:rPr>
        <w:fldChar w:fldCharType="end"/>
      </w:r>
      <w:r w:rsidRPr="00F37E7B">
        <w:rPr>
          <w:rFonts w:asciiTheme="minorHAnsi" w:hAnsiTheme="minorHAnsi" w:cstheme="minorHAnsi"/>
          <w:sz w:val="24"/>
          <w:szCs w:val="24"/>
        </w:rPr>
        <w:t xml:space="preserve">(a) and (b) shows the magnitude and phase angle and the Nyquist plots of the DQ-domain Output Impedances &amp; Nyquist Plots of the VSG-based GFMI under AVR Control (approach 2) (@ SCR = 4, </w:t>
      </w:r>
      <w:r w:rsidRPr="00F37E7B">
        <w:rPr>
          <w:rFonts w:ascii="Cambria Math" w:hAnsi="Cambria Math" w:cs="Cambria Math"/>
          <w:sz w:val="24"/>
          <w:szCs w:val="24"/>
        </w:rPr>
        <w:t>𝑋</w:t>
      </w:r>
      <w:r w:rsidRPr="00F37E7B">
        <w:rPr>
          <w:rFonts w:asciiTheme="minorHAnsi" w:hAnsiTheme="minorHAnsi" w:cstheme="minorHAnsi"/>
          <w:sz w:val="24"/>
          <w:szCs w:val="24"/>
          <w:vertAlign w:val="subscript"/>
        </w:rPr>
        <w:t>g</w:t>
      </w:r>
      <w:r w:rsidRPr="00F37E7B">
        <w:rPr>
          <w:rFonts w:asciiTheme="minorHAnsi" w:hAnsiTheme="minorHAnsi" w:cstheme="minorHAnsi"/>
          <w:sz w:val="24"/>
          <w:szCs w:val="24"/>
        </w:rPr>
        <w:t xml:space="preserve"> /</w:t>
      </w:r>
      <w:r w:rsidRPr="00F37E7B">
        <w:rPr>
          <w:rFonts w:ascii="Cambria Math" w:hAnsi="Cambria Math" w:cs="Cambria Math"/>
          <w:sz w:val="24"/>
          <w:szCs w:val="24"/>
        </w:rPr>
        <w:t>𝑅</w:t>
      </w:r>
      <w:r w:rsidRPr="00F37E7B">
        <w:rPr>
          <w:rFonts w:asciiTheme="minorHAnsi" w:hAnsiTheme="minorHAnsi" w:cstheme="minorHAnsi"/>
          <w:sz w:val="24"/>
          <w:szCs w:val="24"/>
          <w:vertAlign w:val="subscript"/>
        </w:rPr>
        <w:t>g</w:t>
      </w:r>
      <w:r w:rsidRPr="00F37E7B">
        <w:rPr>
          <w:rFonts w:asciiTheme="minorHAnsi" w:hAnsiTheme="minorHAnsi" w:cstheme="minorHAnsi"/>
          <w:sz w:val="24"/>
          <w:szCs w:val="24"/>
        </w:rPr>
        <w:t xml:space="preserve">  = 7) and with different </w:t>
      </w:r>
      <w:r w:rsidRPr="00F37E7B">
        <w:rPr>
          <w:rFonts w:ascii="Cambria Math" w:hAnsi="Cambria Math" w:cs="Cambria Math"/>
          <w:sz w:val="24"/>
          <w:szCs w:val="24"/>
        </w:rPr>
        <w:t>𝐾</w:t>
      </w:r>
      <w:r w:rsidRPr="00F37E7B">
        <w:rPr>
          <w:rFonts w:asciiTheme="minorHAnsi" w:hAnsiTheme="minorHAnsi" w:cstheme="minorHAnsi"/>
          <w:sz w:val="24"/>
          <w:szCs w:val="24"/>
          <w:vertAlign w:val="subscript"/>
        </w:rPr>
        <w:t xml:space="preserve">i-q </w:t>
      </w:r>
      <w:r w:rsidRPr="00F37E7B">
        <w:rPr>
          <w:rFonts w:asciiTheme="minorHAnsi" w:hAnsiTheme="minorHAnsi" w:cstheme="minorHAnsi"/>
          <w:sz w:val="24"/>
          <w:szCs w:val="24"/>
        </w:rPr>
        <w:t>levels such as</w:t>
      </w:r>
      <w:r w:rsidRPr="00F37E7B">
        <w:rPr>
          <w:rFonts w:asciiTheme="minorHAnsi" w:hAnsiTheme="minorHAnsi" w:cstheme="minorHAnsi"/>
          <w:color w:val="auto"/>
          <w:sz w:val="24"/>
          <w:szCs w:val="24"/>
        </w:rPr>
        <w:t xml:space="preserve"> </w:t>
      </w:r>
      <m:oMath>
        <m:sSub>
          <m:sSubPr>
            <m:ctrlPr>
              <w:rPr>
                <w:rFonts w:ascii="Cambria Math" w:eastAsia="+mn-ea" w:hAnsi="Cambria Math" w:cstheme="minorHAnsi"/>
                <w:i/>
                <w:iCs/>
                <w:color w:val="auto"/>
                <w:kern w:val="24"/>
                <w:sz w:val="24"/>
                <w:szCs w:val="24"/>
              </w:rPr>
            </m:ctrlPr>
          </m:sSubPr>
          <m:e>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oMath>
      <w:r w:rsidRPr="00F37E7B">
        <w:rPr>
          <w:rFonts w:asciiTheme="minorHAnsi" w:eastAsia="+mn-ea" w:hAnsiTheme="minorHAnsi" w:cstheme="minorHAnsi"/>
          <w:color w:val="auto"/>
          <w:kern w:val="24"/>
          <w:sz w:val="24"/>
          <w:szCs w:val="24"/>
        </w:rPr>
        <w:t xml:space="preserve">, </w:t>
      </w:r>
      <m:oMath>
        <m:r>
          <m:rPr>
            <m:sty m:val="p"/>
          </m:rPr>
          <w:rPr>
            <w:rFonts w:ascii="Cambria Math" w:eastAsia="+mn-ea" w:hAnsi="Cambria Math" w:cstheme="minorHAnsi"/>
            <w:color w:val="auto"/>
            <w:kern w:val="24"/>
            <w:sz w:val="24"/>
            <w:szCs w:val="24"/>
          </w:rPr>
          <m:t>0.1</m:t>
        </m:r>
        <m:sSub>
          <m:sSubPr>
            <m:ctrlPr>
              <w:rPr>
                <w:rFonts w:ascii="Cambria Math" w:eastAsia="+mn-ea" w:hAnsi="Cambria Math" w:cstheme="minorHAnsi"/>
                <w:i/>
                <w:iCs/>
                <w:color w:val="auto"/>
                <w:kern w:val="24"/>
                <w:sz w:val="24"/>
                <w:szCs w:val="24"/>
              </w:rPr>
            </m:ctrlPr>
          </m:sSubPr>
          <m:e>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r>
          <m:rPr>
            <m:sty m:val="p"/>
          </m:rPr>
          <w:rPr>
            <w:rFonts w:ascii="Cambria Math" w:eastAsia="+mn-ea" w:hAnsi="Cambria Math" w:cstheme="minorHAnsi"/>
            <w:color w:val="auto"/>
            <w:kern w:val="24"/>
            <w:sz w:val="24"/>
            <w:szCs w:val="24"/>
          </w:rPr>
          <m:t> and </m:t>
        </m:r>
      </m:oMath>
      <w:r w:rsidRPr="00F37E7B">
        <w:rPr>
          <w:rFonts w:asciiTheme="minorHAnsi" w:eastAsia="+mn-ea" w:hAnsiTheme="minorHAnsi" w:cstheme="minorHAnsi"/>
          <w:color w:val="auto"/>
          <w:kern w:val="24"/>
          <w:sz w:val="24"/>
          <w:szCs w:val="24"/>
        </w:rPr>
        <w:t xml:space="preserve"> </w:t>
      </w:r>
      <m:oMath>
        <m:sSub>
          <m:sSubPr>
            <m:ctrlPr>
              <w:rPr>
                <w:rFonts w:ascii="Cambria Math" w:eastAsia="+mn-ea" w:hAnsi="Cambria Math" w:cstheme="minorHAnsi"/>
                <w:i/>
                <w:iCs/>
                <w:color w:val="auto"/>
                <w:kern w:val="24"/>
                <w:sz w:val="24"/>
                <w:szCs w:val="24"/>
              </w:rPr>
            </m:ctrlPr>
          </m:sSubPr>
          <m:e>
            <m:r>
              <m:rPr>
                <m:sty m:val="p"/>
              </m:rPr>
              <w:rPr>
                <w:rFonts w:ascii="Cambria Math" w:eastAsia="+mn-ea" w:hAnsi="Cambria Math" w:cstheme="minorHAnsi"/>
                <w:color w:val="auto"/>
                <w:kern w:val="24"/>
                <w:sz w:val="24"/>
                <w:szCs w:val="24"/>
              </w:rPr>
              <m:t>0.01</m:t>
            </m:r>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oMath>
      <w:r w:rsidRPr="00F37E7B">
        <w:rPr>
          <w:rFonts w:asciiTheme="minorHAnsi" w:eastAsia="+mn-ea" w:hAnsiTheme="minorHAnsi" w:cstheme="minorHAnsi"/>
          <w:iCs/>
          <w:color w:val="auto"/>
          <w:kern w:val="24"/>
          <w:sz w:val="24"/>
          <w:szCs w:val="24"/>
        </w:rPr>
        <w:t xml:space="preserve"> </w:t>
      </w:r>
      <w:r w:rsidRPr="00F37E7B">
        <w:rPr>
          <w:rFonts w:asciiTheme="minorHAnsi" w:eastAsia="+mn-ea" w:hAnsiTheme="minorHAnsi" w:cstheme="minorHAnsi"/>
          <w:kern w:val="24"/>
          <w:sz w:val="24"/>
          <w:szCs w:val="24"/>
        </w:rPr>
        <w:t xml:space="preserve">corresponding to </w:t>
      </w:r>
      <m:oMath>
        <m:sSub>
          <m:sSubPr>
            <m:ctrlPr>
              <w:rPr>
                <w:rFonts w:ascii="Cambria Math" w:eastAsia="+mn-ea" w:hAnsi="Cambria Math" w:cstheme="minorHAnsi"/>
                <w:i/>
                <w:iCs/>
                <w:kern w:val="24"/>
                <w:sz w:val="24"/>
                <w:szCs w:val="24"/>
              </w:rPr>
            </m:ctrlPr>
          </m:sSubPr>
          <m:e>
            <m:r>
              <w:rPr>
                <w:rFonts w:ascii="Cambria Math" w:eastAsia="+mn-ea" w:hAnsi="Cambria Math" w:cstheme="minorHAnsi"/>
                <w:kern w:val="24"/>
                <w:sz w:val="24"/>
                <w:szCs w:val="24"/>
              </w:rPr>
              <m:t>Z</m:t>
            </m:r>
          </m:e>
          <m:sub>
            <m:r>
              <m:rPr>
                <m:nor/>
              </m:rPr>
              <w:rPr>
                <w:rFonts w:asciiTheme="minorHAnsi" w:eastAsia="+mn-ea" w:hAnsiTheme="minorHAnsi" w:cstheme="minorHAnsi"/>
                <w:kern w:val="24"/>
                <w:sz w:val="24"/>
                <w:szCs w:val="24"/>
              </w:rPr>
              <m:t>AVR@Ki-q1</m:t>
            </m:r>
          </m:sub>
        </m:sSub>
      </m:oMath>
      <w:r w:rsidRPr="00F37E7B">
        <w:rPr>
          <w:rFonts w:asciiTheme="minorHAnsi" w:eastAsia="+mn-ea" w:hAnsiTheme="minorHAnsi" w:cstheme="minorHAnsi"/>
          <w:iCs/>
          <w:kern w:val="24"/>
          <w:sz w:val="24"/>
          <w:szCs w:val="24"/>
        </w:rPr>
        <w:t xml:space="preserve">, </w:t>
      </w:r>
      <m:oMath>
        <m:sSub>
          <m:sSubPr>
            <m:ctrlPr>
              <w:rPr>
                <w:rFonts w:ascii="Cambria Math" w:eastAsia="+mn-ea" w:hAnsi="Cambria Math" w:cstheme="minorHAnsi"/>
                <w:i/>
                <w:iCs/>
                <w:kern w:val="24"/>
                <w:sz w:val="24"/>
                <w:szCs w:val="24"/>
              </w:rPr>
            </m:ctrlPr>
          </m:sSubPr>
          <m:e>
            <m:r>
              <w:rPr>
                <w:rFonts w:ascii="Cambria Math" w:eastAsia="+mn-ea" w:hAnsi="Cambria Math" w:cstheme="minorHAnsi"/>
                <w:kern w:val="24"/>
                <w:sz w:val="24"/>
                <w:szCs w:val="24"/>
              </w:rPr>
              <m:t>Z</m:t>
            </m:r>
          </m:e>
          <m:sub>
            <m:r>
              <m:rPr>
                <m:nor/>
              </m:rPr>
              <w:rPr>
                <w:rFonts w:asciiTheme="minorHAnsi" w:eastAsia="+mn-ea" w:hAnsiTheme="minorHAnsi" w:cstheme="minorHAnsi"/>
                <w:kern w:val="24"/>
                <w:sz w:val="24"/>
                <w:szCs w:val="24"/>
              </w:rPr>
              <m:t>AVR@Ki-q2</m:t>
            </m:r>
          </m:sub>
        </m:sSub>
      </m:oMath>
      <w:r w:rsidRPr="00F37E7B">
        <w:rPr>
          <w:rFonts w:asciiTheme="minorHAnsi" w:eastAsia="+mn-ea" w:hAnsiTheme="minorHAnsi" w:cstheme="minorHAnsi"/>
          <w:iCs/>
          <w:kern w:val="24"/>
          <w:sz w:val="24"/>
          <w:szCs w:val="24"/>
        </w:rPr>
        <w:t xml:space="preserve">, and </w:t>
      </w:r>
      <m:oMath>
        <m:sSub>
          <m:sSubPr>
            <m:ctrlPr>
              <w:rPr>
                <w:rFonts w:ascii="Cambria Math" w:eastAsia="+mn-ea" w:hAnsi="Cambria Math" w:cstheme="minorHAnsi"/>
                <w:i/>
                <w:iCs/>
                <w:kern w:val="24"/>
                <w:sz w:val="24"/>
                <w:szCs w:val="24"/>
              </w:rPr>
            </m:ctrlPr>
          </m:sSubPr>
          <m:e>
            <m:r>
              <w:rPr>
                <w:rFonts w:ascii="Cambria Math" w:eastAsia="+mn-ea" w:hAnsi="Cambria Math" w:cstheme="minorHAnsi"/>
                <w:kern w:val="24"/>
                <w:sz w:val="24"/>
                <w:szCs w:val="24"/>
              </w:rPr>
              <m:t>Z</m:t>
            </m:r>
          </m:e>
          <m:sub>
            <m:r>
              <m:rPr>
                <m:nor/>
              </m:rPr>
              <w:rPr>
                <w:rFonts w:asciiTheme="minorHAnsi" w:eastAsia="+mn-ea" w:hAnsiTheme="minorHAnsi" w:cstheme="minorHAnsi"/>
                <w:kern w:val="24"/>
                <w:sz w:val="24"/>
                <w:szCs w:val="24"/>
              </w:rPr>
              <m:t>AVR@Ki-q3</m:t>
            </m:r>
          </m:sub>
        </m:sSub>
      </m:oMath>
      <w:r w:rsidRPr="00F37E7B">
        <w:rPr>
          <w:rFonts w:asciiTheme="minorHAnsi" w:eastAsia="+mn-ea" w:hAnsiTheme="minorHAnsi" w:cstheme="minorHAnsi"/>
          <w:iCs/>
          <w:kern w:val="24"/>
          <w:sz w:val="24"/>
          <w:szCs w:val="24"/>
        </w:rPr>
        <w:t xml:space="preserve">, respectively. It is found that varying </w:t>
      </w:r>
      <m:oMath>
        <m:sSub>
          <m:sSubPr>
            <m:ctrlPr>
              <w:rPr>
                <w:rFonts w:ascii="Cambria Math" w:eastAsia="+mn-ea" w:hAnsi="Cambria Math" w:cstheme="minorHAnsi"/>
                <w:i/>
                <w:iCs/>
                <w:color w:val="auto"/>
                <w:kern w:val="24"/>
                <w:sz w:val="24"/>
                <w:szCs w:val="24"/>
              </w:rPr>
            </m:ctrlPr>
          </m:sSubPr>
          <m:e>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oMath>
      <w:r w:rsidRPr="00F37E7B">
        <w:rPr>
          <w:rFonts w:asciiTheme="minorHAnsi" w:eastAsia="+mn-ea" w:hAnsiTheme="minorHAnsi" w:cstheme="minorHAnsi"/>
          <w:iCs/>
          <w:kern w:val="24"/>
          <w:sz w:val="24"/>
          <w:szCs w:val="24"/>
        </w:rPr>
        <w:t xml:space="preserve">significantly affects output impedances at low frequencies and the Nyquist trajectory.  </w:t>
      </w:r>
      <w:r w:rsidRPr="00D14E98">
        <w:rPr>
          <w:rFonts w:asciiTheme="minorHAnsi" w:eastAsia="+mn-ea" w:hAnsiTheme="minorHAnsi" w:cstheme="minorHAnsi"/>
          <w:iCs/>
          <w:kern w:val="24"/>
          <w:sz w:val="24"/>
          <w:szCs w:val="24"/>
        </w:rPr>
        <w:t xml:space="preserve">Higher </w:t>
      </w:r>
      <m:oMath>
        <m:sSub>
          <m:sSubPr>
            <m:ctrlPr>
              <w:rPr>
                <w:rFonts w:ascii="Cambria Math" w:eastAsia="+mn-ea" w:hAnsi="Cambria Math" w:cstheme="minorHAnsi"/>
                <w:i/>
                <w:iCs/>
                <w:color w:val="auto"/>
                <w:kern w:val="24"/>
                <w:sz w:val="24"/>
                <w:szCs w:val="24"/>
              </w:rPr>
            </m:ctrlPr>
          </m:sSubPr>
          <m:e>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oMath>
      <w:r w:rsidRPr="00F37E7B">
        <w:rPr>
          <w:rFonts w:asciiTheme="minorHAnsi" w:eastAsia="+mn-ea" w:hAnsiTheme="minorHAnsi" w:cstheme="minorHAnsi"/>
          <w:iCs/>
          <w:color w:val="auto"/>
          <w:kern w:val="24"/>
          <w:sz w:val="24"/>
          <w:szCs w:val="24"/>
        </w:rPr>
        <w:t xml:space="preserve"> </w:t>
      </w:r>
      <w:r w:rsidRPr="00D14E98">
        <w:rPr>
          <w:rFonts w:asciiTheme="minorHAnsi" w:eastAsia="+mn-ea" w:hAnsiTheme="minorHAnsi" w:cstheme="minorHAnsi"/>
          <w:iCs/>
          <w:kern w:val="24"/>
          <w:sz w:val="24"/>
          <w:szCs w:val="24"/>
        </w:rPr>
        <w:t xml:space="preserve">improves stability by pushing the Nyquist curve farther from (-1, 0). </w:t>
      </w:r>
      <w:r w:rsidRPr="00F37E7B">
        <w:rPr>
          <w:rFonts w:asciiTheme="minorHAnsi" w:eastAsia="+mn-ea" w:hAnsiTheme="minorHAnsi" w:cstheme="minorHAnsi"/>
          <w:iCs/>
          <w:kern w:val="24"/>
          <w:sz w:val="24"/>
          <w:szCs w:val="24"/>
        </w:rPr>
        <w:t xml:space="preserve"> </w:t>
      </w:r>
      <w:r w:rsidRPr="00D14E98">
        <w:rPr>
          <w:rFonts w:asciiTheme="minorHAnsi" w:eastAsia="+mn-ea" w:hAnsiTheme="minorHAnsi" w:cstheme="minorHAnsi"/>
          <w:iCs/>
          <w:kern w:val="24"/>
          <w:sz w:val="24"/>
          <w:szCs w:val="24"/>
        </w:rPr>
        <w:t>Adaptive tuning effectively will enhance small-signal stability under strong grid conditions</w:t>
      </w:r>
      <w:r w:rsidRPr="00F37E7B">
        <w:rPr>
          <w:rFonts w:asciiTheme="minorHAnsi" w:eastAsia="+mn-ea" w:hAnsiTheme="minorHAnsi" w:cstheme="minorHAnsi"/>
          <w:iCs/>
          <w:kern w:val="24"/>
          <w:sz w:val="24"/>
          <w:szCs w:val="24"/>
        </w:rPr>
        <w:t xml:space="preserve">, and lower </w:t>
      </w:r>
      <m:oMath>
        <m:sSub>
          <m:sSubPr>
            <m:ctrlPr>
              <w:rPr>
                <w:rFonts w:ascii="Cambria Math" w:eastAsia="+mn-ea" w:hAnsi="Cambria Math" w:cstheme="minorHAnsi"/>
                <w:i/>
                <w:iCs/>
                <w:color w:val="auto"/>
                <w:kern w:val="24"/>
                <w:sz w:val="24"/>
                <w:szCs w:val="24"/>
              </w:rPr>
            </m:ctrlPr>
          </m:sSubPr>
          <m:e>
            <m:r>
              <w:rPr>
                <w:rFonts w:ascii="Cambria Math" w:eastAsia="+mn-ea" w:hAnsi="Cambria Math" w:cstheme="minorHAnsi"/>
                <w:color w:val="auto"/>
                <w:kern w:val="24"/>
                <w:sz w:val="24"/>
                <w:szCs w:val="24"/>
              </w:rPr>
              <m:t>K</m:t>
            </m:r>
          </m:e>
          <m:sub>
            <m:r>
              <w:rPr>
                <w:rFonts w:ascii="Cambria Math" w:eastAsia="+mn-ea" w:hAnsi="Cambria Math" w:cstheme="minorHAnsi"/>
                <w:color w:val="auto"/>
                <w:kern w:val="24"/>
                <w:sz w:val="24"/>
                <w:szCs w:val="24"/>
              </w:rPr>
              <m:t>i</m:t>
            </m:r>
            <m:r>
              <m:rPr>
                <m:nor/>
              </m:rPr>
              <w:rPr>
                <w:rFonts w:asciiTheme="minorHAnsi" w:eastAsia="+mn-ea" w:hAnsiTheme="minorHAnsi" w:cstheme="minorHAnsi"/>
                <w:color w:val="auto"/>
                <w:kern w:val="24"/>
                <w:sz w:val="24"/>
                <w:szCs w:val="24"/>
                <w:rtl/>
              </w:rPr>
              <m:t>-</m:t>
            </m:r>
            <m:r>
              <w:rPr>
                <w:rFonts w:ascii="Cambria Math" w:eastAsia="+mn-ea" w:hAnsi="Cambria Math" w:cstheme="minorHAnsi"/>
                <w:color w:val="auto"/>
                <w:kern w:val="24"/>
                <w:sz w:val="24"/>
                <w:szCs w:val="24"/>
              </w:rPr>
              <m:t>q</m:t>
            </m:r>
          </m:sub>
        </m:sSub>
      </m:oMath>
      <w:r w:rsidRPr="00F37E7B">
        <w:rPr>
          <w:rFonts w:asciiTheme="minorHAnsi" w:eastAsia="+mn-ea" w:hAnsiTheme="minorHAnsi" w:cstheme="minorHAnsi"/>
          <w:iCs/>
          <w:color w:val="auto"/>
          <w:kern w:val="24"/>
          <w:sz w:val="24"/>
          <w:szCs w:val="24"/>
        </w:rPr>
        <w:t xml:space="preserve"> </w:t>
      </w:r>
      <w:r w:rsidRPr="00F37E7B">
        <w:rPr>
          <w:rFonts w:asciiTheme="minorHAnsi" w:eastAsia="+mn-ea" w:hAnsiTheme="minorHAnsi" w:cstheme="minorHAnsi"/>
          <w:iCs/>
          <w:kern w:val="24"/>
          <w:sz w:val="24"/>
          <w:szCs w:val="24"/>
        </w:rPr>
        <w:t xml:space="preserve">can reduce the steady-state settling time of </w:t>
      </w:r>
      <w:r w:rsidRPr="002B43AD">
        <w:rPr>
          <w:rFonts w:ascii="Cambria Math" w:eastAsia="+mn-ea" w:hAnsi="Cambria Math" w:cs="Cambria Math"/>
          <w:i/>
          <w:kern w:val="24"/>
          <w:sz w:val="24"/>
          <w:szCs w:val="24"/>
        </w:rPr>
        <w:t>V</w:t>
      </w:r>
      <w:r w:rsidRPr="002B43AD">
        <w:rPr>
          <w:rFonts w:ascii="Cambria Math" w:eastAsia="+mn-ea" w:hAnsi="Cambria Math" w:cs="Cambria Math"/>
          <w:i/>
          <w:kern w:val="24"/>
          <w:sz w:val="24"/>
          <w:szCs w:val="24"/>
          <w:vertAlign w:val="subscript"/>
        </w:rPr>
        <w:t>PCC</w:t>
      </w:r>
      <w:r>
        <w:rPr>
          <w:rFonts w:ascii="Cambria Math" w:eastAsia="+mn-ea" w:hAnsi="Cambria Math" w:cs="Cambria Math"/>
          <w:iCs/>
          <w:kern w:val="24"/>
          <w:sz w:val="24"/>
          <w:szCs w:val="24"/>
        </w:rPr>
        <w:t>.</w:t>
      </w:r>
    </w:p>
    <w:p w14:paraId="2109A5B5" w14:textId="77777777" w:rsidR="00DC6D94" w:rsidRDefault="00DC6D94" w:rsidP="00283AA5">
      <w:pPr>
        <w:spacing w:after="0"/>
        <w:rPr>
          <w:rFonts w:ascii="Cambria Math" w:eastAsia="+mn-ea" w:hAnsi="Cambria Math" w:cs="Cambria Math"/>
          <w:iCs/>
          <w:kern w:val="24"/>
          <w:sz w:val="24"/>
          <w:szCs w:val="24"/>
        </w:rPr>
      </w:pPr>
    </w:p>
    <w:p w14:paraId="29E1559E" w14:textId="57031837" w:rsidR="00E2284F" w:rsidRDefault="00E2284F" w:rsidP="00CD4F3A">
      <w:pPr>
        <w:spacing w:after="0"/>
        <w:rPr>
          <w:rFonts w:ascii="Cambria Math" w:eastAsia="+mn-ea" w:hAnsi="Cambria Math" w:cs="Cambria Math"/>
          <w:iCs/>
          <w:kern w:val="24"/>
          <w:sz w:val="24"/>
          <w:szCs w:val="24"/>
        </w:rPr>
      </w:pPr>
    </w:p>
    <w:p w14:paraId="449E6757" w14:textId="5AB0B35F" w:rsidR="00E2284F" w:rsidRPr="002B43AD" w:rsidRDefault="00E2284F" w:rsidP="00CD4F3A">
      <w:pPr>
        <w:spacing w:after="0"/>
        <w:rPr>
          <w:rFonts w:asciiTheme="minorHAnsi" w:eastAsia="+mn-ea" w:hAnsiTheme="minorHAnsi" w:cstheme="minorHAnsi"/>
          <w:iCs/>
          <w:kern w:val="24"/>
          <w:sz w:val="24"/>
          <w:szCs w:val="24"/>
        </w:rPr>
      </w:pPr>
    </w:p>
    <w:p w14:paraId="0BEF3F63" w14:textId="43399079" w:rsidR="00E2284F" w:rsidRPr="00FF3137" w:rsidRDefault="009330B0" w:rsidP="00CD4F3A">
      <w:pPr>
        <w:pStyle w:val="Caption"/>
        <w:spacing w:line="240" w:lineRule="auto"/>
        <w:rPr>
          <w:iCs/>
        </w:rPr>
      </w:pPr>
      <w:r>
        <w:rPr>
          <w:noProof/>
        </w:rPr>
        <w:drawing>
          <wp:inline distT="0" distB="0" distL="0" distR="0" wp14:anchorId="126845A8" wp14:editId="1F7A90ED">
            <wp:extent cx="6120130" cy="4426585"/>
            <wp:effectExtent l="0" t="0" r="0" b="0"/>
            <wp:docPr id="25276438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64380" name="Picture 252764380"/>
                    <pic:cNvPicPr/>
                  </pic:nvPicPr>
                  <pic:blipFill>
                    <a:blip r:embed="rId33"/>
                    <a:stretch>
                      <a:fillRect/>
                    </a:stretch>
                  </pic:blipFill>
                  <pic:spPr>
                    <a:xfrm>
                      <a:off x="0" y="0"/>
                      <a:ext cx="6120130" cy="4426585"/>
                    </a:xfrm>
                    <a:prstGeom prst="rect">
                      <a:avLst/>
                    </a:prstGeom>
                  </pic:spPr>
                </pic:pic>
              </a:graphicData>
            </a:graphic>
          </wp:inline>
        </w:drawing>
      </w:r>
      <w:r w:rsidR="00E2284F" w:rsidRPr="00D84CF2">
        <w:rPr>
          <w:noProof/>
        </w:rPr>
        <w:t xml:space="preserve"> </w:t>
      </w:r>
      <w:r w:rsidR="00E2284F">
        <w:rPr>
          <w:iCs/>
        </w:rPr>
        <w:t xml:space="preserve">                 </w:t>
      </w:r>
    </w:p>
    <w:p w14:paraId="745F7714" w14:textId="3B1E8893" w:rsidR="00E2284F" w:rsidRPr="00387CC7" w:rsidRDefault="00E2284F" w:rsidP="00CD4F3A">
      <w:pPr>
        <w:pStyle w:val="Caption"/>
        <w:spacing w:line="240" w:lineRule="auto"/>
        <w:rPr>
          <w:b w:val="0"/>
          <w:bCs w:val="0"/>
        </w:rPr>
      </w:pPr>
      <w:bookmarkStart w:id="59" w:name="_Ref229336290"/>
      <w:bookmarkStart w:id="60" w:name="_Toc229777566"/>
      <w:bookmarkStart w:id="61" w:name="_Toc233735015"/>
      <w:r w:rsidRPr="00E27D3B">
        <w:t xml:space="preserve">Figure </w:t>
      </w:r>
      <w:fldSimple w:instr=" SEQ Figure \* ARABIC ">
        <w:r w:rsidR="00A85006">
          <w:rPr>
            <w:noProof/>
          </w:rPr>
          <w:t>9</w:t>
        </w:r>
      </w:fldSimple>
      <w:bookmarkEnd w:id="59"/>
      <w:r w:rsidRPr="00E27D3B">
        <w:t xml:space="preserve">: </w:t>
      </w:r>
      <w:r w:rsidRPr="00EC7766">
        <w:t xml:space="preserve">DQ-domain </w:t>
      </w:r>
      <w:r w:rsidR="00851765">
        <w:t>o</w:t>
      </w:r>
      <w:r w:rsidRPr="00EC7766">
        <w:t xml:space="preserve">utput </w:t>
      </w:r>
      <w:r w:rsidR="00851765">
        <w:t>i</w:t>
      </w:r>
      <w:r w:rsidRPr="00EC7766">
        <w:t xml:space="preserve">mpedances &amp; Nyquist </w:t>
      </w:r>
      <w:r w:rsidR="00851765">
        <w:t>p</w:t>
      </w:r>
      <w:r w:rsidRPr="00EC7766">
        <w:t xml:space="preserve">lots of the VSG-based GFMI under AVR Control </w:t>
      </w:r>
      <w:r>
        <w:t xml:space="preserve">(approach 2) </w:t>
      </w:r>
      <w:r w:rsidRPr="00EC7766">
        <w:t xml:space="preserve">(@ SCR = 4, </w:t>
      </w:r>
      <w:r w:rsidRPr="008C4FB7">
        <w:rPr>
          <w:rFonts w:ascii="Cambria Math" w:hAnsi="Cambria Math" w:cs="Cambria Math"/>
        </w:rPr>
        <w:t>𝑋</w:t>
      </w:r>
      <w:r w:rsidRPr="00EC7766">
        <w:t>_</w:t>
      </w:r>
      <w:proofErr w:type="gramStart"/>
      <w:r w:rsidRPr="00EC7766">
        <w:t>g  /</w:t>
      </w:r>
      <w:proofErr w:type="gramEnd"/>
      <w:r w:rsidRPr="00EC7766">
        <w:t xml:space="preserve"> </w:t>
      </w:r>
      <w:r w:rsidRPr="008C4FB7">
        <w:rPr>
          <w:rFonts w:ascii="Cambria Math" w:hAnsi="Cambria Math" w:cs="Cambria Math"/>
        </w:rPr>
        <w:t>𝑅</w:t>
      </w:r>
      <w:r w:rsidRPr="00EC7766">
        <w:t>_</w:t>
      </w:r>
      <w:proofErr w:type="gramStart"/>
      <w:r w:rsidRPr="00EC7766">
        <w:t>g  =</w:t>
      </w:r>
      <w:proofErr w:type="gramEnd"/>
      <w:r w:rsidRPr="00EC7766">
        <w:t xml:space="preserve"> 7) </w:t>
      </w:r>
      <w:r>
        <w:t>and with d</w:t>
      </w:r>
      <w:r w:rsidRPr="00EC7766">
        <w:t xml:space="preserve">ifferent </w:t>
      </w:r>
      <w:r w:rsidRPr="008C4FB7">
        <w:rPr>
          <w:rFonts w:ascii="Cambria Math" w:hAnsi="Cambria Math" w:cs="Cambria Math"/>
        </w:rPr>
        <w:t>𝐾</w:t>
      </w:r>
      <w:r w:rsidRPr="008C4FB7">
        <w:t>i-q values: (a) magnitude and phase angle of the impedances and (b) Nyquist plots.</w:t>
      </w:r>
      <w:bookmarkEnd w:id="60"/>
      <w:bookmarkEnd w:id="61"/>
      <w:r>
        <w:rPr>
          <w:rFonts w:ascii="Cambria Math" w:hAnsi="Cambria Math" w:cs="Cambria Math"/>
          <w:b w:val="0"/>
          <w:bCs w:val="0"/>
          <w:color w:val="auto"/>
        </w:rPr>
        <w:t xml:space="preserve"> </w:t>
      </w:r>
    </w:p>
    <w:p w14:paraId="0D682A5D" w14:textId="6A8D1D3B" w:rsidR="00E2284F" w:rsidRPr="00E27D3B" w:rsidRDefault="00E2284F" w:rsidP="00614453">
      <w:pPr>
        <w:pStyle w:val="Heading3"/>
        <w:numPr>
          <w:ilvl w:val="2"/>
          <w:numId w:val="76"/>
        </w:numPr>
        <w:rPr>
          <w:rFonts w:eastAsia="Times New Roman" w:cs="Calibri"/>
          <w:b w:val="0"/>
          <w:bCs w:val="0"/>
          <w:i/>
          <w:iCs/>
          <w:sz w:val="24"/>
          <w:szCs w:val="24"/>
        </w:rPr>
      </w:pPr>
      <w:r>
        <w:rPr>
          <w:rFonts w:eastAsia="Times New Roman" w:cs="Calibri"/>
          <w:sz w:val="24"/>
          <w:szCs w:val="24"/>
        </w:rPr>
        <w:t>Time</w:t>
      </w:r>
      <w:r w:rsidRPr="00681EDF">
        <w:rPr>
          <w:rFonts w:eastAsia="Times New Roman" w:cs="Calibri"/>
          <w:sz w:val="24"/>
          <w:szCs w:val="24"/>
        </w:rPr>
        <w:t>-Domain Analysis</w:t>
      </w:r>
      <w:r w:rsidR="00063E30">
        <w:rPr>
          <w:rFonts w:eastAsia="Times New Roman" w:cs="Calibri"/>
          <w:sz w:val="24"/>
          <w:szCs w:val="24"/>
        </w:rPr>
        <w:t xml:space="preserve"> of </w:t>
      </w:r>
      <w:r w:rsidR="00063E30" w:rsidRPr="00063E30">
        <w:rPr>
          <w:rFonts w:eastAsia="Times New Roman" w:cs="Calibri"/>
          <w:sz w:val="24"/>
          <w:szCs w:val="24"/>
        </w:rPr>
        <w:t>AVR-Based Grid-Forming Inverters</w:t>
      </w:r>
    </w:p>
    <w:p w14:paraId="702DDB11" w14:textId="08EE4BFD" w:rsidR="00E2284F" w:rsidRPr="004C3720" w:rsidRDefault="00E2284F" w:rsidP="00B80233">
      <w:pPr>
        <w:pStyle w:val="BodyText"/>
        <w:spacing w:after="0"/>
      </w:pPr>
      <w:r>
        <w:fldChar w:fldCharType="begin"/>
      </w:r>
      <w:r>
        <w:instrText xml:space="preserve"> REF _Ref229337450 \h </w:instrText>
      </w:r>
      <w:r w:rsidR="00CD4F3A">
        <w:instrText xml:space="preserve"> \* MERGEFORMAT </w:instrText>
      </w:r>
      <w:r>
        <w:fldChar w:fldCharType="separate"/>
      </w:r>
      <w:r w:rsidR="00753DAF" w:rsidRPr="00E27D3B">
        <w:t xml:space="preserve">Figure </w:t>
      </w:r>
      <w:r w:rsidR="00753DAF">
        <w:rPr>
          <w:noProof/>
        </w:rPr>
        <w:t>10</w:t>
      </w:r>
      <w:r>
        <w:fldChar w:fldCharType="end"/>
      </w:r>
      <w:r>
        <w:t xml:space="preserve"> and </w:t>
      </w:r>
      <w:r>
        <w:fldChar w:fldCharType="begin"/>
      </w:r>
      <w:r>
        <w:instrText xml:space="preserve"> REF _Ref229337453 \h </w:instrText>
      </w:r>
      <w:r w:rsidR="00CD4F3A">
        <w:instrText xml:space="preserve"> \* MERGEFORMAT </w:instrText>
      </w:r>
      <w:r>
        <w:fldChar w:fldCharType="separate"/>
      </w:r>
      <w:r w:rsidR="00753DAF" w:rsidRPr="00E27D3B">
        <w:t xml:space="preserve">Figure </w:t>
      </w:r>
      <w:r w:rsidR="00753DAF">
        <w:rPr>
          <w:noProof/>
        </w:rPr>
        <w:t>11</w:t>
      </w:r>
      <w:r>
        <w:fldChar w:fldCharType="end"/>
      </w:r>
      <w:r>
        <w:t xml:space="preserve"> illustrate the time-domain verification of the dynamic performances of the AVR control strategy using the virtual impedance loop and adaptive tuning of </w:t>
      </w:r>
      <w:r w:rsidRPr="005922CD">
        <w:rPr>
          <w:i/>
          <w:iCs/>
        </w:rPr>
        <w:t>K</w:t>
      </w:r>
      <w:r w:rsidRPr="005922CD">
        <w:rPr>
          <w:i/>
          <w:iCs/>
          <w:vertAlign w:val="subscript"/>
        </w:rPr>
        <w:t>i-q</w:t>
      </w:r>
      <w:r w:rsidRPr="005922CD">
        <w:rPr>
          <w:vertAlign w:val="subscript"/>
        </w:rPr>
        <w:t xml:space="preserve"> </w:t>
      </w:r>
      <w:r>
        <w:t>based on the grid side SCR, respectively. It is found that, a</w:t>
      </w:r>
      <w:r w:rsidRPr="004C3720">
        <w:t>s SCR increases, Approach 1 will not remain stable unless reducing</w:t>
      </w:r>
      <w:r>
        <w:t xml:space="preserve"> the values of </w:t>
      </w:r>
      <w:r w:rsidRPr="005922CD">
        <w:rPr>
          <w:i/>
          <w:iCs/>
        </w:rPr>
        <w:t>K</w:t>
      </w:r>
      <w:r w:rsidRPr="005922CD">
        <w:rPr>
          <w:i/>
          <w:iCs/>
          <w:vertAlign w:val="subscript"/>
        </w:rPr>
        <w:t>i-q</w:t>
      </w:r>
      <w:r>
        <w:t>.</w:t>
      </w:r>
    </w:p>
    <w:p w14:paraId="2A3A1E9A" w14:textId="77777777" w:rsidR="00E2284F" w:rsidRPr="00E27D3B" w:rsidRDefault="00E2284F" w:rsidP="00CD4F3A">
      <w:pPr>
        <w:pStyle w:val="BodyText"/>
        <w:spacing w:line="240" w:lineRule="auto"/>
      </w:pPr>
    </w:p>
    <w:p w14:paraId="12B4C481" w14:textId="77777777" w:rsidR="00E2284F" w:rsidRPr="00E27D3B" w:rsidRDefault="00E2284F" w:rsidP="00CD4F3A">
      <w:pPr>
        <w:pStyle w:val="BodyText"/>
        <w:keepNext/>
        <w:spacing w:line="240" w:lineRule="auto"/>
      </w:pPr>
      <w:r w:rsidRPr="00097AEE">
        <w:rPr>
          <w:noProof/>
        </w:rPr>
        <w:lastRenderedPageBreak/>
        <w:drawing>
          <wp:inline distT="0" distB="0" distL="0" distR="0" wp14:anchorId="1DA91CE5" wp14:editId="2571716C">
            <wp:extent cx="5945403" cy="6610350"/>
            <wp:effectExtent l="0" t="0" r="0" b="0"/>
            <wp:docPr id="2124594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94247" name=""/>
                    <pic:cNvPicPr/>
                  </pic:nvPicPr>
                  <pic:blipFill rotWithShape="1">
                    <a:blip r:embed="rId34"/>
                    <a:srcRect l="2013" t="817" r="2380" b="537"/>
                    <a:stretch>
                      <a:fillRect/>
                    </a:stretch>
                  </pic:blipFill>
                  <pic:spPr bwMode="auto">
                    <a:xfrm>
                      <a:off x="0" y="0"/>
                      <a:ext cx="5946575" cy="6611653"/>
                    </a:xfrm>
                    <a:prstGeom prst="rect">
                      <a:avLst/>
                    </a:prstGeom>
                    <a:ln>
                      <a:noFill/>
                    </a:ln>
                    <a:extLst>
                      <a:ext uri="{53640926-AAD7-44D8-BBD7-CCE9431645EC}">
                        <a14:shadowObscured xmlns:a14="http://schemas.microsoft.com/office/drawing/2010/main"/>
                      </a:ext>
                    </a:extLst>
                  </pic:spPr>
                </pic:pic>
              </a:graphicData>
            </a:graphic>
          </wp:inline>
        </w:drawing>
      </w:r>
    </w:p>
    <w:p w14:paraId="3BE33213" w14:textId="721E198E" w:rsidR="00E2284F" w:rsidRPr="00E27D3B" w:rsidRDefault="00E2284F" w:rsidP="00CD4F3A">
      <w:pPr>
        <w:pStyle w:val="Caption"/>
        <w:spacing w:line="240" w:lineRule="auto"/>
      </w:pPr>
      <w:bookmarkStart w:id="62" w:name="_Ref229337450"/>
      <w:bookmarkStart w:id="63" w:name="_Toc229777569"/>
      <w:bookmarkStart w:id="64" w:name="_Toc233735016"/>
      <w:r w:rsidRPr="00E27D3B">
        <w:t xml:space="preserve">Figure </w:t>
      </w:r>
      <w:fldSimple w:instr=" SEQ Figure \* ARABIC ">
        <w:r w:rsidR="00A85006">
          <w:rPr>
            <w:noProof/>
          </w:rPr>
          <w:t>10</w:t>
        </w:r>
      </w:fldSimple>
      <w:bookmarkEnd w:id="62"/>
      <w:r w:rsidRPr="00E27D3B">
        <w:t xml:space="preserve">: </w:t>
      </w:r>
      <w:r>
        <w:t>Time-domain verification of the</w:t>
      </w:r>
      <w:r w:rsidRPr="00E27D3B">
        <w:t xml:space="preserve"> performance of AVR strategy </w:t>
      </w:r>
      <w:r>
        <w:t xml:space="preserve">using virtual impedance loop (approach 1) control for </w:t>
      </w:r>
      <w:r w:rsidRPr="00E27D3B">
        <w:t xml:space="preserve">GMFI under </w:t>
      </w:r>
      <w:r>
        <w:t>different</w:t>
      </w:r>
      <w:r w:rsidRPr="00E27D3B">
        <w:t xml:space="preserve"> </w:t>
      </w:r>
      <w:r>
        <w:t>values of the virtual impedance parameters</w:t>
      </w:r>
      <w:bookmarkEnd w:id="63"/>
      <w:r>
        <w:t xml:space="preserve"> </w:t>
      </w:r>
      <w:r w:rsidRPr="004C185A">
        <w:t xml:space="preserve">at: </w:t>
      </w:r>
      <w:r w:rsidRPr="00376A0B">
        <w:rPr>
          <w:i/>
          <w:iCs/>
        </w:rPr>
        <w:t>f</w:t>
      </w:r>
      <w:r>
        <w:t>(</w:t>
      </w:r>
      <w:proofErr w:type="spellStart"/>
      <w:r>
        <w:t>R</w:t>
      </w:r>
      <w:r w:rsidRPr="00376A0B">
        <w:rPr>
          <w:vertAlign w:val="subscript"/>
        </w:rPr>
        <w:t>vir</w:t>
      </w:r>
      <w:proofErr w:type="spellEnd"/>
      <w:r>
        <w:t>)</w:t>
      </w:r>
      <w:r w:rsidRPr="004C185A">
        <w:t xml:space="preserve"> (left column), </w:t>
      </w:r>
      <w:r w:rsidRPr="00376A0B">
        <w:rPr>
          <w:i/>
          <w:iCs/>
        </w:rPr>
        <w:t>f</w:t>
      </w:r>
      <w:r>
        <w:t>(</w:t>
      </w:r>
      <w:proofErr w:type="spellStart"/>
      <w:r>
        <w:t>L</w:t>
      </w:r>
      <w:r w:rsidRPr="00376A0B">
        <w:rPr>
          <w:vertAlign w:val="subscript"/>
        </w:rPr>
        <w:t>vir</w:t>
      </w:r>
      <w:proofErr w:type="spellEnd"/>
      <w:r>
        <w:t>)</w:t>
      </w:r>
      <w:r w:rsidRPr="004C185A">
        <w:t xml:space="preserve"> (middle column), and </w:t>
      </w:r>
      <w:r w:rsidRPr="00376A0B">
        <w:rPr>
          <w:i/>
          <w:iCs/>
        </w:rPr>
        <w:t>f</w:t>
      </w:r>
      <w:r>
        <w:t>(</w:t>
      </w:r>
      <w:proofErr w:type="spellStart"/>
      <w:r>
        <w:t>Z</w:t>
      </w:r>
      <w:r w:rsidRPr="00376A0B">
        <w:rPr>
          <w:vertAlign w:val="subscript"/>
        </w:rPr>
        <w:t>vir</w:t>
      </w:r>
      <w:proofErr w:type="spellEnd"/>
      <w:r>
        <w:t>)</w:t>
      </w:r>
      <w:r w:rsidRPr="004C185A">
        <w:t xml:space="preserve"> (right column).</w:t>
      </w:r>
      <w:bookmarkEnd w:id="64"/>
    </w:p>
    <w:p w14:paraId="1604D8FF" w14:textId="77777777" w:rsidR="00E2284F" w:rsidRDefault="00E2284F" w:rsidP="00CD4F3A">
      <w:pPr>
        <w:pStyle w:val="BodyText"/>
        <w:spacing w:line="240" w:lineRule="auto"/>
      </w:pPr>
    </w:p>
    <w:p w14:paraId="53057D29" w14:textId="77777777" w:rsidR="00E2284F" w:rsidRPr="00E27D3B" w:rsidRDefault="00E2284F" w:rsidP="00CD4F3A">
      <w:pPr>
        <w:pStyle w:val="BodyText"/>
        <w:keepNext/>
        <w:spacing w:line="240" w:lineRule="auto"/>
      </w:pPr>
      <w:r w:rsidRPr="00AA031D">
        <w:rPr>
          <w:noProof/>
        </w:rPr>
        <w:lastRenderedPageBreak/>
        <w:drawing>
          <wp:inline distT="0" distB="0" distL="0" distR="0" wp14:anchorId="7FA186A2" wp14:editId="5E23041D">
            <wp:extent cx="5791200" cy="6596588"/>
            <wp:effectExtent l="0" t="0" r="0" b="0"/>
            <wp:docPr id="3894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17482" name=""/>
                    <pic:cNvPicPr/>
                  </pic:nvPicPr>
                  <pic:blipFill rotWithShape="1">
                    <a:blip r:embed="rId35"/>
                    <a:srcRect l="3716" t="792" r="102" b="1110"/>
                    <a:stretch>
                      <a:fillRect/>
                    </a:stretch>
                  </pic:blipFill>
                  <pic:spPr bwMode="auto">
                    <a:xfrm>
                      <a:off x="0" y="0"/>
                      <a:ext cx="5792753" cy="6598357"/>
                    </a:xfrm>
                    <a:prstGeom prst="rect">
                      <a:avLst/>
                    </a:prstGeom>
                    <a:ln>
                      <a:noFill/>
                    </a:ln>
                    <a:extLst>
                      <a:ext uri="{53640926-AAD7-44D8-BBD7-CCE9431645EC}">
                        <a14:shadowObscured xmlns:a14="http://schemas.microsoft.com/office/drawing/2010/main"/>
                      </a:ext>
                    </a:extLst>
                  </pic:spPr>
                </pic:pic>
              </a:graphicData>
            </a:graphic>
          </wp:inline>
        </w:drawing>
      </w:r>
    </w:p>
    <w:p w14:paraId="149F7586" w14:textId="48BF58D4" w:rsidR="00E2284F" w:rsidRPr="00E27D3B" w:rsidRDefault="00E2284F" w:rsidP="00CD4F3A">
      <w:pPr>
        <w:pStyle w:val="Caption"/>
        <w:spacing w:line="240" w:lineRule="auto"/>
      </w:pPr>
      <w:bookmarkStart w:id="65" w:name="_Ref229337453"/>
      <w:bookmarkStart w:id="66" w:name="_Toc229777570"/>
      <w:bookmarkStart w:id="67" w:name="_Toc233735017"/>
      <w:r w:rsidRPr="00E27D3B">
        <w:t xml:space="preserve">Figure </w:t>
      </w:r>
      <w:fldSimple w:instr=" SEQ Figure \* ARABIC ">
        <w:r w:rsidR="00A85006">
          <w:rPr>
            <w:noProof/>
          </w:rPr>
          <w:t>11</w:t>
        </w:r>
      </w:fldSimple>
      <w:bookmarkEnd w:id="65"/>
      <w:r w:rsidRPr="00E27D3B">
        <w:t xml:space="preserve">: </w:t>
      </w:r>
      <w:bookmarkEnd w:id="66"/>
      <w:r w:rsidRPr="00410C55">
        <w:t>Time-domain verification of the performance of AVR strategy using adaptive tuning of Ki-q based on grid side SCR (approach 2) control for GMFI under different values of the virtual impedance parameters at: 1*Kip (left column), 0.1*Kip (middle column), and 0.01*Kip (right column)</w:t>
      </w:r>
      <w:r>
        <w:t>.</w:t>
      </w:r>
      <w:bookmarkEnd w:id="67"/>
    </w:p>
    <w:p w14:paraId="0A72E75E" w14:textId="77777777" w:rsidR="00E2284F" w:rsidRPr="009B68EA" w:rsidRDefault="00E2284F" w:rsidP="00CD4F3A">
      <w:pPr>
        <w:pStyle w:val="Heading2"/>
        <w:numPr>
          <w:ilvl w:val="0"/>
          <w:numId w:val="52"/>
        </w:numPr>
        <w:ind w:left="0" w:firstLine="0"/>
      </w:pPr>
      <w:bookmarkStart w:id="68" w:name="_Ref230098892"/>
      <w:bookmarkStart w:id="69" w:name="_Toc233734301"/>
      <w:r w:rsidRPr="009B68EA">
        <w:t>Modal/Eigenvalue-Based Small-Signal Stability Analysis</w:t>
      </w:r>
      <w:bookmarkEnd w:id="68"/>
      <w:bookmarkEnd w:id="69"/>
    </w:p>
    <w:p w14:paraId="09B19986"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heme="majorEastAsia" w:cstheme="majorBidi"/>
          <w:vanish/>
          <w:color w:val="001D34" w:themeColor="accent2"/>
          <w:sz w:val="32"/>
          <w:szCs w:val="26"/>
        </w:rPr>
      </w:pPr>
    </w:p>
    <w:p w14:paraId="524F6F14" w14:textId="6BA7F061" w:rsidR="00E2284F" w:rsidRPr="00E27D3B" w:rsidRDefault="003A0B18" w:rsidP="00D31CD9">
      <w:pPr>
        <w:pStyle w:val="BodyText"/>
        <w:spacing w:after="0"/>
      </w:pPr>
      <w:r w:rsidRPr="003A0B18">
        <w:t xml:space="preserve">In accordance with </w:t>
      </w:r>
      <w:r w:rsidRPr="00F12E16">
        <w:t xml:space="preserve">the findings </w:t>
      </w:r>
      <w:r w:rsidRPr="003A0B18">
        <w:t>of the literature review</w:t>
      </w:r>
      <w:r w:rsidR="00E2284F" w:rsidRPr="00E27D3B">
        <w:t xml:space="preserve">, two testing systems </w:t>
      </w:r>
      <w:r>
        <w:t xml:space="preserve">which are </w:t>
      </w:r>
      <w:r w:rsidR="00E2284F" w:rsidRPr="00E27D3B">
        <w:t xml:space="preserve">SMIB testing system and modified IEEE 39-bus testing system have been implemented. In this study, the built-in WECC power-controlled GFLI, WECC droop-controlled GFMI, and VSM-controlled GFMI in DIgSILENT </w:t>
      </w:r>
      <w:proofErr w:type="spellStart"/>
      <w:r w:rsidR="00E2284F" w:rsidRPr="00E27D3B">
        <w:t>PowerFactory</w:t>
      </w:r>
      <w:proofErr w:type="spellEnd"/>
      <w:r w:rsidR="00E2284F" w:rsidRPr="00E27D3B">
        <w:t xml:space="preserve"> have been considered. The first section presents the results and analysis with SMIB testing system and the three inverter control technologies as mentioned earlier. </w:t>
      </w:r>
      <w:r w:rsidR="00E2284F" w:rsidRPr="00E27D3B">
        <w:fldChar w:fldCharType="begin"/>
      </w:r>
      <w:r w:rsidR="00E2284F" w:rsidRPr="00E27D3B">
        <w:instrText xml:space="preserve"> REF _Ref223644127 \h  \* MERGEFORMAT </w:instrText>
      </w:r>
      <w:r w:rsidR="00E2284F" w:rsidRPr="00E27D3B">
        <w:fldChar w:fldCharType="separate"/>
      </w:r>
      <w:r w:rsidR="00753DAF" w:rsidRPr="00E27D3B">
        <w:t xml:space="preserve">Figure </w:t>
      </w:r>
      <w:r w:rsidR="00753DAF">
        <w:rPr>
          <w:noProof/>
        </w:rPr>
        <w:t>12</w:t>
      </w:r>
      <w:r w:rsidR="00E2284F" w:rsidRPr="00E27D3B">
        <w:fldChar w:fldCharType="end"/>
      </w:r>
      <w:r w:rsidR="00E2284F" w:rsidRPr="00E27D3B">
        <w:t xml:space="preserve"> shows the schematic diagram of the SMIB testing system.  The system consists of a DC source, an IBR, and the utility grid. The DC source can be a solar PV, wind, or battery. The IBR comprises </w:t>
      </w:r>
      <w:r w:rsidR="00E2284F" w:rsidRPr="00E27D3B">
        <w:lastRenderedPageBreak/>
        <w:t xml:space="preserve">both hardware components (e.g., semiconductors, gate drives, output filters, and voltage and current sensors) and a control algorithm that regulates the injected current/power of the IBR at the point of common coupling (PCC) with the grid. The voltage and current at PCC are represented by </w:t>
      </w:r>
      <w:proofErr w:type="spellStart"/>
      <w:r w:rsidR="00E2284F" w:rsidRPr="00E27D3B">
        <w:rPr>
          <w:i/>
          <w:iCs/>
        </w:rPr>
        <w:t>v</w:t>
      </w:r>
      <w:r w:rsidR="00E2284F" w:rsidRPr="00E27D3B">
        <w:rPr>
          <w:i/>
          <w:iCs/>
          <w:vertAlign w:val="subscript"/>
        </w:rPr>
        <w:t>pcc</w:t>
      </w:r>
      <w:proofErr w:type="spellEnd"/>
      <w:r w:rsidR="00E2284F" w:rsidRPr="00E27D3B">
        <w:t xml:space="preserve"> and </w:t>
      </w:r>
      <w:proofErr w:type="spellStart"/>
      <w:r w:rsidR="00E2284F" w:rsidRPr="00E27D3B">
        <w:rPr>
          <w:i/>
          <w:iCs/>
        </w:rPr>
        <w:t>i</w:t>
      </w:r>
      <w:r w:rsidR="00E2284F" w:rsidRPr="00E27D3B">
        <w:rPr>
          <w:i/>
          <w:iCs/>
          <w:vertAlign w:val="subscript"/>
        </w:rPr>
        <w:t>pcc</w:t>
      </w:r>
      <w:proofErr w:type="spellEnd"/>
      <w:r w:rsidR="00E2284F" w:rsidRPr="00E27D3B">
        <w:t>, respectively. To facilitate its integration with the utility grid, the inverter incorporates an inductor–capacitor (LC) filter comprising an inductance (</w:t>
      </w:r>
      <w:proofErr w:type="spellStart"/>
      <w:r w:rsidR="00E2284F" w:rsidRPr="00E27D3B">
        <w:rPr>
          <w:i/>
          <w:iCs/>
        </w:rPr>
        <w:t>L</w:t>
      </w:r>
      <w:r w:rsidR="00E2284F" w:rsidRPr="00E27D3B">
        <w:rPr>
          <w:vertAlign w:val="subscript"/>
        </w:rPr>
        <w:t>f</w:t>
      </w:r>
      <w:proofErr w:type="spellEnd"/>
      <w:r w:rsidR="00E2284F" w:rsidRPr="00E27D3B">
        <w:t>) with an internal resistance (</w:t>
      </w:r>
      <w:r w:rsidR="00E2284F" w:rsidRPr="00E27D3B">
        <w:rPr>
          <w:i/>
          <w:iCs/>
        </w:rPr>
        <w:t>R</w:t>
      </w:r>
      <w:r w:rsidR="00E2284F" w:rsidRPr="00E27D3B">
        <w:rPr>
          <w:vertAlign w:val="subscript"/>
        </w:rPr>
        <w:t>f</w:t>
      </w:r>
      <w:r w:rsidR="00E2284F" w:rsidRPr="00E27D3B">
        <w:t>), and capacitance (</w:t>
      </w:r>
      <w:r w:rsidR="00E2284F" w:rsidRPr="00E27D3B">
        <w:rPr>
          <w:i/>
          <w:iCs/>
        </w:rPr>
        <w:t>C</w:t>
      </w:r>
      <w:r w:rsidR="00E2284F" w:rsidRPr="00E27D3B">
        <w:rPr>
          <w:vertAlign w:val="subscript"/>
        </w:rPr>
        <w:t>f</w:t>
      </w:r>
      <w:r w:rsidR="00E2284F" w:rsidRPr="00E27D3B">
        <w:t>). The inverter output current is denoted by it. The grid is represented by an ideal voltage source (vg) with a Thevenin equivalent impedance comprising the grid resistance (</w:t>
      </w:r>
      <w:proofErr w:type="spellStart"/>
      <w:r w:rsidR="00E2284F" w:rsidRPr="00E27D3B">
        <w:rPr>
          <w:i/>
          <w:iCs/>
        </w:rPr>
        <w:t>R</w:t>
      </w:r>
      <w:r w:rsidR="00E2284F" w:rsidRPr="00E27D3B">
        <w:rPr>
          <w:vertAlign w:val="subscript"/>
        </w:rPr>
        <w:t>g</w:t>
      </w:r>
      <w:proofErr w:type="spellEnd"/>
      <w:r w:rsidR="00E2284F" w:rsidRPr="00E27D3B">
        <w:t>) and grid inductance (</w:t>
      </w:r>
      <w:r w:rsidR="00E2284F" w:rsidRPr="00E27D3B">
        <w:rPr>
          <w:i/>
          <w:iCs/>
        </w:rPr>
        <w:t>L</w:t>
      </w:r>
      <w:r w:rsidR="00E2284F" w:rsidRPr="00E27D3B">
        <w:rPr>
          <w:vertAlign w:val="subscript"/>
        </w:rPr>
        <w:t>g</w:t>
      </w:r>
      <w:r w:rsidR="00E2284F" w:rsidRPr="00E27D3B">
        <w:t>).</w:t>
      </w:r>
    </w:p>
    <w:p w14:paraId="4C6524E9" w14:textId="77777777" w:rsidR="00E2284F" w:rsidRPr="00E27D3B" w:rsidRDefault="00E2284F" w:rsidP="00CD4F3A">
      <w:pPr>
        <w:keepNext/>
        <w:widowControl w:val="0"/>
        <w:pBdr>
          <w:top w:val="nil"/>
          <w:left w:val="nil"/>
          <w:bottom w:val="nil"/>
          <w:right w:val="nil"/>
          <w:between w:val="nil"/>
        </w:pBdr>
      </w:pPr>
      <w:r w:rsidRPr="00E27D3B">
        <w:rPr>
          <w:noProof/>
        </w:rPr>
        <w:drawing>
          <wp:inline distT="0" distB="0" distL="0" distR="0" wp14:anchorId="6C9C9198" wp14:editId="10126C9D">
            <wp:extent cx="4010025" cy="1607668"/>
            <wp:effectExtent l="0" t="0" r="0" b="0"/>
            <wp:docPr id="1341048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48587" name=""/>
                    <pic:cNvPicPr/>
                  </pic:nvPicPr>
                  <pic:blipFill>
                    <a:blip r:embed="rId36"/>
                    <a:stretch>
                      <a:fillRect/>
                    </a:stretch>
                  </pic:blipFill>
                  <pic:spPr>
                    <a:xfrm>
                      <a:off x="0" y="0"/>
                      <a:ext cx="4054105" cy="1625340"/>
                    </a:xfrm>
                    <a:prstGeom prst="rect">
                      <a:avLst/>
                    </a:prstGeom>
                  </pic:spPr>
                </pic:pic>
              </a:graphicData>
            </a:graphic>
          </wp:inline>
        </w:drawing>
      </w:r>
    </w:p>
    <w:p w14:paraId="5F45E5E5" w14:textId="3B8C24EB" w:rsidR="00E2284F" w:rsidRPr="00E27D3B" w:rsidRDefault="00E2284F" w:rsidP="00CD4F3A">
      <w:pPr>
        <w:pStyle w:val="Caption"/>
        <w:spacing w:line="240" w:lineRule="auto"/>
      </w:pPr>
      <w:bookmarkStart w:id="70" w:name="_Ref223644127"/>
      <w:bookmarkStart w:id="71" w:name="_Toc229777571"/>
      <w:bookmarkStart w:id="72" w:name="_Toc233735018"/>
      <w:r w:rsidRPr="00E27D3B">
        <w:t xml:space="preserve">Figure </w:t>
      </w:r>
      <w:fldSimple w:instr=" SEQ Figure \* ARABIC ">
        <w:r w:rsidR="00A85006">
          <w:rPr>
            <w:noProof/>
          </w:rPr>
          <w:t>12</w:t>
        </w:r>
      </w:fldSimple>
      <w:bookmarkEnd w:id="70"/>
      <w:r w:rsidRPr="00E27D3B">
        <w:t>: Typical block diagram of a grid-connected IBRs.</w:t>
      </w:r>
      <w:bookmarkEnd w:id="71"/>
      <w:bookmarkEnd w:id="72"/>
    </w:p>
    <w:p w14:paraId="403F1CAA" w14:textId="551D29F5" w:rsidR="00E2284F" w:rsidRPr="00E27D3B" w:rsidRDefault="00E2284F" w:rsidP="00527B45">
      <w:pPr>
        <w:widowControl w:val="0"/>
        <w:pBdr>
          <w:top w:val="nil"/>
          <w:left w:val="nil"/>
          <w:bottom w:val="nil"/>
          <w:right w:val="nil"/>
          <w:between w:val="nil"/>
        </w:pBdr>
        <w:spacing w:after="0"/>
        <w:rPr>
          <w:sz w:val="24"/>
          <w:szCs w:val="24"/>
        </w:rPr>
      </w:pPr>
      <w:r w:rsidRPr="60762895">
        <w:rPr>
          <w:sz w:val="24"/>
          <w:szCs w:val="24"/>
        </w:rPr>
        <w:t>In addition to the SMIB test system, a modified IEEE 39-bus test system (</w:t>
      </w:r>
      <w:r w:rsidRPr="00E27D3B">
        <w:rPr>
          <w:sz w:val="28"/>
          <w:szCs w:val="28"/>
        </w:rPr>
        <w:fldChar w:fldCharType="begin"/>
      </w:r>
      <w:r w:rsidRPr="00E27D3B">
        <w:rPr>
          <w:sz w:val="28"/>
          <w:szCs w:val="28"/>
        </w:rPr>
        <w:instrText xml:space="preserve"> REF _Ref223644144 \h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13</w:t>
      </w:r>
      <w:r w:rsidRPr="00E27D3B">
        <w:rPr>
          <w:sz w:val="28"/>
          <w:szCs w:val="28"/>
        </w:rPr>
        <w:fldChar w:fldCharType="end"/>
      </w:r>
      <w:r w:rsidRPr="60762895">
        <w:rPr>
          <w:sz w:val="24"/>
          <w:szCs w:val="24"/>
        </w:rPr>
        <w:t>) was developed to evaluate the small-signal stability (SSS) of the power system with VSM-controlled GFMIs under different operating points (</w:t>
      </w:r>
      <w:proofErr w:type="spellStart"/>
      <w:r w:rsidRPr="60762895">
        <w:rPr>
          <w:sz w:val="24"/>
          <w:szCs w:val="24"/>
        </w:rPr>
        <w:t>P_</w:t>
      </w:r>
      <w:r w:rsidRPr="60762895">
        <w:rPr>
          <w:sz w:val="24"/>
          <w:szCs w:val="24"/>
          <w:vertAlign w:val="subscript"/>
        </w:rPr>
        <w:t>ref</w:t>
      </w:r>
      <w:proofErr w:type="spellEnd"/>
      <w:r w:rsidRPr="60762895">
        <w:rPr>
          <w:sz w:val="24"/>
          <w:szCs w:val="24"/>
        </w:rPr>
        <w:t xml:space="preserve"> and </w:t>
      </w:r>
      <w:proofErr w:type="spellStart"/>
      <w:r w:rsidRPr="60762895">
        <w:rPr>
          <w:sz w:val="24"/>
          <w:szCs w:val="24"/>
        </w:rPr>
        <w:t>Q_</w:t>
      </w:r>
      <w:r w:rsidRPr="60762895">
        <w:rPr>
          <w:sz w:val="24"/>
          <w:szCs w:val="24"/>
          <w:vertAlign w:val="subscript"/>
        </w:rPr>
        <w:t>ref</w:t>
      </w:r>
      <w:proofErr w:type="spellEnd"/>
      <w:r w:rsidRPr="60762895">
        <w:rPr>
          <w:sz w:val="24"/>
          <w:szCs w:val="24"/>
        </w:rPr>
        <w:t xml:space="preserve">) of the inverters. In the modified system, three synchronous generators G10, G07, and G08 on bus 30, 36, and 37, respectively, have been replaced by three VSM-controlled GFMIs. The MVA rating of the synchronous generators are 1000 MVA, 700 MVA, and 700 MVA for G10, G07, and G08, respectively. The GFMIs with the same MVA rating for respective buses have been connected to bus 30, 36, and 37 through step-up transformers and POC1, POC2, and POC3, respectively. </w:t>
      </w:r>
    </w:p>
    <w:p w14:paraId="503B6A51" w14:textId="77777777" w:rsidR="00E2284F" w:rsidRPr="00E27D3B" w:rsidRDefault="00E2284F" w:rsidP="00CD4F3A">
      <w:pPr>
        <w:keepNext/>
        <w:widowControl w:val="0"/>
        <w:pBdr>
          <w:top w:val="nil"/>
          <w:left w:val="nil"/>
          <w:bottom w:val="nil"/>
          <w:right w:val="nil"/>
          <w:between w:val="nil"/>
        </w:pBdr>
        <w:spacing w:before="111"/>
      </w:pPr>
      <w:r w:rsidRPr="00E27D3B">
        <w:rPr>
          <w:noProof/>
          <w:sz w:val="24"/>
        </w:rPr>
        <mc:AlternateContent>
          <mc:Choice Requires="wps">
            <w:drawing>
              <wp:anchor distT="45720" distB="45720" distL="114300" distR="114300" simplePos="0" relativeHeight="251764736" behindDoc="0" locked="0" layoutInCell="1" allowOverlap="1" wp14:anchorId="50FAC380" wp14:editId="3F2AF358">
                <wp:simplePos x="0" y="0"/>
                <wp:positionH relativeFrom="column">
                  <wp:posOffset>462280</wp:posOffset>
                </wp:positionH>
                <wp:positionV relativeFrom="paragraph">
                  <wp:posOffset>266065</wp:posOffset>
                </wp:positionV>
                <wp:extent cx="337399" cy="180924"/>
                <wp:effectExtent l="0" t="0" r="5715" b="10160"/>
                <wp:wrapNone/>
                <wp:docPr id="1732005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99" cy="180924"/>
                        </a:xfrm>
                        <a:prstGeom prst="rect">
                          <a:avLst/>
                        </a:prstGeom>
                        <a:noFill/>
                        <a:ln w="9525">
                          <a:noFill/>
                          <a:miter lim="800000"/>
                          <a:headEnd/>
                          <a:tailEnd/>
                        </a:ln>
                      </wps:spPr>
                      <wps:txbx>
                        <w:txbxContent>
                          <w:p w14:paraId="0A5AD765"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AC380" id="Text Box 2" o:spid="_x0000_s1032" type="#_x0000_t202" style="position:absolute;margin-left:36.4pt;margin-top:20.95pt;width:26.55pt;height:14.2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" filled="f" stroked="f">
                <v:textbox inset="0,0,0,0">
                  <w:txbxContent>
                    <w:p w14:paraId="0A5AD765"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POC2</w:t>
                      </w:r>
                    </w:p>
                  </w:txbxContent>
                </v:textbox>
              </v:shape>
            </w:pict>
          </mc:Fallback>
        </mc:AlternateContent>
      </w:r>
      <w:r w:rsidRPr="00E27D3B">
        <w:rPr>
          <w:noProof/>
          <w:sz w:val="24"/>
        </w:rPr>
        <mc:AlternateContent>
          <mc:Choice Requires="wps">
            <w:drawing>
              <wp:anchor distT="45720" distB="45720" distL="114300" distR="114300" simplePos="0" relativeHeight="251772928" behindDoc="0" locked="0" layoutInCell="1" allowOverlap="1" wp14:anchorId="6DC65BBF" wp14:editId="6DBA93FD">
                <wp:simplePos x="0" y="0"/>
                <wp:positionH relativeFrom="column">
                  <wp:posOffset>2529840</wp:posOffset>
                </wp:positionH>
                <wp:positionV relativeFrom="paragraph">
                  <wp:posOffset>2120265</wp:posOffset>
                </wp:positionV>
                <wp:extent cx="337399" cy="180924"/>
                <wp:effectExtent l="0" t="0" r="5715" b="10160"/>
                <wp:wrapNone/>
                <wp:docPr id="78622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99" cy="180924"/>
                        </a:xfrm>
                        <a:prstGeom prst="rect">
                          <a:avLst/>
                        </a:prstGeom>
                        <a:noFill/>
                        <a:ln w="9525">
                          <a:noFill/>
                          <a:miter lim="800000"/>
                          <a:headEnd/>
                          <a:tailEnd/>
                        </a:ln>
                      </wps:spPr>
                      <wps:txbx>
                        <w:txbxContent>
                          <w:p w14:paraId="5A05FC8E"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65BBF" id="_x0000_s1033" type="#_x0000_t202" style="position:absolute;margin-left:199.2pt;margin-top:166.95pt;width:26.55pt;height:14.2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" filled="f" stroked="f">
                <v:textbox inset="0,0,0,0">
                  <w:txbxContent>
                    <w:p w14:paraId="5A05FC8E"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POC3</w:t>
                      </w:r>
                    </w:p>
                  </w:txbxContent>
                </v:textbox>
              </v:shape>
            </w:pict>
          </mc:Fallback>
        </mc:AlternateContent>
      </w:r>
      <w:r w:rsidRPr="00E27D3B">
        <w:rPr>
          <w:noProof/>
          <w:sz w:val="24"/>
        </w:rPr>
        <mc:AlternateContent>
          <mc:Choice Requires="wps">
            <w:drawing>
              <wp:anchor distT="45720" distB="45720" distL="114300" distR="114300" simplePos="0" relativeHeight="251756544" behindDoc="0" locked="0" layoutInCell="1" allowOverlap="1" wp14:anchorId="29CC3671" wp14:editId="1A514553">
                <wp:simplePos x="0" y="0"/>
                <wp:positionH relativeFrom="margin">
                  <wp:align>left</wp:align>
                </wp:positionH>
                <wp:positionV relativeFrom="paragraph">
                  <wp:posOffset>225425</wp:posOffset>
                </wp:positionV>
                <wp:extent cx="324485" cy="256540"/>
                <wp:effectExtent l="0" t="0" r="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56540"/>
                        </a:xfrm>
                        <a:prstGeom prst="rect">
                          <a:avLst/>
                        </a:prstGeom>
                        <a:noFill/>
                        <a:ln w="9525">
                          <a:noFill/>
                          <a:miter lim="800000"/>
                          <a:headEnd/>
                          <a:tailEnd/>
                        </a:ln>
                      </wps:spPr>
                      <wps:txbx>
                        <w:txbxContent>
                          <w:p w14:paraId="32B6BCA3"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C3671" id="_x0000_s1034" type="#_x0000_t202" style="position:absolute;margin-left:0;margin-top:17.75pt;width:25.55pt;height:20.2pt;z-index:251756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" filled="f" stroked="f">
                <v:textbox inset="0,0,0,0">
                  <w:txbxContent>
                    <w:p w14:paraId="32B6BCA3" w14:textId="77777777" w:rsidR="00E2284F" w:rsidRPr="00C047A9" w:rsidRDefault="00E2284F" w:rsidP="00E2284F">
                      <w:pPr>
                        <w:rPr>
                          <w:rFonts w:ascii="Times New Roman" w:hAnsi="Times New Roman"/>
                          <w:sz w:val="16"/>
                          <w:szCs w:val="16"/>
                        </w:rPr>
                      </w:pPr>
                      <w:r w:rsidRPr="00C047A9">
                        <w:rPr>
                          <w:rFonts w:ascii="Times New Roman" w:hAnsi="Times New Roman"/>
                          <w:sz w:val="16"/>
                          <w:szCs w:val="16"/>
                        </w:rPr>
                        <w:t>POC1</w:t>
                      </w:r>
                    </w:p>
                  </w:txbxContent>
                </v:textbox>
                <w10:wrap anchorx="margin"/>
              </v:shape>
            </w:pict>
          </mc:Fallback>
        </mc:AlternateContent>
      </w:r>
      <w:r w:rsidRPr="00E27D3B">
        <w:rPr>
          <w:rFonts w:eastAsia="Times"/>
          <w:noProof/>
        </w:rPr>
        <w:drawing>
          <wp:inline distT="0" distB="0" distL="0" distR="0" wp14:anchorId="3ADD4470" wp14:editId="2B6333D1">
            <wp:extent cx="2743200" cy="2627279"/>
            <wp:effectExtent l="0" t="0" r="0" b="1905"/>
            <wp:docPr id="17347927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55229" cy="2638799"/>
                    </a:xfrm>
                    <a:prstGeom prst="rect">
                      <a:avLst/>
                    </a:prstGeom>
                    <a:noFill/>
                    <a:ln>
                      <a:noFill/>
                    </a:ln>
                  </pic:spPr>
                </pic:pic>
              </a:graphicData>
            </a:graphic>
          </wp:inline>
        </w:drawing>
      </w:r>
    </w:p>
    <w:p w14:paraId="0665AEE4" w14:textId="0FB5E090" w:rsidR="00EE483D" w:rsidRPr="0024600F" w:rsidRDefault="00E2284F" w:rsidP="0024600F">
      <w:pPr>
        <w:pStyle w:val="Caption"/>
        <w:spacing w:line="240" w:lineRule="auto"/>
      </w:pPr>
      <w:bookmarkStart w:id="73" w:name="_Ref223644144"/>
      <w:bookmarkStart w:id="74" w:name="_Toc229777572"/>
      <w:bookmarkStart w:id="75" w:name="_Toc233735019"/>
      <w:r w:rsidRPr="00E27D3B">
        <w:t xml:space="preserve">Figure </w:t>
      </w:r>
      <w:fldSimple w:instr=" SEQ Figure \* ARABIC ">
        <w:r w:rsidR="00A85006">
          <w:rPr>
            <w:noProof/>
          </w:rPr>
          <w:t>13</w:t>
        </w:r>
      </w:fldSimple>
      <w:bookmarkEnd w:id="73"/>
      <w:r w:rsidRPr="00E27D3B">
        <w:t xml:space="preserve">: Modified IEEE 39-bus testing system DIgSILENT </w:t>
      </w:r>
      <w:proofErr w:type="spellStart"/>
      <w:r w:rsidRPr="00E27D3B">
        <w:t>PowerFactory</w:t>
      </w:r>
      <w:proofErr w:type="spellEnd"/>
      <w:r w:rsidRPr="00E27D3B">
        <w:t>.</w:t>
      </w:r>
      <w:bookmarkEnd w:id="74"/>
      <w:bookmarkEnd w:id="75"/>
      <w:r w:rsidR="00EE483D" w:rsidRPr="00E27D3B">
        <w:rPr>
          <w:sz w:val="24"/>
          <w:szCs w:val="24"/>
        </w:rPr>
        <w:fldChar w:fldCharType="begin"/>
      </w:r>
      <w:r w:rsidR="00EE483D" w:rsidRPr="00E27D3B">
        <w:rPr>
          <w:sz w:val="24"/>
          <w:szCs w:val="24"/>
        </w:rPr>
        <w:instrText xml:space="preserve"> REF _Ref223643709 \h  \* MERGEFORMAT </w:instrText>
      </w:r>
      <w:r w:rsidR="00EE483D" w:rsidRPr="00E27D3B">
        <w:rPr>
          <w:sz w:val="24"/>
          <w:szCs w:val="24"/>
        </w:rPr>
      </w:r>
      <w:r w:rsidR="00EE483D" w:rsidRPr="00E27D3B">
        <w:rPr>
          <w:sz w:val="24"/>
          <w:szCs w:val="24"/>
        </w:rPr>
        <w:fldChar w:fldCharType="separate"/>
      </w:r>
    </w:p>
    <w:p w14:paraId="452D220F" w14:textId="77777777" w:rsidR="00EE483D" w:rsidRDefault="00EE483D" w:rsidP="00CD4F3A">
      <w:pPr>
        <w:widowControl w:val="0"/>
        <w:pBdr>
          <w:top w:val="nil"/>
          <w:left w:val="nil"/>
          <w:bottom w:val="nil"/>
          <w:right w:val="nil"/>
          <w:between w:val="nil"/>
        </w:pBdr>
        <w:spacing w:before="111"/>
        <w:rPr>
          <w:sz w:val="24"/>
          <w:szCs w:val="24"/>
        </w:rPr>
      </w:pPr>
      <w:r w:rsidRPr="00E27D3B">
        <w:t xml:space="preserve">Table </w:t>
      </w:r>
      <w:r>
        <w:rPr>
          <w:noProof/>
        </w:rPr>
        <w:t>5</w:t>
      </w:r>
      <w:r w:rsidRPr="00E27D3B">
        <w:rPr>
          <w:sz w:val="24"/>
          <w:szCs w:val="24"/>
        </w:rPr>
        <w:fldChar w:fldCharType="end"/>
      </w:r>
      <w:r w:rsidRPr="60762895">
        <w:rPr>
          <w:sz w:val="24"/>
          <w:szCs w:val="24"/>
        </w:rPr>
        <w:t xml:space="preserve"> summarises the parameters of the unmodified and modified IEEE 39-bus testing system with three VSM-controlled GFMIs at buses 30, 36, and 37.</w:t>
      </w:r>
    </w:p>
    <w:p w14:paraId="534E05CB" w14:textId="6AA1B77B" w:rsidR="00E2284F" w:rsidRPr="00E27D3B" w:rsidRDefault="00E2284F" w:rsidP="00CD4F3A">
      <w:pPr>
        <w:pStyle w:val="Caption"/>
        <w:spacing w:line="240" w:lineRule="auto"/>
      </w:pPr>
      <w:bookmarkStart w:id="76" w:name="_Ref223643709"/>
      <w:bookmarkStart w:id="77" w:name="_Toc224235160"/>
      <w:bookmarkStart w:id="78" w:name="_Toc233735299"/>
      <w:r w:rsidRPr="00E27D3B">
        <w:lastRenderedPageBreak/>
        <w:t xml:space="preserve">Table </w:t>
      </w:r>
      <w:fldSimple w:instr=" SEQ Table \* ARABIC ">
        <w:r w:rsidR="00753DAF">
          <w:rPr>
            <w:noProof/>
          </w:rPr>
          <w:t>5</w:t>
        </w:r>
      </w:fldSimple>
      <w:bookmarkEnd w:id="76"/>
      <w:r w:rsidRPr="00E27D3B">
        <w:t>: Parameter of unmodified and modified IEEE 39-bus testing system with three VSM-controlled GFMIs at buses 30, 36, and 37</w:t>
      </w:r>
      <w:bookmarkEnd w:id="77"/>
      <w:r w:rsidR="00527B45">
        <w:t>.</w:t>
      </w:r>
      <w:bookmarkEnd w:id="78"/>
    </w:p>
    <w:tbl>
      <w:tblPr>
        <w:tblStyle w:val="TableGrid1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64"/>
        <w:gridCol w:w="2248"/>
        <w:gridCol w:w="1500"/>
        <w:gridCol w:w="1714"/>
        <w:gridCol w:w="1712"/>
      </w:tblGrid>
      <w:tr w:rsidR="00E2284F" w:rsidRPr="003B2E8F" w14:paraId="732D9919" w14:textId="77777777" w:rsidTr="003B2E8F">
        <w:trPr>
          <w:jc w:val="center"/>
        </w:trPr>
        <w:tc>
          <w:tcPr>
            <w:tcW w:w="1279" w:type="pct"/>
            <w:vMerge w:val="restart"/>
            <w:shd w:val="clear" w:color="auto" w:fill="000000" w:themeFill="text1"/>
          </w:tcPr>
          <w:p w14:paraId="73412D10"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Parameter</w:t>
            </w:r>
          </w:p>
        </w:tc>
        <w:tc>
          <w:tcPr>
            <w:tcW w:w="1943" w:type="pct"/>
            <w:gridSpan w:val="2"/>
            <w:shd w:val="clear" w:color="auto" w:fill="000000" w:themeFill="text1"/>
          </w:tcPr>
          <w:p w14:paraId="266AA35E"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Before load step</w:t>
            </w:r>
          </w:p>
        </w:tc>
        <w:tc>
          <w:tcPr>
            <w:tcW w:w="1778" w:type="pct"/>
            <w:gridSpan w:val="2"/>
            <w:shd w:val="clear" w:color="auto" w:fill="000000" w:themeFill="text1"/>
          </w:tcPr>
          <w:p w14:paraId="640A1DFF"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After load step</w:t>
            </w:r>
          </w:p>
        </w:tc>
      </w:tr>
      <w:tr w:rsidR="00E2284F" w:rsidRPr="003B2E8F" w14:paraId="0B953BC3" w14:textId="77777777" w:rsidTr="003B2E8F">
        <w:trPr>
          <w:jc w:val="center"/>
        </w:trPr>
        <w:tc>
          <w:tcPr>
            <w:tcW w:w="1279" w:type="pct"/>
            <w:vMerge/>
            <w:shd w:val="clear" w:color="auto" w:fill="000000" w:themeFill="text1"/>
          </w:tcPr>
          <w:p w14:paraId="37574FA4" w14:textId="77777777" w:rsidR="00E2284F" w:rsidRPr="003B2E8F" w:rsidRDefault="00E2284F" w:rsidP="00CD4F3A">
            <w:pPr>
              <w:spacing w:after="0"/>
              <w:rPr>
                <w:rFonts w:asciiTheme="minorHAnsi" w:hAnsiTheme="minorHAnsi" w:cstheme="minorHAnsi"/>
                <w:b/>
                <w:bCs/>
                <w:color w:val="FFFFFF" w:themeColor="background1"/>
                <w:sz w:val="18"/>
                <w:szCs w:val="18"/>
              </w:rPr>
            </w:pPr>
          </w:p>
        </w:tc>
        <w:tc>
          <w:tcPr>
            <w:tcW w:w="1166" w:type="pct"/>
            <w:shd w:val="clear" w:color="auto" w:fill="000000" w:themeFill="text1"/>
          </w:tcPr>
          <w:p w14:paraId="2B970E49"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 xml:space="preserve">Unmodified </w:t>
            </w:r>
          </w:p>
        </w:tc>
        <w:tc>
          <w:tcPr>
            <w:tcW w:w="778" w:type="pct"/>
            <w:shd w:val="clear" w:color="auto" w:fill="000000" w:themeFill="text1"/>
          </w:tcPr>
          <w:p w14:paraId="5D0BD9D7"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Modified</w:t>
            </w:r>
          </w:p>
        </w:tc>
        <w:tc>
          <w:tcPr>
            <w:tcW w:w="889" w:type="pct"/>
            <w:shd w:val="clear" w:color="auto" w:fill="000000" w:themeFill="text1"/>
          </w:tcPr>
          <w:p w14:paraId="2AB0E659"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 xml:space="preserve">Unmodified </w:t>
            </w:r>
          </w:p>
        </w:tc>
        <w:tc>
          <w:tcPr>
            <w:tcW w:w="889" w:type="pct"/>
            <w:shd w:val="clear" w:color="auto" w:fill="000000" w:themeFill="text1"/>
          </w:tcPr>
          <w:p w14:paraId="5F81A49E" w14:textId="77777777" w:rsidR="00E2284F" w:rsidRPr="003B2E8F" w:rsidRDefault="00E2284F" w:rsidP="00CD4F3A">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Modified</w:t>
            </w:r>
          </w:p>
        </w:tc>
      </w:tr>
      <w:tr w:rsidR="00E2284F" w:rsidRPr="003B2E8F" w14:paraId="50F89E33" w14:textId="77777777" w:rsidTr="003B2E8F">
        <w:trPr>
          <w:jc w:val="center"/>
        </w:trPr>
        <w:tc>
          <w:tcPr>
            <w:tcW w:w="1279" w:type="pct"/>
            <w:shd w:val="clear" w:color="auto" w:fill="D9D9D9" w:themeFill="background1" w:themeFillShade="D9"/>
          </w:tcPr>
          <w:p w14:paraId="77224CB4"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79E57D50"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1.0475</w:t>
            </w:r>
          </w:p>
        </w:tc>
        <w:tc>
          <w:tcPr>
            <w:tcW w:w="778" w:type="pct"/>
            <w:shd w:val="clear" w:color="auto" w:fill="D9D9D9" w:themeFill="background1" w:themeFillShade="D9"/>
          </w:tcPr>
          <w:p w14:paraId="740563D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0.9692</w:t>
            </w:r>
          </w:p>
        </w:tc>
        <w:tc>
          <w:tcPr>
            <w:tcW w:w="889" w:type="pct"/>
            <w:shd w:val="clear" w:color="auto" w:fill="D9D9D9" w:themeFill="background1" w:themeFillShade="D9"/>
          </w:tcPr>
          <w:p w14:paraId="0DD5149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1.0475</w:t>
            </w:r>
          </w:p>
        </w:tc>
        <w:tc>
          <w:tcPr>
            <w:tcW w:w="889" w:type="pct"/>
            <w:shd w:val="clear" w:color="auto" w:fill="D9D9D9" w:themeFill="background1" w:themeFillShade="D9"/>
          </w:tcPr>
          <w:p w14:paraId="4283AFB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0.9732</w:t>
            </w:r>
          </w:p>
        </w:tc>
      </w:tr>
      <w:tr w:rsidR="00E2284F" w:rsidRPr="003B2E8F" w14:paraId="2F11E3A6" w14:textId="77777777" w:rsidTr="003B2E8F">
        <w:trPr>
          <w:jc w:val="center"/>
        </w:trPr>
        <w:tc>
          <w:tcPr>
            <w:tcW w:w="1279" w:type="pct"/>
          </w:tcPr>
          <w:p w14:paraId="6CD9F67F"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tcPr>
          <w:p w14:paraId="00D25C8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1.064</w:t>
            </w:r>
          </w:p>
        </w:tc>
        <w:tc>
          <w:tcPr>
            <w:tcW w:w="778" w:type="pct"/>
          </w:tcPr>
          <w:p w14:paraId="21345A3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0.9861</w:t>
            </w:r>
          </w:p>
        </w:tc>
        <w:tc>
          <w:tcPr>
            <w:tcW w:w="889" w:type="pct"/>
          </w:tcPr>
          <w:p w14:paraId="7075F281"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1.068</w:t>
            </w:r>
          </w:p>
        </w:tc>
        <w:tc>
          <w:tcPr>
            <w:tcW w:w="889" w:type="pct"/>
          </w:tcPr>
          <w:p w14:paraId="77E5343C"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0.9903</w:t>
            </w:r>
          </w:p>
        </w:tc>
      </w:tr>
      <w:tr w:rsidR="00E2284F" w:rsidRPr="003B2E8F" w14:paraId="1260E08E" w14:textId="77777777" w:rsidTr="003B2E8F">
        <w:trPr>
          <w:jc w:val="center"/>
        </w:trPr>
        <w:tc>
          <w:tcPr>
            <w:tcW w:w="1279" w:type="pct"/>
            <w:shd w:val="clear" w:color="auto" w:fill="D9D9D9" w:themeFill="background1" w:themeFillShade="D9"/>
          </w:tcPr>
          <w:p w14:paraId="5C5728E6"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16C8F85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1.028</w:t>
            </w:r>
          </w:p>
        </w:tc>
        <w:tc>
          <w:tcPr>
            <w:tcW w:w="778" w:type="pct"/>
            <w:shd w:val="clear" w:color="auto" w:fill="D9D9D9" w:themeFill="background1" w:themeFillShade="D9"/>
          </w:tcPr>
          <w:p w14:paraId="36EBF3F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0.9547</w:t>
            </w:r>
          </w:p>
        </w:tc>
        <w:tc>
          <w:tcPr>
            <w:tcW w:w="889" w:type="pct"/>
            <w:shd w:val="clear" w:color="auto" w:fill="D9D9D9" w:themeFill="background1" w:themeFillShade="D9"/>
          </w:tcPr>
          <w:p w14:paraId="14FAA30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1.028</w:t>
            </w:r>
          </w:p>
        </w:tc>
        <w:tc>
          <w:tcPr>
            <w:tcW w:w="889" w:type="pct"/>
            <w:shd w:val="clear" w:color="auto" w:fill="D9D9D9" w:themeFill="background1" w:themeFillShade="D9"/>
          </w:tcPr>
          <w:p w14:paraId="6E4CC650"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0.9586</w:t>
            </w:r>
          </w:p>
        </w:tc>
      </w:tr>
      <w:tr w:rsidR="00E2284F" w:rsidRPr="003B2E8F" w14:paraId="602DEBCC" w14:textId="77777777" w:rsidTr="003B2E8F">
        <w:trPr>
          <w:jc w:val="center"/>
        </w:trPr>
        <w:tc>
          <w:tcPr>
            <w:tcW w:w="1279" w:type="pct"/>
          </w:tcPr>
          <w:p w14:paraId="299353DF"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POC1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tcPr>
          <w:p w14:paraId="140552E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tcPr>
          <w:p w14:paraId="2B4A26EF"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1.048</w:t>
            </w:r>
          </w:p>
        </w:tc>
        <w:tc>
          <w:tcPr>
            <w:tcW w:w="889" w:type="pct"/>
          </w:tcPr>
          <w:p w14:paraId="56C46F72"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tcPr>
          <w:p w14:paraId="48F4535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1.05</w:t>
            </w:r>
          </w:p>
        </w:tc>
      </w:tr>
      <w:tr w:rsidR="00E2284F" w:rsidRPr="003B2E8F" w14:paraId="19E1AE35" w14:textId="77777777" w:rsidTr="003B2E8F">
        <w:trPr>
          <w:jc w:val="center"/>
        </w:trPr>
        <w:tc>
          <w:tcPr>
            <w:tcW w:w="1279" w:type="pct"/>
            <w:shd w:val="clear" w:color="auto" w:fill="D9D9D9" w:themeFill="background1" w:themeFillShade="D9"/>
          </w:tcPr>
          <w:p w14:paraId="5CBBDDFB"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POC2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2E3FBD1A"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shd w:val="clear" w:color="auto" w:fill="D9D9D9" w:themeFill="background1" w:themeFillShade="D9"/>
          </w:tcPr>
          <w:p w14:paraId="5E465CE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1.028</w:t>
            </w:r>
          </w:p>
        </w:tc>
        <w:tc>
          <w:tcPr>
            <w:tcW w:w="889" w:type="pct"/>
            <w:shd w:val="clear" w:color="auto" w:fill="D9D9D9" w:themeFill="background1" w:themeFillShade="D9"/>
          </w:tcPr>
          <w:p w14:paraId="4C669DD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shd w:val="clear" w:color="auto" w:fill="D9D9D9" w:themeFill="background1" w:themeFillShade="D9"/>
          </w:tcPr>
          <w:p w14:paraId="17C273D0"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1.03</w:t>
            </w:r>
          </w:p>
        </w:tc>
      </w:tr>
      <w:tr w:rsidR="00E2284F" w:rsidRPr="003B2E8F" w14:paraId="6B3D2C7D" w14:textId="77777777" w:rsidTr="003B2E8F">
        <w:trPr>
          <w:jc w:val="center"/>
        </w:trPr>
        <w:tc>
          <w:tcPr>
            <w:tcW w:w="1279" w:type="pct"/>
          </w:tcPr>
          <w:p w14:paraId="01E4F136"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mag</w:t>
            </w:r>
            <w:proofErr w:type="spellEnd"/>
            <w:r w:rsidRPr="003B2E8F">
              <w:rPr>
                <w:rFonts w:asciiTheme="minorHAnsi" w:hAnsiTheme="minorHAnsi" w:cstheme="minorHAnsi"/>
                <w:sz w:val="18"/>
                <w:szCs w:val="18"/>
              </w:rPr>
              <w:t xml:space="preserve"> at POC3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166" w:type="pct"/>
          </w:tcPr>
          <w:p w14:paraId="470662CF"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tcPr>
          <w:p w14:paraId="5B096FE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1.064</w:t>
            </w:r>
          </w:p>
        </w:tc>
        <w:tc>
          <w:tcPr>
            <w:tcW w:w="889" w:type="pct"/>
          </w:tcPr>
          <w:p w14:paraId="1416AD1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tcPr>
          <w:p w14:paraId="44FAF95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1.066</w:t>
            </w:r>
          </w:p>
        </w:tc>
      </w:tr>
      <w:tr w:rsidR="00E2284F" w:rsidRPr="003B2E8F" w14:paraId="1732807F" w14:textId="77777777" w:rsidTr="003B2E8F">
        <w:trPr>
          <w:jc w:val="center"/>
        </w:trPr>
        <w:tc>
          <w:tcPr>
            <w:tcW w:w="1279" w:type="pct"/>
            <w:shd w:val="clear" w:color="auto" w:fill="D9D9D9" w:themeFill="background1" w:themeFillShade="D9"/>
          </w:tcPr>
          <w:p w14:paraId="24E0B11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(Hz)</w:t>
            </w:r>
          </w:p>
        </w:tc>
        <w:tc>
          <w:tcPr>
            <w:tcW w:w="1166" w:type="pct"/>
            <w:shd w:val="clear" w:color="auto" w:fill="D9D9D9" w:themeFill="background1" w:themeFillShade="D9"/>
          </w:tcPr>
          <w:p w14:paraId="5AF6BEF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778" w:type="pct"/>
            <w:shd w:val="clear" w:color="auto" w:fill="D9D9D9" w:themeFill="background1" w:themeFillShade="D9"/>
          </w:tcPr>
          <w:p w14:paraId="4708A3A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shd w:val="clear" w:color="auto" w:fill="D9D9D9" w:themeFill="background1" w:themeFillShade="D9"/>
          </w:tcPr>
          <w:p w14:paraId="317B380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50.63</w:t>
            </w:r>
          </w:p>
        </w:tc>
        <w:tc>
          <w:tcPr>
            <w:tcW w:w="889" w:type="pct"/>
            <w:shd w:val="clear" w:color="auto" w:fill="D9D9D9" w:themeFill="background1" w:themeFillShade="D9"/>
          </w:tcPr>
          <w:p w14:paraId="5F212FC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50.65</w:t>
            </w:r>
          </w:p>
        </w:tc>
      </w:tr>
      <w:tr w:rsidR="00E2284F" w:rsidRPr="003B2E8F" w14:paraId="1FF9D198" w14:textId="77777777" w:rsidTr="003B2E8F">
        <w:trPr>
          <w:jc w:val="center"/>
        </w:trPr>
        <w:tc>
          <w:tcPr>
            <w:tcW w:w="1279" w:type="pct"/>
          </w:tcPr>
          <w:p w14:paraId="0778392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(Hz)</w:t>
            </w:r>
          </w:p>
        </w:tc>
        <w:tc>
          <w:tcPr>
            <w:tcW w:w="1166" w:type="pct"/>
          </w:tcPr>
          <w:p w14:paraId="2A34EBFA"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778" w:type="pct"/>
          </w:tcPr>
          <w:p w14:paraId="4B4D9DC0"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tcPr>
          <w:p w14:paraId="7BA9B6F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50.63</w:t>
            </w:r>
          </w:p>
        </w:tc>
        <w:tc>
          <w:tcPr>
            <w:tcW w:w="889" w:type="pct"/>
          </w:tcPr>
          <w:p w14:paraId="38DD61B3"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50. 65</w:t>
            </w:r>
          </w:p>
        </w:tc>
      </w:tr>
      <w:tr w:rsidR="00E2284F" w:rsidRPr="003B2E8F" w14:paraId="7B520CE1" w14:textId="77777777" w:rsidTr="003B2E8F">
        <w:trPr>
          <w:jc w:val="center"/>
        </w:trPr>
        <w:tc>
          <w:tcPr>
            <w:tcW w:w="1279" w:type="pct"/>
            <w:shd w:val="clear" w:color="auto" w:fill="D9D9D9" w:themeFill="background1" w:themeFillShade="D9"/>
          </w:tcPr>
          <w:p w14:paraId="4DEA653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(Hz)</w:t>
            </w:r>
          </w:p>
        </w:tc>
        <w:tc>
          <w:tcPr>
            <w:tcW w:w="1166" w:type="pct"/>
            <w:shd w:val="clear" w:color="auto" w:fill="D9D9D9" w:themeFill="background1" w:themeFillShade="D9"/>
          </w:tcPr>
          <w:p w14:paraId="343A0D9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778" w:type="pct"/>
            <w:shd w:val="clear" w:color="auto" w:fill="D9D9D9" w:themeFill="background1" w:themeFillShade="D9"/>
          </w:tcPr>
          <w:p w14:paraId="3228BB3E"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shd w:val="clear" w:color="auto" w:fill="D9D9D9" w:themeFill="background1" w:themeFillShade="D9"/>
          </w:tcPr>
          <w:p w14:paraId="5FA3FB62"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50.63</w:t>
            </w:r>
          </w:p>
        </w:tc>
        <w:tc>
          <w:tcPr>
            <w:tcW w:w="889" w:type="pct"/>
            <w:shd w:val="clear" w:color="auto" w:fill="D9D9D9" w:themeFill="background1" w:themeFillShade="D9"/>
          </w:tcPr>
          <w:p w14:paraId="30EFD1D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50. 65</w:t>
            </w:r>
          </w:p>
        </w:tc>
      </w:tr>
      <w:tr w:rsidR="00E2284F" w:rsidRPr="003B2E8F" w14:paraId="0EC72A9C" w14:textId="77777777" w:rsidTr="003B2E8F">
        <w:trPr>
          <w:jc w:val="center"/>
        </w:trPr>
        <w:tc>
          <w:tcPr>
            <w:tcW w:w="1279" w:type="pct"/>
          </w:tcPr>
          <w:p w14:paraId="15C5038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POC1 (Hz)</w:t>
            </w:r>
          </w:p>
        </w:tc>
        <w:tc>
          <w:tcPr>
            <w:tcW w:w="1166" w:type="pct"/>
          </w:tcPr>
          <w:p w14:paraId="4225528C"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tcPr>
          <w:p w14:paraId="2CDC8C0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tcPr>
          <w:p w14:paraId="23F54AE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tcPr>
          <w:p w14:paraId="14474FA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50. 65</w:t>
            </w:r>
          </w:p>
        </w:tc>
      </w:tr>
      <w:tr w:rsidR="00E2284F" w:rsidRPr="003B2E8F" w14:paraId="663937B3" w14:textId="77777777" w:rsidTr="003B2E8F">
        <w:trPr>
          <w:jc w:val="center"/>
        </w:trPr>
        <w:tc>
          <w:tcPr>
            <w:tcW w:w="1279" w:type="pct"/>
            <w:shd w:val="clear" w:color="auto" w:fill="D9D9D9" w:themeFill="background1" w:themeFillShade="D9"/>
          </w:tcPr>
          <w:p w14:paraId="09BA68F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POC2 (Hz)</w:t>
            </w:r>
          </w:p>
        </w:tc>
        <w:tc>
          <w:tcPr>
            <w:tcW w:w="1166" w:type="pct"/>
            <w:shd w:val="clear" w:color="auto" w:fill="D9D9D9" w:themeFill="background1" w:themeFillShade="D9"/>
          </w:tcPr>
          <w:p w14:paraId="4F59410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shd w:val="clear" w:color="auto" w:fill="D9D9D9" w:themeFill="background1" w:themeFillShade="D9"/>
          </w:tcPr>
          <w:p w14:paraId="2E20114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shd w:val="clear" w:color="auto" w:fill="D9D9D9" w:themeFill="background1" w:themeFillShade="D9"/>
          </w:tcPr>
          <w:p w14:paraId="1F433D3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shd w:val="clear" w:color="auto" w:fill="D9D9D9" w:themeFill="background1" w:themeFillShade="D9"/>
          </w:tcPr>
          <w:p w14:paraId="7191175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50. 65</w:t>
            </w:r>
          </w:p>
        </w:tc>
      </w:tr>
      <w:tr w:rsidR="00E2284F" w:rsidRPr="003B2E8F" w14:paraId="767B7662" w14:textId="77777777" w:rsidTr="003B2E8F">
        <w:trPr>
          <w:jc w:val="center"/>
        </w:trPr>
        <w:tc>
          <w:tcPr>
            <w:tcW w:w="1279" w:type="pct"/>
          </w:tcPr>
          <w:p w14:paraId="3C1AB8C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i/>
                <w:iCs/>
                <w:sz w:val="18"/>
                <w:szCs w:val="18"/>
              </w:rPr>
              <w:t>f</w:t>
            </w:r>
            <w:r w:rsidRPr="003B2E8F">
              <w:rPr>
                <w:rFonts w:asciiTheme="minorHAnsi" w:hAnsiTheme="minorHAnsi" w:cstheme="minorHAnsi"/>
                <w:sz w:val="18"/>
                <w:szCs w:val="18"/>
              </w:rPr>
              <w:t xml:space="preserve"> at POC3 (Hz)</w:t>
            </w:r>
          </w:p>
        </w:tc>
        <w:tc>
          <w:tcPr>
            <w:tcW w:w="1166" w:type="pct"/>
          </w:tcPr>
          <w:p w14:paraId="6830641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778" w:type="pct"/>
          </w:tcPr>
          <w:p w14:paraId="237CBB7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w:t>
            </w:r>
          </w:p>
        </w:tc>
        <w:tc>
          <w:tcPr>
            <w:tcW w:w="889" w:type="pct"/>
          </w:tcPr>
          <w:p w14:paraId="0330C0C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w:t>
            </w:r>
          </w:p>
        </w:tc>
        <w:tc>
          <w:tcPr>
            <w:tcW w:w="889" w:type="pct"/>
          </w:tcPr>
          <w:p w14:paraId="005FCE5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50. 65</w:t>
            </w:r>
          </w:p>
        </w:tc>
      </w:tr>
      <w:tr w:rsidR="00E2284F" w:rsidRPr="003B2E8F" w14:paraId="23CD11FE" w14:textId="77777777" w:rsidTr="003B2E8F">
        <w:trPr>
          <w:jc w:val="center"/>
        </w:trPr>
        <w:tc>
          <w:tcPr>
            <w:tcW w:w="1279" w:type="pct"/>
            <w:shd w:val="clear" w:color="auto" w:fill="D9D9D9" w:themeFill="background1" w:themeFillShade="D9"/>
          </w:tcPr>
          <w:p w14:paraId="797986D4"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shd w:val="clear" w:color="auto" w:fill="D9D9D9" w:themeFill="background1" w:themeFillShade="D9"/>
          </w:tcPr>
          <w:p w14:paraId="46365EF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c>
          <w:tcPr>
            <w:tcW w:w="778" w:type="pct"/>
            <w:shd w:val="clear" w:color="auto" w:fill="D9D9D9" w:themeFill="background1" w:themeFillShade="D9"/>
          </w:tcPr>
          <w:p w14:paraId="2EE6E003"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c>
          <w:tcPr>
            <w:tcW w:w="889" w:type="pct"/>
            <w:shd w:val="clear" w:color="auto" w:fill="D9D9D9" w:themeFill="background1" w:themeFillShade="D9"/>
          </w:tcPr>
          <w:p w14:paraId="6A2C8D3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c>
          <w:tcPr>
            <w:tcW w:w="889" w:type="pct"/>
            <w:shd w:val="clear" w:color="auto" w:fill="D9D9D9" w:themeFill="background1" w:themeFillShade="D9"/>
          </w:tcPr>
          <w:p w14:paraId="4A330ED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r>
      <w:tr w:rsidR="00E2284F" w:rsidRPr="003B2E8F" w14:paraId="154AA1B3" w14:textId="77777777" w:rsidTr="003B2E8F">
        <w:trPr>
          <w:jc w:val="center"/>
        </w:trPr>
        <w:tc>
          <w:tcPr>
            <w:tcW w:w="1279" w:type="pct"/>
          </w:tcPr>
          <w:p w14:paraId="0D38067B"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tcPr>
          <w:p w14:paraId="395D61E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c>
          <w:tcPr>
            <w:tcW w:w="778" w:type="pct"/>
          </w:tcPr>
          <w:p w14:paraId="4E8247EA"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250</w:t>
            </w:r>
          </w:p>
        </w:tc>
        <w:tc>
          <w:tcPr>
            <w:tcW w:w="889" w:type="pct"/>
          </w:tcPr>
          <w:p w14:paraId="770DCA2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135.5</w:t>
            </w:r>
          </w:p>
        </w:tc>
        <w:tc>
          <w:tcPr>
            <w:tcW w:w="889" w:type="pct"/>
          </w:tcPr>
          <w:p w14:paraId="6711147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169.8</w:t>
            </w:r>
          </w:p>
        </w:tc>
      </w:tr>
      <w:tr w:rsidR="00E2284F" w:rsidRPr="003B2E8F" w14:paraId="274298F8" w14:textId="77777777" w:rsidTr="003B2E8F">
        <w:trPr>
          <w:jc w:val="center"/>
        </w:trPr>
        <w:tc>
          <w:tcPr>
            <w:tcW w:w="1279" w:type="pct"/>
            <w:shd w:val="clear" w:color="auto" w:fill="D9D9D9" w:themeFill="background1" w:themeFillShade="D9"/>
          </w:tcPr>
          <w:p w14:paraId="6B2A17A8"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shd w:val="clear" w:color="auto" w:fill="D9D9D9" w:themeFill="background1" w:themeFillShade="D9"/>
          </w:tcPr>
          <w:p w14:paraId="48DA7ABF"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778" w:type="pct"/>
            <w:shd w:val="clear" w:color="auto" w:fill="D9D9D9" w:themeFill="background1" w:themeFillShade="D9"/>
          </w:tcPr>
          <w:p w14:paraId="00A3CED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889" w:type="pct"/>
            <w:shd w:val="clear" w:color="auto" w:fill="D9D9D9" w:themeFill="background1" w:themeFillShade="D9"/>
          </w:tcPr>
          <w:p w14:paraId="27423B8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889" w:type="pct"/>
            <w:shd w:val="clear" w:color="auto" w:fill="D9D9D9" w:themeFill="background1" w:themeFillShade="D9"/>
          </w:tcPr>
          <w:p w14:paraId="32F2CA2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r>
      <w:tr w:rsidR="00E2284F" w:rsidRPr="003B2E8F" w14:paraId="1445464C" w14:textId="77777777" w:rsidTr="003B2E8F">
        <w:trPr>
          <w:jc w:val="center"/>
        </w:trPr>
        <w:tc>
          <w:tcPr>
            <w:tcW w:w="1279" w:type="pct"/>
          </w:tcPr>
          <w:p w14:paraId="40F32CE9"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tcPr>
          <w:p w14:paraId="4C0EBB6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778" w:type="pct"/>
          </w:tcPr>
          <w:p w14:paraId="6C391F69"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889" w:type="pct"/>
          </w:tcPr>
          <w:p w14:paraId="6676DEA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510.1</w:t>
            </w:r>
          </w:p>
        </w:tc>
        <w:tc>
          <w:tcPr>
            <w:tcW w:w="889" w:type="pct"/>
          </w:tcPr>
          <w:p w14:paraId="7949837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449.4</w:t>
            </w:r>
          </w:p>
        </w:tc>
      </w:tr>
      <w:tr w:rsidR="00E2284F" w:rsidRPr="003B2E8F" w14:paraId="30EA4648" w14:textId="77777777" w:rsidTr="003B2E8F">
        <w:trPr>
          <w:jc w:val="center"/>
        </w:trPr>
        <w:tc>
          <w:tcPr>
            <w:tcW w:w="1279" w:type="pct"/>
            <w:shd w:val="clear" w:color="auto" w:fill="D9D9D9" w:themeFill="background1" w:themeFillShade="D9"/>
          </w:tcPr>
          <w:p w14:paraId="40A691F9"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shd w:val="clear" w:color="auto" w:fill="D9D9D9" w:themeFill="background1" w:themeFillShade="D9"/>
          </w:tcPr>
          <w:p w14:paraId="513AD86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540</w:t>
            </w:r>
          </w:p>
        </w:tc>
        <w:tc>
          <w:tcPr>
            <w:tcW w:w="778" w:type="pct"/>
            <w:shd w:val="clear" w:color="auto" w:fill="D9D9D9" w:themeFill="background1" w:themeFillShade="D9"/>
          </w:tcPr>
          <w:p w14:paraId="598D6E5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540</w:t>
            </w:r>
          </w:p>
        </w:tc>
        <w:tc>
          <w:tcPr>
            <w:tcW w:w="889" w:type="pct"/>
            <w:shd w:val="clear" w:color="auto" w:fill="D9D9D9" w:themeFill="background1" w:themeFillShade="D9"/>
          </w:tcPr>
          <w:p w14:paraId="21CEE7E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540</w:t>
            </w:r>
          </w:p>
        </w:tc>
        <w:tc>
          <w:tcPr>
            <w:tcW w:w="889" w:type="pct"/>
            <w:shd w:val="clear" w:color="auto" w:fill="D9D9D9" w:themeFill="background1" w:themeFillShade="D9"/>
          </w:tcPr>
          <w:p w14:paraId="19A38321"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540</w:t>
            </w:r>
          </w:p>
        </w:tc>
      </w:tr>
      <w:tr w:rsidR="00E2284F" w:rsidRPr="003B2E8F" w14:paraId="7D44F419" w14:textId="77777777" w:rsidTr="003B2E8F">
        <w:trPr>
          <w:jc w:val="center"/>
        </w:trPr>
        <w:tc>
          <w:tcPr>
            <w:tcW w:w="1279" w:type="pct"/>
          </w:tcPr>
          <w:p w14:paraId="269701F6"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(MW)</w:t>
            </w:r>
          </w:p>
        </w:tc>
        <w:tc>
          <w:tcPr>
            <w:tcW w:w="1166" w:type="pct"/>
          </w:tcPr>
          <w:p w14:paraId="0A3310F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w:t>
            </w:r>
          </w:p>
        </w:tc>
        <w:tc>
          <w:tcPr>
            <w:tcW w:w="778" w:type="pct"/>
          </w:tcPr>
          <w:p w14:paraId="641F6C7C"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540</w:t>
            </w:r>
          </w:p>
        </w:tc>
        <w:tc>
          <w:tcPr>
            <w:tcW w:w="889" w:type="pct"/>
          </w:tcPr>
          <w:p w14:paraId="2491C231"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490</w:t>
            </w:r>
          </w:p>
        </w:tc>
        <w:tc>
          <w:tcPr>
            <w:tcW w:w="889" w:type="pct"/>
          </w:tcPr>
          <w:p w14:paraId="06D38FEC"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459.5</w:t>
            </w:r>
          </w:p>
        </w:tc>
      </w:tr>
      <w:tr w:rsidR="00E2284F" w:rsidRPr="003B2E8F" w14:paraId="5B40A78D" w14:textId="77777777" w:rsidTr="003B2E8F">
        <w:trPr>
          <w:jc w:val="center"/>
        </w:trPr>
        <w:tc>
          <w:tcPr>
            <w:tcW w:w="1279" w:type="pct"/>
            <w:shd w:val="clear" w:color="auto" w:fill="D9D9D9" w:themeFill="background1" w:themeFillShade="D9"/>
          </w:tcPr>
          <w:p w14:paraId="59555918"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3A47CAD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778" w:type="pct"/>
            <w:shd w:val="clear" w:color="auto" w:fill="D9D9D9" w:themeFill="background1" w:themeFillShade="D9"/>
          </w:tcPr>
          <w:p w14:paraId="6F3E04EE"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3950025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4D76A26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r>
      <w:tr w:rsidR="00E2284F" w:rsidRPr="003B2E8F" w14:paraId="12924493" w14:textId="77777777" w:rsidTr="003B2E8F">
        <w:trPr>
          <w:jc w:val="center"/>
        </w:trPr>
        <w:tc>
          <w:tcPr>
            <w:tcW w:w="1279" w:type="pct"/>
          </w:tcPr>
          <w:p w14:paraId="5A68A22A"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30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tcPr>
          <w:p w14:paraId="7B220C35"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146.2</w:t>
            </w:r>
          </w:p>
        </w:tc>
        <w:tc>
          <w:tcPr>
            <w:tcW w:w="778" w:type="pct"/>
          </w:tcPr>
          <w:p w14:paraId="643B3D1F"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-7.987</w:t>
            </w:r>
          </w:p>
        </w:tc>
        <w:tc>
          <w:tcPr>
            <w:tcW w:w="889" w:type="pct"/>
          </w:tcPr>
          <w:p w14:paraId="4FA4AF71"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92.44</w:t>
            </w:r>
          </w:p>
        </w:tc>
        <w:tc>
          <w:tcPr>
            <w:tcW w:w="889" w:type="pct"/>
          </w:tcPr>
          <w:p w14:paraId="7BEB7271"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-52.52</w:t>
            </w:r>
          </w:p>
        </w:tc>
      </w:tr>
      <w:tr w:rsidR="00E2284F" w:rsidRPr="003B2E8F" w14:paraId="13B511C3" w14:textId="77777777" w:rsidTr="003B2E8F">
        <w:trPr>
          <w:jc w:val="center"/>
        </w:trPr>
        <w:tc>
          <w:tcPr>
            <w:tcW w:w="1279" w:type="pct"/>
            <w:shd w:val="clear" w:color="auto" w:fill="D9D9D9" w:themeFill="background1" w:themeFillShade="D9"/>
          </w:tcPr>
          <w:p w14:paraId="105D880F"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6F3953F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778" w:type="pct"/>
            <w:shd w:val="clear" w:color="auto" w:fill="D9D9D9" w:themeFill="background1" w:themeFillShade="D9"/>
          </w:tcPr>
          <w:p w14:paraId="0556B3C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6A3C7232"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2BF5E73E"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r>
      <w:tr w:rsidR="00E2284F" w:rsidRPr="003B2E8F" w14:paraId="2EE61D46" w14:textId="77777777" w:rsidTr="003B2E8F">
        <w:trPr>
          <w:jc w:val="center"/>
        </w:trPr>
        <w:tc>
          <w:tcPr>
            <w:tcW w:w="1279" w:type="pct"/>
          </w:tcPr>
          <w:p w14:paraId="24773052"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36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tcPr>
          <w:p w14:paraId="0B858266"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101.2</w:t>
            </w:r>
          </w:p>
        </w:tc>
        <w:tc>
          <w:tcPr>
            <w:tcW w:w="778" w:type="pct"/>
          </w:tcPr>
          <w:p w14:paraId="1BE836E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-30.43</w:t>
            </w:r>
          </w:p>
        </w:tc>
        <w:tc>
          <w:tcPr>
            <w:tcW w:w="889" w:type="pct"/>
          </w:tcPr>
          <w:p w14:paraId="368F306F"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85.35</w:t>
            </w:r>
          </w:p>
        </w:tc>
        <w:tc>
          <w:tcPr>
            <w:tcW w:w="889" w:type="pct"/>
          </w:tcPr>
          <w:p w14:paraId="2E41D71C"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-62.93</w:t>
            </w:r>
          </w:p>
        </w:tc>
      </w:tr>
      <w:tr w:rsidR="00E2284F" w:rsidRPr="003B2E8F" w14:paraId="6804B375" w14:textId="77777777" w:rsidTr="003B2E8F">
        <w:trPr>
          <w:jc w:val="center"/>
        </w:trPr>
        <w:tc>
          <w:tcPr>
            <w:tcW w:w="1279" w:type="pct"/>
            <w:shd w:val="clear" w:color="auto" w:fill="D9D9D9" w:themeFill="background1" w:themeFillShade="D9"/>
          </w:tcPr>
          <w:p w14:paraId="4CFDC093"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shd w:val="clear" w:color="auto" w:fill="D9D9D9" w:themeFill="background1" w:themeFillShade="D9"/>
          </w:tcPr>
          <w:p w14:paraId="3DD19F72"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778" w:type="pct"/>
            <w:shd w:val="clear" w:color="auto" w:fill="D9D9D9" w:themeFill="background1" w:themeFillShade="D9"/>
          </w:tcPr>
          <w:p w14:paraId="2DDE9C4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501EFF2D"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c>
          <w:tcPr>
            <w:tcW w:w="889" w:type="pct"/>
            <w:shd w:val="clear" w:color="auto" w:fill="D9D9D9" w:themeFill="background1" w:themeFillShade="D9"/>
          </w:tcPr>
          <w:p w14:paraId="50304CF2"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w:t>
            </w:r>
          </w:p>
        </w:tc>
      </w:tr>
      <w:tr w:rsidR="00E2284F" w:rsidRPr="003B2E8F" w14:paraId="15ABEF46" w14:textId="77777777" w:rsidTr="003B2E8F">
        <w:trPr>
          <w:jc w:val="center"/>
        </w:trPr>
        <w:tc>
          <w:tcPr>
            <w:tcW w:w="1279" w:type="pct"/>
          </w:tcPr>
          <w:p w14:paraId="17657DA7" w14:textId="77777777" w:rsidR="00E2284F" w:rsidRPr="003B2E8F" w:rsidRDefault="00E2284F" w:rsidP="00CD4F3A">
            <w:pPr>
              <w:spacing w:after="0"/>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mes</w:t>
            </w:r>
            <w:proofErr w:type="spellEnd"/>
            <w:r w:rsidRPr="003B2E8F">
              <w:rPr>
                <w:rFonts w:asciiTheme="minorHAnsi" w:hAnsiTheme="minorHAnsi" w:cstheme="minorHAnsi"/>
                <w:sz w:val="18"/>
                <w:szCs w:val="18"/>
              </w:rPr>
              <w:t xml:space="preserve"> at 37 </w:t>
            </w:r>
            <w:proofErr w:type="gramStart"/>
            <w:r w:rsidRPr="003B2E8F">
              <w:rPr>
                <w:rFonts w:asciiTheme="minorHAnsi" w:hAnsiTheme="minorHAnsi" w:cstheme="minorHAnsi"/>
                <w:sz w:val="18"/>
                <w:szCs w:val="18"/>
              </w:rPr>
              <w:t>bus</w:t>
            </w:r>
            <w:proofErr w:type="gram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MVar</w:t>
            </w:r>
            <w:proofErr w:type="spellEnd"/>
            <w:r w:rsidRPr="003B2E8F">
              <w:rPr>
                <w:rFonts w:asciiTheme="minorHAnsi" w:hAnsiTheme="minorHAnsi" w:cstheme="minorHAnsi"/>
                <w:sz w:val="18"/>
                <w:szCs w:val="18"/>
              </w:rPr>
              <w:t>)</w:t>
            </w:r>
          </w:p>
        </w:tc>
        <w:tc>
          <w:tcPr>
            <w:tcW w:w="1166" w:type="pct"/>
          </w:tcPr>
          <w:p w14:paraId="2B922398"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0.4399</w:t>
            </w:r>
          </w:p>
        </w:tc>
        <w:tc>
          <w:tcPr>
            <w:tcW w:w="778" w:type="pct"/>
          </w:tcPr>
          <w:p w14:paraId="206C5357"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-56.05</w:t>
            </w:r>
          </w:p>
        </w:tc>
        <w:tc>
          <w:tcPr>
            <w:tcW w:w="889" w:type="pct"/>
          </w:tcPr>
          <w:p w14:paraId="76C5F144"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-34.61</w:t>
            </w:r>
          </w:p>
        </w:tc>
        <w:tc>
          <w:tcPr>
            <w:tcW w:w="889" w:type="pct"/>
          </w:tcPr>
          <w:p w14:paraId="22C5B48B" w14:textId="77777777" w:rsidR="00E2284F" w:rsidRPr="003B2E8F" w:rsidRDefault="00E2284F" w:rsidP="00CD4F3A">
            <w:pPr>
              <w:spacing w:after="0"/>
              <w:rPr>
                <w:rFonts w:asciiTheme="minorHAnsi" w:hAnsiTheme="minorHAnsi" w:cstheme="minorHAnsi"/>
                <w:sz w:val="18"/>
                <w:szCs w:val="18"/>
              </w:rPr>
            </w:pPr>
            <w:r w:rsidRPr="003B2E8F">
              <w:rPr>
                <w:rFonts w:asciiTheme="minorHAnsi" w:hAnsiTheme="minorHAnsi" w:cstheme="minorHAnsi"/>
                <w:sz w:val="18"/>
                <w:szCs w:val="18"/>
              </w:rPr>
              <w:t>-69</w:t>
            </w:r>
          </w:p>
        </w:tc>
      </w:tr>
    </w:tbl>
    <w:p w14:paraId="624E82CF" w14:textId="1D26D9BC" w:rsidR="00DC6D94" w:rsidRDefault="00E2284F" w:rsidP="001D1308">
      <w:pPr>
        <w:pStyle w:val="BodyText"/>
        <w:spacing w:after="0"/>
      </w:pPr>
      <w:r w:rsidRPr="00E27D3B">
        <w:fldChar w:fldCharType="begin"/>
      </w:r>
      <w:r w:rsidRPr="00E27D3B">
        <w:instrText xml:space="preserve"> REF _Ref223643685 \h  \* MERGEFORMAT </w:instrText>
      </w:r>
      <w:r w:rsidRPr="00E27D3B">
        <w:fldChar w:fldCharType="separate"/>
      </w:r>
      <w:r w:rsidR="00753DAF" w:rsidRPr="00E27D3B">
        <w:t xml:space="preserve">Table </w:t>
      </w:r>
      <w:r w:rsidR="00753DAF">
        <w:rPr>
          <w:noProof/>
        </w:rPr>
        <w:t>6</w:t>
      </w:r>
      <w:r w:rsidRPr="00E27D3B">
        <w:fldChar w:fldCharType="end"/>
      </w:r>
      <w:r w:rsidRPr="00E27D3B">
        <w:t xml:space="preserve"> summarises the parameters of the VSM-GFMI C1, C2, and C3 Connected at POC1, POC2, and POC3, respectively, in the modified IEEE 39-bus testing systems. </w:t>
      </w:r>
      <w:r w:rsidR="00DC6D94">
        <w:t>Also, the implementation of modified 14-generator Australian power system (</w:t>
      </w:r>
      <w:r w:rsidR="00DC6D94">
        <w:fldChar w:fldCharType="begin"/>
      </w:r>
      <w:r w:rsidR="00DC6D94">
        <w:instrText xml:space="preserve"> REF _Ref224226489 \h  \* MERGEFORMAT </w:instrText>
      </w:r>
      <w:r w:rsidR="00DC6D94">
        <w:fldChar w:fldCharType="separate"/>
      </w:r>
      <w:r w:rsidR="009855CC">
        <w:t>Figure</w:t>
      </w:r>
      <w:r w:rsidR="00DC6D94">
        <w:fldChar w:fldCharType="end"/>
      </w:r>
      <w:r w:rsidR="009855CC">
        <w:t xml:space="preserve"> 68</w:t>
      </w:r>
      <w:r w:rsidR="00DC6D94">
        <w:t xml:space="preserve">) has been carried out. The system has been modified by replacing the SG at bus 501 by a built-in VSM-controlled GFMI in DIgSILENT </w:t>
      </w:r>
      <w:proofErr w:type="spellStart"/>
      <w:r w:rsidR="00DC6D94">
        <w:t>PowerFactory</w:t>
      </w:r>
      <w:proofErr w:type="spellEnd"/>
      <w:r w:rsidR="00DC6D94">
        <w:t>. The rated MVA of the GFMI is 1.12 MVA and a total of 670 units were connected in parallel to match the power dispatch of the original SG at bus 501.</w:t>
      </w:r>
    </w:p>
    <w:p w14:paraId="03F520CD" w14:textId="42F77EB5" w:rsidR="00DC6D94" w:rsidRPr="00E27D3B" w:rsidRDefault="00DC6D94" w:rsidP="001D1308">
      <w:pPr>
        <w:pStyle w:val="BodyText"/>
        <w:spacing w:after="0"/>
      </w:pPr>
      <w:r w:rsidRPr="00E27D3B">
        <w:t xml:space="preserve">This section presents the evaluation of small-signal stability of power systems with different controls of GFLIs and GFMIs. </w:t>
      </w:r>
      <w:r w:rsidRPr="00E27D3B">
        <w:fldChar w:fldCharType="begin"/>
      </w:r>
      <w:r w:rsidRPr="00E27D3B">
        <w:instrText xml:space="preserve"> REF _Ref223644171 \h  \* MERGEFORMAT </w:instrText>
      </w:r>
      <w:r w:rsidRPr="00E27D3B">
        <w:fldChar w:fldCharType="separate"/>
      </w:r>
      <w:r w:rsidR="009855CC">
        <w:t>Figure</w:t>
      </w:r>
      <w:r w:rsidRPr="00E27D3B">
        <w:fldChar w:fldCharType="end"/>
      </w:r>
      <w:r w:rsidR="009855CC">
        <w:t xml:space="preserve"> 14</w:t>
      </w:r>
      <w:r w:rsidRPr="00E27D3B">
        <w:t xml:space="preserve"> shows the composite model frame of Western electricity coordinating council battery energy storage system (WECC BESS) with power-controlled GFLI in DIgSILENT </w:t>
      </w:r>
      <w:proofErr w:type="spellStart"/>
      <w:r w:rsidRPr="00E27D3B">
        <w:t>PowerFactory</w:t>
      </w:r>
      <w:proofErr w:type="spellEnd"/>
      <w:r w:rsidRPr="00E27D3B">
        <w:t xml:space="preserve"> </w:t>
      </w:r>
      <w:r w:rsidRPr="00E27D3B">
        <w:fldChar w:fldCharType="begin"/>
      </w:r>
      <w:r w:rsidRPr="00E27D3B">
        <w:instrText xml:space="preserve"> REF _Ref223642241 \n \h  \* MERGEFORMAT </w:instrText>
      </w:r>
      <w:r w:rsidRPr="00E27D3B">
        <w:fldChar w:fldCharType="separate"/>
      </w:r>
      <w:r>
        <w:rPr>
          <w:cs/>
        </w:rPr>
        <w:t>‎</w:t>
      </w:r>
      <w:r>
        <w:t>[48]</w:t>
      </w:r>
      <w:r w:rsidRPr="00E27D3B">
        <w:fldChar w:fldCharType="end"/>
      </w:r>
      <w:r w:rsidRPr="00E27D3B">
        <w:t xml:space="preserve">. There are two WECC BESS templates available in </w:t>
      </w:r>
      <w:proofErr w:type="spellStart"/>
      <w:r w:rsidRPr="00E27D3B">
        <w:t>PowerFactory</w:t>
      </w:r>
      <w:proofErr w:type="spellEnd"/>
      <w:r w:rsidRPr="00E27D3B">
        <w:t xml:space="preserve"> which is configured for 50 Hz and 60 Hz systems. Each template has a rated apparent power of 1 MVA. The model incorporates renewable energy electrical control (REEC)-electrical control model, </w:t>
      </w:r>
      <w:r w:rsidRPr="00E27D3B">
        <w:lastRenderedPageBreak/>
        <w:t xml:space="preserve">renewable energy generator control (REGC)-generator-converter model, A </w:t>
      </w:r>
      <w:proofErr w:type="gramStart"/>
      <w:r w:rsidRPr="00E27D3B">
        <w:t>weak</w:t>
      </w:r>
      <w:proofErr w:type="gramEnd"/>
      <w:r w:rsidRPr="00E27D3B">
        <w:t>-Grid option model, protection model, plant control, and voltage-current measurements.</w:t>
      </w:r>
    </w:p>
    <w:p w14:paraId="4E3C2863" w14:textId="16856491" w:rsidR="00E2284F" w:rsidRPr="00E27D3B" w:rsidRDefault="00E2284F" w:rsidP="00CD4F3A">
      <w:pPr>
        <w:pStyle w:val="Caption"/>
        <w:spacing w:line="240" w:lineRule="auto"/>
      </w:pPr>
      <w:bookmarkStart w:id="79" w:name="_Ref223643685"/>
      <w:bookmarkStart w:id="80" w:name="_Toc224235161"/>
      <w:bookmarkStart w:id="81" w:name="_Toc233735300"/>
      <w:r w:rsidRPr="00E27D3B">
        <w:t xml:space="preserve">Table </w:t>
      </w:r>
      <w:fldSimple w:instr=" SEQ Table \* ARABIC ">
        <w:r w:rsidR="00753DAF">
          <w:rPr>
            <w:noProof/>
          </w:rPr>
          <w:t>6</w:t>
        </w:r>
      </w:fldSimple>
      <w:bookmarkEnd w:id="79"/>
      <w:r w:rsidRPr="00E27D3B">
        <w:t>: Parameters of the GFMIs</w:t>
      </w:r>
      <w:bookmarkEnd w:id="80"/>
      <w:r w:rsidR="00B411FE">
        <w:t>.</w:t>
      </w:r>
      <w:bookmarkEnd w:id="81"/>
    </w:p>
    <w:tbl>
      <w:tblPr>
        <w:tblStyle w:val="TableGrid1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18"/>
        <w:gridCol w:w="1953"/>
        <w:gridCol w:w="2003"/>
        <w:gridCol w:w="1964"/>
      </w:tblGrid>
      <w:tr w:rsidR="00E2284F" w:rsidRPr="003B2E8F" w14:paraId="3525E049" w14:textId="77777777" w:rsidTr="003B2E8F">
        <w:trPr>
          <w:jc w:val="center"/>
        </w:trPr>
        <w:tc>
          <w:tcPr>
            <w:tcW w:w="1929" w:type="pct"/>
            <w:tcBorders>
              <w:top w:val="double" w:sz="4" w:space="0" w:color="auto"/>
              <w:bottom w:val="single" w:sz="4" w:space="0" w:color="auto"/>
            </w:tcBorders>
            <w:shd w:val="clear" w:color="auto" w:fill="000000" w:themeFill="text1"/>
          </w:tcPr>
          <w:p w14:paraId="74E635DA" w14:textId="77777777" w:rsidR="00E2284F" w:rsidRPr="003B2E8F" w:rsidRDefault="00E2284F" w:rsidP="003B2E8F">
            <w:pPr>
              <w:spacing w:after="0"/>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Parameter</w:t>
            </w:r>
          </w:p>
        </w:tc>
        <w:tc>
          <w:tcPr>
            <w:tcW w:w="1013" w:type="pct"/>
            <w:tcBorders>
              <w:top w:val="double" w:sz="4" w:space="0" w:color="auto"/>
              <w:bottom w:val="single" w:sz="4" w:space="0" w:color="auto"/>
            </w:tcBorders>
            <w:shd w:val="clear" w:color="auto" w:fill="000000" w:themeFill="text1"/>
          </w:tcPr>
          <w:p w14:paraId="3EACEEDF" w14:textId="77777777" w:rsidR="00E2284F" w:rsidRPr="003B2E8F" w:rsidRDefault="00E2284F" w:rsidP="00CD4F3A">
            <w:pPr>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 xml:space="preserve">C1 </w:t>
            </w:r>
          </w:p>
        </w:tc>
        <w:tc>
          <w:tcPr>
            <w:tcW w:w="1039" w:type="pct"/>
            <w:tcBorders>
              <w:top w:val="double" w:sz="4" w:space="0" w:color="auto"/>
              <w:bottom w:val="single" w:sz="4" w:space="0" w:color="auto"/>
            </w:tcBorders>
            <w:shd w:val="clear" w:color="auto" w:fill="000000" w:themeFill="text1"/>
          </w:tcPr>
          <w:p w14:paraId="0B54B276" w14:textId="77777777" w:rsidR="00E2284F" w:rsidRPr="003B2E8F" w:rsidRDefault="00E2284F" w:rsidP="00CD4F3A">
            <w:pPr>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C2</w:t>
            </w:r>
          </w:p>
        </w:tc>
        <w:tc>
          <w:tcPr>
            <w:tcW w:w="1020" w:type="pct"/>
            <w:tcBorders>
              <w:top w:val="double" w:sz="4" w:space="0" w:color="auto"/>
              <w:bottom w:val="single" w:sz="4" w:space="0" w:color="auto"/>
            </w:tcBorders>
            <w:shd w:val="clear" w:color="auto" w:fill="000000" w:themeFill="text1"/>
          </w:tcPr>
          <w:p w14:paraId="4B4F1D5A" w14:textId="77777777" w:rsidR="00E2284F" w:rsidRPr="003B2E8F" w:rsidRDefault="00E2284F" w:rsidP="00CD4F3A">
            <w:pPr>
              <w:rPr>
                <w:rFonts w:asciiTheme="minorHAnsi" w:hAnsiTheme="minorHAnsi" w:cstheme="minorHAnsi"/>
                <w:b/>
                <w:bCs/>
                <w:color w:val="FFFFFF" w:themeColor="background1"/>
                <w:sz w:val="18"/>
                <w:szCs w:val="18"/>
              </w:rPr>
            </w:pPr>
            <w:r w:rsidRPr="003B2E8F">
              <w:rPr>
                <w:rFonts w:asciiTheme="minorHAnsi" w:hAnsiTheme="minorHAnsi" w:cstheme="minorHAnsi"/>
                <w:b/>
                <w:bCs/>
                <w:color w:val="FFFFFF" w:themeColor="background1"/>
                <w:sz w:val="18"/>
                <w:szCs w:val="18"/>
              </w:rPr>
              <w:t xml:space="preserve">C3 </w:t>
            </w:r>
          </w:p>
        </w:tc>
      </w:tr>
      <w:tr w:rsidR="00E2284F" w:rsidRPr="003B2E8F" w14:paraId="6DB11FE6" w14:textId="77777777" w:rsidTr="003B2E8F">
        <w:trPr>
          <w:jc w:val="center"/>
        </w:trPr>
        <w:tc>
          <w:tcPr>
            <w:tcW w:w="1929" w:type="pct"/>
            <w:tcBorders>
              <w:top w:val="single" w:sz="4" w:space="0" w:color="auto"/>
            </w:tcBorders>
            <w:shd w:val="clear" w:color="auto" w:fill="D9D9D9" w:themeFill="background1" w:themeFillShade="D9"/>
          </w:tcPr>
          <w:p w14:paraId="091A1B27" w14:textId="77777777" w:rsidR="00E2284F" w:rsidRPr="003B2E8F" w:rsidRDefault="00E2284F" w:rsidP="00CD4F3A">
            <w:pPr>
              <w:rPr>
                <w:rFonts w:asciiTheme="minorHAnsi" w:hAnsiTheme="minorHAnsi" w:cstheme="minorHAnsi"/>
                <w:sz w:val="18"/>
                <w:szCs w:val="18"/>
              </w:rPr>
            </w:pPr>
            <w:proofErr w:type="spellStart"/>
            <w:r w:rsidRPr="003B2E8F">
              <w:rPr>
                <w:rFonts w:asciiTheme="minorHAnsi" w:hAnsiTheme="minorHAnsi" w:cstheme="minorHAnsi"/>
                <w:i/>
                <w:iCs/>
                <w:sz w:val="18"/>
                <w:szCs w:val="18"/>
              </w:rPr>
              <w:t>V</w:t>
            </w:r>
            <w:r w:rsidRPr="003B2E8F">
              <w:rPr>
                <w:rFonts w:asciiTheme="minorHAnsi" w:hAnsiTheme="minorHAnsi" w:cstheme="minorHAnsi"/>
                <w:sz w:val="18"/>
                <w:szCs w:val="18"/>
                <w:vertAlign w:val="subscript"/>
              </w:rPr>
              <w:t>set</w:t>
            </w:r>
            <w:proofErr w:type="spell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013" w:type="pct"/>
            <w:tcBorders>
              <w:top w:val="single" w:sz="4" w:space="0" w:color="auto"/>
            </w:tcBorders>
            <w:shd w:val="clear" w:color="auto" w:fill="D9D9D9" w:themeFill="background1" w:themeFillShade="D9"/>
          </w:tcPr>
          <w:p w14:paraId="49905759"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1.0475</w:t>
            </w:r>
          </w:p>
        </w:tc>
        <w:tc>
          <w:tcPr>
            <w:tcW w:w="1039" w:type="pct"/>
            <w:tcBorders>
              <w:top w:val="single" w:sz="4" w:space="0" w:color="auto"/>
            </w:tcBorders>
            <w:shd w:val="clear" w:color="auto" w:fill="D9D9D9" w:themeFill="background1" w:themeFillShade="D9"/>
          </w:tcPr>
          <w:p w14:paraId="4173C34E"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1.028</w:t>
            </w:r>
          </w:p>
        </w:tc>
        <w:tc>
          <w:tcPr>
            <w:tcW w:w="1020" w:type="pct"/>
            <w:tcBorders>
              <w:top w:val="single" w:sz="4" w:space="0" w:color="auto"/>
            </w:tcBorders>
            <w:shd w:val="clear" w:color="auto" w:fill="D9D9D9" w:themeFill="background1" w:themeFillShade="D9"/>
          </w:tcPr>
          <w:p w14:paraId="1118563D"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1.064</w:t>
            </w:r>
          </w:p>
        </w:tc>
      </w:tr>
      <w:tr w:rsidR="00E2284F" w:rsidRPr="003B2E8F" w14:paraId="5000CF4B" w14:textId="77777777" w:rsidTr="003B2E8F">
        <w:trPr>
          <w:jc w:val="center"/>
        </w:trPr>
        <w:tc>
          <w:tcPr>
            <w:tcW w:w="1929" w:type="pct"/>
          </w:tcPr>
          <w:p w14:paraId="3F21AE2B"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i/>
                <w:iCs/>
                <w:sz w:val="18"/>
                <w:szCs w:val="18"/>
              </w:rPr>
              <w:t>P</w:t>
            </w:r>
            <w:r w:rsidRPr="003B2E8F">
              <w:rPr>
                <w:rFonts w:asciiTheme="minorHAnsi" w:hAnsiTheme="minorHAnsi" w:cstheme="minorHAnsi"/>
                <w:sz w:val="18"/>
                <w:szCs w:val="18"/>
                <w:vertAlign w:val="subscript"/>
              </w:rPr>
              <w:t>ref</w:t>
            </w:r>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013" w:type="pct"/>
          </w:tcPr>
          <w:p w14:paraId="0A238BF4"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0.5</w:t>
            </w:r>
          </w:p>
        </w:tc>
        <w:tc>
          <w:tcPr>
            <w:tcW w:w="1039" w:type="pct"/>
          </w:tcPr>
          <w:p w14:paraId="10BCCB70"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0.9</w:t>
            </w:r>
          </w:p>
        </w:tc>
        <w:tc>
          <w:tcPr>
            <w:tcW w:w="1020" w:type="pct"/>
          </w:tcPr>
          <w:p w14:paraId="35D53937"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0.9</w:t>
            </w:r>
          </w:p>
        </w:tc>
      </w:tr>
      <w:tr w:rsidR="00E2284F" w:rsidRPr="003B2E8F" w14:paraId="626E6B54" w14:textId="77777777" w:rsidTr="003B2E8F">
        <w:trPr>
          <w:jc w:val="center"/>
        </w:trPr>
        <w:tc>
          <w:tcPr>
            <w:tcW w:w="1929" w:type="pct"/>
            <w:shd w:val="clear" w:color="auto" w:fill="D9D9D9" w:themeFill="background1" w:themeFillShade="D9"/>
          </w:tcPr>
          <w:p w14:paraId="4A1D41B1" w14:textId="77777777" w:rsidR="00E2284F" w:rsidRPr="003B2E8F" w:rsidRDefault="00E2284F" w:rsidP="00CD4F3A">
            <w:pPr>
              <w:rPr>
                <w:rFonts w:asciiTheme="minorHAnsi" w:hAnsiTheme="minorHAnsi" w:cstheme="minorHAnsi"/>
                <w:sz w:val="18"/>
                <w:szCs w:val="18"/>
              </w:rPr>
            </w:pPr>
            <w:proofErr w:type="spellStart"/>
            <w:r w:rsidRPr="003B2E8F">
              <w:rPr>
                <w:rFonts w:asciiTheme="minorHAnsi" w:hAnsiTheme="minorHAnsi" w:cstheme="minorHAnsi"/>
                <w:i/>
                <w:iCs/>
                <w:sz w:val="18"/>
                <w:szCs w:val="18"/>
              </w:rPr>
              <w:t>Q</w:t>
            </w:r>
            <w:r w:rsidRPr="003B2E8F">
              <w:rPr>
                <w:rFonts w:asciiTheme="minorHAnsi" w:hAnsiTheme="minorHAnsi" w:cstheme="minorHAnsi"/>
                <w:sz w:val="18"/>
                <w:szCs w:val="18"/>
                <w:vertAlign w:val="subscript"/>
              </w:rPr>
              <w:t>ref</w:t>
            </w:r>
            <w:proofErr w:type="spellEnd"/>
            <w:r w:rsidRPr="003B2E8F">
              <w:rPr>
                <w:rFonts w:asciiTheme="minorHAnsi" w:hAnsiTheme="minorHAnsi" w:cstheme="minorHAnsi"/>
                <w:sz w:val="18"/>
                <w:szCs w:val="18"/>
              </w:rPr>
              <w:t xml:space="preserve"> (</w:t>
            </w:r>
            <w:proofErr w:type="spellStart"/>
            <w:r w:rsidRPr="003B2E8F">
              <w:rPr>
                <w:rFonts w:asciiTheme="minorHAnsi" w:hAnsiTheme="minorHAnsi" w:cstheme="minorHAnsi"/>
                <w:sz w:val="18"/>
                <w:szCs w:val="18"/>
              </w:rPr>
              <w:t>p.u</w:t>
            </w:r>
            <w:proofErr w:type="spellEnd"/>
            <w:r w:rsidRPr="003B2E8F">
              <w:rPr>
                <w:rFonts w:asciiTheme="minorHAnsi" w:hAnsiTheme="minorHAnsi" w:cstheme="minorHAnsi"/>
                <w:sz w:val="18"/>
                <w:szCs w:val="18"/>
              </w:rPr>
              <w:t>.)</w:t>
            </w:r>
          </w:p>
        </w:tc>
        <w:tc>
          <w:tcPr>
            <w:tcW w:w="1013" w:type="pct"/>
            <w:shd w:val="clear" w:color="auto" w:fill="D9D9D9" w:themeFill="background1" w:themeFillShade="D9"/>
          </w:tcPr>
          <w:p w14:paraId="5F6E0E26"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w:t>
            </w:r>
          </w:p>
        </w:tc>
        <w:tc>
          <w:tcPr>
            <w:tcW w:w="1039" w:type="pct"/>
            <w:shd w:val="clear" w:color="auto" w:fill="D9D9D9" w:themeFill="background1" w:themeFillShade="D9"/>
          </w:tcPr>
          <w:p w14:paraId="1C21A265"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w:t>
            </w:r>
          </w:p>
        </w:tc>
        <w:tc>
          <w:tcPr>
            <w:tcW w:w="1020" w:type="pct"/>
            <w:shd w:val="clear" w:color="auto" w:fill="D9D9D9" w:themeFill="background1" w:themeFillShade="D9"/>
          </w:tcPr>
          <w:p w14:paraId="515FC752"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w:t>
            </w:r>
          </w:p>
        </w:tc>
      </w:tr>
      <w:tr w:rsidR="00E2284F" w:rsidRPr="003B2E8F" w14:paraId="37B11C2C" w14:textId="77777777" w:rsidTr="003B2E8F">
        <w:trPr>
          <w:jc w:val="center"/>
        </w:trPr>
        <w:tc>
          <w:tcPr>
            <w:tcW w:w="1929" w:type="pct"/>
          </w:tcPr>
          <w:p w14:paraId="41186DDA" w14:textId="77777777" w:rsidR="00E2284F" w:rsidRPr="003B2E8F" w:rsidRDefault="00E2284F" w:rsidP="00CD4F3A">
            <w:pPr>
              <w:rPr>
                <w:rFonts w:asciiTheme="minorHAnsi" w:hAnsiTheme="minorHAnsi" w:cstheme="minorHAnsi"/>
                <w:i/>
                <w:iCs/>
                <w:sz w:val="18"/>
                <w:szCs w:val="18"/>
              </w:rPr>
            </w:pPr>
            <w:r w:rsidRPr="003B2E8F">
              <w:rPr>
                <w:rFonts w:asciiTheme="minorHAnsi" w:hAnsiTheme="minorHAnsi" w:cstheme="minorHAnsi"/>
                <w:i/>
                <w:iCs/>
                <w:sz w:val="18"/>
                <w:szCs w:val="18"/>
              </w:rPr>
              <w:t>MVA</w:t>
            </w:r>
          </w:p>
        </w:tc>
        <w:tc>
          <w:tcPr>
            <w:tcW w:w="1013" w:type="pct"/>
          </w:tcPr>
          <w:p w14:paraId="613B1318"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1.12</w:t>
            </w:r>
          </w:p>
        </w:tc>
        <w:tc>
          <w:tcPr>
            <w:tcW w:w="1039" w:type="pct"/>
          </w:tcPr>
          <w:p w14:paraId="325863D3"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1.12</w:t>
            </w:r>
          </w:p>
        </w:tc>
        <w:tc>
          <w:tcPr>
            <w:tcW w:w="1020" w:type="pct"/>
          </w:tcPr>
          <w:p w14:paraId="03FA62E8"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1.12</w:t>
            </w:r>
          </w:p>
        </w:tc>
      </w:tr>
      <w:tr w:rsidR="00E2284F" w:rsidRPr="003B2E8F" w14:paraId="18B6319B" w14:textId="77777777" w:rsidTr="003B2E8F">
        <w:trPr>
          <w:jc w:val="center"/>
        </w:trPr>
        <w:tc>
          <w:tcPr>
            <w:tcW w:w="1929" w:type="pct"/>
            <w:shd w:val="clear" w:color="auto" w:fill="D9D9D9" w:themeFill="background1" w:themeFillShade="D9"/>
          </w:tcPr>
          <w:p w14:paraId="20929F2D"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Power factor</w:t>
            </w:r>
          </w:p>
        </w:tc>
        <w:tc>
          <w:tcPr>
            <w:tcW w:w="1013" w:type="pct"/>
            <w:shd w:val="clear" w:color="auto" w:fill="D9D9D9" w:themeFill="background1" w:themeFillShade="D9"/>
          </w:tcPr>
          <w:p w14:paraId="33F136FF"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0.9</w:t>
            </w:r>
          </w:p>
        </w:tc>
        <w:tc>
          <w:tcPr>
            <w:tcW w:w="1039" w:type="pct"/>
            <w:shd w:val="clear" w:color="auto" w:fill="D9D9D9" w:themeFill="background1" w:themeFillShade="D9"/>
          </w:tcPr>
          <w:p w14:paraId="47D7B093"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0.9</w:t>
            </w:r>
          </w:p>
        </w:tc>
        <w:tc>
          <w:tcPr>
            <w:tcW w:w="1020" w:type="pct"/>
            <w:shd w:val="clear" w:color="auto" w:fill="D9D9D9" w:themeFill="background1" w:themeFillShade="D9"/>
          </w:tcPr>
          <w:p w14:paraId="389DCC5F"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0.9</w:t>
            </w:r>
          </w:p>
        </w:tc>
      </w:tr>
      <w:tr w:rsidR="00E2284F" w:rsidRPr="003B2E8F" w14:paraId="4A300D43" w14:textId="77777777" w:rsidTr="003B2E8F">
        <w:trPr>
          <w:jc w:val="center"/>
        </w:trPr>
        <w:tc>
          <w:tcPr>
            <w:tcW w:w="1929" w:type="pct"/>
          </w:tcPr>
          <w:p w14:paraId="2099B9AA"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Number of parallel units</w:t>
            </w:r>
          </w:p>
        </w:tc>
        <w:tc>
          <w:tcPr>
            <w:tcW w:w="1013" w:type="pct"/>
          </w:tcPr>
          <w:p w14:paraId="447464A2"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500</w:t>
            </w:r>
          </w:p>
        </w:tc>
        <w:tc>
          <w:tcPr>
            <w:tcW w:w="1039" w:type="pct"/>
          </w:tcPr>
          <w:p w14:paraId="40456555"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600</w:t>
            </w:r>
          </w:p>
        </w:tc>
        <w:tc>
          <w:tcPr>
            <w:tcW w:w="1020" w:type="pct"/>
          </w:tcPr>
          <w:p w14:paraId="414D367C"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622</w:t>
            </w:r>
          </w:p>
        </w:tc>
      </w:tr>
      <w:tr w:rsidR="00E2284F" w:rsidRPr="003B2E8F" w14:paraId="2497E5B1" w14:textId="77777777" w:rsidTr="003B2E8F">
        <w:trPr>
          <w:jc w:val="center"/>
        </w:trPr>
        <w:tc>
          <w:tcPr>
            <w:tcW w:w="1929" w:type="pct"/>
            <w:shd w:val="clear" w:color="auto" w:fill="D9D9D9" w:themeFill="background1" w:themeFillShade="D9"/>
          </w:tcPr>
          <w:p w14:paraId="3079917E"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Control</w:t>
            </w:r>
          </w:p>
        </w:tc>
        <w:tc>
          <w:tcPr>
            <w:tcW w:w="1013" w:type="pct"/>
            <w:shd w:val="clear" w:color="auto" w:fill="D9D9D9" w:themeFill="background1" w:themeFillShade="D9"/>
          </w:tcPr>
          <w:p w14:paraId="42CF538F"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Constant V</w:t>
            </w:r>
          </w:p>
        </w:tc>
        <w:tc>
          <w:tcPr>
            <w:tcW w:w="1039" w:type="pct"/>
            <w:shd w:val="clear" w:color="auto" w:fill="D9D9D9" w:themeFill="background1" w:themeFillShade="D9"/>
          </w:tcPr>
          <w:p w14:paraId="26C5650D"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Constant V</w:t>
            </w:r>
          </w:p>
        </w:tc>
        <w:tc>
          <w:tcPr>
            <w:tcW w:w="1020" w:type="pct"/>
            <w:shd w:val="clear" w:color="auto" w:fill="D9D9D9" w:themeFill="background1" w:themeFillShade="D9"/>
          </w:tcPr>
          <w:p w14:paraId="7DC25DDD" w14:textId="77777777" w:rsidR="00E2284F" w:rsidRPr="003B2E8F" w:rsidRDefault="00E2284F" w:rsidP="00CD4F3A">
            <w:pPr>
              <w:rPr>
                <w:rFonts w:asciiTheme="minorHAnsi" w:hAnsiTheme="minorHAnsi" w:cstheme="minorHAnsi"/>
                <w:sz w:val="18"/>
                <w:szCs w:val="18"/>
              </w:rPr>
            </w:pPr>
            <w:r w:rsidRPr="003B2E8F">
              <w:rPr>
                <w:rFonts w:asciiTheme="minorHAnsi" w:hAnsiTheme="minorHAnsi" w:cstheme="minorHAnsi"/>
                <w:sz w:val="18"/>
                <w:szCs w:val="18"/>
              </w:rPr>
              <w:t>Constant V</w:t>
            </w:r>
          </w:p>
        </w:tc>
      </w:tr>
    </w:tbl>
    <w:p w14:paraId="68D975D6" w14:textId="77777777" w:rsidR="00E2284F" w:rsidRPr="00E27D3B" w:rsidRDefault="00E2284F" w:rsidP="00CD4F3A">
      <w:pPr>
        <w:keepNext/>
        <w:widowControl w:val="0"/>
        <w:pBdr>
          <w:top w:val="nil"/>
          <w:left w:val="nil"/>
          <w:bottom w:val="nil"/>
          <w:right w:val="nil"/>
          <w:between w:val="nil"/>
        </w:pBdr>
      </w:pPr>
      <w:r w:rsidRPr="00E27D3B">
        <w:rPr>
          <w:noProof/>
        </w:rPr>
        <w:drawing>
          <wp:inline distT="0" distB="0" distL="0" distR="0" wp14:anchorId="2A860337" wp14:editId="72362587">
            <wp:extent cx="5685790" cy="3811106"/>
            <wp:effectExtent l="0" t="0" r="0" b="0"/>
            <wp:docPr id="1672768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8671" name=""/>
                    <pic:cNvPicPr/>
                  </pic:nvPicPr>
                  <pic:blipFill rotWithShape="1">
                    <a:blip r:embed="rId38"/>
                    <a:srcRect l="814" t="2508" r="1829" b="2728"/>
                    <a:stretch>
                      <a:fillRect/>
                    </a:stretch>
                  </pic:blipFill>
                  <pic:spPr bwMode="auto">
                    <a:xfrm>
                      <a:off x="0" y="0"/>
                      <a:ext cx="5688225" cy="3812738"/>
                    </a:xfrm>
                    <a:prstGeom prst="rect">
                      <a:avLst/>
                    </a:prstGeom>
                    <a:ln>
                      <a:noFill/>
                    </a:ln>
                    <a:extLst>
                      <a:ext uri="{53640926-AAD7-44D8-BBD7-CCE9431645EC}">
                        <a14:shadowObscured xmlns:a14="http://schemas.microsoft.com/office/drawing/2010/main"/>
                      </a:ext>
                    </a:extLst>
                  </pic:spPr>
                </pic:pic>
              </a:graphicData>
            </a:graphic>
          </wp:inline>
        </w:drawing>
      </w:r>
    </w:p>
    <w:p w14:paraId="798A751F" w14:textId="133BE126" w:rsidR="00E2284F" w:rsidRPr="00E27D3B" w:rsidRDefault="00E2284F" w:rsidP="00CD4F3A">
      <w:pPr>
        <w:pStyle w:val="Caption"/>
        <w:spacing w:line="240" w:lineRule="auto"/>
      </w:pPr>
      <w:bookmarkStart w:id="82" w:name="_Ref223644171"/>
      <w:bookmarkStart w:id="83" w:name="_Toc229777573"/>
      <w:bookmarkStart w:id="84" w:name="_Toc233735020"/>
      <w:r w:rsidRPr="00E27D3B">
        <w:t xml:space="preserve">Figure </w:t>
      </w:r>
      <w:fldSimple w:instr=" SEQ Figure \* ARABIC ">
        <w:r w:rsidR="00A85006">
          <w:rPr>
            <w:noProof/>
          </w:rPr>
          <w:t>14</w:t>
        </w:r>
      </w:fldSimple>
      <w:bookmarkEnd w:id="82"/>
      <w:r w:rsidRPr="00E27D3B">
        <w:t xml:space="preserve">: Composite Model of the WECC BESS with power-controlled GFLI in DIgSILENT </w:t>
      </w:r>
      <w:proofErr w:type="spellStart"/>
      <w:r w:rsidRPr="00E27D3B">
        <w:t>PowerFactory</w:t>
      </w:r>
      <w:proofErr w:type="spellEnd"/>
      <w:r w:rsidRPr="00E27D3B">
        <w:t>.</w:t>
      </w:r>
      <w:bookmarkEnd w:id="83"/>
      <w:bookmarkEnd w:id="84"/>
    </w:p>
    <w:p w14:paraId="4FBC1E85" w14:textId="2B488C95" w:rsidR="00E2284F" w:rsidRPr="00E27D3B" w:rsidRDefault="00E2284F" w:rsidP="00B411FE">
      <w:pPr>
        <w:widowControl w:val="0"/>
        <w:pBdr>
          <w:top w:val="nil"/>
          <w:left w:val="nil"/>
          <w:bottom w:val="nil"/>
          <w:right w:val="nil"/>
          <w:between w:val="nil"/>
        </w:pBdr>
        <w:spacing w:after="0"/>
        <w:rPr>
          <w:sz w:val="24"/>
          <w:szCs w:val="24"/>
        </w:rPr>
      </w:pPr>
      <w:r w:rsidRPr="00E27D3B">
        <w:rPr>
          <w:sz w:val="24"/>
          <w:szCs w:val="24"/>
        </w:rPr>
        <w:t xml:space="preserve">The composite model of the Virtual Synchronous Machine (VSM) DIgSILENT </w:t>
      </w:r>
      <w:proofErr w:type="spellStart"/>
      <w:r w:rsidRPr="00E27D3B">
        <w:rPr>
          <w:sz w:val="24"/>
          <w:szCs w:val="24"/>
        </w:rPr>
        <w:t>PowerFactory</w:t>
      </w:r>
      <w:proofErr w:type="spellEnd"/>
      <w:r w:rsidRPr="00E27D3B">
        <w:rPr>
          <w:sz w:val="24"/>
          <w:szCs w:val="24"/>
        </w:rPr>
        <w:t xml:space="preserve"> is shown in </w:t>
      </w:r>
      <w:r w:rsidRPr="00E27D3B">
        <w:rPr>
          <w:sz w:val="28"/>
          <w:szCs w:val="28"/>
        </w:rPr>
        <w:fldChar w:fldCharType="begin"/>
      </w:r>
      <w:r w:rsidRPr="00E27D3B">
        <w:rPr>
          <w:sz w:val="28"/>
          <w:szCs w:val="28"/>
        </w:rPr>
        <w:instrText xml:space="preserve"> REF _Ref223644184 \h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15</w:t>
      </w:r>
      <w:r w:rsidRPr="00E27D3B">
        <w:rPr>
          <w:sz w:val="28"/>
          <w:szCs w:val="28"/>
        </w:rPr>
        <w:fldChar w:fldCharType="end"/>
      </w:r>
      <w:r w:rsidRPr="00E27D3B">
        <w:rPr>
          <w:sz w:val="24"/>
          <w:szCs w:val="24"/>
        </w:rPr>
        <w:t xml:space="preserve">  </w:t>
      </w:r>
      <w:r w:rsidRPr="00E27D3B">
        <w:rPr>
          <w:sz w:val="24"/>
          <w:szCs w:val="24"/>
        </w:rPr>
        <w:fldChar w:fldCharType="begin"/>
      </w:r>
      <w:r w:rsidRPr="00E27D3B">
        <w:rPr>
          <w:sz w:val="24"/>
          <w:szCs w:val="24"/>
        </w:rPr>
        <w:instrText xml:space="preserve"> REF _Ref223642257 \n \h  \* MERGEFORMAT </w:instrText>
      </w:r>
      <w:r w:rsidRPr="00E27D3B">
        <w:rPr>
          <w:sz w:val="24"/>
          <w:szCs w:val="24"/>
        </w:rPr>
      </w:r>
      <w:r w:rsidRPr="00E27D3B">
        <w:rPr>
          <w:sz w:val="24"/>
          <w:szCs w:val="24"/>
        </w:rPr>
        <w:fldChar w:fldCharType="separate"/>
      </w:r>
      <w:r w:rsidR="00753DAF">
        <w:rPr>
          <w:sz w:val="24"/>
          <w:szCs w:val="24"/>
          <w:cs/>
        </w:rPr>
        <w:t>‎</w:t>
      </w:r>
      <w:r w:rsidR="00753DAF">
        <w:rPr>
          <w:sz w:val="24"/>
          <w:szCs w:val="24"/>
        </w:rPr>
        <w:t>[49]</w:t>
      </w:r>
      <w:r w:rsidRPr="00E27D3B">
        <w:rPr>
          <w:sz w:val="24"/>
          <w:szCs w:val="24"/>
        </w:rPr>
        <w:fldChar w:fldCharType="end"/>
      </w:r>
      <w:r w:rsidRPr="00E27D3B">
        <w:rPr>
          <w:sz w:val="24"/>
          <w:szCs w:val="24"/>
        </w:rPr>
        <w:t xml:space="preserve">. It comprises the current and voltage measurement, the power calculation, the grid-forming controller (with the actual VSM), the virtual impedance, the virtual impedance control, the voltage con troller, the output voltage calculation and a slot for a static generator, which is the controlled network element.  </w:t>
      </w:r>
    </w:p>
    <w:p w14:paraId="7EEBC2AF" w14:textId="747DBEBC" w:rsidR="00E2284F" w:rsidRPr="00E27D3B" w:rsidRDefault="00E2284F" w:rsidP="00B411FE">
      <w:pPr>
        <w:widowControl w:val="0"/>
        <w:pBdr>
          <w:top w:val="nil"/>
          <w:left w:val="nil"/>
          <w:bottom w:val="nil"/>
          <w:right w:val="nil"/>
          <w:between w:val="nil"/>
        </w:pBdr>
        <w:spacing w:after="0"/>
      </w:pPr>
      <w:r w:rsidRPr="00E27D3B">
        <w:rPr>
          <w:sz w:val="24"/>
          <w:szCs w:val="24"/>
        </w:rPr>
        <w:t xml:space="preserve">The droop control is based on the same frame as the VSM </w:t>
      </w:r>
      <w:r w:rsidRPr="00E27D3B">
        <w:rPr>
          <w:sz w:val="28"/>
          <w:szCs w:val="28"/>
        </w:rPr>
        <w:t>(</w:t>
      </w:r>
      <w:r w:rsidRPr="00E27D3B">
        <w:rPr>
          <w:sz w:val="32"/>
          <w:szCs w:val="32"/>
        </w:rPr>
        <w:fldChar w:fldCharType="begin"/>
      </w:r>
      <w:r w:rsidRPr="00E27D3B">
        <w:rPr>
          <w:sz w:val="28"/>
          <w:szCs w:val="28"/>
        </w:rPr>
        <w:instrText xml:space="preserve"> REF _Ref223644184 \h </w:instrText>
      </w:r>
      <w:r w:rsidRPr="00E27D3B">
        <w:rPr>
          <w:sz w:val="32"/>
          <w:szCs w:val="32"/>
        </w:rPr>
        <w:instrText xml:space="preserve"> \* MERGEFORMAT </w:instrText>
      </w:r>
      <w:r w:rsidRPr="00E27D3B">
        <w:rPr>
          <w:sz w:val="32"/>
          <w:szCs w:val="32"/>
        </w:rPr>
      </w:r>
      <w:r w:rsidRPr="00E27D3B">
        <w:rPr>
          <w:sz w:val="32"/>
          <w:szCs w:val="32"/>
        </w:rPr>
        <w:fldChar w:fldCharType="separate"/>
      </w:r>
      <w:r w:rsidR="00753DAF" w:rsidRPr="00753DAF">
        <w:rPr>
          <w:sz w:val="24"/>
          <w:szCs w:val="24"/>
        </w:rPr>
        <w:t xml:space="preserve">Figure </w:t>
      </w:r>
      <w:r w:rsidR="00753DAF" w:rsidRPr="00753DAF">
        <w:rPr>
          <w:noProof/>
          <w:sz w:val="24"/>
          <w:szCs w:val="24"/>
        </w:rPr>
        <w:t>15</w:t>
      </w:r>
      <w:r w:rsidRPr="00E27D3B">
        <w:rPr>
          <w:sz w:val="32"/>
          <w:szCs w:val="32"/>
        </w:rPr>
        <w:fldChar w:fldCharType="end"/>
      </w:r>
      <w:r w:rsidRPr="00E27D3B">
        <w:rPr>
          <w:sz w:val="24"/>
          <w:szCs w:val="24"/>
        </w:rPr>
        <w:t>). In the grid-forming droop control, the frequency ∆</w:t>
      </w:r>
      <w:proofErr w:type="spellStart"/>
      <w:r w:rsidRPr="60762895">
        <w:rPr>
          <w:i/>
          <w:iCs/>
          <w:sz w:val="24"/>
          <w:szCs w:val="24"/>
        </w:rPr>
        <w:t>ω</w:t>
      </w:r>
      <w:r w:rsidRPr="60762895">
        <w:rPr>
          <w:i/>
          <w:iCs/>
          <w:sz w:val="24"/>
          <w:szCs w:val="24"/>
          <w:vertAlign w:val="subscript"/>
        </w:rPr>
        <w:t>droop</w:t>
      </w:r>
      <w:proofErr w:type="spellEnd"/>
      <w:r w:rsidRPr="00E27D3B">
        <w:rPr>
          <w:sz w:val="24"/>
          <w:szCs w:val="24"/>
        </w:rPr>
        <w:t xml:space="preserve"> and voltage magnitude ∆</w:t>
      </w:r>
      <w:proofErr w:type="spellStart"/>
      <w:r w:rsidRPr="60762895">
        <w:rPr>
          <w:i/>
          <w:iCs/>
          <w:sz w:val="24"/>
          <w:szCs w:val="24"/>
        </w:rPr>
        <w:t>u</w:t>
      </w:r>
      <w:r w:rsidRPr="60762895">
        <w:rPr>
          <w:i/>
          <w:iCs/>
          <w:sz w:val="24"/>
          <w:szCs w:val="24"/>
          <w:vertAlign w:val="subscript"/>
        </w:rPr>
        <w:t>droop</w:t>
      </w:r>
      <w:proofErr w:type="spellEnd"/>
      <w:r w:rsidRPr="00E27D3B">
        <w:rPr>
          <w:sz w:val="24"/>
          <w:szCs w:val="24"/>
        </w:rPr>
        <w:t xml:space="preserve"> deviations from the load flow </w:t>
      </w:r>
      <w:r w:rsidRPr="00E27D3B">
        <w:rPr>
          <w:sz w:val="24"/>
          <w:szCs w:val="24"/>
        </w:rPr>
        <w:lastRenderedPageBreak/>
        <w:t xml:space="preserve">initialization are calculated according to the droop equations </w:t>
      </w:r>
      <w:r w:rsidRPr="00E27D3B">
        <w:rPr>
          <w:sz w:val="24"/>
          <w:szCs w:val="24"/>
        </w:rPr>
        <w:fldChar w:fldCharType="begin"/>
      </w:r>
      <w:r w:rsidRPr="00E27D3B">
        <w:rPr>
          <w:sz w:val="24"/>
          <w:szCs w:val="24"/>
        </w:rPr>
        <w:instrText xml:space="preserve"> REF _Ref223642274 \n \h  \* MERGEFORMAT </w:instrText>
      </w:r>
      <w:r w:rsidRPr="00E27D3B">
        <w:rPr>
          <w:sz w:val="24"/>
          <w:szCs w:val="24"/>
        </w:rPr>
      </w:r>
      <w:r w:rsidRPr="00E27D3B">
        <w:rPr>
          <w:sz w:val="24"/>
          <w:szCs w:val="24"/>
        </w:rPr>
        <w:fldChar w:fldCharType="separate"/>
      </w:r>
      <w:r w:rsidR="00753DAF">
        <w:rPr>
          <w:sz w:val="24"/>
          <w:szCs w:val="24"/>
          <w:cs/>
        </w:rPr>
        <w:t>‎</w:t>
      </w:r>
      <w:r w:rsidR="00753DAF">
        <w:rPr>
          <w:sz w:val="24"/>
          <w:szCs w:val="24"/>
        </w:rPr>
        <w:t>[50]</w:t>
      </w:r>
      <w:r w:rsidRPr="00E27D3B">
        <w:rPr>
          <w:sz w:val="24"/>
          <w:szCs w:val="24"/>
        </w:rPr>
        <w:fldChar w:fldCharType="end"/>
      </w:r>
      <w:r w:rsidRPr="00E27D3B">
        <w:rPr>
          <w:sz w:val="24"/>
          <w:szCs w:val="24"/>
        </w:rPr>
        <w:t>:</w:t>
      </w:r>
    </w:p>
    <w:p w14:paraId="3598A2C5" w14:textId="77777777" w:rsidR="00E2284F" w:rsidRPr="00E27D3B" w:rsidRDefault="00E2284F" w:rsidP="00CD4F3A">
      <w:pPr>
        <w:widowControl w:val="0"/>
        <w:pBdr>
          <w:top w:val="nil"/>
          <w:left w:val="nil"/>
          <w:bottom w:val="nil"/>
          <w:right w:val="nil"/>
          <w:between w:val="nil"/>
        </w:pBdr>
      </w:pPr>
      <m:oMath>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droop</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LPF</m:t>
            </m:r>
          </m:sub>
        </m:sSub>
      </m:oMath>
      <w:r w:rsidRPr="00E27D3B">
        <w:t xml:space="preserve">                                                                                                             </w:t>
      </w:r>
      <w:r>
        <w:t xml:space="preserve"> </w:t>
      </w:r>
      <w:r w:rsidRPr="00E27D3B">
        <w:t xml:space="preserve">                                        (1)</w:t>
      </w:r>
    </w:p>
    <w:p w14:paraId="3BA92853" w14:textId="77777777" w:rsidR="00E2284F" w:rsidRPr="00E27D3B" w:rsidRDefault="00E2284F" w:rsidP="00CD4F3A">
      <w:pPr>
        <w:widowControl w:val="0"/>
        <w:pBdr>
          <w:top w:val="nil"/>
          <w:left w:val="nil"/>
          <w:bottom w:val="nil"/>
          <w:right w:val="nil"/>
          <w:between w:val="nil"/>
        </w:pBdr>
      </w:pP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droop</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LPF</m:t>
            </m:r>
          </m:sub>
        </m:sSub>
      </m:oMath>
      <w:r w:rsidRPr="00E27D3B">
        <w:t xml:space="preserve">                                                                                                            </w:t>
      </w:r>
      <w:r>
        <w:t xml:space="preserve"> </w:t>
      </w:r>
      <w:r w:rsidRPr="00E27D3B">
        <w:t xml:space="preserve">                                          (2)</w:t>
      </w:r>
    </w:p>
    <w:p w14:paraId="637CB9F0" w14:textId="77777777" w:rsidR="00E2284F" w:rsidRPr="00E27D3B" w:rsidRDefault="00E2284F" w:rsidP="00CD4F3A">
      <w:pPr>
        <w:widowControl w:val="0"/>
        <w:pBdr>
          <w:top w:val="nil"/>
          <w:left w:val="nil"/>
          <w:bottom w:val="nil"/>
          <w:right w:val="nil"/>
          <w:between w:val="nil"/>
        </w:pBdr>
        <w:rPr>
          <w:sz w:val="24"/>
          <w:szCs w:val="24"/>
        </w:rPr>
      </w:pPr>
      <w:r w:rsidRPr="00E27D3B">
        <w:rPr>
          <w:sz w:val="24"/>
          <w:szCs w:val="24"/>
        </w:rPr>
        <w:t xml:space="preserve">where </w:t>
      </w:r>
      <w:proofErr w:type="spellStart"/>
      <w:r w:rsidRPr="00E27D3B">
        <w:rPr>
          <w:i/>
          <w:iCs/>
          <w:sz w:val="24"/>
          <w:szCs w:val="24"/>
        </w:rPr>
        <w:t>m</w:t>
      </w:r>
      <w:r w:rsidRPr="00E27D3B">
        <w:rPr>
          <w:i/>
          <w:iCs/>
          <w:sz w:val="24"/>
          <w:szCs w:val="24"/>
          <w:vertAlign w:val="subscript"/>
        </w:rPr>
        <w:t>p</w:t>
      </w:r>
      <w:proofErr w:type="spellEnd"/>
      <w:r w:rsidRPr="00E27D3B">
        <w:rPr>
          <w:sz w:val="24"/>
          <w:szCs w:val="24"/>
          <w:vertAlign w:val="subscript"/>
        </w:rPr>
        <w:t xml:space="preserve"> </w:t>
      </w:r>
      <w:r w:rsidRPr="00E27D3B">
        <w:rPr>
          <w:sz w:val="24"/>
          <w:szCs w:val="24"/>
        </w:rPr>
        <w:t xml:space="preserve">and </w:t>
      </w:r>
      <w:proofErr w:type="spellStart"/>
      <w:r w:rsidRPr="00E27D3B">
        <w:rPr>
          <w:i/>
          <w:iCs/>
          <w:sz w:val="24"/>
          <w:szCs w:val="24"/>
        </w:rPr>
        <w:t>m</w:t>
      </w:r>
      <w:r w:rsidRPr="00E27D3B">
        <w:rPr>
          <w:i/>
          <w:iCs/>
          <w:sz w:val="24"/>
          <w:szCs w:val="24"/>
          <w:vertAlign w:val="subscript"/>
        </w:rPr>
        <w:t>q</w:t>
      </w:r>
      <w:proofErr w:type="spellEnd"/>
      <w:r w:rsidRPr="00E27D3B">
        <w:rPr>
          <w:sz w:val="24"/>
          <w:szCs w:val="24"/>
        </w:rPr>
        <w:t xml:space="preserve"> are the active and reactive power droop coefficients and ∆</w:t>
      </w:r>
      <w:proofErr w:type="spellStart"/>
      <w:r w:rsidRPr="00E27D3B">
        <w:rPr>
          <w:i/>
          <w:iCs/>
          <w:sz w:val="24"/>
          <w:szCs w:val="24"/>
        </w:rPr>
        <w:t>p</w:t>
      </w:r>
      <w:r w:rsidRPr="00E27D3B">
        <w:rPr>
          <w:i/>
          <w:iCs/>
          <w:sz w:val="24"/>
          <w:szCs w:val="24"/>
          <w:vertAlign w:val="subscript"/>
        </w:rPr>
        <w:t>LPF</w:t>
      </w:r>
      <w:proofErr w:type="spellEnd"/>
      <w:r w:rsidRPr="00E27D3B">
        <w:rPr>
          <w:sz w:val="24"/>
          <w:szCs w:val="24"/>
          <w:vertAlign w:val="subscript"/>
        </w:rPr>
        <w:t xml:space="preserve"> </w:t>
      </w:r>
      <w:r w:rsidRPr="00E27D3B">
        <w:rPr>
          <w:sz w:val="24"/>
          <w:szCs w:val="24"/>
        </w:rPr>
        <w:t>and ∆</w:t>
      </w:r>
      <w:proofErr w:type="spellStart"/>
      <w:r w:rsidRPr="00E27D3B">
        <w:rPr>
          <w:i/>
          <w:iCs/>
          <w:sz w:val="24"/>
          <w:szCs w:val="24"/>
        </w:rPr>
        <w:t>q</w:t>
      </w:r>
      <w:r w:rsidRPr="00E27D3B">
        <w:rPr>
          <w:i/>
          <w:iCs/>
          <w:sz w:val="24"/>
          <w:szCs w:val="24"/>
          <w:vertAlign w:val="subscript"/>
        </w:rPr>
        <w:t>LPF</w:t>
      </w:r>
      <w:proofErr w:type="spellEnd"/>
      <w:r w:rsidRPr="00E27D3B">
        <w:rPr>
          <w:sz w:val="24"/>
          <w:szCs w:val="24"/>
        </w:rPr>
        <w:t xml:space="preserve"> are the low-pass filtered active and reactive power deviations from the load flow initialization, respectively. The parameters </w:t>
      </w:r>
      <w:proofErr w:type="spellStart"/>
      <w:r w:rsidRPr="00E27D3B">
        <w:rPr>
          <w:i/>
          <w:iCs/>
          <w:sz w:val="24"/>
          <w:szCs w:val="24"/>
        </w:rPr>
        <w:t>f</w:t>
      </w:r>
      <w:r w:rsidRPr="00E27D3B">
        <w:rPr>
          <w:i/>
          <w:iCs/>
          <w:sz w:val="24"/>
          <w:szCs w:val="24"/>
          <w:vertAlign w:val="subscript"/>
        </w:rPr>
        <w:t>set</w:t>
      </w:r>
      <w:proofErr w:type="spellEnd"/>
      <w:r w:rsidRPr="00E27D3B">
        <w:rPr>
          <w:sz w:val="24"/>
          <w:szCs w:val="24"/>
        </w:rPr>
        <w:t xml:space="preserve">, </w:t>
      </w:r>
      <w:proofErr w:type="spellStart"/>
      <w:r w:rsidRPr="00E27D3B">
        <w:rPr>
          <w:i/>
          <w:iCs/>
          <w:sz w:val="24"/>
          <w:szCs w:val="24"/>
        </w:rPr>
        <w:t>p</w:t>
      </w:r>
      <w:r w:rsidRPr="00E27D3B">
        <w:rPr>
          <w:i/>
          <w:iCs/>
          <w:sz w:val="24"/>
          <w:szCs w:val="24"/>
          <w:vertAlign w:val="subscript"/>
        </w:rPr>
        <w:t>set</w:t>
      </w:r>
      <w:proofErr w:type="spellEnd"/>
      <w:r w:rsidRPr="00E27D3B">
        <w:rPr>
          <w:sz w:val="24"/>
          <w:szCs w:val="24"/>
        </w:rPr>
        <w:t xml:space="preserve">, </w:t>
      </w:r>
      <w:proofErr w:type="spellStart"/>
      <w:r w:rsidRPr="00E27D3B">
        <w:rPr>
          <w:i/>
          <w:iCs/>
          <w:sz w:val="24"/>
          <w:szCs w:val="24"/>
        </w:rPr>
        <w:t>u</w:t>
      </w:r>
      <w:r w:rsidRPr="00E27D3B">
        <w:rPr>
          <w:i/>
          <w:iCs/>
          <w:sz w:val="24"/>
          <w:szCs w:val="24"/>
          <w:vertAlign w:val="subscript"/>
        </w:rPr>
        <w:t>set</w:t>
      </w:r>
      <w:proofErr w:type="spellEnd"/>
      <w:r w:rsidRPr="00E27D3B">
        <w:rPr>
          <w:sz w:val="24"/>
          <w:szCs w:val="24"/>
        </w:rPr>
        <w:t xml:space="preserve"> and </w:t>
      </w:r>
      <w:proofErr w:type="spellStart"/>
      <w:r w:rsidRPr="00E27D3B">
        <w:rPr>
          <w:i/>
          <w:iCs/>
          <w:sz w:val="24"/>
          <w:szCs w:val="24"/>
        </w:rPr>
        <w:t>q</w:t>
      </w:r>
      <w:r w:rsidRPr="00E27D3B">
        <w:rPr>
          <w:i/>
          <w:iCs/>
          <w:sz w:val="24"/>
          <w:szCs w:val="24"/>
          <w:vertAlign w:val="subscript"/>
        </w:rPr>
        <w:t>set</w:t>
      </w:r>
      <w:proofErr w:type="spellEnd"/>
      <w:r w:rsidRPr="00E27D3B">
        <w:rPr>
          <w:sz w:val="24"/>
          <w:szCs w:val="24"/>
          <w:vertAlign w:val="subscript"/>
        </w:rPr>
        <w:t xml:space="preserve"> </w:t>
      </w:r>
      <w:r w:rsidRPr="00E27D3B">
        <w:rPr>
          <w:sz w:val="24"/>
          <w:szCs w:val="24"/>
        </w:rPr>
        <w:t xml:space="preserve">are usually initialized according to the initial load flow. However, they are modelled as input variables to the droop controller and, therefore, can be controlled from outside the block. </w:t>
      </w:r>
    </w:p>
    <w:p w14:paraId="42F61876" w14:textId="77777777" w:rsidR="00E2284F" w:rsidRPr="00E27D3B" w:rsidRDefault="00E2284F" w:rsidP="00CD4F3A">
      <w:pPr>
        <w:keepNext/>
        <w:widowControl w:val="0"/>
        <w:pBdr>
          <w:top w:val="nil"/>
          <w:left w:val="nil"/>
          <w:bottom w:val="nil"/>
          <w:right w:val="nil"/>
          <w:between w:val="nil"/>
        </w:pBdr>
      </w:pPr>
      <w:r w:rsidRPr="00E27D3B">
        <w:rPr>
          <w:noProof/>
        </w:rPr>
        <w:drawing>
          <wp:inline distT="0" distB="0" distL="0" distR="0" wp14:anchorId="224A9000" wp14:editId="21830F77">
            <wp:extent cx="5640779" cy="3911909"/>
            <wp:effectExtent l="0" t="0" r="0" b="0"/>
            <wp:docPr id="167051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16540" name=""/>
                    <pic:cNvPicPr/>
                  </pic:nvPicPr>
                  <pic:blipFill>
                    <a:blip r:embed="rId39"/>
                    <a:stretch>
                      <a:fillRect/>
                    </a:stretch>
                  </pic:blipFill>
                  <pic:spPr>
                    <a:xfrm>
                      <a:off x="0" y="0"/>
                      <a:ext cx="5695753" cy="3950034"/>
                    </a:xfrm>
                    <a:prstGeom prst="rect">
                      <a:avLst/>
                    </a:prstGeom>
                  </pic:spPr>
                </pic:pic>
              </a:graphicData>
            </a:graphic>
          </wp:inline>
        </w:drawing>
      </w:r>
    </w:p>
    <w:p w14:paraId="76152C66" w14:textId="1C4E26C8" w:rsidR="00E2284F" w:rsidRPr="00E27D3B" w:rsidRDefault="00E2284F" w:rsidP="00CD4F3A">
      <w:pPr>
        <w:pStyle w:val="Caption"/>
        <w:spacing w:line="240" w:lineRule="auto"/>
      </w:pPr>
      <w:bookmarkStart w:id="85" w:name="_Ref223644184"/>
      <w:bookmarkStart w:id="86" w:name="_Toc229777574"/>
      <w:bookmarkStart w:id="87" w:name="_Toc233735021"/>
      <w:r w:rsidRPr="00E27D3B">
        <w:t xml:space="preserve">Figure </w:t>
      </w:r>
      <w:fldSimple w:instr=" SEQ Figure \* ARABIC ">
        <w:r w:rsidR="00A85006">
          <w:rPr>
            <w:noProof/>
          </w:rPr>
          <w:t>15</w:t>
        </w:r>
      </w:fldSimple>
      <w:bookmarkEnd w:id="85"/>
      <w:r w:rsidRPr="00E27D3B">
        <w:t xml:space="preserve">: Composite Model of the </w:t>
      </w:r>
      <w:r w:rsidR="00B411FE">
        <w:t>v</w:t>
      </w:r>
      <w:r w:rsidRPr="00E27D3B">
        <w:t xml:space="preserve">irtual </w:t>
      </w:r>
      <w:r w:rsidR="00B411FE">
        <w:t>s</w:t>
      </w:r>
      <w:r w:rsidRPr="00E27D3B">
        <w:t xml:space="preserve">ynchronous </w:t>
      </w:r>
      <w:r w:rsidR="00B411FE">
        <w:t>m</w:t>
      </w:r>
      <w:r w:rsidRPr="00E27D3B">
        <w:t xml:space="preserve">achine DIgSILENT </w:t>
      </w:r>
      <w:proofErr w:type="spellStart"/>
      <w:r w:rsidRPr="00E27D3B">
        <w:t>PowerFactory</w:t>
      </w:r>
      <w:proofErr w:type="spellEnd"/>
      <w:r w:rsidRPr="00E27D3B">
        <w:t xml:space="preserve"> [48].</w:t>
      </w:r>
      <w:bookmarkEnd w:id="86"/>
      <w:bookmarkEnd w:id="87"/>
    </w:p>
    <w:p w14:paraId="2555347A" w14:textId="55DDA6F8" w:rsidR="00E2284F" w:rsidRPr="00E27D3B" w:rsidRDefault="00E2284F" w:rsidP="00115657">
      <w:pPr>
        <w:pStyle w:val="BodyText"/>
        <w:spacing w:after="0"/>
      </w:pPr>
      <w:r w:rsidRPr="00E27D3B">
        <w:t xml:space="preserve">Three case studies have been conducted to evaluate the SSS of the system under three different SCR scenarios, such as SCR=1.2, 2.5, and 4.0. </w:t>
      </w:r>
      <w:r w:rsidRPr="00E27D3B">
        <w:fldChar w:fldCharType="begin"/>
      </w:r>
      <w:r w:rsidRPr="00E27D3B">
        <w:instrText xml:space="preserve"> REF _Ref223644200 \h  \* MERGEFORMAT </w:instrText>
      </w:r>
      <w:r w:rsidRPr="00E27D3B">
        <w:fldChar w:fldCharType="separate"/>
      </w:r>
      <w:r w:rsidR="00753DAF" w:rsidRPr="00E27D3B">
        <w:t xml:space="preserve">Figure </w:t>
      </w:r>
      <w:r w:rsidR="00753DAF">
        <w:rPr>
          <w:noProof/>
        </w:rPr>
        <w:t>16</w:t>
      </w:r>
      <w:r w:rsidRPr="00E27D3B">
        <w:fldChar w:fldCharType="end"/>
      </w:r>
      <w:r w:rsidRPr="00E27D3B">
        <w:t xml:space="preserve"> shows the eigenvalue-based SSS evaluation of SMIB testing system with power-controlled GFLI under three SCR scenarios. It is evident from the analysis that, the system experienced with positive (unstable) eigenvalues in the case of very weak and weak grid scenarios and remain stable at strong grid conditions. </w:t>
      </w:r>
      <w:r w:rsidRPr="00E27D3B">
        <w:rPr>
          <w:szCs w:val="24"/>
        </w:rPr>
        <w:fldChar w:fldCharType="begin"/>
      </w:r>
      <w:r w:rsidRPr="00E27D3B">
        <w:rPr>
          <w:szCs w:val="24"/>
        </w:rPr>
        <w:instrText xml:space="preserve"> REF _Ref223644273 \h  \* MERGEFORMAT </w:instrText>
      </w:r>
      <w:r w:rsidRPr="00E27D3B">
        <w:rPr>
          <w:szCs w:val="24"/>
        </w:rPr>
      </w:r>
      <w:r w:rsidRPr="00E27D3B">
        <w:rPr>
          <w:szCs w:val="24"/>
        </w:rPr>
        <w:fldChar w:fldCharType="separate"/>
      </w:r>
      <w:r w:rsidR="00753DAF" w:rsidRPr="00E27D3B">
        <w:t xml:space="preserve">Figure </w:t>
      </w:r>
      <w:r w:rsidR="00753DAF">
        <w:rPr>
          <w:noProof/>
        </w:rPr>
        <w:t>17</w:t>
      </w:r>
      <w:r w:rsidRPr="00E27D3B">
        <w:rPr>
          <w:szCs w:val="24"/>
        </w:rPr>
        <w:fldChar w:fldCharType="end"/>
      </w:r>
      <w:r w:rsidRPr="60762895">
        <w:t xml:space="preserve"> shows the electromagnetic transient (EMT) results of droop-controlled GFMI for voltage and frequencies at the POC. It is quite evident from the analysis of the results that the performance of the built-in droop-controlled GFMI was slightly affected by the change in SCR values from 1.2 to 2.5, and 4.0.</w:t>
      </w:r>
    </w:p>
    <w:p w14:paraId="50CAE3B1" w14:textId="27A0A244" w:rsidR="00E2284F" w:rsidRPr="00E27D3B" w:rsidRDefault="00E2284F" w:rsidP="00CD4F3A">
      <w:pPr>
        <w:pStyle w:val="BodyText"/>
        <w:keepNext/>
        <w:spacing w:line="240" w:lineRule="auto"/>
        <w:jc w:val="center"/>
      </w:pPr>
      <w:r w:rsidRPr="00E27D3B">
        <w:lastRenderedPageBreak/>
        <w:t xml:space="preserve">            </w:t>
      </w:r>
    </w:p>
    <w:p w14:paraId="128DE00F" w14:textId="77777777" w:rsidR="00E2284F" w:rsidRPr="00E27D3B" w:rsidRDefault="00E2284F" w:rsidP="00CD4F3A">
      <w:pPr>
        <w:pStyle w:val="BodyText"/>
        <w:keepNext/>
        <w:spacing w:line="240" w:lineRule="auto"/>
        <w:jc w:val="center"/>
      </w:pPr>
    </w:p>
    <w:p w14:paraId="67D9625C" w14:textId="3ECAAFBA" w:rsidR="00E2284F" w:rsidRPr="00E27D3B" w:rsidRDefault="006E2DA3" w:rsidP="00CD4F3A">
      <w:pPr>
        <w:pStyle w:val="BodyText"/>
        <w:keepNext/>
        <w:spacing w:line="240" w:lineRule="auto"/>
        <w:jc w:val="center"/>
      </w:pPr>
      <w:r w:rsidRPr="00E27D3B">
        <w:rPr>
          <w:noProof/>
          <w:sz w:val="16"/>
          <w:szCs w:val="16"/>
        </w:rPr>
        <mc:AlternateContent>
          <mc:Choice Requires="wps">
            <w:drawing>
              <wp:anchor distT="45720" distB="45720" distL="114300" distR="114300" simplePos="0" relativeHeight="251674624" behindDoc="0" locked="0" layoutInCell="1" allowOverlap="1" wp14:anchorId="27DAB8C6" wp14:editId="747A48E4">
                <wp:simplePos x="0" y="0"/>
                <wp:positionH relativeFrom="margin">
                  <wp:posOffset>5001260</wp:posOffset>
                </wp:positionH>
                <wp:positionV relativeFrom="paragraph">
                  <wp:posOffset>1196195</wp:posOffset>
                </wp:positionV>
                <wp:extent cx="231140" cy="193040"/>
                <wp:effectExtent l="0" t="0" r="0" b="0"/>
                <wp:wrapNone/>
                <wp:docPr id="85197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3040"/>
                        </a:xfrm>
                        <a:prstGeom prst="rect">
                          <a:avLst/>
                        </a:prstGeom>
                        <a:noFill/>
                        <a:ln w="9525">
                          <a:noFill/>
                          <a:miter lim="800000"/>
                          <a:headEnd/>
                          <a:tailEnd/>
                        </a:ln>
                      </wps:spPr>
                      <wps:txbx>
                        <w:txbxContent>
                          <w:p w14:paraId="64E987AA" w14:textId="668788EA" w:rsidR="00E2284F" w:rsidRPr="00A63684" w:rsidRDefault="00E2284F" w:rsidP="00E2284F">
                            <w:pPr>
                              <w:jc w:val="center"/>
                              <w:rPr>
                                <w:sz w:val="16"/>
                                <w:szCs w:val="16"/>
                              </w:rPr>
                            </w:pPr>
                            <w:r>
                              <w:rPr>
                                <w:sz w:val="16"/>
                                <w:szCs w:val="16"/>
                              </w:rPr>
                              <w:t>(</w:t>
                            </w:r>
                            <w:r w:rsidR="00360D6B">
                              <w:rPr>
                                <w:sz w:val="16"/>
                                <w:szCs w:val="16"/>
                              </w:rPr>
                              <w:t>c</w:t>
                            </w:r>
                            <w:r>
                              <w:rPr>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AB8C6" id="_x0000_s1035" type="#_x0000_t202" style="position:absolute;left:0;text-align:left;margin-left:393.8pt;margin-top:94.2pt;width:18.2pt;height:15.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" filled="f" stroked="f">
                <v:textbox inset="0,0,0,0">
                  <w:txbxContent>
                    <w:p w14:paraId="64E987AA" w14:textId="668788EA" w:rsidR="00E2284F" w:rsidRPr="00A63684" w:rsidRDefault="00E2284F" w:rsidP="00E2284F">
                      <w:pPr>
                        <w:jc w:val="center"/>
                        <w:rPr>
                          <w:sz w:val="16"/>
                          <w:szCs w:val="16"/>
                        </w:rPr>
                      </w:pPr>
                      <w:r>
                        <w:rPr>
                          <w:sz w:val="16"/>
                          <w:szCs w:val="16"/>
                        </w:rPr>
                        <w:t>(</w:t>
                      </w:r>
                      <w:r w:rsidR="00360D6B">
                        <w:rPr>
                          <w:sz w:val="16"/>
                          <w:szCs w:val="16"/>
                        </w:rPr>
                        <w:t>c</w:t>
                      </w:r>
                      <w:r>
                        <w:rPr>
                          <w:sz w:val="16"/>
                          <w:szCs w:val="16"/>
                        </w:rPr>
                        <w:t>)</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66432" behindDoc="0" locked="0" layoutInCell="1" allowOverlap="1" wp14:anchorId="54E4AC23" wp14:editId="22AB4356">
                <wp:simplePos x="0" y="0"/>
                <wp:positionH relativeFrom="margin">
                  <wp:posOffset>2963545</wp:posOffset>
                </wp:positionH>
                <wp:positionV relativeFrom="paragraph">
                  <wp:posOffset>1203815</wp:posOffset>
                </wp:positionV>
                <wp:extent cx="245110" cy="224155"/>
                <wp:effectExtent l="0" t="0" r="2540" b="4445"/>
                <wp:wrapNone/>
                <wp:docPr id="199001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4155"/>
                        </a:xfrm>
                        <a:prstGeom prst="rect">
                          <a:avLst/>
                        </a:prstGeom>
                        <a:noFill/>
                        <a:ln w="9525">
                          <a:noFill/>
                          <a:miter lim="800000"/>
                          <a:headEnd/>
                          <a:tailEnd/>
                        </a:ln>
                      </wps:spPr>
                      <wps:txbx>
                        <w:txbxContent>
                          <w:p w14:paraId="6E067CCA" w14:textId="789C6906" w:rsidR="00E2284F" w:rsidRPr="00A63684" w:rsidRDefault="00E2284F" w:rsidP="00E2284F">
                            <w:pPr>
                              <w:jc w:val="center"/>
                              <w:rPr>
                                <w:sz w:val="16"/>
                                <w:szCs w:val="16"/>
                              </w:rPr>
                            </w:pPr>
                            <w:r>
                              <w:rPr>
                                <w:sz w:val="16"/>
                                <w:szCs w:val="16"/>
                              </w:rPr>
                              <w:t>(</w:t>
                            </w:r>
                            <w:r w:rsidR="00360D6B">
                              <w:rPr>
                                <w:sz w:val="16"/>
                                <w:szCs w:val="16"/>
                              </w:rPr>
                              <w:t>b</w:t>
                            </w:r>
                            <w:r>
                              <w:rPr>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4AC23" id="_x0000_s1036" type="#_x0000_t202" style="position:absolute;left:0;text-align:left;margin-left:233.35pt;margin-top:94.8pt;width:19.3pt;height:17.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" filled="f" stroked="f">
                <v:textbox inset="0,0,0,0">
                  <w:txbxContent>
                    <w:p w14:paraId="6E067CCA" w14:textId="789C6906" w:rsidR="00E2284F" w:rsidRPr="00A63684" w:rsidRDefault="00E2284F" w:rsidP="00E2284F">
                      <w:pPr>
                        <w:jc w:val="center"/>
                        <w:rPr>
                          <w:sz w:val="16"/>
                          <w:szCs w:val="16"/>
                        </w:rPr>
                      </w:pPr>
                      <w:r>
                        <w:rPr>
                          <w:sz w:val="16"/>
                          <w:szCs w:val="16"/>
                        </w:rPr>
                        <w:t>(</w:t>
                      </w:r>
                      <w:r w:rsidR="00360D6B">
                        <w:rPr>
                          <w:sz w:val="16"/>
                          <w:szCs w:val="16"/>
                        </w:rPr>
                        <w:t>b</w:t>
                      </w:r>
                      <w:r>
                        <w:rPr>
                          <w:sz w:val="16"/>
                          <w:szCs w:val="16"/>
                        </w:rPr>
                        <w:t>)</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58240" behindDoc="0" locked="0" layoutInCell="1" allowOverlap="1" wp14:anchorId="6E0E25CA" wp14:editId="00C44B97">
                <wp:simplePos x="0" y="0"/>
                <wp:positionH relativeFrom="margin">
                  <wp:posOffset>895985</wp:posOffset>
                </wp:positionH>
                <wp:positionV relativeFrom="paragraph">
                  <wp:posOffset>1177145</wp:posOffset>
                </wp:positionV>
                <wp:extent cx="198120" cy="203200"/>
                <wp:effectExtent l="0" t="0" r="11430" b="6350"/>
                <wp:wrapNone/>
                <wp:docPr id="668048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3200"/>
                        </a:xfrm>
                        <a:prstGeom prst="rect">
                          <a:avLst/>
                        </a:prstGeom>
                        <a:noFill/>
                        <a:ln w="9525">
                          <a:noFill/>
                          <a:miter lim="800000"/>
                          <a:headEnd/>
                          <a:tailEnd/>
                        </a:ln>
                      </wps:spPr>
                      <wps:txbx>
                        <w:txbxContent>
                          <w:p w14:paraId="09EE5124" w14:textId="2375FA3A" w:rsidR="00E2284F" w:rsidRPr="00A63684" w:rsidRDefault="00E2284F" w:rsidP="00E2284F">
                            <w:pPr>
                              <w:jc w:val="center"/>
                              <w:rPr>
                                <w:sz w:val="16"/>
                                <w:szCs w:val="16"/>
                              </w:rPr>
                            </w:pPr>
                            <w:r>
                              <w:rPr>
                                <w:sz w:val="16"/>
                                <w:szCs w:val="16"/>
                              </w:rPr>
                              <w:t>(</w:t>
                            </w:r>
                            <w:r w:rsidR="00360D6B">
                              <w:rPr>
                                <w:sz w:val="16"/>
                                <w:szCs w:val="16"/>
                              </w:rPr>
                              <w:t>a</w:t>
                            </w:r>
                            <w:r>
                              <w:rPr>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E25CA" id="_x0000_s1037" type="#_x0000_t202" style="position:absolute;left:0;text-align:left;margin-left:70.55pt;margin-top:92.7pt;width:15.6pt;height:1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" filled="f" stroked="f">
                <v:textbox inset="0,0,0,0">
                  <w:txbxContent>
                    <w:p w14:paraId="09EE5124" w14:textId="2375FA3A" w:rsidR="00E2284F" w:rsidRPr="00A63684" w:rsidRDefault="00E2284F" w:rsidP="00E2284F">
                      <w:pPr>
                        <w:jc w:val="center"/>
                        <w:rPr>
                          <w:sz w:val="16"/>
                          <w:szCs w:val="16"/>
                        </w:rPr>
                      </w:pPr>
                      <w:r>
                        <w:rPr>
                          <w:sz w:val="16"/>
                          <w:szCs w:val="16"/>
                        </w:rPr>
                        <w:t>(</w:t>
                      </w:r>
                      <w:r w:rsidR="00360D6B">
                        <w:rPr>
                          <w:sz w:val="16"/>
                          <w:szCs w:val="16"/>
                        </w:rPr>
                        <w:t>a</w:t>
                      </w:r>
                      <w:r>
                        <w:rPr>
                          <w:sz w:val="16"/>
                          <w:szCs w:val="16"/>
                        </w:rPr>
                        <w:t>)</w:t>
                      </w:r>
                    </w:p>
                  </w:txbxContent>
                </v:textbox>
                <w10:wrap anchorx="margin"/>
              </v:shape>
            </w:pict>
          </mc:Fallback>
        </mc:AlternateContent>
      </w:r>
      <w:r w:rsidR="00E2284F" w:rsidRPr="00E27D3B">
        <w:t xml:space="preserve">     </w:t>
      </w:r>
      <w:r w:rsidR="00E2284F" w:rsidRPr="00E27D3B">
        <w:rPr>
          <w:noProof/>
        </w:rPr>
        <w:drawing>
          <wp:inline distT="0" distB="0" distL="0" distR="0" wp14:anchorId="5BF86511" wp14:editId="0063FCA7">
            <wp:extent cx="1786199" cy="1233134"/>
            <wp:effectExtent l="0" t="0" r="5080" b="5715"/>
            <wp:docPr id="50" name="Picture 49">
              <a:extLst xmlns:a="http://schemas.openxmlformats.org/drawingml/2006/main">
                <a:ext uri="{FF2B5EF4-FFF2-40B4-BE49-F238E27FC236}">
                  <a16:creationId xmlns:a16="http://schemas.microsoft.com/office/drawing/2014/main" id="{89329D52-AB19-7DD9-47EC-015E2D15C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89329D52-AB19-7DD9-47EC-015E2D15CC3C}"/>
                        </a:ext>
                      </a:extLst>
                    </pic:cNvPr>
                    <pic:cNvPicPr>
                      <a:picLocks noChangeAspect="1"/>
                    </pic:cNvPicPr>
                  </pic:nvPicPr>
                  <pic:blipFill rotWithShape="1">
                    <a:blip r:embed="rId40"/>
                    <a:srcRect t="552" b="1232"/>
                    <a:stretch>
                      <a:fillRect/>
                    </a:stretch>
                  </pic:blipFill>
                  <pic:spPr bwMode="auto">
                    <a:xfrm>
                      <a:off x="0" y="0"/>
                      <a:ext cx="1790668" cy="1236219"/>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t xml:space="preserve">        </w:t>
      </w:r>
      <w:r w:rsidR="00E2284F" w:rsidRPr="00E27D3B">
        <w:rPr>
          <w:noProof/>
        </w:rPr>
        <w:drawing>
          <wp:inline distT="0" distB="0" distL="0" distR="0" wp14:anchorId="2BA6EE88" wp14:editId="2C2995F9">
            <wp:extent cx="1809504" cy="1206054"/>
            <wp:effectExtent l="0" t="0" r="635" b="0"/>
            <wp:docPr id="52" name="Picture 51">
              <a:extLst xmlns:a="http://schemas.openxmlformats.org/drawingml/2006/main">
                <a:ext uri="{FF2B5EF4-FFF2-40B4-BE49-F238E27FC236}">
                  <a16:creationId xmlns:a16="http://schemas.microsoft.com/office/drawing/2014/main" id="{B238E5CD-090D-3F18-8F8E-65DED94EC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B238E5CD-090D-3F18-8F8E-65DED94EC358}"/>
                        </a:ext>
                      </a:extLst>
                    </pic:cNvPr>
                    <pic:cNvPicPr>
                      <a:picLocks noChangeAspect="1"/>
                    </pic:cNvPicPr>
                  </pic:nvPicPr>
                  <pic:blipFill rotWithShape="1">
                    <a:blip r:embed="rId41"/>
                    <a:srcRect l="1011" t="1474" r="-1" b="2307"/>
                    <a:stretch>
                      <a:fillRect/>
                    </a:stretch>
                  </pic:blipFill>
                  <pic:spPr bwMode="auto">
                    <a:xfrm>
                      <a:off x="0" y="0"/>
                      <a:ext cx="1817556" cy="1211421"/>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t xml:space="preserve">      </w:t>
      </w:r>
      <w:r w:rsidR="00E2284F" w:rsidRPr="00E27D3B">
        <w:rPr>
          <w:noProof/>
        </w:rPr>
        <w:drawing>
          <wp:inline distT="0" distB="0" distL="0" distR="0" wp14:anchorId="7A86717F" wp14:editId="1238A0B2">
            <wp:extent cx="1844476" cy="1244207"/>
            <wp:effectExtent l="0" t="0" r="3810" b="0"/>
            <wp:docPr id="23" name="Picture 22">
              <a:extLst xmlns:a="http://schemas.openxmlformats.org/drawingml/2006/main">
                <a:ext uri="{FF2B5EF4-FFF2-40B4-BE49-F238E27FC236}">
                  <a16:creationId xmlns:a16="http://schemas.microsoft.com/office/drawing/2014/main" id="{DDAE4413-A755-6CFF-AACE-1816E6049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DDAE4413-A755-6CFF-AACE-1816E60496D1}"/>
                        </a:ext>
                      </a:extLst>
                    </pic:cNvPr>
                    <pic:cNvPicPr>
                      <a:picLocks noChangeAspect="1"/>
                    </pic:cNvPicPr>
                  </pic:nvPicPr>
                  <pic:blipFill rotWithShape="1">
                    <a:blip r:embed="rId42"/>
                    <a:srcRect t="2197"/>
                    <a:stretch>
                      <a:fillRect/>
                    </a:stretch>
                  </pic:blipFill>
                  <pic:spPr bwMode="auto">
                    <a:xfrm>
                      <a:off x="0" y="0"/>
                      <a:ext cx="1852415" cy="1249562"/>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t xml:space="preserve"> </w:t>
      </w:r>
    </w:p>
    <w:p w14:paraId="199F4522" w14:textId="777F6672" w:rsidR="00E2284F" w:rsidRPr="00E27D3B" w:rsidRDefault="00E2284F" w:rsidP="00CD4F3A">
      <w:pPr>
        <w:pStyle w:val="BodyText"/>
        <w:keepNext/>
        <w:spacing w:line="240" w:lineRule="auto"/>
        <w:jc w:val="center"/>
      </w:pPr>
    </w:p>
    <w:p w14:paraId="0E2BD770" w14:textId="6B0247BC" w:rsidR="00E2284F" w:rsidRPr="00E27D3B" w:rsidRDefault="00E2284F" w:rsidP="00CD4F3A">
      <w:pPr>
        <w:pStyle w:val="Caption"/>
        <w:spacing w:line="240" w:lineRule="auto"/>
      </w:pPr>
      <w:bookmarkStart w:id="88" w:name="_Ref223644200"/>
      <w:bookmarkStart w:id="89" w:name="_Toc229777575"/>
      <w:bookmarkStart w:id="90" w:name="_Toc233735022"/>
      <w:r w:rsidRPr="00E27D3B">
        <w:t xml:space="preserve">Figure </w:t>
      </w:r>
      <w:fldSimple w:instr=" SEQ Figure \* ARABIC ">
        <w:r w:rsidR="00A85006">
          <w:rPr>
            <w:noProof/>
          </w:rPr>
          <w:t>16</w:t>
        </w:r>
      </w:fldSimple>
      <w:bookmarkEnd w:id="88"/>
      <w:r w:rsidRPr="00E27D3B">
        <w:t xml:space="preserve">: </w:t>
      </w:r>
      <w:r w:rsidR="00360D6B">
        <w:t>E</w:t>
      </w:r>
      <w:r w:rsidRPr="00E27D3B">
        <w:t>igenvalue plots of the SMIB system with power-controlled GFLI: (</w:t>
      </w:r>
      <w:r w:rsidR="00360D6B">
        <w:t>a</w:t>
      </w:r>
      <w:r w:rsidRPr="00E27D3B">
        <w:t>) SCR=1.2, (</w:t>
      </w:r>
      <w:r w:rsidR="00360D6B">
        <w:t>b</w:t>
      </w:r>
      <w:r w:rsidRPr="00E27D3B">
        <w:t>) SCR=2.5, and (c</w:t>
      </w:r>
      <w:proofErr w:type="gramStart"/>
      <w:r w:rsidRPr="00E27D3B">
        <w:t>)</w:t>
      </w:r>
      <w:r w:rsidR="00471F4F">
        <w:t xml:space="preserve"> </w:t>
      </w:r>
      <w:r w:rsidRPr="00E27D3B">
        <w:t xml:space="preserve"> SCR</w:t>
      </w:r>
      <w:proofErr w:type="gramEnd"/>
      <w:r w:rsidRPr="00E27D3B">
        <w:t>=4.0.</w:t>
      </w:r>
      <w:bookmarkEnd w:id="89"/>
      <w:bookmarkEnd w:id="90"/>
    </w:p>
    <w:p w14:paraId="42F48C00" w14:textId="41EB9A02" w:rsidR="00E2284F" w:rsidRPr="00E27D3B" w:rsidRDefault="00E2284F" w:rsidP="00A25FDD">
      <w:pPr>
        <w:widowControl w:val="0"/>
        <w:pBdr>
          <w:top w:val="nil"/>
          <w:left w:val="nil"/>
          <w:bottom w:val="nil"/>
          <w:right w:val="nil"/>
          <w:between w:val="nil"/>
        </w:pBdr>
        <w:spacing w:after="0"/>
        <w:ind w:right="45"/>
        <w:rPr>
          <w:sz w:val="24"/>
          <w:szCs w:val="24"/>
        </w:rPr>
      </w:pPr>
      <w:r w:rsidRPr="00E27D3B">
        <w:rPr>
          <w:sz w:val="28"/>
          <w:szCs w:val="28"/>
        </w:rPr>
        <w:fldChar w:fldCharType="begin"/>
      </w:r>
      <w:r w:rsidRPr="00E27D3B">
        <w:rPr>
          <w:sz w:val="28"/>
          <w:szCs w:val="28"/>
        </w:rPr>
        <w:instrText xml:space="preserve"> REF _Ref223644292 \h  \* MERGEFORMAT </w:instrText>
      </w:r>
      <w:r w:rsidRPr="00E27D3B">
        <w:rPr>
          <w:sz w:val="28"/>
          <w:szCs w:val="28"/>
        </w:rPr>
      </w:r>
      <w:r w:rsidRPr="00E27D3B">
        <w:rPr>
          <w:sz w:val="28"/>
          <w:szCs w:val="28"/>
        </w:rPr>
        <w:fldChar w:fldCharType="separate"/>
      </w:r>
      <w:r w:rsidR="00753DAF" w:rsidRPr="00753DAF">
        <w:rPr>
          <w:sz w:val="24"/>
          <w:szCs w:val="24"/>
        </w:rPr>
        <w:t xml:space="preserve">Figure </w:t>
      </w:r>
      <w:r w:rsidR="00753DAF" w:rsidRPr="00753DAF">
        <w:rPr>
          <w:noProof/>
          <w:sz w:val="24"/>
          <w:szCs w:val="24"/>
        </w:rPr>
        <w:t>18</w:t>
      </w:r>
      <w:r w:rsidRPr="00E27D3B">
        <w:rPr>
          <w:sz w:val="28"/>
          <w:szCs w:val="28"/>
        </w:rPr>
        <w:fldChar w:fldCharType="end"/>
      </w:r>
      <w:r w:rsidRPr="00E27D3B">
        <w:rPr>
          <w:sz w:val="24"/>
          <w:szCs w:val="24"/>
        </w:rPr>
        <w:t xml:space="preserve"> depicts the EMT simulation results for voltage and frequencies at POC with VSM-controlled GFMI connected to the infinite bus. </w:t>
      </w:r>
      <w:r w:rsidR="00471F4F" w:rsidRPr="00471F4F">
        <w:rPr>
          <w:sz w:val="24"/>
          <w:szCs w:val="24"/>
        </w:rPr>
        <w:t>The results are obtained using the built-in VSM model in DIgSILENT without any modifications to its control parameters</w:t>
      </w:r>
      <w:r w:rsidR="00471F4F">
        <w:rPr>
          <w:sz w:val="24"/>
          <w:szCs w:val="24"/>
        </w:rPr>
        <w:t xml:space="preserve">. </w:t>
      </w:r>
      <w:r w:rsidRPr="00E27D3B">
        <w:rPr>
          <w:sz w:val="24"/>
          <w:szCs w:val="24"/>
        </w:rPr>
        <w:t xml:space="preserve">Compared to the droop-controlled GFMI, VSM-controlled caused more oscillations and higher overshoot in the transients. As the SCR increases to 4.0, the voltage and frequency became smother than </w:t>
      </w:r>
      <w:r w:rsidR="0050270F">
        <w:rPr>
          <w:sz w:val="24"/>
          <w:szCs w:val="24"/>
        </w:rPr>
        <w:t xml:space="preserve">those </w:t>
      </w:r>
      <w:r w:rsidRPr="00E27D3B">
        <w:rPr>
          <w:sz w:val="24"/>
          <w:szCs w:val="24"/>
        </w:rPr>
        <w:t xml:space="preserve">at </w:t>
      </w:r>
      <w:r w:rsidR="00CD6A9A">
        <w:rPr>
          <w:sz w:val="24"/>
          <w:szCs w:val="24"/>
        </w:rPr>
        <w:t xml:space="preserve">the </w:t>
      </w:r>
      <w:r w:rsidRPr="00E27D3B">
        <w:rPr>
          <w:sz w:val="24"/>
          <w:szCs w:val="24"/>
        </w:rPr>
        <w:t xml:space="preserve">SCR </w:t>
      </w:r>
      <w:r w:rsidR="00B8367D">
        <w:rPr>
          <w:sz w:val="24"/>
          <w:szCs w:val="24"/>
        </w:rPr>
        <w:t xml:space="preserve">of </w:t>
      </w:r>
      <w:r w:rsidRPr="00E27D3B">
        <w:rPr>
          <w:sz w:val="24"/>
          <w:szCs w:val="24"/>
        </w:rPr>
        <w:t>2.5 and 1.2.</w:t>
      </w:r>
    </w:p>
    <w:p w14:paraId="3AABAB33" w14:textId="54EFD686" w:rsidR="00E2284F" w:rsidRPr="00E27D3B" w:rsidRDefault="00A25FDD" w:rsidP="00CD4F3A">
      <w:pPr>
        <w:widowControl w:val="0"/>
        <w:pBdr>
          <w:top w:val="nil"/>
          <w:left w:val="nil"/>
          <w:bottom w:val="nil"/>
          <w:right w:val="nil"/>
          <w:between w:val="nil"/>
        </w:pBdr>
        <w:ind w:right="45"/>
        <w:jc w:val="center"/>
        <w:rPr>
          <w:noProof/>
          <w:sz w:val="16"/>
          <w:szCs w:val="16"/>
        </w:rPr>
      </w:pPr>
      <w:r w:rsidRPr="00E27D3B">
        <w:rPr>
          <w:noProof/>
          <w:sz w:val="16"/>
          <w:szCs w:val="16"/>
        </w:rPr>
        <mc:AlternateContent>
          <mc:Choice Requires="wps">
            <w:drawing>
              <wp:anchor distT="45720" distB="45720" distL="114300" distR="114300" simplePos="0" relativeHeight="251617280" behindDoc="0" locked="0" layoutInCell="1" allowOverlap="1" wp14:anchorId="4FB038AA" wp14:editId="2D7965E4">
                <wp:simplePos x="0" y="0"/>
                <wp:positionH relativeFrom="margin">
                  <wp:posOffset>2937510</wp:posOffset>
                </wp:positionH>
                <wp:positionV relativeFrom="paragraph">
                  <wp:posOffset>1407160</wp:posOffset>
                </wp:positionV>
                <wp:extent cx="215265" cy="217170"/>
                <wp:effectExtent l="0" t="0" r="13335" b="11430"/>
                <wp:wrapNone/>
                <wp:docPr id="700199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17170"/>
                        </a:xfrm>
                        <a:prstGeom prst="rect">
                          <a:avLst/>
                        </a:prstGeom>
                        <a:noFill/>
                        <a:ln w="9525">
                          <a:noFill/>
                          <a:miter lim="800000"/>
                          <a:headEnd/>
                          <a:tailEnd/>
                        </a:ln>
                      </wps:spPr>
                      <wps:txbx>
                        <w:txbxContent>
                          <w:p w14:paraId="4B74BE2C" w14:textId="77777777" w:rsidR="00E2284F" w:rsidRPr="00A63684" w:rsidRDefault="00E2284F" w:rsidP="00E2284F">
                            <w:pPr>
                              <w:jc w:val="center"/>
                              <w:rPr>
                                <w:sz w:val="16"/>
                                <w:szCs w:val="16"/>
                              </w:rPr>
                            </w:pPr>
                            <w:r>
                              <w:rPr>
                                <w:sz w:val="16"/>
                                <w:szCs w:val="16"/>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038AA" id="_x0000_s1038" type="#_x0000_t202" style="position:absolute;left:0;text-align:left;margin-left:231.3pt;margin-top:110.8pt;width:16.95pt;height:17.1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" filled="f" stroked="f">
                <v:textbox inset="0,0,0,0">
                  <w:txbxContent>
                    <w:p w14:paraId="4B74BE2C" w14:textId="77777777" w:rsidR="00E2284F" w:rsidRPr="00A63684" w:rsidRDefault="00E2284F" w:rsidP="00E2284F">
                      <w:pPr>
                        <w:jc w:val="center"/>
                        <w:rPr>
                          <w:sz w:val="16"/>
                          <w:szCs w:val="16"/>
                        </w:rPr>
                      </w:pPr>
                      <w:r>
                        <w:rPr>
                          <w:sz w:val="16"/>
                          <w:szCs w:val="16"/>
                        </w:rPr>
                        <w:t>(b)</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09088" behindDoc="0" locked="0" layoutInCell="1" allowOverlap="1" wp14:anchorId="1A24691F" wp14:editId="319A83CE">
                <wp:simplePos x="0" y="0"/>
                <wp:positionH relativeFrom="margin">
                  <wp:posOffset>990600</wp:posOffset>
                </wp:positionH>
                <wp:positionV relativeFrom="paragraph">
                  <wp:posOffset>1394460</wp:posOffset>
                </wp:positionV>
                <wp:extent cx="231140" cy="229870"/>
                <wp:effectExtent l="0" t="0" r="0" b="0"/>
                <wp:wrapNone/>
                <wp:docPr id="24231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9870"/>
                        </a:xfrm>
                        <a:prstGeom prst="rect">
                          <a:avLst/>
                        </a:prstGeom>
                        <a:noFill/>
                        <a:ln w="9525">
                          <a:noFill/>
                          <a:miter lim="800000"/>
                          <a:headEnd/>
                          <a:tailEnd/>
                        </a:ln>
                      </wps:spPr>
                      <wps:txbx>
                        <w:txbxContent>
                          <w:p w14:paraId="58B08C34" w14:textId="77777777" w:rsidR="00E2284F" w:rsidRPr="00A63684" w:rsidRDefault="00E2284F" w:rsidP="00F12E16">
                            <w:pPr>
                              <w:rPr>
                                <w:sz w:val="16"/>
                                <w:szCs w:val="16"/>
                              </w:rPr>
                            </w:pPr>
                            <w:r>
                              <w:rPr>
                                <w:sz w:val="16"/>
                                <w:szCs w:val="16"/>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4691F" id="_x0000_s1039" type="#_x0000_t202" style="position:absolute;left:0;text-align:left;margin-left:78pt;margin-top:109.8pt;width:18.2pt;height:18.1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" filled="f" stroked="f">
                <v:textbox inset="0,0,0,0">
                  <w:txbxContent>
                    <w:p w14:paraId="58B08C34" w14:textId="77777777" w:rsidR="00E2284F" w:rsidRPr="00A63684" w:rsidRDefault="00E2284F" w:rsidP="00F12E16">
                      <w:pPr>
                        <w:rPr>
                          <w:sz w:val="16"/>
                          <w:szCs w:val="16"/>
                        </w:rPr>
                      </w:pPr>
                      <w:r>
                        <w:rPr>
                          <w:sz w:val="16"/>
                          <w:szCs w:val="16"/>
                        </w:rPr>
                        <w:t>(a)</w:t>
                      </w:r>
                    </w:p>
                  </w:txbxContent>
                </v:textbox>
                <w10:wrap anchorx="margin"/>
              </v:shape>
            </w:pict>
          </mc:Fallback>
        </mc:AlternateContent>
      </w:r>
      <w:r w:rsidR="00E2284F" w:rsidRPr="00E27D3B">
        <w:rPr>
          <w:noProof/>
          <w:sz w:val="16"/>
          <w:szCs w:val="16"/>
        </w:rPr>
        <mc:AlternateContent>
          <mc:Choice Requires="wps">
            <w:drawing>
              <wp:anchor distT="45720" distB="45720" distL="114300" distR="114300" simplePos="0" relativeHeight="251625472" behindDoc="0" locked="0" layoutInCell="1" allowOverlap="1" wp14:anchorId="789B36F0" wp14:editId="1005B7C3">
                <wp:simplePos x="0" y="0"/>
                <wp:positionH relativeFrom="margin">
                  <wp:posOffset>5052688</wp:posOffset>
                </wp:positionH>
                <wp:positionV relativeFrom="paragraph">
                  <wp:posOffset>1410161</wp:posOffset>
                </wp:positionV>
                <wp:extent cx="189865" cy="195656"/>
                <wp:effectExtent l="0" t="0" r="635" b="13970"/>
                <wp:wrapNone/>
                <wp:docPr id="846619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95656"/>
                        </a:xfrm>
                        <a:prstGeom prst="rect">
                          <a:avLst/>
                        </a:prstGeom>
                        <a:noFill/>
                        <a:ln w="9525">
                          <a:noFill/>
                          <a:miter lim="800000"/>
                          <a:headEnd/>
                          <a:tailEnd/>
                        </a:ln>
                      </wps:spPr>
                      <wps:txbx>
                        <w:txbxContent>
                          <w:p w14:paraId="16AB7A05" w14:textId="77777777" w:rsidR="00E2284F" w:rsidRPr="00A63684" w:rsidRDefault="00E2284F" w:rsidP="00E2284F">
                            <w:pPr>
                              <w:jc w:val="center"/>
                              <w:rPr>
                                <w:sz w:val="16"/>
                                <w:szCs w:val="16"/>
                              </w:rPr>
                            </w:pPr>
                            <w:r>
                              <w:rPr>
                                <w:sz w:val="16"/>
                                <w:szCs w:val="16"/>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B36F0" id="_x0000_s1040" type="#_x0000_t202" style="position:absolute;left:0;text-align:left;margin-left:397.85pt;margin-top:111.05pt;width:14.95pt;height:15.4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" filled="f" stroked="f">
                <v:textbox inset="0,0,0,0">
                  <w:txbxContent>
                    <w:p w14:paraId="16AB7A05" w14:textId="77777777" w:rsidR="00E2284F" w:rsidRPr="00A63684" w:rsidRDefault="00E2284F" w:rsidP="00E2284F">
                      <w:pPr>
                        <w:jc w:val="center"/>
                        <w:rPr>
                          <w:sz w:val="16"/>
                          <w:szCs w:val="16"/>
                        </w:rPr>
                      </w:pPr>
                      <w:r>
                        <w:rPr>
                          <w:sz w:val="16"/>
                          <w:szCs w:val="16"/>
                        </w:rPr>
                        <w:t>(c)</w:t>
                      </w:r>
                    </w:p>
                  </w:txbxContent>
                </v:textbox>
                <w10:wrap anchorx="margin"/>
              </v:shape>
            </w:pict>
          </mc:Fallback>
        </mc:AlternateContent>
      </w:r>
      <w:r w:rsidR="00E2284F" w:rsidRPr="00E27D3B">
        <w:rPr>
          <w:noProof/>
          <w:sz w:val="16"/>
          <w:szCs w:val="16"/>
        </w:rPr>
        <w:drawing>
          <wp:inline distT="0" distB="0" distL="0" distR="0" wp14:anchorId="42B2CC8E" wp14:editId="605E4A9D">
            <wp:extent cx="1827857" cy="1312744"/>
            <wp:effectExtent l="0" t="0" r="1270" b="1905"/>
            <wp:docPr id="1748442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42692" name=""/>
                    <pic:cNvPicPr/>
                  </pic:nvPicPr>
                  <pic:blipFill rotWithShape="1">
                    <a:blip r:embed="rId43"/>
                    <a:srcRect t="4699" r="68141" b="9008"/>
                    <a:stretch>
                      <a:fillRect/>
                    </a:stretch>
                  </pic:blipFill>
                  <pic:spPr bwMode="auto">
                    <a:xfrm>
                      <a:off x="0" y="0"/>
                      <a:ext cx="1843142" cy="1323721"/>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rPr>
          <w:noProof/>
          <w:sz w:val="16"/>
          <w:szCs w:val="16"/>
        </w:rPr>
        <w:t xml:space="preserve">    </w:t>
      </w:r>
      <w:r w:rsidR="00E2284F" w:rsidRPr="00E27D3B">
        <w:rPr>
          <w:noProof/>
          <w:sz w:val="16"/>
          <w:szCs w:val="16"/>
        </w:rPr>
        <w:drawing>
          <wp:inline distT="0" distB="0" distL="0" distR="0" wp14:anchorId="1C615083" wp14:editId="5C5A8582">
            <wp:extent cx="1896575" cy="1307854"/>
            <wp:effectExtent l="0" t="0" r="8890" b="6985"/>
            <wp:docPr id="1503384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42692" name=""/>
                    <pic:cNvPicPr/>
                  </pic:nvPicPr>
                  <pic:blipFill rotWithShape="1">
                    <a:blip r:embed="rId43"/>
                    <a:srcRect l="31860" t="4699" r="34960" b="9008"/>
                    <a:stretch>
                      <a:fillRect/>
                    </a:stretch>
                  </pic:blipFill>
                  <pic:spPr bwMode="auto">
                    <a:xfrm>
                      <a:off x="0" y="0"/>
                      <a:ext cx="1914874" cy="1320473"/>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rPr>
          <w:noProof/>
          <w:sz w:val="16"/>
          <w:szCs w:val="16"/>
        </w:rPr>
        <w:t xml:space="preserve">   </w:t>
      </w:r>
      <w:r w:rsidR="00E2284F" w:rsidRPr="00E27D3B">
        <w:rPr>
          <w:noProof/>
          <w:sz w:val="16"/>
          <w:szCs w:val="16"/>
        </w:rPr>
        <w:drawing>
          <wp:inline distT="0" distB="0" distL="0" distR="0" wp14:anchorId="17C0B6DA" wp14:editId="57338EE1">
            <wp:extent cx="2025583" cy="1325673"/>
            <wp:effectExtent l="0" t="0" r="0" b="8255"/>
            <wp:docPr id="42436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42692" name=""/>
                    <pic:cNvPicPr/>
                  </pic:nvPicPr>
                  <pic:blipFill rotWithShape="1">
                    <a:blip r:embed="rId43"/>
                    <a:srcRect l="65040" t="4699" b="9008"/>
                    <a:stretch>
                      <a:fillRect/>
                    </a:stretch>
                  </pic:blipFill>
                  <pic:spPr bwMode="auto">
                    <a:xfrm>
                      <a:off x="0" y="0"/>
                      <a:ext cx="2055021" cy="1344939"/>
                    </a:xfrm>
                    <a:prstGeom prst="rect">
                      <a:avLst/>
                    </a:prstGeom>
                    <a:ln>
                      <a:noFill/>
                    </a:ln>
                    <a:extLst>
                      <a:ext uri="{53640926-AAD7-44D8-BBD7-CCE9431645EC}">
                        <a14:shadowObscured xmlns:a14="http://schemas.microsoft.com/office/drawing/2010/main"/>
                      </a:ext>
                    </a:extLst>
                  </pic:spPr>
                </pic:pic>
              </a:graphicData>
            </a:graphic>
          </wp:inline>
        </w:drawing>
      </w:r>
    </w:p>
    <w:p w14:paraId="66D39D24" w14:textId="52AF01FE" w:rsidR="00E2284F" w:rsidRPr="00E27D3B" w:rsidRDefault="00E2284F" w:rsidP="00CD4F3A">
      <w:pPr>
        <w:widowControl w:val="0"/>
        <w:pBdr>
          <w:top w:val="nil"/>
          <w:left w:val="nil"/>
          <w:bottom w:val="nil"/>
          <w:right w:val="nil"/>
          <w:between w:val="nil"/>
        </w:pBdr>
        <w:ind w:right="45"/>
        <w:jc w:val="center"/>
        <w:rPr>
          <w:noProof/>
          <w:sz w:val="24"/>
          <w:szCs w:val="24"/>
        </w:rPr>
      </w:pPr>
    </w:p>
    <w:p w14:paraId="5F405135" w14:textId="77777777" w:rsidR="00E2284F" w:rsidRPr="00E27D3B" w:rsidRDefault="00E2284F" w:rsidP="00CD4F3A">
      <w:pPr>
        <w:widowControl w:val="0"/>
        <w:pBdr>
          <w:top w:val="nil"/>
          <w:left w:val="nil"/>
          <w:bottom w:val="nil"/>
          <w:right w:val="nil"/>
          <w:between w:val="nil"/>
        </w:pBdr>
        <w:ind w:right="45"/>
        <w:jc w:val="center"/>
        <w:rPr>
          <w:noProof/>
          <w:sz w:val="24"/>
          <w:szCs w:val="24"/>
        </w:rPr>
      </w:pPr>
      <w:r w:rsidRPr="00E27D3B">
        <w:rPr>
          <w:noProof/>
          <w:sz w:val="24"/>
          <w:szCs w:val="24"/>
        </w:rPr>
        <w:t xml:space="preserve">         </w:t>
      </w:r>
      <w:r w:rsidRPr="00E27D3B">
        <w:rPr>
          <w:noProof/>
          <w:sz w:val="24"/>
          <w:szCs w:val="24"/>
        </w:rPr>
        <w:drawing>
          <wp:inline distT="0" distB="0" distL="0" distR="0" wp14:anchorId="6FFD24BA" wp14:editId="5D76EF5A">
            <wp:extent cx="1766333" cy="1216737"/>
            <wp:effectExtent l="0" t="0" r="5715" b="2540"/>
            <wp:docPr id="33" name="Picture 32">
              <a:extLst xmlns:a="http://schemas.openxmlformats.org/drawingml/2006/main">
                <a:ext uri="{FF2B5EF4-FFF2-40B4-BE49-F238E27FC236}">
                  <a16:creationId xmlns:a16="http://schemas.microsoft.com/office/drawing/2014/main" id="{3C4DCAAF-1DDB-B76C-5FB4-DC126740B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3C4DCAAF-1DDB-B76C-5FB4-DC126740B4A2}"/>
                        </a:ext>
                      </a:extLst>
                    </pic:cNvPr>
                    <pic:cNvPicPr>
                      <a:picLocks noChangeAspect="1"/>
                    </pic:cNvPicPr>
                  </pic:nvPicPr>
                  <pic:blipFill rotWithShape="1">
                    <a:blip r:embed="rId44"/>
                    <a:srcRect t="3475"/>
                    <a:stretch>
                      <a:fillRect/>
                    </a:stretch>
                  </pic:blipFill>
                  <pic:spPr bwMode="auto">
                    <a:xfrm>
                      <a:off x="0" y="0"/>
                      <a:ext cx="1773206" cy="1221471"/>
                    </a:xfrm>
                    <a:prstGeom prst="rect">
                      <a:avLst/>
                    </a:prstGeom>
                    <a:ln>
                      <a:noFill/>
                    </a:ln>
                    <a:extLst>
                      <a:ext uri="{53640926-AAD7-44D8-BBD7-CCE9431645EC}">
                        <a14:shadowObscured xmlns:a14="http://schemas.microsoft.com/office/drawing/2010/main"/>
                      </a:ext>
                    </a:extLst>
                  </pic:spPr>
                </pic:pic>
              </a:graphicData>
            </a:graphic>
          </wp:inline>
        </w:drawing>
      </w:r>
      <w:r w:rsidRPr="00E27D3B">
        <w:rPr>
          <w:noProof/>
          <w:sz w:val="24"/>
          <w:szCs w:val="24"/>
        </w:rPr>
        <w:t xml:space="preserve">       </w:t>
      </w:r>
      <w:r w:rsidRPr="00E27D3B">
        <w:rPr>
          <w:noProof/>
          <w:sz w:val="24"/>
          <w:szCs w:val="24"/>
        </w:rPr>
        <w:drawing>
          <wp:inline distT="0" distB="0" distL="0" distR="0" wp14:anchorId="36C92C3C" wp14:editId="5EB2B9C9">
            <wp:extent cx="1764533" cy="1237623"/>
            <wp:effectExtent l="0" t="0" r="7620" b="635"/>
            <wp:docPr id="31" name="Picture 30">
              <a:extLst xmlns:a="http://schemas.openxmlformats.org/drawingml/2006/main">
                <a:ext uri="{FF2B5EF4-FFF2-40B4-BE49-F238E27FC236}">
                  <a16:creationId xmlns:a16="http://schemas.microsoft.com/office/drawing/2014/main" id="{D0DF1015-B543-0976-B8F3-AC5577D9B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D0DF1015-B543-0976-B8F3-AC5577D9B1C8}"/>
                        </a:ext>
                      </a:extLst>
                    </pic:cNvPr>
                    <pic:cNvPicPr>
                      <a:picLocks noChangeAspect="1"/>
                    </pic:cNvPicPr>
                  </pic:nvPicPr>
                  <pic:blipFill rotWithShape="1">
                    <a:blip r:embed="rId45"/>
                    <a:srcRect l="2380" t="2982" r="3719" b="4116"/>
                    <a:stretch>
                      <a:fillRect/>
                    </a:stretch>
                  </pic:blipFill>
                  <pic:spPr bwMode="auto">
                    <a:xfrm>
                      <a:off x="0" y="0"/>
                      <a:ext cx="1775584" cy="1245374"/>
                    </a:xfrm>
                    <a:prstGeom prst="rect">
                      <a:avLst/>
                    </a:prstGeom>
                    <a:ln>
                      <a:noFill/>
                    </a:ln>
                    <a:extLst>
                      <a:ext uri="{53640926-AAD7-44D8-BBD7-CCE9431645EC}">
                        <a14:shadowObscured xmlns:a14="http://schemas.microsoft.com/office/drawing/2010/main"/>
                      </a:ext>
                    </a:extLst>
                  </pic:spPr>
                </pic:pic>
              </a:graphicData>
            </a:graphic>
          </wp:inline>
        </w:drawing>
      </w:r>
      <w:r w:rsidRPr="00E27D3B">
        <w:rPr>
          <w:noProof/>
          <w:sz w:val="24"/>
          <w:szCs w:val="24"/>
        </w:rPr>
        <w:t xml:space="preserve">       </w:t>
      </w:r>
      <w:r w:rsidRPr="00E27D3B">
        <w:rPr>
          <w:noProof/>
          <w:sz w:val="24"/>
          <w:szCs w:val="24"/>
        </w:rPr>
        <w:drawing>
          <wp:inline distT="0" distB="0" distL="0" distR="0" wp14:anchorId="098E3282" wp14:editId="2F345A94">
            <wp:extent cx="1735704" cy="1244754"/>
            <wp:effectExtent l="0" t="0" r="0" b="0"/>
            <wp:docPr id="1862937730" name="Picture 5">
              <a:extLst xmlns:a="http://schemas.openxmlformats.org/drawingml/2006/main">
                <a:ext uri="{FF2B5EF4-FFF2-40B4-BE49-F238E27FC236}">
                  <a16:creationId xmlns:a16="http://schemas.microsoft.com/office/drawing/2014/main" id="{6836AD47-CE6D-1D48-E5D4-9DE69FBD2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36AD47-CE6D-1D48-E5D4-9DE69FBD2410}"/>
                        </a:ext>
                      </a:extLst>
                    </pic:cNvPr>
                    <pic:cNvPicPr>
                      <a:picLocks noChangeAspect="1"/>
                    </pic:cNvPicPr>
                  </pic:nvPicPr>
                  <pic:blipFill rotWithShape="1">
                    <a:blip r:embed="rId46"/>
                    <a:srcRect l="1314" t="2239" r="2726"/>
                    <a:stretch>
                      <a:fillRect/>
                    </a:stretch>
                  </pic:blipFill>
                  <pic:spPr bwMode="auto">
                    <a:xfrm>
                      <a:off x="0" y="0"/>
                      <a:ext cx="1741325" cy="1248785"/>
                    </a:xfrm>
                    <a:prstGeom prst="rect">
                      <a:avLst/>
                    </a:prstGeom>
                    <a:ln>
                      <a:noFill/>
                    </a:ln>
                    <a:extLst>
                      <a:ext uri="{53640926-AAD7-44D8-BBD7-CCE9431645EC}">
                        <a14:shadowObscured xmlns:a14="http://schemas.microsoft.com/office/drawing/2010/main"/>
                      </a:ext>
                    </a:extLst>
                  </pic:spPr>
                </pic:pic>
              </a:graphicData>
            </a:graphic>
          </wp:inline>
        </w:drawing>
      </w:r>
    </w:p>
    <w:p w14:paraId="41784402" w14:textId="7CB9620B" w:rsidR="00E2284F" w:rsidRPr="00E27D3B" w:rsidRDefault="00A25FDD" w:rsidP="00CD4F3A">
      <w:pPr>
        <w:widowControl w:val="0"/>
        <w:pBdr>
          <w:top w:val="nil"/>
          <w:left w:val="nil"/>
          <w:bottom w:val="nil"/>
          <w:right w:val="nil"/>
          <w:between w:val="nil"/>
        </w:pBdr>
        <w:ind w:right="45"/>
        <w:rPr>
          <w:noProof/>
          <w:sz w:val="24"/>
          <w:szCs w:val="24"/>
        </w:rPr>
      </w:pPr>
      <w:r w:rsidRPr="00E27D3B">
        <w:rPr>
          <w:noProof/>
          <w:sz w:val="16"/>
          <w:szCs w:val="16"/>
        </w:rPr>
        <mc:AlternateContent>
          <mc:Choice Requires="wps">
            <w:drawing>
              <wp:anchor distT="45720" distB="45720" distL="114300" distR="114300" simplePos="0" relativeHeight="251650048" behindDoc="0" locked="0" layoutInCell="1" allowOverlap="1" wp14:anchorId="124AE34E" wp14:editId="1A72EB36">
                <wp:simplePos x="0" y="0"/>
                <wp:positionH relativeFrom="margin">
                  <wp:posOffset>4988560</wp:posOffset>
                </wp:positionH>
                <wp:positionV relativeFrom="paragraph">
                  <wp:posOffset>3175</wp:posOffset>
                </wp:positionV>
                <wp:extent cx="247015" cy="241300"/>
                <wp:effectExtent l="0" t="0" r="635" b="6350"/>
                <wp:wrapNone/>
                <wp:docPr id="803889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241300"/>
                        </a:xfrm>
                        <a:prstGeom prst="rect">
                          <a:avLst/>
                        </a:prstGeom>
                        <a:noFill/>
                        <a:ln w="9525">
                          <a:noFill/>
                          <a:miter lim="800000"/>
                          <a:headEnd/>
                          <a:tailEnd/>
                        </a:ln>
                      </wps:spPr>
                      <wps:txbx>
                        <w:txbxContent>
                          <w:p w14:paraId="173AA1E0" w14:textId="77777777" w:rsidR="00E2284F" w:rsidRPr="00A63684" w:rsidRDefault="00E2284F" w:rsidP="00E2284F">
                            <w:pPr>
                              <w:jc w:val="center"/>
                              <w:rPr>
                                <w:sz w:val="16"/>
                                <w:szCs w:val="16"/>
                              </w:rPr>
                            </w:pPr>
                            <w:r>
                              <w:rPr>
                                <w:sz w:val="16"/>
                                <w:szCs w:val="16"/>
                              </w:rPr>
                              <w:t>(f)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AE34E" id="_x0000_s1041" type="#_x0000_t202" style="position:absolute;margin-left:392.8pt;margin-top:.25pt;width:19.45pt;height:19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" filled="f" stroked="f">
                <v:textbox inset="0,0,0,0">
                  <w:txbxContent>
                    <w:p w14:paraId="173AA1E0" w14:textId="77777777" w:rsidR="00E2284F" w:rsidRPr="00A63684" w:rsidRDefault="00E2284F" w:rsidP="00E2284F">
                      <w:pPr>
                        <w:jc w:val="center"/>
                        <w:rPr>
                          <w:sz w:val="16"/>
                          <w:szCs w:val="16"/>
                        </w:rPr>
                      </w:pPr>
                      <w:r>
                        <w:rPr>
                          <w:sz w:val="16"/>
                          <w:szCs w:val="16"/>
                        </w:rPr>
                        <w:t>(f)</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41856" behindDoc="0" locked="0" layoutInCell="1" allowOverlap="1" wp14:anchorId="064F6C30" wp14:editId="23278E7E">
                <wp:simplePos x="0" y="0"/>
                <wp:positionH relativeFrom="margin">
                  <wp:posOffset>2972435</wp:posOffset>
                </wp:positionH>
                <wp:positionV relativeFrom="paragraph">
                  <wp:posOffset>3175</wp:posOffset>
                </wp:positionV>
                <wp:extent cx="234315" cy="215900"/>
                <wp:effectExtent l="0" t="0" r="13335" b="12700"/>
                <wp:wrapNone/>
                <wp:docPr id="133253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215900"/>
                        </a:xfrm>
                        <a:prstGeom prst="rect">
                          <a:avLst/>
                        </a:prstGeom>
                        <a:noFill/>
                        <a:ln w="9525">
                          <a:noFill/>
                          <a:miter lim="800000"/>
                          <a:headEnd/>
                          <a:tailEnd/>
                        </a:ln>
                      </wps:spPr>
                      <wps:txbx>
                        <w:txbxContent>
                          <w:p w14:paraId="7116EACD" w14:textId="77777777" w:rsidR="00E2284F" w:rsidRPr="00A63684" w:rsidRDefault="00E2284F" w:rsidP="00E2284F">
                            <w:pPr>
                              <w:jc w:val="center"/>
                              <w:rPr>
                                <w:sz w:val="16"/>
                                <w:szCs w:val="16"/>
                              </w:rPr>
                            </w:pPr>
                            <w:r>
                              <w:rPr>
                                <w:sz w:val="16"/>
                                <w:szCs w:val="16"/>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F6C30" id="_x0000_s1042" type="#_x0000_t202" style="position:absolute;margin-left:234.05pt;margin-top:.25pt;width:18.45pt;height:17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" filled="f" stroked="f">
                <v:textbox inset="0,0,0,0">
                  <w:txbxContent>
                    <w:p w14:paraId="7116EACD" w14:textId="77777777" w:rsidR="00E2284F" w:rsidRPr="00A63684" w:rsidRDefault="00E2284F" w:rsidP="00E2284F">
                      <w:pPr>
                        <w:jc w:val="center"/>
                        <w:rPr>
                          <w:sz w:val="16"/>
                          <w:szCs w:val="16"/>
                        </w:rPr>
                      </w:pPr>
                      <w:r>
                        <w:rPr>
                          <w:sz w:val="16"/>
                          <w:szCs w:val="16"/>
                        </w:rPr>
                        <w:t>(e)</w:t>
                      </w:r>
                    </w:p>
                  </w:txbxContent>
                </v:textbox>
                <w10:wrap anchorx="margin"/>
              </v:shape>
            </w:pict>
          </mc:Fallback>
        </mc:AlternateContent>
      </w:r>
      <w:r w:rsidR="00E2284F" w:rsidRPr="00E27D3B">
        <w:rPr>
          <w:noProof/>
          <w:sz w:val="16"/>
          <w:szCs w:val="16"/>
        </w:rPr>
        <mc:AlternateContent>
          <mc:Choice Requires="wps">
            <w:drawing>
              <wp:anchor distT="45720" distB="45720" distL="114300" distR="114300" simplePos="0" relativeHeight="251633664" behindDoc="0" locked="0" layoutInCell="1" allowOverlap="1" wp14:anchorId="06839FD5" wp14:editId="544983E6">
                <wp:simplePos x="0" y="0"/>
                <wp:positionH relativeFrom="margin">
                  <wp:posOffset>930910</wp:posOffset>
                </wp:positionH>
                <wp:positionV relativeFrom="paragraph">
                  <wp:posOffset>3175</wp:posOffset>
                </wp:positionV>
                <wp:extent cx="183515" cy="209550"/>
                <wp:effectExtent l="0" t="0" r="6985" b="0"/>
                <wp:wrapNone/>
                <wp:docPr id="1627953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9550"/>
                        </a:xfrm>
                        <a:prstGeom prst="rect">
                          <a:avLst/>
                        </a:prstGeom>
                        <a:noFill/>
                        <a:ln w="9525">
                          <a:noFill/>
                          <a:miter lim="800000"/>
                          <a:headEnd/>
                          <a:tailEnd/>
                        </a:ln>
                      </wps:spPr>
                      <wps:txbx>
                        <w:txbxContent>
                          <w:p w14:paraId="07FF8827" w14:textId="77777777" w:rsidR="00E2284F" w:rsidRPr="00A63684" w:rsidRDefault="00E2284F" w:rsidP="00E2284F">
                            <w:pPr>
                              <w:jc w:val="center"/>
                              <w:rPr>
                                <w:sz w:val="16"/>
                                <w:szCs w:val="16"/>
                              </w:rPr>
                            </w:pPr>
                            <w:r>
                              <w:rPr>
                                <w:sz w:val="16"/>
                                <w:szCs w:val="16"/>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39FD5" id="_x0000_s1043" type="#_x0000_t202" style="position:absolute;margin-left:73.3pt;margin-top:.25pt;width:14.45pt;height:16.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" filled="f" stroked="f">
                <v:textbox inset="0,0,0,0">
                  <w:txbxContent>
                    <w:p w14:paraId="07FF8827" w14:textId="77777777" w:rsidR="00E2284F" w:rsidRPr="00A63684" w:rsidRDefault="00E2284F" w:rsidP="00E2284F">
                      <w:pPr>
                        <w:jc w:val="center"/>
                        <w:rPr>
                          <w:sz w:val="16"/>
                          <w:szCs w:val="16"/>
                        </w:rPr>
                      </w:pPr>
                      <w:r>
                        <w:rPr>
                          <w:sz w:val="16"/>
                          <w:szCs w:val="16"/>
                        </w:rPr>
                        <w:t>(d)</w:t>
                      </w:r>
                    </w:p>
                  </w:txbxContent>
                </v:textbox>
                <w10:wrap anchorx="margin"/>
              </v:shape>
            </w:pict>
          </mc:Fallback>
        </mc:AlternateContent>
      </w:r>
    </w:p>
    <w:p w14:paraId="3DD5CDD4" w14:textId="320E720E" w:rsidR="00E2284F" w:rsidRPr="00E27D3B" w:rsidRDefault="00E2284F" w:rsidP="00CD4F3A">
      <w:pPr>
        <w:pStyle w:val="Caption"/>
        <w:spacing w:line="240" w:lineRule="auto"/>
      </w:pPr>
      <w:bookmarkStart w:id="91" w:name="_Ref223644273"/>
      <w:bookmarkStart w:id="92" w:name="_Toc229777576"/>
      <w:bookmarkStart w:id="93" w:name="_Toc233735023"/>
      <w:r w:rsidRPr="00E27D3B">
        <w:t xml:space="preserve">Figure </w:t>
      </w:r>
      <w:fldSimple w:instr=" SEQ Figure \* ARABIC ">
        <w:r w:rsidR="00A85006">
          <w:rPr>
            <w:noProof/>
          </w:rPr>
          <w:t>17</w:t>
        </w:r>
      </w:fldSimple>
      <w:bookmarkEnd w:id="91"/>
      <w:r w:rsidRPr="00E27D3B">
        <w:t>: Frequency, voltage, and respective eigenvalue plots of the SMIB system with droop-controlled GFMI: (a), (d) SCR=1.2, (b), (e) SCR=2.5, and (c), (f) SCR=4.0.</w:t>
      </w:r>
      <w:bookmarkEnd w:id="92"/>
      <w:bookmarkEnd w:id="93"/>
    </w:p>
    <w:p w14:paraId="4E461455" w14:textId="77777777" w:rsidR="00E2284F" w:rsidRPr="00E27D3B" w:rsidRDefault="00E2284F" w:rsidP="00CD4F3A">
      <w:pPr>
        <w:pStyle w:val="BodyText"/>
        <w:spacing w:line="240" w:lineRule="auto"/>
      </w:pPr>
    </w:p>
    <w:p w14:paraId="7186E44E" w14:textId="00187216" w:rsidR="00E2284F" w:rsidRPr="00E27D3B" w:rsidRDefault="00E2284F" w:rsidP="00CD4F3A">
      <w:pPr>
        <w:pStyle w:val="Caption"/>
        <w:spacing w:line="240" w:lineRule="auto"/>
        <w:jc w:val="center"/>
        <w:rPr>
          <w:noProof/>
          <w:sz w:val="16"/>
          <w:szCs w:val="16"/>
        </w:rPr>
      </w:pPr>
      <w:r w:rsidRPr="00E27D3B">
        <w:rPr>
          <w:noProof/>
          <w:sz w:val="16"/>
          <w:szCs w:val="16"/>
        </w:rPr>
        <w:lastRenderedPageBreak/>
        <w:drawing>
          <wp:inline distT="0" distB="0" distL="0" distR="0" wp14:anchorId="1B169A09" wp14:editId="6547883F">
            <wp:extent cx="1792375" cy="1223178"/>
            <wp:effectExtent l="0" t="0" r="0" b="0"/>
            <wp:docPr id="94402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2750" name=""/>
                    <pic:cNvPicPr/>
                  </pic:nvPicPr>
                  <pic:blipFill rotWithShape="1">
                    <a:blip r:embed="rId47"/>
                    <a:srcRect r="68559"/>
                    <a:stretch>
                      <a:fillRect/>
                    </a:stretch>
                  </pic:blipFill>
                  <pic:spPr bwMode="auto">
                    <a:xfrm>
                      <a:off x="0" y="0"/>
                      <a:ext cx="1796840" cy="1226225"/>
                    </a:xfrm>
                    <a:prstGeom prst="rect">
                      <a:avLst/>
                    </a:prstGeom>
                    <a:ln>
                      <a:noFill/>
                    </a:ln>
                    <a:extLst>
                      <a:ext uri="{53640926-AAD7-44D8-BBD7-CCE9431645EC}">
                        <a14:shadowObscured xmlns:a14="http://schemas.microsoft.com/office/drawing/2010/main"/>
                      </a:ext>
                    </a:extLst>
                  </pic:spPr>
                </pic:pic>
              </a:graphicData>
            </a:graphic>
          </wp:inline>
        </w:drawing>
      </w:r>
      <w:r w:rsidRPr="00E27D3B">
        <w:rPr>
          <w:noProof/>
          <w:sz w:val="16"/>
          <w:szCs w:val="16"/>
        </w:rPr>
        <w:t xml:space="preserve">     </w:t>
      </w:r>
      <w:r w:rsidRPr="00E27D3B">
        <w:rPr>
          <w:noProof/>
          <w:sz w:val="16"/>
          <w:szCs w:val="16"/>
        </w:rPr>
        <w:drawing>
          <wp:inline distT="0" distB="0" distL="0" distR="0" wp14:anchorId="612BE3A8" wp14:editId="6BC99F70">
            <wp:extent cx="1854968" cy="1218315"/>
            <wp:effectExtent l="0" t="0" r="0" b="1270"/>
            <wp:docPr id="1042323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2750" name=""/>
                    <pic:cNvPicPr/>
                  </pic:nvPicPr>
                  <pic:blipFill rotWithShape="1">
                    <a:blip r:embed="rId47"/>
                    <a:srcRect l="31117" r="36214"/>
                    <a:stretch>
                      <a:fillRect/>
                    </a:stretch>
                  </pic:blipFill>
                  <pic:spPr bwMode="auto">
                    <a:xfrm>
                      <a:off x="0" y="0"/>
                      <a:ext cx="1860072" cy="1221667"/>
                    </a:xfrm>
                    <a:prstGeom prst="rect">
                      <a:avLst/>
                    </a:prstGeom>
                    <a:ln>
                      <a:noFill/>
                    </a:ln>
                    <a:extLst>
                      <a:ext uri="{53640926-AAD7-44D8-BBD7-CCE9431645EC}">
                        <a14:shadowObscured xmlns:a14="http://schemas.microsoft.com/office/drawing/2010/main"/>
                      </a:ext>
                    </a:extLst>
                  </pic:spPr>
                </pic:pic>
              </a:graphicData>
            </a:graphic>
          </wp:inline>
        </w:drawing>
      </w:r>
      <w:r w:rsidRPr="00E27D3B">
        <w:rPr>
          <w:noProof/>
          <w:sz w:val="16"/>
          <w:szCs w:val="16"/>
        </w:rPr>
        <w:t xml:space="preserve">     </w:t>
      </w:r>
      <w:r w:rsidRPr="00E27D3B">
        <w:rPr>
          <w:noProof/>
          <w:sz w:val="16"/>
          <w:szCs w:val="16"/>
        </w:rPr>
        <w:drawing>
          <wp:inline distT="0" distB="0" distL="0" distR="0" wp14:anchorId="30F66BBF" wp14:editId="78905321">
            <wp:extent cx="2010717" cy="1216158"/>
            <wp:effectExtent l="0" t="0" r="8890" b="3175"/>
            <wp:docPr id="186983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2750" name=""/>
                    <pic:cNvPicPr/>
                  </pic:nvPicPr>
                  <pic:blipFill rotWithShape="1">
                    <a:blip r:embed="rId47"/>
                    <a:srcRect l="64525"/>
                    <a:stretch>
                      <a:fillRect/>
                    </a:stretch>
                  </pic:blipFill>
                  <pic:spPr bwMode="auto">
                    <a:xfrm>
                      <a:off x="0" y="0"/>
                      <a:ext cx="2019446" cy="1221438"/>
                    </a:xfrm>
                    <a:prstGeom prst="rect">
                      <a:avLst/>
                    </a:prstGeom>
                    <a:ln>
                      <a:noFill/>
                    </a:ln>
                    <a:extLst>
                      <a:ext uri="{53640926-AAD7-44D8-BBD7-CCE9431645EC}">
                        <a14:shadowObscured xmlns:a14="http://schemas.microsoft.com/office/drawing/2010/main"/>
                      </a:ext>
                    </a:extLst>
                  </pic:spPr>
                </pic:pic>
              </a:graphicData>
            </a:graphic>
          </wp:inline>
        </w:drawing>
      </w:r>
    </w:p>
    <w:p w14:paraId="5EF185F6" w14:textId="6301B7F8" w:rsidR="00E2284F" w:rsidRPr="00E27D3B" w:rsidRDefault="00094D8F" w:rsidP="00CD4F3A">
      <w:pPr>
        <w:pStyle w:val="BodyText"/>
        <w:spacing w:line="240" w:lineRule="auto"/>
      </w:pPr>
      <w:r w:rsidRPr="00E27D3B">
        <w:rPr>
          <w:noProof/>
          <w:sz w:val="16"/>
          <w:szCs w:val="16"/>
        </w:rPr>
        <mc:AlternateContent>
          <mc:Choice Requires="wps">
            <w:drawing>
              <wp:anchor distT="45720" distB="45720" distL="114300" distR="114300" simplePos="0" relativeHeight="251699200" behindDoc="0" locked="0" layoutInCell="1" allowOverlap="1" wp14:anchorId="53D20389" wp14:editId="1D8BCA67">
                <wp:simplePos x="0" y="0"/>
                <wp:positionH relativeFrom="margin">
                  <wp:posOffset>5033010</wp:posOffset>
                </wp:positionH>
                <wp:positionV relativeFrom="paragraph">
                  <wp:posOffset>6350</wp:posOffset>
                </wp:positionV>
                <wp:extent cx="183515" cy="196850"/>
                <wp:effectExtent l="0" t="0" r="6985" b="12700"/>
                <wp:wrapNone/>
                <wp:docPr id="1022583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96850"/>
                        </a:xfrm>
                        <a:prstGeom prst="rect">
                          <a:avLst/>
                        </a:prstGeom>
                        <a:noFill/>
                        <a:ln w="9525">
                          <a:noFill/>
                          <a:miter lim="800000"/>
                          <a:headEnd/>
                          <a:tailEnd/>
                        </a:ln>
                      </wps:spPr>
                      <wps:txbx>
                        <w:txbxContent>
                          <w:p w14:paraId="611555DD" w14:textId="77777777" w:rsidR="00E2284F" w:rsidRPr="00A63684" w:rsidRDefault="00E2284F" w:rsidP="00E2284F">
                            <w:pPr>
                              <w:jc w:val="center"/>
                              <w:rPr>
                                <w:sz w:val="16"/>
                                <w:szCs w:val="16"/>
                              </w:rPr>
                            </w:pPr>
                            <w:r>
                              <w:rPr>
                                <w:sz w:val="16"/>
                                <w:szCs w:val="16"/>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20389" id="_x0000_s1044" type="#_x0000_t202" style="position:absolute;margin-left:396.3pt;margin-top:.5pt;width:14.45pt;height:15.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" filled="f" stroked="f">
                <v:textbox inset="0,0,0,0">
                  <w:txbxContent>
                    <w:p w14:paraId="611555DD" w14:textId="77777777" w:rsidR="00E2284F" w:rsidRPr="00A63684" w:rsidRDefault="00E2284F" w:rsidP="00E2284F">
                      <w:pPr>
                        <w:jc w:val="center"/>
                        <w:rPr>
                          <w:sz w:val="16"/>
                          <w:szCs w:val="16"/>
                        </w:rPr>
                      </w:pPr>
                      <w:r>
                        <w:rPr>
                          <w:sz w:val="16"/>
                          <w:szCs w:val="16"/>
                        </w:rPr>
                        <w:t>(c)</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91008" behindDoc="0" locked="0" layoutInCell="1" allowOverlap="1" wp14:anchorId="13CB6E6F" wp14:editId="7FE50D68">
                <wp:simplePos x="0" y="0"/>
                <wp:positionH relativeFrom="margin">
                  <wp:posOffset>2893060</wp:posOffset>
                </wp:positionH>
                <wp:positionV relativeFrom="paragraph">
                  <wp:posOffset>38100</wp:posOffset>
                </wp:positionV>
                <wp:extent cx="259715" cy="209550"/>
                <wp:effectExtent l="0" t="0" r="6985" b="0"/>
                <wp:wrapNone/>
                <wp:docPr id="1786383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09550"/>
                        </a:xfrm>
                        <a:prstGeom prst="rect">
                          <a:avLst/>
                        </a:prstGeom>
                        <a:noFill/>
                        <a:ln w="9525">
                          <a:noFill/>
                          <a:miter lim="800000"/>
                          <a:headEnd/>
                          <a:tailEnd/>
                        </a:ln>
                      </wps:spPr>
                      <wps:txbx>
                        <w:txbxContent>
                          <w:p w14:paraId="3F60DB54" w14:textId="77777777" w:rsidR="00E2284F" w:rsidRPr="00A63684" w:rsidRDefault="00E2284F" w:rsidP="00E2284F">
                            <w:pPr>
                              <w:jc w:val="center"/>
                              <w:rPr>
                                <w:sz w:val="16"/>
                                <w:szCs w:val="16"/>
                              </w:rPr>
                            </w:pPr>
                            <w:r>
                              <w:rPr>
                                <w:sz w:val="16"/>
                                <w:szCs w:val="16"/>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B6E6F" id="_x0000_s1045" type="#_x0000_t202" style="position:absolute;margin-left:227.8pt;margin-top:3pt;width:20.45pt;height:16.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" filled="f" stroked="f">
                <v:textbox inset="0,0,0,0">
                  <w:txbxContent>
                    <w:p w14:paraId="3F60DB54" w14:textId="77777777" w:rsidR="00E2284F" w:rsidRPr="00A63684" w:rsidRDefault="00E2284F" w:rsidP="00E2284F">
                      <w:pPr>
                        <w:jc w:val="center"/>
                        <w:rPr>
                          <w:sz w:val="16"/>
                          <w:szCs w:val="16"/>
                        </w:rPr>
                      </w:pPr>
                      <w:r>
                        <w:rPr>
                          <w:sz w:val="16"/>
                          <w:szCs w:val="16"/>
                        </w:rPr>
                        <w:t>(b)</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682816" behindDoc="0" locked="0" layoutInCell="1" allowOverlap="1" wp14:anchorId="1D04A1C6" wp14:editId="3F33B2BD">
                <wp:simplePos x="0" y="0"/>
                <wp:positionH relativeFrom="margin">
                  <wp:posOffset>905510</wp:posOffset>
                </wp:positionH>
                <wp:positionV relativeFrom="paragraph">
                  <wp:posOffset>31750</wp:posOffset>
                </wp:positionV>
                <wp:extent cx="189865" cy="222250"/>
                <wp:effectExtent l="0" t="0" r="635" b="6350"/>
                <wp:wrapNone/>
                <wp:docPr id="603628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22250"/>
                        </a:xfrm>
                        <a:prstGeom prst="rect">
                          <a:avLst/>
                        </a:prstGeom>
                        <a:noFill/>
                        <a:ln w="9525">
                          <a:noFill/>
                          <a:miter lim="800000"/>
                          <a:headEnd/>
                          <a:tailEnd/>
                        </a:ln>
                      </wps:spPr>
                      <wps:txbx>
                        <w:txbxContent>
                          <w:p w14:paraId="01CAEDE7" w14:textId="77777777" w:rsidR="00E2284F" w:rsidRPr="00A63684" w:rsidRDefault="00E2284F" w:rsidP="00E2284F">
                            <w:pPr>
                              <w:jc w:val="center"/>
                              <w:rPr>
                                <w:sz w:val="16"/>
                                <w:szCs w:val="16"/>
                              </w:rPr>
                            </w:pPr>
                            <w:r>
                              <w:rPr>
                                <w:sz w:val="16"/>
                                <w:szCs w:val="16"/>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4A1C6" id="_x0000_s1046" type="#_x0000_t202" style="position:absolute;margin-left:71.3pt;margin-top:2.5pt;width:14.95pt;height:1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" filled="f" stroked="f">
                <v:textbox inset="0,0,0,0">
                  <w:txbxContent>
                    <w:p w14:paraId="01CAEDE7" w14:textId="77777777" w:rsidR="00E2284F" w:rsidRPr="00A63684" w:rsidRDefault="00E2284F" w:rsidP="00E2284F">
                      <w:pPr>
                        <w:jc w:val="center"/>
                        <w:rPr>
                          <w:sz w:val="16"/>
                          <w:szCs w:val="16"/>
                        </w:rPr>
                      </w:pPr>
                      <w:r>
                        <w:rPr>
                          <w:sz w:val="16"/>
                          <w:szCs w:val="16"/>
                        </w:rPr>
                        <w:t>(a)</w:t>
                      </w:r>
                    </w:p>
                  </w:txbxContent>
                </v:textbox>
                <w10:wrap anchorx="margin"/>
              </v:shape>
            </w:pict>
          </mc:Fallback>
        </mc:AlternateContent>
      </w:r>
    </w:p>
    <w:p w14:paraId="72AD117F" w14:textId="59369E74" w:rsidR="00E2284F" w:rsidRPr="00E27D3B" w:rsidRDefault="00094D8F" w:rsidP="00CD4F3A">
      <w:pPr>
        <w:pStyle w:val="BodyText"/>
        <w:spacing w:line="240" w:lineRule="auto"/>
        <w:jc w:val="center"/>
      </w:pPr>
      <w:r w:rsidRPr="00E27D3B">
        <w:rPr>
          <w:noProof/>
          <w:sz w:val="16"/>
          <w:szCs w:val="16"/>
        </w:rPr>
        <mc:AlternateContent>
          <mc:Choice Requires="wps">
            <w:drawing>
              <wp:anchor distT="45720" distB="45720" distL="114300" distR="114300" simplePos="0" relativeHeight="251723776" behindDoc="0" locked="0" layoutInCell="1" allowOverlap="1" wp14:anchorId="057AB6B1" wp14:editId="20471730">
                <wp:simplePos x="0" y="0"/>
                <wp:positionH relativeFrom="margin">
                  <wp:posOffset>4855210</wp:posOffset>
                </wp:positionH>
                <wp:positionV relativeFrom="paragraph">
                  <wp:posOffset>1350645</wp:posOffset>
                </wp:positionV>
                <wp:extent cx="164465" cy="234950"/>
                <wp:effectExtent l="0" t="0" r="6985" b="12700"/>
                <wp:wrapNone/>
                <wp:docPr id="1440814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234950"/>
                        </a:xfrm>
                        <a:prstGeom prst="rect">
                          <a:avLst/>
                        </a:prstGeom>
                        <a:noFill/>
                        <a:ln w="9525">
                          <a:noFill/>
                          <a:miter lim="800000"/>
                          <a:headEnd/>
                          <a:tailEnd/>
                        </a:ln>
                      </wps:spPr>
                      <wps:txbx>
                        <w:txbxContent>
                          <w:p w14:paraId="0A8BD9CE" w14:textId="77777777" w:rsidR="00E2284F" w:rsidRPr="00A63684" w:rsidRDefault="00E2284F" w:rsidP="00E2284F">
                            <w:pPr>
                              <w:jc w:val="center"/>
                              <w:rPr>
                                <w:sz w:val="16"/>
                                <w:szCs w:val="16"/>
                              </w:rPr>
                            </w:pPr>
                            <w:r>
                              <w:rPr>
                                <w:sz w:val="16"/>
                                <w:szCs w:val="16"/>
                              </w:rPr>
                              <w:t>(f)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B6B1" id="_x0000_s1047" type="#_x0000_t202" style="position:absolute;left:0;text-align:left;margin-left:382.3pt;margin-top:106.35pt;width:12.95pt;height:18.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" filled="f" stroked="f">
                <v:textbox inset="0,0,0,0">
                  <w:txbxContent>
                    <w:p w14:paraId="0A8BD9CE" w14:textId="77777777" w:rsidR="00E2284F" w:rsidRPr="00A63684" w:rsidRDefault="00E2284F" w:rsidP="00E2284F">
                      <w:pPr>
                        <w:jc w:val="center"/>
                        <w:rPr>
                          <w:sz w:val="16"/>
                          <w:szCs w:val="16"/>
                        </w:rPr>
                      </w:pPr>
                      <w:r>
                        <w:rPr>
                          <w:sz w:val="16"/>
                          <w:szCs w:val="16"/>
                        </w:rPr>
                        <w:t>(f)</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715584" behindDoc="0" locked="0" layoutInCell="1" allowOverlap="1" wp14:anchorId="78A31577" wp14:editId="79A0E6F0">
                <wp:simplePos x="0" y="0"/>
                <wp:positionH relativeFrom="margin">
                  <wp:posOffset>2943860</wp:posOffset>
                </wp:positionH>
                <wp:positionV relativeFrom="paragraph">
                  <wp:posOffset>1344295</wp:posOffset>
                </wp:positionV>
                <wp:extent cx="208915" cy="234950"/>
                <wp:effectExtent l="0" t="0" r="635" b="12700"/>
                <wp:wrapNone/>
                <wp:docPr id="372414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 cy="234950"/>
                        </a:xfrm>
                        <a:prstGeom prst="rect">
                          <a:avLst/>
                        </a:prstGeom>
                        <a:noFill/>
                        <a:ln w="9525">
                          <a:noFill/>
                          <a:miter lim="800000"/>
                          <a:headEnd/>
                          <a:tailEnd/>
                        </a:ln>
                      </wps:spPr>
                      <wps:txbx>
                        <w:txbxContent>
                          <w:p w14:paraId="322F6823" w14:textId="77777777" w:rsidR="00E2284F" w:rsidRPr="00A63684" w:rsidRDefault="00E2284F" w:rsidP="00E2284F">
                            <w:pPr>
                              <w:jc w:val="center"/>
                              <w:rPr>
                                <w:sz w:val="16"/>
                                <w:szCs w:val="16"/>
                              </w:rPr>
                            </w:pPr>
                            <w:r>
                              <w:rPr>
                                <w:sz w:val="16"/>
                                <w:szCs w:val="16"/>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31577" id="_x0000_s1048" type="#_x0000_t202" style="position:absolute;left:0;text-align:left;margin-left:231.8pt;margin-top:105.85pt;width:16.45pt;height:18.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" filled="f" stroked="f">
                <v:textbox inset="0,0,0,0">
                  <w:txbxContent>
                    <w:p w14:paraId="322F6823" w14:textId="77777777" w:rsidR="00E2284F" w:rsidRPr="00A63684" w:rsidRDefault="00E2284F" w:rsidP="00E2284F">
                      <w:pPr>
                        <w:jc w:val="center"/>
                        <w:rPr>
                          <w:sz w:val="16"/>
                          <w:szCs w:val="16"/>
                        </w:rPr>
                      </w:pPr>
                      <w:r>
                        <w:rPr>
                          <w:sz w:val="16"/>
                          <w:szCs w:val="16"/>
                        </w:rPr>
                        <w:t>(e)</w:t>
                      </w:r>
                    </w:p>
                  </w:txbxContent>
                </v:textbox>
                <w10:wrap anchorx="margin"/>
              </v:shape>
            </w:pict>
          </mc:Fallback>
        </mc:AlternateContent>
      </w:r>
      <w:r w:rsidRPr="00E27D3B">
        <w:rPr>
          <w:noProof/>
          <w:sz w:val="16"/>
          <w:szCs w:val="16"/>
        </w:rPr>
        <mc:AlternateContent>
          <mc:Choice Requires="wps">
            <w:drawing>
              <wp:anchor distT="45720" distB="45720" distL="114300" distR="114300" simplePos="0" relativeHeight="251707392" behindDoc="0" locked="0" layoutInCell="1" allowOverlap="1" wp14:anchorId="4029FE26" wp14:editId="37A8DC81">
                <wp:simplePos x="0" y="0"/>
                <wp:positionH relativeFrom="margin">
                  <wp:posOffset>949960</wp:posOffset>
                </wp:positionH>
                <wp:positionV relativeFrom="paragraph">
                  <wp:posOffset>1382395</wp:posOffset>
                </wp:positionV>
                <wp:extent cx="208915" cy="196850"/>
                <wp:effectExtent l="0" t="0" r="635" b="12700"/>
                <wp:wrapNone/>
                <wp:docPr id="818668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 cy="196850"/>
                        </a:xfrm>
                        <a:prstGeom prst="rect">
                          <a:avLst/>
                        </a:prstGeom>
                        <a:noFill/>
                        <a:ln w="9525">
                          <a:noFill/>
                          <a:miter lim="800000"/>
                          <a:headEnd/>
                          <a:tailEnd/>
                        </a:ln>
                      </wps:spPr>
                      <wps:txbx>
                        <w:txbxContent>
                          <w:p w14:paraId="5FBAD84F" w14:textId="77777777" w:rsidR="00E2284F" w:rsidRPr="00A63684" w:rsidRDefault="00E2284F" w:rsidP="00E2284F">
                            <w:pPr>
                              <w:jc w:val="center"/>
                              <w:rPr>
                                <w:sz w:val="16"/>
                                <w:szCs w:val="16"/>
                              </w:rPr>
                            </w:pPr>
                            <w:r>
                              <w:rPr>
                                <w:sz w:val="16"/>
                                <w:szCs w:val="16"/>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9FE26" id="_x0000_s1049" type="#_x0000_t202" style="position:absolute;left:0;text-align:left;margin-left:74.8pt;margin-top:108.85pt;width:16.45pt;height:15.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" filled="f" stroked="f">
                <v:textbox inset="0,0,0,0">
                  <w:txbxContent>
                    <w:p w14:paraId="5FBAD84F" w14:textId="77777777" w:rsidR="00E2284F" w:rsidRPr="00A63684" w:rsidRDefault="00E2284F" w:rsidP="00E2284F">
                      <w:pPr>
                        <w:jc w:val="center"/>
                        <w:rPr>
                          <w:sz w:val="16"/>
                          <w:szCs w:val="16"/>
                        </w:rPr>
                      </w:pPr>
                      <w:r>
                        <w:rPr>
                          <w:sz w:val="16"/>
                          <w:szCs w:val="16"/>
                        </w:rPr>
                        <w:t>(d)</w:t>
                      </w:r>
                    </w:p>
                  </w:txbxContent>
                </v:textbox>
                <w10:wrap anchorx="margin"/>
              </v:shape>
            </w:pict>
          </mc:Fallback>
        </mc:AlternateContent>
      </w:r>
      <w:r w:rsidR="00E2284F" w:rsidRPr="00E27D3B">
        <w:t xml:space="preserve">         </w:t>
      </w:r>
      <w:r w:rsidR="00E2284F" w:rsidRPr="00E27D3B">
        <w:rPr>
          <w:noProof/>
        </w:rPr>
        <w:drawing>
          <wp:inline distT="0" distB="0" distL="0" distR="0" wp14:anchorId="50A3E748" wp14:editId="1F955700">
            <wp:extent cx="1796740" cy="1272931"/>
            <wp:effectExtent l="0" t="0" r="0" b="3810"/>
            <wp:docPr id="68" name="Picture 67">
              <a:extLst xmlns:a="http://schemas.openxmlformats.org/drawingml/2006/main">
                <a:ext uri="{FF2B5EF4-FFF2-40B4-BE49-F238E27FC236}">
                  <a16:creationId xmlns:a16="http://schemas.microsoft.com/office/drawing/2014/main" id="{B79BB3B5-94C3-1E0A-DDA6-CE40FC43B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7">
                      <a:extLst>
                        <a:ext uri="{FF2B5EF4-FFF2-40B4-BE49-F238E27FC236}">
                          <a16:creationId xmlns:a16="http://schemas.microsoft.com/office/drawing/2014/main" id="{B79BB3B5-94C3-1E0A-DDA6-CE40FC43B481}"/>
                        </a:ext>
                      </a:extLst>
                    </pic:cNvPr>
                    <pic:cNvPicPr>
                      <a:picLocks noChangeAspect="1"/>
                    </pic:cNvPicPr>
                  </pic:nvPicPr>
                  <pic:blipFill>
                    <a:blip r:embed="rId48"/>
                    <a:stretch>
                      <a:fillRect/>
                    </a:stretch>
                  </pic:blipFill>
                  <pic:spPr>
                    <a:xfrm>
                      <a:off x="0" y="0"/>
                      <a:ext cx="1796740" cy="1272931"/>
                    </a:xfrm>
                    <a:prstGeom prst="rect">
                      <a:avLst/>
                    </a:prstGeom>
                    <a:ln>
                      <a:noFill/>
                    </a:ln>
                  </pic:spPr>
                </pic:pic>
              </a:graphicData>
            </a:graphic>
          </wp:inline>
        </w:drawing>
      </w:r>
      <w:r w:rsidR="00E2284F" w:rsidRPr="00E27D3B">
        <w:t xml:space="preserve">    </w:t>
      </w:r>
      <w:r w:rsidR="00E2284F" w:rsidRPr="00E27D3B">
        <w:rPr>
          <w:noProof/>
        </w:rPr>
        <w:drawing>
          <wp:inline distT="0" distB="0" distL="0" distR="0" wp14:anchorId="1EFD4C68" wp14:editId="4A03B0AC">
            <wp:extent cx="1645691" cy="1213127"/>
            <wp:effectExtent l="0" t="0" r="0" b="6350"/>
            <wp:docPr id="66" name="Picture 65">
              <a:extLst xmlns:a="http://schemas.openxmlformats.org/drawingml/2006/main">
                <a:ext uri="{FF2B5EF4-FFF2-40B4-BE49-F238E27FC236}">
                  <a16:creationId xmlns:a16="http://schemas.microsoft.com/office/drawing/2014/main" id="{FCA0F16C-F9F1-A7D6-11DC-053D69FE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a:extLst>
                        <a:ext uri="{FF2B5EF4-FFF2-40B4-BE49-F238E27FC236}">
                          <a16:creationId xmlns:a16="http://schemas.microsoft.com/office/drawing/2014/main" id="{FCA0F16C-F9F1-A7D6-11DC-053D69FE4F41}"/>
                        </a:ext>
                      </a:extLst>
                    </pic:cNvPr>
                    <pic:cNvPicPr>
                      <a:picLocks noChangeAspect="1"/>
                    </pic:cNvPicPr>
                  </pic:nvPicPr>
                  <pic:blipFill rotWithShape="1">
                    <a:blip r:embed="rId49"/>
                    <a:srcRect l="1108" t="1515" r="1198"/>
                    <a:stretch>
                      <a:fillRect/>
                    </a:stretch>
                  </pic:blipFill>
                  <pic:spPr bwMode="auto">
                    <a:xfrm>
                      <a:off x="0" y="0"/>
                      <a:ext cx="1645691" cy="1213127"/>
                    </a:xfrm>
                    <a:prstGeom prst="rect">
                      <a:avLst/>
                    </a:prstGeom>
                    <a:ln>
                      <a:noFill/>
                    </a:ln>
                    <a:extLst>
                      <a:ext uri="{53640926-AAD7-44D8-BBD7-CCE9431645EC}">
                        <a14:shadowObscured xmlns:a14="http://schemas.microsoft.com/office/drawing/2010/main"/>
                      </a:ext>
                    </a:extLst>
                  </pic:spPr>
                </pic:pic>
              </a:graphicData>
            </a:graphic>
          </wp:inline>
        </w:drawing>
      </w:r>
      <w:r w:rsidR="00E2284F" w:rsidRPr="00E27D3B">
        <w:t xml:space="preserve">          </w:t>
      </w:r>
      <w:r w:rsidR="00E2284F" w:rsidRPr="00E27D3B">
        <w:rPr>
          <w:noProof/>
        </w:rPr>
        <w:drawing>
          <wp:inline distT="0" distB="0" distL="0" distR="0" wp14:anchorId="3532187B" wp14:editId="793A7C4C">
            <wp:extent cx="1875826" cy="1303913"/>
            <wp:effectExtent l="0" t="0" r="0" b="0"/>
            <wp:docPr id="64" name="Picture 63">
              <a:extLst xmlns:a="http://schemas.openxmlformats.org/drawingml/2006/main">
                <a:ext uri="{FF2B5EF4-FFF2-40B4-BE49-F238E27FC236}">
                  <a16:creationId xmlns:a16="http://schemas.microsoft.com/office/drawing/2014/main" id="{4015ACB4-03B3-4943-20EF-7570B4D9A1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3">
                      <a:extLst>
                        <a:ext uri="{FF2B5EF4-FFF2-40B4-BE49-F238E27FC236}">
                          <a16:creationId xmlns:a16="http://schemas.microsoft.com/office/drawing/2014/main" id="{4015ACB4-03B3-4943-20EF-7570B4D9A131}"/>
                        </a:ext>
                      </a:extLst>
                    </pic:cNvPr>
                    <pic:cNvPicPr>
                      <a:picLocks noChangeAspect="1"/>
                    </pic:cNvPicPr>
                  </pic:nvPicPr>
                  <pic:blipFill rotWithShape="1">
                    <a:blip r:embed="rId50"/>
                    <a:srcRect l="3160" t="3742" r="3444" b="3987"/>
                    <a:stretch>
                      <a:fillRect/>
                    </a:stretch>
                  </pic:blipFill>
                  <pic:spPr bwMode="auto">
                    <a:xfrm>
                      <a:off x="0" y="0"/>
                      <a:ext cx="1893860" cy="1316448"/>
                    </a:xfrm>
                    <a:prstGeom prst="rect">
                      <a:avLst/>
                    </a:prstGeom>
                    <a:ln>
                      <a:noFill/>
                    </a:ln>
                    <a:extLst>
                      <a:ext uri="{53640926-AAD7-44D8-BBD7-CCE9431645EC}">
                        <a14:shadowObscured xmlns:a14="http://schemas.microsoft.com/office/drawing/2010/main"/>
                      </a:ext>
                    </a:extLst>
                  </pic:spPr>
                </pic:pic>
              </a:graphicData>
            </a:graphic>
          </wp:inline>
        </w:drawing>
      </w:r>
    </w:p>
    <w:p w14:paraId="74851AE3" w14:textId="3BD04A80" w:rsidR="00E2284F" w:rsidRPr="00E27D3B" w:rsidRDefault="00E2284F" w:rsidP="00CD4F3A">
      <w:pPr>
        <w:keepNext/>
        <w:widowControl w:val="0"/>
        <w:pBdr>
          <w:top w:val="nil"/>
          <w:left w:val="nil"/>
          <w:bottom w:val="nil"/>
          <w:right w:val="nil"/>
          <w:between w:val="nil"/>
        </w:pBdr>
        <w:ind w:right="43"/>
      </w:pPr>
    </w:p>
    <w:p w14:paraId="31656A15" w14:textId="6C2C12F9" w:rsidR="00E2284F" w:rsidRPr="00E27D3B" w:rsidRDefault="00E2284F" w:rsidP="00CD4F3A">
      <w:pPr>
        <w:pStyle w:val="Caption"/>
        <w:spacing w:line="240" w:lineRule="auto"/>
      </w:pPr>
      <w:bookmarkStart w:id="94" w:name="_Ref223644292"/>
      <w:bookmarkStart w:id="95" w:name="_Toc229777577"/>
      <w:bookmarkStart w:id="96" w:name="_Toc233735024"/>
      <w:r w:rsidRPr="00E27D3B">
        <w:t xml:space="preserve">Figure </w:t>
      </w:r>
      <w:fldSimple w:instr=" SEQ Figure \* ARABIC ">
        <w:r w:rsidR="00A85006">
          <w:rPr>
            <w:noProof/>
          </w:rPr>
          <w:t>18</w:t>
        </w:r>
      </w:fldSimple>
      <w:bookmarkEnd w:id="94"/>
      <w:r w:rsidRPr="00E27D3B">
        <w:t>: Frequency, voltage, and respective eigenvalue plots of the SMIB system with VSM-controlled GFMI: (a), (d) SCR=1.2, (b), (e) SCR=2.5, and (c), (f) SCR=4.0.</w:t>
      </w:r>
      <w:bookmarkEnd w:id="95"/>
      <w:bookmarkEnd w:id="96"/>
      <w:r w:rsidR="00471F4F">
        <w:t xml:space="preserve"> </w:t>
      </w:r>
    </w:p>
    <w:p w14:paraId="1AA36599" w14:textId="0F83EF42" w:rsidR="00E2284F" w:rsidRPr="00E27D3B" w:rsidRDefault="00E2284F" w:rsidP="00094D8F">
      <w:pPr>
        <w:pStyle w:val="BodyText"/>
        <w:spacing w:after="0"/>
      </w:pPr>
      <w:r w:rsidRPr="00E27D3B">
        <w:t xml:space="preserve">In addition to the eigenvalue analysis with different control strategies of the GFLI and GFMIs, the controllability and participation plots also have been analysed and interpreted. </w:t>
      </w:r>
      <w:r w:rsidRPr="00E27D3B">
        <w:fldChar w:fldCharType="begin"/>
      </w:r>
      <w:r w:rsidRPr="00E27D3B">
        <w:instrText xml:space="preserve"> REF _Ref223644313 \h  \* MERGEFORMAT </w:instrText>
      </w:r>
      <w:r w:rsidRPr="00E27D3B">
        <w:fldChar w:fldCharType="separate"/>
      </w:r>
      <w:r w:rsidR="00753DAF" w:rsidRPr="00E27D3B">
        <w:t xml:space="preserve">Figure </w:t>
      </w:r>
      <w:r w:rsidR="00753DAF">
        <w:rPr>
          <w:noProof/>
        </w:rPr>
        <w:t>19</w:t>
      </w:r>
      <w:r w:rsidRPr="00E27D3B">
        <w:fldChar w:fldCharType="end"/>
      </w:r>
      <w:r w:rsidRPr="00E27D3B">
        <w:t xml:space="preserve"> shows the controllability and participation plots for a specific mode of interest (in this case Mode 1) for all operation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919"/>
      </w:tblGrid>
      <w:tr w:rsidR="00E2284F" w:rsidRPr="00E27D3B" w14:paraId="230DDEBD" w14:textId="77777777" w:rsidTr="000177F1">
        <w:tc>
          <w:tcPr>
            <w:tcW w:w="4728" w:type="dxa"/>
          </w:tcPr>
          <w:p w14:paraId="2E3AF6C6" w14:textId="77777777" w:rsidR="00E2284F" w:rsidRPr="00E27D3B" w:rsidRDefault="00E2284F" w:rsidP="00CD4F3A">
            <w:pPr>
              <w:pStyle w:val="BodyText"/>
              <w:spacing w:line="240" w:lineRule="auto"/>
            </w:pPr>
            <w:r w:rsidRPr="00E27D3B">
              <w:br w:type="page"/>
            </w:r>
            <w:r w:rsidRPr="00E27D3B">
              <w:rPr>
                <w:noProof/>
              </w:rPr>
              <w:drawing>
                <wp:inline distT="0" distB="0" distL="0" distR="0" wp14:anchorId="139848E9" wp14:editId="042EEDF0">
                  <wp:extent cx="2755719" cy="1841500"/>
                  <wp:effectExtent l="0" t="0" r="6985" b="6350"/>
                  <wp:docPr id="1129207566" name="Picture 19">
                    <a:extLst xmlns:a="http://schemas.openxmlformats.org/drawingml/2006/main">
                      <a:ext uri="{FF2B5EF4-FFF2-40B4-BE49-F238E27FC236}">
                        <a16:creationId xmlns:a16="http://schemas.microsoft.com/office/drawing/2014/main" id="{B2BC2AFB-9EFD-526D-511E-8024FC2E4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B2BC2AFB-9EFD-526D-511E-8024FC2E4DFD}"/>
                              </a:ext>
                            </a:extLst>
                          </pic:cNvPr>
                          <pic:cNvPicPr>
                            <a:picLocks noChangeAspect="1"/>
                          </pic:cNvPicPr>
                        </pic:nvPicPr>
                        <pic:blipFill>
                          <a:blip r:embed="rId51"/>
                          <a:stretch>
                            <a:fillRect/>
                          </a:stretch>
                        </pic:blipFill>
                        <pic:spPr>
                          <a:xfrm>
                            <a:off x="0" y="0"/>
                            <a:ext cx="2801280" cy="1871946"/>
                          </a:xfrm>
                          <a:prstGeom prst="rect">
                            <a:avLst/>
                          </a:prstGeom>
                        </pic:spPr>
                      </pic:pic>
                    </a:graphicData>
                  </a:graphic>
                </wp:inline>
              </w:drawing>
            </w:r>
          </w:p>
        </w:tc>
        <w:tc>
          <w:tcPr>
            <w:tcW w:w="4910" w:type="dxa"/>
          </w:tcPr>
          <w:p w14:paraId="2719C7AC" w14:textId="77777777" w:rsidR="00E2284F" w:rsidRPr="00E27D3B" w:rsidRDefault="00E2284F" w:rsidP="00CD4F3A">
            <w:pPr>
              <w:pStyle w:val="BodyText"/>
              <w:spacing w:line="240" w:lineRule="auto"/>
            </w:pPr>
            <w:r w:rsidRPr="00E27D3B">
              <w:rPr>
                <w:noProof/>
              </w:rPr>
              <w:drawing>
                <wp:inline distT="0" distB="0" distL="0" distR="0" wp14:anchorId="178CC247" wp14:editId="5ADF280C">
                  <wp:extent cx="2628084" cy="1824963"/>
                  <wp:effectExtent l="0" t="0" r="1270" b="4445"/>
                  <wp:docPr id="8" name="Picture 7">
                    <a:extLst xmlns:a="http://schemas.openxmlformats.org/drawingml/2006/main">
                      <a:ext uri="{FF2B5EF4-FFF2-40B4-BE49-F238E27FC236}">
                        <a16:creationId xmlns:a16="http://schemas.microsoft.com/office/drawing/2014/main" id="{BD92DE08-A7DC-7477-4D48-D6A1091D7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D92DE08-A7DC-7477-4D48-D6A1091D709D}"/>
                              </a:ext>
                            </a:extLst>
                          </pic:cNvPr>
                          <pic:cNvPicPr>
                            <a:picLocks noChangeAspect="1"/>
                          </pic:cNvPicPr>
                        </pic:nvPicPr>
                        <pic:blipFill>
                          <a:blip r:embed="rId52"/>
                          <a:stretch>
                            <a:fillRect/>
                          </a:stretch>
                        </pic:blipFill>
                        <pic:spPr>
                          <a:xfrm>
                            <a:off x="0" y="0"/>
                            <a:ext cx="2677792" cy="1859480"/>
                          </a:xfrm>
                          <a:prstGeom prst="rect">
                            <a:avLst/>
                          </a:prstGeom>
                        </pic:spPr>
                      </pic:pic>
                    </a:graphicData>
                  </a:graphic>
                </wp:inline>
              </w:drawing>
            </w:r>
          </w:p>
        </w:tc>
      </w:tr>
      <w:tr w:rsidR="00E2284F" w:rsidRPr="00E27D3B" w14:paraId="14A00A29" w14:textId="77777777" w:rsidTr="000177F1">
        <w:tc>
          <w:tcPr>
            <w:tcW w:w="4728" w:type="dxa"/>
          </w:tcPr>
          <w:p w14:paraId="6626B68D" w14:textId="77777777" w:rsidR="00E2284F" w:rsidRPr="00E27D3B" w:rsidRDefault="00E2284F" w:rsidP="00CD4F3A">
            <w:pPr>
              <w:pStyle w:val="BodyText"/>
              <w:spacing w:line="240" w:lineRule="auto"/>
              <w:jc w:val="center"/>
            </w:pPr>
            <w:r w:rsidRPr="00E27D3B">
              <w:rPr>
                <w:sz w:val="18"/>
                <w:szCs w:val="14"/>
              </w:rPr>
              <w:t>(a)</w:t>
            </w:r>
          </w:p>
        </w:tc>
        <w:tc>
          <w:tcPr>
            <w:tcW w:w="4910" w:type="dxa"/>
          </w:tcPr>
          <w:p w14:paraId="76361A68" w14:textId="77777777" w:rsidR="00E2284F" w:rsidRPr="00E27D3B" w:rsidRDefault="00E2284F" w:rsidP="00CD4F3A">
            <w:pPr>
              <w:pStyle w:val="BodyText"/>
              <w:spacing w:line="240" w:lineRule="auto"/>
              <w:jc w:val="center"/>
            </w:pPr>
            <w:r w:rsidRPr="00E27D3B">
              <w:rPr>
                <w:sz w:val="18"/>
                <w:szCs w:val="14"/>
              </w:rPr>
              <w:t>(b)</w:t>
            </w:r>
          </w:p>
        </w:tc>
      </w:tr>
      <w:tr w:rsidR="00E2284F" w:rsidRPr="00E27D3B" w14:paraId="07E35968" w14:textId="77777777" w:rsidTr="000177F1">
        <w:tc>
          <w:tcPr>
            <w:tcW w:w="4728" w:type="dxa"/>
          </w:tcPr>
          <w:p w14:paraId="5AB27C78" w14:textId="77777777" w:rsidR="00E2284F" w:rsidRPr="00E27D3B" w:rsidRDefault="00E2284F" w:rsidP="00CD4F3A">
            <w:pPr>
              <w:pStyle w:val="BodyText"/>
              <w:spacing w:line="240" w:lineRule="auto"/>
            </w:pPr>
            <w:r w:rsidRPr="00E27D3B">
              <w:rPr>
                <w:noProof/>
              </w:rPr>
              <w:drawing>
                <wp:inline distT="0" distB="0" distL="0" distR="0" wp14:anchorId="115F488D" wp14:editId="0FBC256B">
                  <wp:extent cx="2638288" cy="1828800"/>
                  <wp:effectExtent l="0" t="0" r="0" b="0"/>
                  <wp:docPr id="1835295279" name="Picture 42">
                    <a:extLst xmlns:a="http://schemas.openxmlformats.org/drawingml/2006/main">
                      <a:ext uri="{FF2B5EF4-FFF2-40B4-BE49-F238E27FC236}">
                        <a16:creationId xmlns:a16="http://schemas.microsoft.com/office/drawing/2014/main" id="{577E652E-F918-9CED-2949-C648FA39B6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577E652E-F918-9CED-2949-C648FA39B663}"/>
                              </a:ext>
                            </a:extLst>
                          </pic:cNvPr>
                          <pic:cNvPicPr>
                            <a:picLocks noChangeAspect="1"/>
                          </pic:cNvPicPr>
                        </pic:nvPicPr>
                        <pic:blipFill rotWithShape="1">
                          <a:blip r:embed="rId53"/>
                          <a:srcRect t="2063"/>
                          <a:stretch>
                            <a:fillRect/>
                          </a:stretch>
                        </pic:blipFill>
                        <pic:spPr bwMode="auto">
                          <a:xfrm>
                            <a:off x="0" y="0"/>
                            <a:ext cx="2655206" cy="1840527"/>
                          </a:xfrm>
                          <a:prstGeom prst="rect">
                            <a:avLst/>
                          </a:prstGeom>
                          <a:ln>
                            <a:noFill/>
                          </a:ln>
                          <a:extLst>
                            <a:ext uri="{53640926-AAD7-44D8-BBD7-CCE9431645EC}">
                              <a14:shadowObscured xmlns:a14="http://schemas.microsoft.com/office/drawing/2010/main"/>
                            </a:ext>
                          </a:extLst>
                        </pic:spPr>
                      </pic:pic>
                    </a:graphicData>
                  </a:graphic>
                </wp:inline>
              </w:drawing>
            </w:r>
          </w:p>
        </w:tc>
        <w:tc>
          <w:tcPr>
            <w:tcW w:w="4910" w:type="dxa"/>
          </w:tcPr>
          <w:p w14:paraId="0C5DDC91" w14:textId="77777777" w:rsidR="00E2284F" w:rsidRPr="00E27D3B" w:rsidRDefault="00E2284F" w:rsidP="00CD4F3A">
            <w:pPr>
              <w:pStyle w:val="BodyText"/>
              <w:spacing w:line="240" w:lineRule="auto"/>
            </w:pPr>
            <w:r w:rsidRPr="00E27D3B">
              <w:rPr>
                <w:noProof/>
              </w:rPr>
              <w:drawing>
                <wp:inline distT="0" distB="0" distL="0" distR="0" wp14:anchorId="300F2EA2" wp14:editId="7DD1F4A9">
                  <wp:extent cx="2488954" cy="1848857"/>
                  <wp:effectExtent l="0" t="0" r="6985" b="0"/>
                  <wp:docPr id="45" name="Picture 44">
                    <a:extLst xmlns:a="http://schemas.openxmlformats.org/drawingml/2006/main">
                      <a:ext uri="{FF2B5EF4-FFF2-40B4-BE49-F238E27FC236}">
                        <a16:creationId xmlns:a16="http://schemas.microsoft.com/office/drawing/2014/main" id="{28DB3DCD-49B3-34F7-8120-9F120A6BBD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28DB3DCD-49B3-34F7-8120-9F120A6BBD92}"/>
                              </a:ext>
                            </a:extLst>
                          </pic:cNvPr>
                          <pic:cNvPicPr>
                            <a:picLocks noChangeAspect="1"/>
                          </pic:cNvPicPr>
                        </pic:nvPicPr>
                        <pic:blipFill>
                          <a:blip r:embed="rId54"/>
                          <a:stretch>
                            <a:fillRect/>
                          </a:stretch>
                        </pic:blipFill>
                        <pic:spPr>
                          <a:xfrm>
                            <a:off x="0" y="0"/>
                            <a:ext cx="2511525" cy="1865623"/>
                          </a:xfrm>
                          <a:prstGeom prst="rect">
                            <a:avLst/>
                          </a:prstGeom>
                        </pic:spPr>
                      </pic:pic>
                    </a:graphicData>
                  </a:graphic>
                </wp:inline>
              </w:drawing>
            </w:r>
          </w:p>
        </w:tc>
      </w:tr>
      <w:tr w:rsidR="00E2284F" w:rsidRPr="00E27D3B" w14:paraId="1D365456" w14:textId="77777777" w:rsidTr="000177F1">
        <w:tc>
          <w:tcPr>
            <w:tcW w:w="4728" w:type="dxa"/>
          </w:tcPr>
          <w:p w14:paraId="37E99D22" w14:textId="77777777" w:rsidR="00E2284F" w:rsidRPr="00E27D3B" w:rsidRDefault="00E2284F" w:rsidP="00CD4F3A">
            <w:pPr>
              <w:pStyle w:val="BodyText"/>
              <w:spacing w:line="240" w:lineRule="auto"/>
              <w:jc w:val="center"/>
              <w:rPr>
                <w:sz w:val="18"/>
                <w:szCs w:val="14"/>
              </w:rPr>
            </w:pPr>
            <w:r w:rsidRPr="00E27D3B">
              <w:rPr>
                <w:sz w:val="18"/>
                <w:szCs w:val="14"/>
              </w:rPr>
              <w:t>(c)</w:t>
            </w:r>
          </w:p>
        </w:tc>
        <w:tc>
          <w:tcPr>
            <w:tcW w:w="4910" w:type="dxa"/>
          </w:tcPr>
          <w:p w14:paraId="183DFD97" w14:textId="77777777" w:rsidR="00E2284F" w:rsidRPr="00E27D3B" w:rsidRDefault="00E2284F" w:rsidP="00CD4F3A">
            <w:pPr>
              <w:pStyle w:val="BodyText"/>
              <w:spacing w:line="240" w:lineRule="auto"/>
              <w:jc w:val="center"/>
              <w:rPr>
                <w:sz w:val="18"/>
                <w:szCs w:val="14"/>
              </w:rPr>
            </w:pPr>
            <w:r w:rsidRPr="00E27D3B">
              <w:rPr>
                <w:sz w:val="18"/>
                <w:szCs w:val="14"/>
              </w:rPr>
              <w:t>(d)</w:t>
            </w:r>
          </w:p>
        </w:tc>
      </w:tr>
      <w:tr w:rsidR="00E2284F" w:rsidRPr="00E27D3B" w14:paraId="45BA0482" w14:textId="77777777" w:rsidTr="000177F1">
        <w:tc>
          <w:tcPr>
            <w:tcW w:w="4728" w:type="dxa"/>
          </w:tcPr>
          <w:p w14:paraId="484E2FD9" w14:textId="77777777" w:rsidR="00E2284F" w:rsidRPr="00E27D3B" w:rsidRDefault="00E2284F" w:rsidP="00CD4F3A">
            <w:pPr>
              <w:pStyle w:val="BodyText"/>
              <w:spacing w:line="240" w:lineRule="auto"/>
            </w:pPr>
            <w:r w:rsidRPr="00E27D3B">
              <w:rPr>
                <w:noProof/>
              </w:rPr>
              <w:lastRenderedPageBreak/>
              <w:drawing>
                <wp:inline distT="0" distB="0" distL="0" distR="0" wp14:anchorId="39120657" wp14:editId="038A17BE">
                  <wp:extent cx="2903517" cy="1764189"/>
                  <wp:effectExtent l="0" t="0" r="0" b="7620"/>
                  <wp:docPr id="6" name="Picture 5">
                    <a:extLst xmlns:a="http://schemas.openxmlformats.org/drawingml/2006/main">
                      <a:ext uri="{FF2B5EF4-FFF2-40B4-BE49-F238E27FC236}">
                        <a16:creationId xmlns:a16="http://schemas.microsoft.com/office/drawing/2014/main" id="{18844455-FD16-FE5E-A793-FF4881B849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8844455-FD16-FE5E-A793-FF4881B849C7}"/>
                              </a:ext>
                            </a:extLst>
                          </pic:cNvPr>
                          <pic:cNvPicPr>
                            <a:picLocks noChangeAspect="1"/>
                          </pic:cNvPicPr>
                        </pic:nvPicPr>
                        <pic:blipFill>
                          <a:blip r:embed="rId55"/>
                          <a:stretch>
                            <a:fillRect/>
                          </a:stretch>
                        </pic:blipFill>
                        <pic:spPr>
                          <a:xfrm>
                            <a:off x="0" y="0"/>
                            <a:ext cx="2927408" cy="1778706"/>
                          </a:xfrm>
                          <a:prstGeom prst="rect">
                            <a:avLst/>
                          </a:prstGeom>
                        </pic:spPr>
                      </pic:pic>
                    </a:graphicData>
                  </a:graphic>
                </wp:inline>
              </w:drawing>
            </w:r>
          </w:p>
        </w:tc>
        <w:tc>
          <w:tcPr>
            <w:tcW w:w="4910" w:type="dxa"/>
          </w:tcPr>
          <w:p w14:paraId="7A8E720B" w14:textId="77777777" w:rsidR="00E2284F" w:rsidRPr="00E27D3B" w:rsidRDefault="00E2284F" w:rsidP="00CD4F3A">
            <w:pPr>
              <w:pStyle w:val="BodyText"/>
              <w:spacing w:line="240" w:lineRule="auto"/>
            </w:pPr>
            <w:r w:rsidRPr="00E27D3B">
              <w:rPr>
                <w:noProof/>
              </w:rPr>
              <w:drawing>
                <wp:inline distT="0" distB="0" distL="0" distR="0" wp14:anchorId="63BD8938" wp14:editId="79462832">
                  <wp:extent cx="3033299" cy="1863029"/>
                  <wp:effectExtent l="0" t="0" r="0" b="4445"/>
                  <wp:docPr id="9" name="Picture 8">
                    <a:extLst xmlns:a="http://schemas.openxmlformats.org/drawingml/2006/main">
                      <a:ext uri="{FF2B5EF4-FFF2-40B4-BE49-F238E27FC236}">
                        <a16:creationId xmlns:a16="http://schemas.microsoft.com/office/drawing/2014/main" id="{92A4C1F0-80EF-0CDF-4051-9FC4CF196E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2A4C1F0-80EF-0CDF-4051-9FC4CF196EA0}"/>
                              </a:ext>
                            </a:extLst>
                          </pic:cNvPr>
                          <pic:cNvPicPr>
                            <a:picLocks noChangeAspect="1"/>
                          </pic:cNvPicPr>
                        </pic:nvPicPr>
                        <pic:blipFill>
                          <a:blip r:embed="rId56"/>
                          <a:stretch>
                            <a:fillRect/>
                          </a:stretch>
                        </pic:blipFill>
                        <pic:spPr>
                          <a:xfrm>
                            <a:off x="0" y="0"/>
                            <a:ext cx="3059584" cy="1879173"/>
                          </a:xfrm>
                          <a:prstGeom prst="rect">
                            <a:avLst/>
                          </a:prstGeom>
                        </pic:spPr>
                      </pic:pic>
                    </a:graphicData>
                  </a:graphic>
                </wp:inline>
              </w:drawing>
            </w:r>
          </w:p>
        </w:tc>
      </w:tr>
      <w:tr w:rsidR="00E2284F" w:rsidRPr="00E27D3B" w14:paraId="3945EEDB" w14:textId="77777777" w:rsidTr="000177F1">
        <w:tc>
          <w:tcPr>
            <w:tcW w:w="4728" w:type="dxa"/>
          </w:tcPr>
          <w:p w14:paraId="0C4BDA74" w14:textId="77777777" w:rsidR="00E2284F" w:rsidRPr="00E27D3B" w:rsidRDefault="00E2284F" w:rsidP="00CD4F3A">
            <w:pPr>
              <w:pStyle w:val="BodyText"/>
              <w:spacing w:line="240" w:lineRule="auto"/>
              <w:jc w:val="center"/>
              <w:rPr>
                <w:sz w:val="18"/>
                <w:szCs w:val="14"/>
              </w:rPr>
            </w:pPr>
            <w:r w:rsidRPr="00E27D3B">
              <w:rPr>
                <w:sz w:val="18"/>
                <w:szCs w:val="14"/>
              </w:rPr>
              <w:t>(e)</w:t>
            </w:r>
          </w:p>
        </w:tc>
        <w:tc>
          <w:tcPr>
            <w:tcW w:w="4910" w:type="dxa"/>
          </w:tcPr>
          <w:p w14:paraId="550844D8" w14:textId="77777777" w:rsidR="00E2284F" w:rsidRPr="00E27D3B" w:rsidRDefault="00E2284F" w:rsidP="00CD4F3A">
            <w:pPr>
              <w:pStyle w:val="BodyText"/>
              <w:keepNext/>
              <w:spacing w:line="240" w:lineRule="auto"/>
              <w:jc w:val="center"/>
              <w:rPr>
                <w:sz w:val="18"/>
                <w:szCs w:val="14"/>
              </w:rPr>
            </w:pPr>
            <w:r w:rsidRPr="00E27D3B">
              <w:rPr>
                <w:sz w:val="18"/>
                <w:szCs w:val="14"/>
              </w:rPr>
              <w:t>(f)</w:t>
            </w:r>
          </w:p>
        </w:tc>
      </w:tr>
    </w:tbl>
    <w:p w14:paraId="4AE91FF9" w14:textId="70A54DDB" w:rsidR="00E2284F" w:rsidRPr="00E27D3B" w:rsidRDefault="00E2284F" w:rsidP="00CD4F3A">
      <w:pPr>
        <w:pStyle w:val="Caption"/>
        <w:spacing w:line="240" w:lineRule="auto"/>
      </w:pPr>
      <w:bookmarkStart w:id="97" w:name="_Ref223644313"/>
      <w:bookmarkStart w:id="98" w:name="_Toc229777578"/>
      <w:bookmarkStart w:id="99" w:name="_Toc233735025"/>
      <w:r w:rsidRPr="00E27D3B">
        <w:t xml:space="preserve">Figure </w:t>
      </w:r>
      <w:fldSimple w:instr=" SEQ Figure \* ARABIC ">
        <w:r w:rsidR="00A85006">
          <w:rPr>
            <w:noProof/>
          </w:rPr>
          <w:t>19</w:t>
        </w:r>
      </w:fldSimple>
      <w:bookmarkEnd w:id="97"/>
      <w:r w:rsidRPr="00E27D3B">
        <w:t xml:space="preserve">: Controllability and participation plots: (a) and (b) </w:t>
      </w:r>
      <w:r w:rsidR="00736A0E">
        <w:t>P</w:t>
      </w:r>
      <w:r w:rsidRPr="00E27D3B">
        <w:t>ower-controlled GFLI, (c) and (d) droop-controlled GFMI, and (e) and (f) VSM-controlled GFMI.</w:t>
      </w:r>
      <w:bookmarkEnd w:id="98"/>
      <w:bookmarkEnd w:id="99"/>
    </w:p>
    <w:p w14:paraId="6C7C7A2E" w14:textId="06801965" w:rsidR="00E2284F" w:rsidRPr="00E27D3B" w:rsidRDefault="00E2284F" w:rsidP="00CD4F3A">
      <w:pPr>
        <w:widowControl w:val="0"/>
        <w:pBdr>
          <w:top w:val="nil"/>
          <w:left w:val="nil"/>
          <w:bottom w:val="nil"/>
          <w:right w:val="nil"/>
          <w:between w:val="nil"/>
        </w:pBdr>
        <w:ind w:right="45"/>
        <w:rPr>
          <w:noProof/>
          <w:sz w:val="24"/>
          <w:szCs w:val="24"/>
        </w:rPr>
      </w:pPr>
      <w:r w:rsidRPr="00E27D3B">
        <w:rPr>
          <w:noProof/>
          <w:sz w:val="24"/>
          <w:szCs w:val="24"/>
        </w:rPr>
        <w:t xml:space="preserve">In addition to the SMIB system, the eigenvales, controllability and participation plots of the modified IEEE 39-bus testing system with power controlled-GFLI and VSM-controlled GFMI as shown in </w:t>
      </w:r>
      <w:r w:rsidRPr="00E27D3B">
        <w:rPr>
          <w:noProof/>
          <w:sz w:val="28"/>
          <w:szCs w:val="28"/>
        </w:rPr>
        <w:fldChar w:fldCharType="begin"/>
      </w:r>
      <w:r w:rsidRPr="00E27D3B">
        <w:rPr>
          <w:noProof/>
          <w:sz w:val="28"/>
          <w:szCs w:val="28"/>
        </w:rPr>
        <w:instrText xml:space="preserve"> REF _Ref223644328 \h  \* MERGEFORMAT </w:instrText>
      </w:r>
      <w:r w:rsidRPr="00E27D3B">
        <w:rPr>
          <w:noProof/>
          <w:sz w:val="28"/>
          <w:szCs w:val="28"/>
        </w:rPr>
      </w:r>
      <w:r w:rsidRPr="00E27D3B">
        <w:rPr>
          <w:noProof/>
          <w:sz w:val="28"/>
          <w:szCs w:val="28"/>
        </w:rPr>
        <w:fldChar w:fldCharType="separate"/>
      </w:r>
      <w:r w:rsidR="00753DAF" w:rsidRPr="00753DAF">
        <w:rPr>
          <w:sz w:val="24"/>
          <w:szCs w:val="24"/>
        </w:rPr>
        <w:t xml:space="preserve">Figure </w:t>
      </w:r>
      <w:r w:rsidR="00753DAF" w:rsidRPr="00753DAF">
        <w:rPr>
          <w:noProof/>
          <w:sz w:val="24"/>
          <w:szCs w:val="24"/>
        </w:rPr>
        <w:t>20</w:t>
      </w:r>
      <w:r w:rsidRPr="00E27D3B">
        <w:rPr>
          <w:noProof/>
          <w:sz w:val="28"/>
          <w:szCs w:val="28"/>
        </w:rPr>
        <w:fldChar w:fldCharType="end"/>
      </w:r>
      <w:r w:rsidRPr="00E27D3B">
        <w:rPr>
          <w:noProof/>
          <w:sz w:val="24"/>
          <w:szCs w:val="24"/>
        </w:rPr>
        <w:t>. GFLI controls caused more dominant  positive (unstable) eigenvalues at low SCR and very low SCR conditions and VSM-GFMI caused dominant positive (unstable) eigenvalues at high-SCR scenario. The minimum damping ratio w</w:t>
      </w:r>
      <w:r w:rsidR="00235CB0">
        <w:rPr>
          <w:noProof/>
          <w:sz w:val="24"/>
          <w:szCs w:val="24"/>
        </w:rPr>
        <w:t>as</w:t>
      </w:r>
      <w:r w:rsidRPr="00E27D3B">
        <w:rPr>
          <w:noProof/>
          <w:sz w:val="24"/>
          <w:szCs w:val="24"/>
        </w:rPr>
        <w:t xml:space="preserve"> recorded as 2.022 % and 1.498 % for power-controlled GFLI and VSM-controlled GFMI,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2284F" w:rsidRPr="00E27D3B" w14:paraId="06EE60C8" w14:textId="77777777" w:rsidTr="000177F1">
        <w:tc>
          <w:tcPr>
            <w:tcW w:w="4814" w:type="dxa"/>
          </w:tcPr>
          <w:p w14:paraId="7E683809" w14:textId="77777777" w:rsidR="00E2284F" w:rsidRPr="00E27D3B" w:rsidRDefault="00E2284F" w:rsidP="00CD4F3A">
            <w:pPr>
              <w:spacing w:after="0"/>
              <w:jc w:val="center"/>
              <w:rPr>
                <w:sz w:val="24"/>
              </w:rPr>
            </w:pPr>
            <w:r w:rsidRPr="00E27D3B">
              <w:rPr>
                <w:noProof/>
              </w:rPr>
              <w:drawing>
                <wp:inline distT="0" distB="0" distL="0" distR="0" wp14:anchorId="1380F3DD" wp14:editId="551815C3">
                  <wp:extent cx="2488495" cy="1840230"/>
                  <wp:effectExtent l="0" t="0" r="7620" b="7620"/>
                  <wp:docPr id="463617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17800" name=""/>
                          <pic:cNvPicPr/>
                        </pic:nvPicPr>
                        <pic:blipFill rotWithShape="1">
                          <a:blip r:embed="rId57"/>
                          <a:srcRect l="4372" t="51918" r="46104"/>
                          <a:stretch>
                            <a:fillRect/>
                          </a:stretch>
                        </pic:blipFill>
                        <pic:spPr bwMode="auto">
                          <a:xfrm>
                            <a:off x="0" y="0"/>
                            <a:ext cx="2574109" cy="1903541"/>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7F3A9EE3" w14:textId="77777777" w:rsidR="00E2284F" w:rsidRPr="00E27D3B" w:rsidRDefault="00E2284F" w:rsidP="00CD4F3A">
            <w:pPr>
              <w:spacing w:after="0"/>
              <w:rPr>
                <w:sz w:val="24"/>
              </w:rPr>
            </w:pPr>
            <w:r w:rsidRPr="00E27D3B">
              <w:rPr>
                <w:noProof/>
              </w:rPr>
              <w:drawing>
                <wp:inline distT="0" distB="0" distL="0" distR="0" wp14:anchorId="1807C7B0" wp14:editId="7D846959">
                  <wp:extent cx="2319617" cy="1686994"/>
                  <wp:effectExtent l="0" t="0" r="5080" b="8890"/>
                  <wp:docPr id="132917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77397" name=""/>
                          <pic:cNvPicPr/>
                        </pic:nvPicPr>
                        <pic:blipFill>
                          <a:blip r:embed="rId58"/>
                          <a:stretch>
                            <a:fillRect/>
                          </a:stretch>
                        </pic:blipFill>
                        <pic:spPr>
                          <a:xfrm>
                            <a:off x="0" y="0"/>
                            <a:ext cx="2325613" cy="1691354"/>
                          </a:xfrm>
                          <a:prstGeom prst="rect">
                            <a:avLst/>
                          </a:prstGeom>
                        </pic:spPr>
                      </pic:pic>
                    </a:graphicData>
                  </a:graphic>
                </wp:inline>
              </w:drawing>
            </w:r>
          </w:p>
        </w:tc>
      </w:tr>
      <w:tr w:rsidR="00E2284F" w:rsidRPr="00E27D3B" w14:paraId="6608F811" w14:textId="77777777" w:rsidTr="000177F1">
        <w:tc>
          <w:tcPr>
            <w:tcW w:w="4814" w:type="dxa"/>
          </w:tcPr>
          <w:p w14:paraId="020384F1" w14:textId="77777777" w:rsidR="00E2284F" w:rsidRPr="00E27D3B" w:rsidRDefault="00E2284F" w:rsidP="00CD4F3A">
            <w:pPr>
              <w:spacing w:after="0"/>
              <w:jc w:val="center"/>
              <w:rPr>
                <w:sz w:val="18"/>
                <w:szCs w:val="18"/>
              </w:rPr>
            </w:pPr>
            <w:r w:rsidRPr="00E27D3B">
              <w:rPr>
                <w:sz w:val="18"/>
                <w:szCs w:val="18"/>
              </w:rPr>
              <w:t>(a)</w:t>
            </w:r>
          </w:p>
        </w:tc>
        <w:tc>
          <w:tcPr>
            <w:tcW w:w="4814" w:type="dxa"/>
          </w:tcPr>
          <w:p w14:paraId="5C0FD270" w14:textId="77777777" w:rsidR="00E2284F" w:rsidRPr="00E27D3B" w:rsidRDefault="00E2284F" w:rsidP="00CD4F3A">
            <w:pPr>
              <w:spacing w:after="0"/>
              <w:jc w:val="center"/>
              <w:rPr>
                <w:sz w:val="18"/>
                <w:szCs w:val="18"/>
              </w:rPr>
            </w:pPr>
            <w:r w:rsidRPr="00E27D3B">
              <w:rPr>
                <w:sz w:val="18"/>
                <w:szCs w:val="18"/>
              </w:rPr>
              <w:t>(b)</w:t>
            </w:r>
          </w:p>
        </w:tc>
      </w:tr>
      <w:tr w:rsidR="00E2284F" w:rsidRPr="00E27D3B" w14:paraId="4EC18DE6" w14:textId="77777777" w:rsidTr="000177F1">
        <w:tc>
          <w:tcPr>
            <w:tcW w:w="4814" w:type="dxa"/>
          </w:tcPr>
          <w:p w14:paraId="01218BCE" w14:textId="77777777" w:rsidR="00E2284F" w:rsidRPr="00E27D3B" w:rsidRDefault="00E2284F" w:rsidP="00CD4F3A">
            <w:pPr>
              <w:spacing w:after="0"/>
              <w:jc w:val="center"/>
              <w:rPr>
                <w:sz w:val="24"/>
              </w:rPr>
            </w:pPr>
            <w:r w:rsidRPr="00E27D3B">
              <w:rPr>
                <w:noProof/>
              </w:rPr>
              <w:drawing>
                <wp:inline distT="0" distB="0" distL="0" distR="0" wp14:anchorId="5BCA874C" wp14:editId="03B55424">
                  <wp:extent cx="2820238" cy="1857532"/>
                  <wp:effectExtent l="0" t="0" r="0" b="9525"/>
                  <wp:docPr id="30" name="Picture 29">
                    <a:extLst xmlns:a="http://schemas.openxmlformats.org/drawingml/2006/main">
                      <a:ext uri="{FF2B5EF4-FFF2-40B4-BE49-F238E27FC236}">
                        <a16:creationId xmlns:a16="http://schemas.microsoft.com/office/drawing/2014/main" id="{ED5BC0A4-CEB3-5D2C-489B-BFACF4BEE1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ED5BC0A4-CEB3-5D2C-489B-BFACF4BEE1D3}"/>
                              </a:ext>
                            </a:extLst>
                          </pic:cNvPr>
                          <pic:cNvPicPr>
                            <a:picLocks noChangeAspect="1"/>
                          </pic:cNvPicPr>
                        </pic:nvPicPr>
                        <pic:blipFill rotWithShape="1">
                          <a:blip r:embed="rId59"/>
                          <a:srcRect t="1573"/>
                          <a:stretch>
                            <a:fillRect/>
                          </a:stretch>
                        </pic:blipFill>
                        <pic:spPr bwMode="auto">
                          <a:xfrm>
                            <a:off x="0" y="0"/>
                            <a:ext cx="2821063" cy="1858075"/>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7EFD1953" w14:textId="77777777" w:rsidR="00E2284F" w:rsidRPr="00E27D3B" w:rsidRDefault="00E2284F" w:rsidP="00CD4F3A">
            <w:pPr>
              <w:spacing w:after="0"/>
              <w:jc w:val="center"/>
              <w:rPr>
                <w:sz w:val="24"/>
              </w:rPr>
            </w:pPr>
            <w:r w:rsidRPr="00E27D3B">
              <w:rPr>
                <w:noProof/>
              </w:rPr>
              <w:drawing>
                <wp:inline distT="0" distB="0" distL="0" distR="0" wp14:anchorId="5E69A146" wp14:editId="155CDD1D">
                  <wp:extent cx="2889896" cy="1974874"/>
                  <wp:effectExtent l="0" t="0" r="5715" b="6350"/>
                  <wp:docPr id="40" name="Picture 39">
                    <a:extLst xmlns:a="http://schemas.openxmlformats.org/drawingml/2006/main">
                      <a:ext uri="{FF2B5EF4-FFF2-40B4-BE49-F238E27FC236}">
                        <a16:creationId xmlns:a16="http://schemas.microsoft.com/office/drawing/2014/main" id="{FC701AF9-06F5-52C5-1C78-D1BD69CAC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FC701AF9-06F5-52C5-1C78-D1BD69CAC01C}"/>
                              </a:ext>
                            </a:extLst>
                          </pic:cNvPr>
                          <pic:cNvPicPr>
                            <a:picLocks noChangeAspect="1"/>
                          </pic:cNvPicPr>
                        </pic:nvPicPr>
                        <pic:blipFill>
                          <a:blip r:embed="rId60"/>
                          <a:stretch>
                            <a:fillRect/>
                          </a:stretch>
                        </pic:blipFill>
                        <pic:spPr>
                          <a:xfrm>
                            <a:off x="0" y="0"/>
                            <a:ext cx="2902191" cy="1983276"/>
                          </a:xfrm>
                          <a:prstGeom prst="rect">
                            <a:avLst/>
                          </a:prstGeom>
                        </pic:spPr>
                      </pic:pic>
                    </a:graphicData>
                  </a:graphic>
                </wp:inline>
              </w:drawing>
            </w:r>
          </w:p>
        </w:tc>
      </w:tr>
      <w:tr w:rsidR="00E2284F" w:rsidRPr="00E27D3B" w14:paraId="7AC2C2B1" w14:textId="77777777" w:rsidTr="000177F1">
        <w:tc>
          <w:tcPr>
            <w:tcW w:w="4814" w:type="dxa"/>
          </w:tcPr>
          <w:p w14:paraId="726D8299" w14:textId="77777777" w:rsidR="00E2284F" w:rsidRPr="00E27D3B" w:rsidRDefault="00E2284F" w:rsidP="00CD4F3A">
            <w:pPr>
              <w:spacing w:after="0"/>
              <w:jc w:val="center"/>
              <w:rPr>
                <w:sz w:val="18"/>
                <w:szCs w:val="18"/>
              </w:rPr>
            </w:pPr>
            <w:r w:rsidRPr="00E27D3B">
              <w:rPr>
                <w:sz w:val="18"/>
                <w:szCs w:val="18"/>
              </w:rPr>
              <w:t>(c)</w:t>
            </w:r>
          </w:p>
        </w:tc>
        <w:tc>
          <w:tcPr>
            <w:tcW w:w="4814" w:type="dxa"/>
          </w:tcPr>
          <w:p w14:paraId="6E3823D0" w14:textId="77777777" w:rsidR="00E2284F" w:rsidRPr="00E27D3B" w:rsidRDefault="00E2284F" w:rsidP="00CD4F3A">
            <w:pPr>
              <w:spacing w:after="0"/>
              <w:jc w:val="center"/>
              <w:rPr>
                <w:sz w:val="18"/>
                <w:szCs w:val="18"/>
              </w:rPr>
            </w:pPr>
            <w:r w:rsidRPr="00E27D3B">
              <w:rPr>
                <w:sz w:val="18"/>
                <w:szCs w:val="18"/>
              </w:rPr>
              <w:t>(d)</w:t>
            </w:r>
          </w:p>
        </w:tc>
      </w:tr>
      <w:tr w:rsidR="00E2284F" w:rsidRPr="00E27D3B" w14:paraId="7F63FC67" w14:textId="77777777" w:rsidTr="000177F1">
        <w:tc>
          <w:tcPr>
            <w:tcW w:w="4814" w:type="dxa"/>
          </w:tcPr>
          <w:p w14:paraId="1CB4024E" w14:textId="77777777" w:rsidR="00E2284F" w:rsidRPr="00E27D3B" w:rsidRDefault="00E2284F" w:rsidP="00CD4F3A">
            <w:pPr>
              <w:spacing w:after="0"/>
              <w:jc w:val="center"/>
              <w:rPr>
                <w:sz w:val="24"/>
              </w:rPr>
            </w:pPr>
            <w:r w:rsidRPr="00E27D3B">
              <w:rPr>
                <w:noProof/>
              </w:rPr>
              <w:lastRenderedPageBreak/>
              <w:drawing>
                <wp:inline distT="0" distB="0" distL="0" distR="0" wp14:anchorId="269B5D7B" wp14:editId="526E94C7">
                  <wp:extent cx="2691993" cy="1801260"/>
                  <wp:effectExtent l="0" t="0" r="0" b="8890"/>
                  <wp:docPr id="44" name="Picture 43">
                    <a:extLst xmlns:a="http://schemas.openxmlformats.org/drawingml/2006/main">
                      <a:ext uri="{FF2B5EF4-FFF2-40B4-BE49-F238E27FC236}">
                        <a16:creationId xmlns:a16="http://schemas.microsoft.com/office/drawing/2014/main" id="{DA552603-F92C-CA6D-DBCB-307EB2B59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DA552603-F92C-CA6D-DBCB-307EB2B59C48}"/>
                              </a:ext>
                            </a:extLst>
                          </pic:cNvPr>
                          <pic:cNvPicPr>
                            <a:picLocks noChangeAspect="1"/>
                          </pic:cNvPicPr>
                        </pic:nvPicPr>
                        <pic:blipFill>
                          <a:blip r:embed="rId61"/>
                          <a:stretch>
                            <a:fillRect/>
                          </a:stretch>
                        </pic:blipFill>
                        <pic:spPr>
                          <a:xfrm>
                            <a:off x="0" y="0"/>
                            <a:ext cx="2699479" cy="1806269"/>
                          </a:xfrm>
                          <a:prstGeom prst="rect">
                            <a:avLst/>
                          </a:prstGeom>
                        </pic:spPr>
                      </pic:pic>
                    </a:graphicData>
                  </a:graphic>
                </wp:inline>
              </w:drawing>
            </w:r>
          </w:p>
        </w:tc>
        <w:tc>
          <w:tcPr>
            <w:tcW w:w="4814" w:type="dxa"/>
          </w:tcPr>
          <w:p w14:paraId="40C92382" w14:textId="77777777" w:rsidR="00E2284F" w:rsidRPr="00E27D3B" w:rsidRDefault="00E2284F" w:rsidP="00CD4F3A">
            <w:pPr>
              <w:spacing w:after="0"/>
              <w:jc w:val="center"/>
              <w:rPr>
                <w:sz w:val="24"/>
              </w:rPr>
            </w:pPr>
            <w:r w:rsidRPr="00E27D3B">
              <w:rPr>
                <w:noProof/>
              </w:rPr>
              <w:drawing>
                <wp:inline distT="0" distB="0" distL="0" distR="0" wp14:anchorId="7CDF40DF" wp14:editId="2FB83253">
                  <wp:extent cx="2826044" cy="1931239"/>
                  <wp:effectExtent l="0" t="0" r="0" b="0"/>
                  <wp:docPr id="46" name="Picture 45">
                    <a:extLst xmlns:a="http://schemas.openxmlformats.org/drawingml/2006/main">
                      <a:ext uri="{FF2B5EF4-FFF2-40B4-BE49-F238E27FC236}">
                        <a16:creationId xmlns:a16="http://schemas.microsoft.com/office/drawing/2014/main" id="{6C6F0AED-21E6-83C3-5407-A38FD5E38B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a:extLst>
                              <a:ext uri="{FF2B5EF4-FFF2-40B4-BE49-F238E27FC236}">
                                <a16:creationId xmlns:a16="http://schemas.microsoft.com/office/drawing/2014/main" id="{6C6F0AED-21E6-83C3-5407-A38FD5E38BAA}"/>
                              </a:ext>
                            </a:extLst>
                          </pic:cNvPr>
                          <pic:cNvPicPr>
                            <a:picLocks noChangeAspect="1"/>
                          </pic:cNvPicPr>
                        </pic:nvPicPr>
                        <pic:blipFill>
                          <a:blip r:embed="rId62"/>
                          <a:stretch>
                            <a:fillRect/>
                          </a:stretch>
                        </pic:blipFill>
                        <pic:spPr>
                          <a:xfrm>
                            <a:off x="0" y="0"/>
                            <a:ext cx="2826044" cy="1931239"/>
                          </a:xfrm>
                          <a:prstGeom prst="rect">
                            <a:avLst/>
                          </a:prstGeom>
                        </pic:spPr>
                      </pic:pic>
                    </a:graphicData>
                  </a:graphic>
                </wp:inline>
              </w:drawing>
            </w:r>
          </w:p>
        </w:tc>
      </w:tr>
      <w:tr w:rsidR="00E2284F" w:rsidRPr="00E27D3B" w14:paraId="0947256E" w14:textId="77777777" w:rsidTr="000177F1">
        <w:tc>
          <w:tcPr>
            <w:tcW w:w="4814" w:type="dxa"/>
          </w:tcPr>
          <w:p w14:paraId="39D6F4E1" w14:textId="77777777" w:rsidR="00E2284F" w:rsidRPr="00E27D3B" w:rsidRDefault="00E2284F" w:rsidP="00CD4F3A">
            <w:pPr>
              <w:spacing w:after="0"/>
              <w:jc w:val="center"/>
              <w:rPr>
                <w:sz w:val="18"/>
                <w:szCs w:val="18"/>
              </w:rPr>
            </w:pPr>
            <w:r w:rsidRPr="00E27D3B">
              <w:rPr>
                <w:sz w:val="18"/>
                <w:szCs w:val="18"/>
              </w:rPr>
              <w:t>(e)</w:t>
            </w:r>
          </w:p>
        </w:tc>
        <w:tc>
          <w:tcPr>
            <w:tcW w:w="4814" w:type="dxa"/>
          </w:tcPr>
          <w:p w14:paraId="067D2027" w14:textId="77777777" w:rsidR="00E2284F" w:rsidRPr="00E27D3B" w:rsidRDefault="00E2284F" w:rsidP="00CD4F3A">
            <w:pPr>
              <w:keepNext/>
              <w:spacing w:after="0"/>
              <w:jc w:val="center"/>
              <w:rPr>
                <w:sz w:val="18"/>
                <w:szCs w:val="18"/>
              </w:rPr>
            </w:pPr>
            <w:r w:rsidRPr="00E27D3B">
              <w:rPr>
                <w:sz w:val="18"/>
                <w:szCs w:val="18"/>
              </w:rPr>
              <w:t>(f)</w:t>
            </w:r>
          </w:p>
        </w:tc>
      </w:tr>
    </w:tbl>
    <w:p w14:paraId="0973955A" w14:textId="3915857B" w:rsidR="00E2284F" w:rsidRDefault="00E2284F" w:rsidP="00CD4F3A">
      <w:pPr>
        <w:pStyle w:val="Caption"/>
        <w:spacing w:line="240" w:lineRule="auto"/>
      </w:pPr>
      <w:bookmarkStart w:id="100" w:name="_Ref223644328"/>
      <w:bookmarkStart w:id="101" w:name="_Toc229777579"/>
      <w:bookmarkStart w:id="102" w:name="_Toc233735026"/>
      <w:r w:rsidRPr="00E27D3B">
        <w:t xml:space="preserve">Figure </w:t>
      </w:r>
      <w:fldSimple w:instr=" SEQ Figure \* ARABIC ">
        <w:r w:rsidR="00A85006">
          <w:rPr>
            <w:noProof/>
          </w:rPr>
          <w:t>20</w:t>
        </w:r>
      </w:fldSimple>
      <w:bookmarkEnd w:id="100"/>
      <w:r w:rsidRPr="00E27D3B">
        <w:t xml:space="preserve">: Eigenvalue plots: (a) </w:t>
      </w:r>
      <w:r w:rsidR="00736A0E">
        <w:t>P</w:t>
      </w:r>
      <w:r w:rsidRPr="00E27D3B">
        <w:t>ower-controlled GFLI, (b) VSM-controlled GFMI, Controllability and participation plots: (c) and (d)</w:t>
      </w:r>
      <w:r w:rsidR="00736A0E">
        <w:t xml:space="preserve"> P</w:t>
      </w:r>
      <w:r w:rsidRPr="00E27D3B">
        <w:t>ower-controlled GFLI, and (e) and (f) VSM-controlled GFMI</w:t>
      </w:r>
      <w:r>
        <w:t>.</w:t>
      </w:r>
      <w:bookmarkEnd w:id="101"/>
      <w:bookmarkEnd w:id="102"/>
    </w:p>
    <w:p w14:paraId="32354D80" w14:textId="7B5AE2EC" w:rsidR="00E2284F" w:rsidRDefault="00E2284F" w:rsidP="00CD4F3A">
      <w:pPr>
        <w:pStyle w:val="BodyText"/>
        <w:spacing w:line="240" w:lineRule="auto"/>
      </w:pPr>
      <w:r>
        <w:fldChar w:fldCharType="begin"/>
      </w:r>
      <w:r>
        <w:instrText xml:space="preserve"> REF _Ref227088742 \h </w:instrText>
      </w:r>
      <w:r w:rsidR="00CD4F3A">
        <w:instrText xml:space="preserve"> \* MERGEFORMAT </w:instrText>
      </w:r>
      <w:r>
        <w:fldChar w:fldCharType="separate"/>
      </w:r>
      <w:r w:rsidR="00753DAF" w:rsidRPr="00E27D3B">
        <w:t xml:space="preserve">Figure </w:t>
      </w:r>
      <w:r w:rsidR="00753DAF">
        <w:rPr>
          <w:noProof/>
        </w:rPr>
        <w:t>21</w:t>
      </w:r>
      <w:r>
        <w:fldChar w:fldCharType="end"/>
      </w:r>
      <w:r>
        <w:t xml:space="preserve"> shows the eigenvalue plots and the controllability, participation, and observability plots of a specific mode (Mode 3) with lowest damping ratio. The damping ratio of mode 3 has been recorded as 0.032 (1/s</w:t>
      </w:r>
      <w:proofErr w:type="gramStart"/>
      <w:r>
        <w:t>)</w:t>
      </w:r>
      <w:r w:rsidR="00BD56AF" w:rsidRPr="00BD56AF">
        <w:t xml:space="preserve"> ,</w:t>
      </w:r>
      <w:proofErr w:type="gramEnd"/>
      <w:r w:rsidR="00BD56AF" w:rsidRPr="00BD56AF">
        <w:t xml:space="preserve"> which is below the minimum damping standard of 0.05 for frequencies above 0.6 Hz. In this example, the analysis was performed using the built-in DIgSILENT model for testing purposes, without any modifications to the control parameters. Therefore, improving the damping performance would require further tuning of the control parameters or optimisation of the VSM control settings.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2284F" w:rsidRPr="00E27D3B" w14:paraId="4E4AD786" w14:textId="77777777" w:rsidTr="000177F1">
        <w:tc>
          <w:tcPr>
            <w:tcW w:w="4814" w:type="dxa"/>
          </w:tcPr>
          <w:p w14:paraId="41EAFCFE" w14:textId="77777777" w:rsidR="00E2284F" w:rsidRPr="00E27D3B" w:rsidRDefault="00E2284F" w:rsidP="00CD4F3A">
            <w:pPr>
              <w:spacing w:after="0"/>
              <w:jc w:val="center"/>
              <w:rPr>
                <w:sz w:val="24"/>
              </w:rPr>
            </w:pPr>
            <w:r w:rsidRPr="00561C6A">
              <w:rPr>
                <w:noProof/>
              </w:rPr>
              <w:drawing>
                <wp:inline distT="0" distB="0" distL="0" distR="0" wp14:anchorId="7B37FBEA" wp14:editId="5CC7A63A">
                  <wp:extent cx="2415392" cy="1713198"/>
                  <wp:effectExtent l="19050" t="19050" r="28575" b="26035"/>
                  <wp:docPr id="1766769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69742" name=""/>
                          <pic:cNvPicPr/>
                        </pic:nvPicPr>
                        <pic:blipFill>
                          <a:blip r:embed="rId63"/>
                          <a:stretch>
                            <a:fillRect/>
                          </a:stretch>
                        </pic:blipFill>
                        <pic:spPr>
                          <a:xfrm>
                            <a:off x="0" y="0"/>
                            <a:ext cx="2415392" cy="1713198"/>
                          </a:xfrm>
                          <a:prstGeom prst="rect">
                            <a:avLst/>
                          </a:prstGeom>
                          <a:ln>
                            <a:solidFill>
                              <a:schemeClr val="tx1"/>
                            </a:solidFill>
                          </a:ln>
                        </pic:spPr>
                      </pic:pic>
                    </a:graphicData>
                  </a:graphic>
                </wp:inline>
              </w:drawing>
            </w:r>
          </w:p>
        </w:tc>
        <w:tc>
          <w:tcPr>
            <w:tcW w:w="4814" w:type="dxa"/>
          </w:tcPr>
          <w:p w14:paraId="6EF87FC7" w14:textId="77777777" w:rsidR="00E2284F" w:rsidRPr="00E27D3B" w:rsidRDefault="00E2284F" w:rsidP="00CD4F3A">
            <w:pPr>
              <w:spacing w:after="0"/>
              <w:jc w:val="center"/>
              <w:rPr>
                <w:sz w:val="24"/>
              </w:rPr>
            </w:pPr>
            <w:r w:rsidRPr="00B033E5">
              <w:rPr>
                <w:noProof/>
              </w:rPr>
              <w:drawing>
                <wp:inline distT="0" distB="0" distL="0" distR="0" wp14:anchorId="770F00E1" wp14:editId="6315345A">
                  <wp:extent cx="2605932" cy="1848348"/>
                  <wp:effectExtent l="19050" t="19050" r="23495" b="19050"/>
                  <wp:docPr id="1935539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39092" name=""/>
                          <pic:cNvPicPr/>
                        </pic:nvPicPr>
                        <pic:blipFill>
                          <a:blip r:embed="rId64"/>
                          <a:stretch>
                            <a:fillRect/>
                          </a:stretch>
                        </pic:blipFill>
                        <pic:spPr>
                          <a:xfrm>
                            <a:off x="0" y="0"/>
                            <a:ext cx="2605932" cy="1848348"/>
                          </a:xfrm>
                          <a:prstGeom prst="rect">
                            <a:avLst/>
                          </a:prstGeom>
                          <a:ln>
                            <a:solidFill>
                              <a:schemeClr val="tx1"/>
                            </a:solidFill>
                          </a:ln>
                        </pic:spPr>
                      </pic:pic>
                    </a:graphicData>
                  </a:graphic>
                </wp:inline>
              </w:drawing>
            </w:r>
          </w:p>
        </w:tc>
      </w:tr>
      <w:tr w:rsidR="00E2284F" w:rsidRPr="00E27D3B" w14:paraId="002557DE" w14:textId="77777777" w:rsidTr="00445AA8">
        <w:trPr>
          <w:trHeight w:val="208"/>
        </w:trPr>
        <w:tc>
          <w:tcPr>
            <w:tcW w:w="4814" w:type="dxa"/>
          </w:tcPr>
          <w:p w14:paraId="283B0E9E" w14:textId="77777777" w:rsidR="00E2284F" w:rsidRPr="00E27D3B" w:rsidRDefault="00E2284F" w:rsidP="00CD4F3A">
            <w:pPr>
              <w:spacing w:after="0"/>
              <w:jc w:val="center"/>
              <w:rPr>
                <w:sz w:val="18"/>
                <w:szCs w:val="18"/>
              </w:rPr>
            </w:pPr>
            <w:r w:rsidRPr="00E27D3B">
              <w:rPr>
                <w:sz w:val="18"/>
                <w:szCs w:val="18"/>
              </w:rPr>
              <w:t>(a)</w:t>
            </w:r>
          </w:p>
        </w:tc>
        <w:tc>
          <w:tcPr>
            <w:tcW w:w="4814" w:type="dxa"/>
          </w:tcPr>
          <w:p w14:paraId="7CAC7C31" w14:textId="77777777" w:rsidR="00E2284F" w:rsidRPr="00E27D3B" w:rsidRDefault="00E2284F" w:rsidP="00CD4F3A">
            <w:pPr>
              <w:spacing w:after="0"/>
              <w:jc w:val="center"/>
              <w:rPr>
                <w:sz w:val="18"/>
                <w:szCs w:val="18"/>
              </w:rPr>
            </w:pPr>
            <w:r w:rsidRPr="00E27D3B">
              <w:rPr>
                <w:sz w:val="18"/>
                <w:szCs w:val="18"/>
              </w:rPr>
              <w:t>(b)</w:t>
            </w:r>
          </w:p>
        </w:tc>
      </w:tr>
      <w:tr w:rsidR="00E2284F" w:rsidRPr="00E27D3B" w14:paraId="5DD7AF0C" w14:textId="77777777" w:rsidTr="000177F1">
        <w:tc>
          <w:tcPr>
            <w:tcW w:w="4814" w:type="dxa"/>
          </w:tcPr>
          <w:p w14:paraId="33A8A110" w14:textId="77777777" w:rsidR="00E2284F" w:rsidRPr="00E27D3B" w:rsidRDefault="00E2284F" w:rsidP="00CD4F3A">
            <w:pPr>
              <w:spacing w:after="0"/>
              <w:jc w:val="center"/>
              <w:rPr>
                <w:sz w:val="24"/>
              </w:rPr>
            </w:pPr>
            <w:r w:rsidRPr="00033FFD">
              <w:rPr>
                <w:noProof/>
              </w:rPr>
              <w:drawing>
                <wp:inline distT="0" distB="0" distL="0" distR="0" wp14:anchorId="782309FB" wp14:editId="2FECAF08">
                  <wp:extent cx="2590710" cy="1832383"/>
                  <wp:effectExtent l="19050" t="19050" r="19685" b="15875"/>
                  <wp:docPr id="1672695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95715" name=""/>
                          <pic:cNvPicPr/>
                        </pic:nvPicPr>
                        <pic:blipFill>
                          <a:blip r:embed="rId65"/>
                          <a:stretch>
                            <a:fillRect/>
                          </a:stretch>
                        </pic:blipFill>
                        <pic:spPr>
                          <a:xfrm>
                            <a:off x="0" y="0"/>
                            <a:ext cx="2590710" cy="1832383"/>
                          </a:xfrm>
                          <a:prstGeom prst="rect">
                            <a:avLst/>
                          </a:prstGeom>
                          <a:ln>
                            <a:solidFill>
                              <a:schemeClr val="tx1"/>
                            </a:solidFill>
                          </a:ln>
                        </pic:spPr>
                      </pic:pic>
                    </a:graphicData>
                  </a:graphic>
                </wp:inline>
              </w:drawing>
            </w:r>
          </w:p>
        </w:tc>
        <w:tc>
          <w:tcPr>
            <w:tcW w:w="4814" w:type="dxa"/>
          </w:tcPr>
          <w:p w14:paraId="6737AC3E" w14:textId="77777777" w:rsidR="00E2284F" w:rsidRPr="00E27D3B" w:rsidRDefault="00E2284F" w:rsidP="00CD4F3A">
            <w:pPr>
              <w:spacing w:after="0"/>
              <w:jc w:val="center"/>
              <w:rPr>
                <w:sz w:val="24"/>
              </w:rPr>
            </w:pPr>
            <w:r w:rsidRPr="00C007FE">
              <w:rPr>
                <w:noProof/>
              </w:rPr>
              <w:drawing>
                <wp:inline distT="0" distB="0" distL="0" distR="0" wp14:anchorId="681EDFD8" wp14:editId="2099F89B">
                  <wp:extent cx="2611312" cy="1857948"/>
                  <wp:effectExtent l="19050" t="19050" r="17780" b="28575"/>
                  <wp:docPr id="1405561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61591" name=""/>
                          <pic:cNvPicPr/>
                        </pic:nvPicPr>
                        <pic:blipFill>
                          <a:blip r:embed="rId66"/>
                          <a:stretch>
                            <a:fillRect/>
                          </a:stretch>
                        </pic:blipFill>
                        <pic:spPr>
                          <a:xfrm>
                            <a:off x="0" y="0"/>
                            <a:ext cx="2611312" cy="1857948"/>
                          </a:xfrm>
                          <a:prstGeom prst="rect">
                            <a:avLst/>
                          </a:prstGeom>
                          <a:ln>
                            <a:solidFill>
                              <a:schemeClr val="tx1"/>
                            </a:solidFill>
                          </a:ln>
                        </pic:spPr>
                      </pic:pic>
                    </a:graphicData>
                  </a:graphic>
                </wp:inline>
              </w:drawing>
            </w:r>
          </w:p>
        </w:tc>
      </w:tr>
      <w:tr w:rsidR="00E2284F" w:rsidRPr="00E27D3B" w14:paraId="2FC06D29" w14:textId="77777777" w:rsidTr="000177F1">
        <w:tc>
          <w:tcPr>
            <w:tcW w:w="4814" w:type="dxa"/>
          </w:tcPr>
          <w:p w14:paraId="3663481C" w14:textId="77777777" w:rsidR="00E2284F" w:rsidRPr="00E27D3B" w:rsidRDefault="00E2284F" w:rsidP="00CD4F3A">
            <w:pPr>
              <w:spacing w:after="0"/>
              <w:jc w:val="center"/>
              <w:rPr>
                <w:sz w:val="18"/>
                <w:szCs w:val="18"/>
              </w:rPr>
            </w:pPr>
            <w:r w:rsidRPr="00E27D3B">
              <w:rPr>
                <w:sz w:val="18"/>
                <w:szCs w:val="18"/>
              </w:rPr>
              <w:t>(c)</w:t>
            </w:r>
          </w:p>
        </w:tc>
        <w:tc>
          <w:tcPr>
            <w:tcW w:w="4814" w:type="dxa"/>
          </w:tcPr>
          <w:p w14:paraId="19D23177" w14:textId="77777777" w:rsidR="00E2284F" w:rsidRPr="00E27D3B" w:rsidRDefault="00E2284F" w:rsidP="00CD4F3A">
            <w:pPr>
              <w:spacing w:after="0"/>
              <w:jc w:val="center"/>
              <w:rPr>
                <w:sz w:val="18"/>
                <w:szCs w:val="18"/>
              </w:rPr>
            </w:pPr>
            <w:r w:rsidRPr="00E27D3B">
              <w:rPr>
                <w:sz w:val="18"/>
                <w:szCs w:val="18"/>
              </w:rPr>
              <w:t>(d)</w:t>
            </w:r>
          </w:p>
        </w:tc>
      </w:tr>
    </w:tbl>
    <w:p w14:paraId="042889F3" w14:textId="7A0D46C3" w:rsidR="00E2284F" w:rsidRDefault="00E2284F" w:rsidP="00445AA8">
      <w:pPr>
        <w:pStyle w:val="Caption"/>
        <w:spacing w:before="60" w:line="240" w:lineRule="auto"/>
      </w:pPr>
      <w:bookmarkStart w:id="103" w:name="_Ref227088742"/>
      <w:bookmarkStart w:id="104" w:name="_Toc229777580"/>
      <w:bookmarkStart w:id="105" w:name="_Toc233735027"/>
      <w:r w:rsidRPr="00E27D3B">
        <w:t xml:space="preserve">Figure </w:t>
      </w:r>
      <w:fldSimple w:instr=" SEQ Figure \* ARABIC ">
        <w:r w:rsidR="00A85006">
          <w:rPr>
            <w:noProof/>
          </w:rPr>
          <w:t>21</w:t>
        </w:r>
      </w:fldSimple>
      <w:bookmarkEnd w:id="103"/>
      <w:r w:rsidRPr="00E27D3B">
        <w:t xml:space="preserve">: </w:t>
      </w:r>
      <w:r>
        <w:t xml:space="preserve">(a) </w:t>
      </w:r>
      <w:r w:rsidRPr="00E27D3B">
        <w:t>Eigenvalue plot</w:t>
      </w:r>
      <w:r>
        <w:t xml:space="preserve"> of the entire system</w:t>
      </w:r>
      <w:r w:rsidRPr="00E27D3B">
        <w:t>, (b) Controllability</w:t>
      </w:r>
      <w:r>
        <w:t xml:space="preserve"> plot </w:t>
      </w:r>
      <w:r w:rsidRPr="00E27D3B">
        <w:t xml:space="preserve">(c) </w:t>
      </w:r>
      <w:r>
        <w:t xml:space="preserve">Observability plot </w:t>
      </w:r>
      <w:r w:rsidRPr="00E27D3B">
        <w:t xml:space="preserve">and (d) </w:t>
      </w:r>
      <w:r>
        <w:t>Participation plots of Mode 3.</w:t>
      </w:r>
      <w:bookmarkEnd w:id="104"/>
      <w:bookmarkEnd w:id="105"/>
    </w:p>
    <w:p w14:paraId="1F109C0F" w14:textId="77777777" w:rsidR="00445AA8" w:rsidRPr="00445AA8" w:rsidRDefault="00445AA8" w:rsidP="00445AA8">
      <w:pPr>
        <w:pStyle w:val="BodyText"/>
      </w:pPr>
    </w:p>
    <w:p w14:paraId="2240F0C4" w14:textId="77777777" w:rsidR="00E2284F" w:rsidRPr="009B68EA" w:rsidRDefault="00E2284F" w:rsidP="00CD4F3A">
      <w:pPr>
        <w:pStyle w:val="Heading2"/>
        <w:numPr>
          <w:ilvl w:val="0"/>
          <w:numId w:val="52"/>
        </w:numPr>
        <w:ind w:left="0" w:firstLine="0"/>
      </w:pPr>
      <w:bookmarkStart w:id="106" w:name="_Ref230098913"/>
      <w:bookmarkStart w:id="107" w:name="_Toc233734302"/>
      <w:r w:rsidRPr="009B68EA">
        <w:lastRenderedPageBreak/>
        <w:t>Data-Driven Time-Domain Model-Based Small-Signal Stability Analysis</w:t>
      </w:r>
      <w:bookmarkEnd w:id="106"/>
      <w:bookmarkEnd w:id="107"/>
    </w:p>
    <w:p w14:paraId="30615F9A" w14:textId="46A94B90" w:rsidR="00E2284F" w:rsidRPr="00E27D3B" w:rsidRDefault="00E2284F" w:rsidP="0026716B">
      <w:pPr>
        <w:pStyle w:val="BodyText"/>
        <w:spacing w:after="0"/>
      </w:pPr>
      <w:r w:rsidRPr="00E27D3B">
        <w:t xml:space="preserve">This section presents the proposed Gaussian process regression (GPR) and eigensystem realisation algorithm (ERA)-based DDTD model to evaluate the SSS of GFMIs under different operation scenarios of the power system. The following sections provide a detailed discussion of the proposed DDTD algorithm. </w:t>
      </w:r>
      <w:r w:rsidRPr="00E27D3B">
        <w:fldChar w:fldCharType="begin"/>
      </w:r>
      <w:r w:rsidRPr="00E27D3B">
        <w:instrText xml:space="preserve"> REF _Ref223644355 \h  \* MERGEFORMAT </w:instrText>
      </w:r>
      <w:r w:rsidRPr="00E27D3B">
        <w:fldChar w:fldCharType="separate"/>
      </w:r>
      <w:r w:rsidR="00753DAF" w:rsidRPr="00E27D3B">
        <w:t xml:space="preserve">Figure </w:t>
      </w:r>
      <w:r w:rsidR="00753DAF">
        <w:rPr>
          <w:noProof/>
        </w:rPr>
        <w:t>22</w:t>
      </w:r>
      <w:r w:rsidRPr="00E27D3B">
        <w:fldChar w:fldCharType="end"/>
      </w:r>
      <w:r w:rsidRPr="00E27D3B">
        <w:t xml:space="preserve"> presents the schematic block diagram of the proposed DDTD method for small-signal stability (SSS) analysis of GFMIs. </w:t>
      </w:r>
    </w:p>
    <w:p w14:paraId="229D6CF7" w14:textId="77777777" w:rsidR="00E2284F" w:rsidRPr="00E27D3B" w:rsidRDefault="00E2284F" w:rsidP="00CD4F3A">
      <w:pPr>
        <w:keepNext/>
        <w:widowControl w:val="0"/>
        <w:pBdr>
          <w:top w:val="nil"/>
          <w:left w:val="nil"/>
          <w:bottom w:val="nil"/>
          <w:right w:val="nil"/>
          <w:between w:val="nil"/>
        </w:pBdr>
      </w:pPr>
      <w:r w:rsidRPr="00E27D3B">
        <w:rPr>
          <w:noProof/>
        </w:rPr>
        <w:drawing>
          <wp:inline distT="0" distB="0" distL="0" distR="0" wp14:anchorId="20FA663B" wp14:editId="41309F5A">
            <wp:extent cx="6120130" cy="2064385"/>
            <wp:effectExtent l="0" t="0" r="0" b="0"/>
            <wp:docPr id="1653041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41646" name=""/>
                    <pic:cNvPicPr/>
                  </pic:nvPicPr>
                  <pic:blipFill>
                    <a:blip r:embed="rId67"/>
                    <a:stretch>
                      <a:fillRect/>
                    </a:stretch>
                  </pic:blipFill>
                  <pic:spPr>
                    <a:xfrm>
                      <a:off x="0" y="0"/>
                      <a:ext cx="6120130" cy="2064385"/>
                    </a:xfrm>
                    <a:prstGeom prst="rect">
                      <a:avLst/>
                    </a:prstGeom>
                  </pic:spPr>
                </pic:pic>
              </a:graphicData>
            </a:graphic>
          </wp:inline>
        </w:drawing>
      </w:r>
    </w:p>
    <w:p w14:paraId="0C6A074A" w14:textId="77DE2FAC" w:rsidR="00E2284F" w:rsidRPr="00E27D3B" w:rsidRDefault="00E2284F" w:rsidP="00CD4F3A">
      <w:pPr>
        <w:pStyle w:val="Caption"/>
        <w:spacing w:line="240" w:lineRule="auto"/>
      </w:pPr>
      <w:bookmarkStart w:id="108" w:name="_Ref223644355"/>
      <w:bookmarkStart w:id="109" w:name="_Toc229777581"/>
      <w:bookmarkStart w:id="110" w:name="_Toc233735028"/>
      <w:r w:rsidRPr="00E27D3B">
        <w:t xml:space="preserve">Figure </w:t>
      </w:r>
      <w:fldSimple w:instr=" SEQ Figure \* ARABIC ">
        <w:r w:rsidR="00A85006">
          <w:rPr>
            <w:noProof/>
          </w:rPr>
          <w:t>22</w:t>
        </w:r>
      </w:fldSimple>
      <w:bookmarkEnd w:id="108"/>
      <w:r w:rsidRPr="00E27D3B">
        <w:t>: Proposed DDTD approach, comprising GRP and ERA.</w:t>
      </w:r>
      <w:bookmarkEnd w:id="109"/>
      <w:bookmarkEnd w:id="110"/>
    </w:p>
    <w:p w14:paraId="5AA66744" w14:textId="77777777" w:rsidR="00E2284F" w:rsidRPr="00E27D3B" w:rsidRDefault="00E2284F" w:rsidP="0026716B">
      <w:pPr>
        <w:pStyle w:val="BodyText"/>
        <w:spacing w:after="0"/>
      </w:pPr>
      <w:r w:rsidRPr="00E27D3B">
        <w:t xml:space="preserve">The dynamic behaviour of GFMIs is affected by multiple factors, including grid impedance, load variations, operating point fluctuations, control algorithms, and interactions within cascaded control loops. Accounting for these interactions makes accurate modelling of GFMIs a challenging task. The proposed methodology addresses this by generating time-domain training data across various operating points, including different short-circuit ratios (SCRs) and active and reactive power references of the GFMIs. After generating the necessary time-domain data—including positive-sequence voltage magnitude and phase angle, d- and q-axis currents of the GFMI, and frequency at the POC the proposed GPR- and ERA-based model is trained and validated to assess the small-signal stability (SSS) of the system for both droop- and VSM-controlled GFMIs. </w:t>
      </w:r>
    </w:p>
    <w:p w14:paraId="3CD47D2F" w14:textId="39A970AA" w:rsidR="00E2284F" w:rsidRPr="00E27D3B" w:rsidRDefault="00E2284F" w:rsidP="0026716B">
      <w:pPr>
        <w:pStyle w:val="BodyText"/>
        <w:spacing w:after="0"/>
        <w:rPr>
          <w:lang w:val="en-US"/>
        </w:rPr>
      </w:pPr>
      <w:r w:rsidRPr="00E27D3B">
        <w:t xml:space="preserve">In this study, </w:t>
      </w:r>
      <w:r>
        <w:t>three</w:t>
      </w:r>
      <w:r w:rsidRPr="00E27D3B">
        <w:t xml:space="preserve"> case studies</w:t>
      </w:r>
      <w:r w:rsidR="006C36A8">
        <w:t xml:space="preserve"> </w:t>
      </w:r>
      <w:r w:rsidR="006C36A8" w:rsidRPr="00E27D3B">
        <w:t>have been considered</w:t>
      </w:r>
      <w:r w:rsidRPr="00E27D3B">
        <w:t>: (1) SMIB system with droop and VSM-controlled GFMI</w:t>
      </w:r>
      <w:r>
        <w:t xml:space="preserve">, </w:t>
      </w:r>
      <w:r w:rsidRPr="00E27D3B">
        <w:t>(2) modified IEEE 39-bus testing system with VSM-controlled GFMI</w:t>
      </w:r>
      <w:r>
        <w:t>, and (3) m</w:t>
      </w:r>
      <w:r w:rsidRPr="004C3651">
        <w:t>odified and simplified 14-generator Australian power system with VSM-controlled GFMI</w:t>
      </w:r>
      <w:r w:rsidRPr="00E27D3B">
        <w:t>. This section also presents the training and validation of the proposed GPR and ERA-based DDTD model for evaluating the SSS of SMIB system and modified IEEE 39-bus testing system with GFMIs. Furthermore, a comparative study between the ANN</w:t>
      </w:r>
      <w:r>
        <w:t xml:space="preserve">, SVM, </w:t>
      </w:r>
      <w:r w:rsidRPr="00E27D3B">
        <w:t xml:space="preserve">and GPR-based DDTD model has been presented with SMIB system. </w:t>
      </w:r>
      <w:r w:rsidRPr="00E27D3B">
        <w:rPr>
          <w:lang w:val="en-US"/>
        </w:rPr>
        <w:t xml:space="preserve">It is shown that the stability of the system with both droop and VSM-controlled GFMI became affected by the variations of SCR and </w:t>
      </w:r>
      <w:r w:rsidRPr="00E27D3B">
        <w:rPr>
          <w:i/>
          <w:iCs/>
          <w:lang w:val="en-US"/>
        </w:rPr>
        <w:t>P</w:t>
      </w:r>
      <w:r w:rsidRPr="00E27D3B">
        <w:rPr>
          <w:vertAlign w:val="subscript"/>
          <w:lang w:val="en-US"/>
        </w:rPr>
        <w:t>ref</w:t>
      </w:r>
      <w:r w:rsidRPr="00E27D3B">
        <w:rPr>
          <w:lang w:val="en-US"/>
        </w:rPr>
        <w:t>. Therefore, in this study, the authors defined the operating points by the short-circuit ratio (SCR), active power reference (</w:t>
      </w:r>
      <m:oMath>
        <m:sSub>
          <m:sSubPr>
            <m:ctrlPr>
              <w:rPr>
                <w:rFonts w:ascii="Cambria Math" w:hAnsi="Cambria Math"/>
                <w:lang w:val="en-US"/>
              </w:rPr>
            </m:ctrlPr>
          </m:sSubPr>
          <m:e>
            <m:r>
              <w:rPr>
                <w:rFonts w:ascii="Cambria Math" w:hAnsi="Cambria Math"/>
                <w:lang w:val="en-US"/>
              </w:rPr>
              <m:t>P</m:t>
            </m:r>
          </m:e>
          <m:sub>
            <m:r>
              <m:rPr>
                <m:sty m:val="p"/>
              </m:rPr>
              <w:rPr>
                <w:rFonts w:ascii="Cambria Math" w:hAnsi="Cambria Math"/>
                <w:lang w:val="en-US"/>
              </w:rPr>
              <m:t>ref</m:t>
            </m:r>
          </m:sub>
        </m:sSub>
      </m:oMath>
      <w:r w:rsidRPr="00E27D3B">
        <w:rPr>
          <w:lang w:val="en-US"/>
        </w:rPr>
        <w:t>), and voltage set point (</w:t>
      </w:r>
      <m:oMath>
        <m:sSub>
          <m:sSubPr>
            <m:ctrlPr>
              <w:rPr>
                <w:rFonts w:ascii="Cambria Math" w:hAnsi="Cambria Math"/>
                <w:lang w:val="en-US"/>
              </w:rPr>
            </m:ctrlPr>
          </m:sSubPr>
          <m:e>
            <m:r>
              <w:rPr>
                <w:rFonts w:ascii="Cambria Math" w:hAnsi="Cambria Math"/>
                <w:lang w:val="en-US"/>
              </w:rPr>
              <m:t>V</m:t>
            </m:r>
          </m:e>
          <m:sub>
            <m:r>
              <m:rPr>
                <m:sty m:val="p"/>
              </m:rPr>
              <w:rPr>
                <w:rFonts w:ascii="Cambria Math" w:hAnsi="Cambria Math"/>
                <w:lang w:val="en-US"/>
              </w:rPr>
              <m:t>set</m:t>
            </m:r>
          </m:sub>
        </m:sSub>
      </m:oMath>
      <w:r w:rsidRPr="00E27D3B">
        <w:rPr>
          <w:lang w:val="en-US"/>
        </w:rPr>
        <w:t xml:space="preserve">) of the GFMI. The positive-sequence voltage magnitude, </w:t>
      </w:r>
      <w:r w:rsidRPr="00E27D3B">
        <w:rPr>
          <w:i/>
          <w:iCs/>
          <w:lang w:val="en-US"/>
        </w:rPr>
        <w:t>V</w:t>
      </w:r>
      <w:r w:rsidRPr="00E27D3B">
        <w:rPr>
          <w:vertAlign w:val="subscript"/>
          <w:lang w:val="en-US"/>
        </w:rPr>
        <w:t>1mag</w:t>
      </w:r>
      <w:r w:rsidRPr="00E27D3B">
        <w:rPr>
          <w:lang w:val="en-US"/>
        </w:rPr>
        <w:t xml:space="preserve"> and phase angle, </w:t>
      </w:r>
      <w:proofErr w:type="spellStart"/>
      <w:r w:rsidRPr="00E27D3B">
        <w:rPr>
          <w:i/>
          <w:iCs/>
          <w:lang w:val="en-US"/>
        </w:rPr>
        <w:t>θ</w:t>
      </w:r>
      <w:r w:rsidRPr="00E27D3B">
        <w:rPr>
          <w:vertAlign w:val="subscript"/>
          <w:lang w:val="en-US"/>
        </w:rPr>
        <w:t>poc</w:t>
      </w:r>
      <w:proofErr w:type="spellEnd"/>
      <w:r w:rsidRPr="00E27D3B">
        <w:rPr>
          <w:lang w:val="en-US"/>
        </w:rPr>
        <w:t xml:space="preserve"> at POC were used as inputs to the model, while the GFMI frequency, </w:t>
      </w:r>
      <w:r w:rsidRPr="00E27D3B">
        <w:rPr>
          <w:i/>
          <w:iCs/>
          <w:lang w:val="en-US"/>
        </w:rPr>
        <w:t>f</w:t>
      </w:r>
      <w:r w:rsidRPr="00E27D3B">
        <w:rPr>
          <w:lang w:val="en-US"/>
        </w:rPr>
        <w:t xml:space="preserve"> and d- and q-axis currents (</w:t>
      </w:r>
      <m:oMath>
        <m:sSub>
          <m:sSubPr>
            <m:ctrlPr>
              <w:rPr>
                <w:rFonts w:ascii="Cambria Math" w:hAnsi="Cambria Math"/>
                <w:lang w:val="en-US"/>
              </w:rPr>
            </m:ctrlPr>
          </m:sSubPr>
          <m:e>
            <m:r>
              <w:rPr>
                <w:rFonts w:ascii="Cambria Math" w:hAnsi="Cambria Math"/>
                <w:lang w:val="en-US"/>
              </w:rPr>
              <m:t>i</m:t>
            </m:r>
          </m:e>
          <m:sub>
            <m:r>
              <m:rPr>
                <m:sty m:val="p"/>
              </m:rPr>
              <w:rPr>
                <w:rFonts w:ascii="Cambria Math" w:hAnsi="Cambria Math"/>
                <w:lang w:val="en-US"/>
              </w:rPr>
              <m:t>d</m:t>
            </m:r>
          </m:sub>
        </m:sSub>
        <m:r>
          <w:rPr>
            <w:rFonts w:ascii="Cambria Math" w:hAnsi="Cambria Math"/>
            <w:lang w:val="en-US"/>
          </w:rPr>
          <m:t>,</m:t>
        </m:r>
        <m:sSub>
          <m:sSubPr>
            <m:ctrlPr>
              <w:rPr>
                <w:rFonts w:ascii="Cambria Math" w:hAnsi="Cambria Math"/>
                <w:lang w:val="en-US"/>
              </w:rPr>
            </m:ctrlPr>
          </m:sSubPr>
          <m:e>
            <m:r>
              <w:rPr>
                <w:rFonts w:ascii="Cambria Math" w:hAnsi="Cambria Math"/>
                <w:lang w:val="en-US"/>
              </w:rPr>
              <m:t>i</m:t>
            </m:r>
          </m:e>
          <m:sub>
            <m:r>
              <m:rPr>
                <m:sty m:val="p"/>
              </m:rPr>
              <w:rPr>
                <w:rFonts w:ascii="Cambria Math" w:hAnsi="Cambria Math"/>
                <w:lang w:val="en-US"/>
              </w:rPr>
              <m:t>q</m:t>
            </m:r>
          </m:sub>
        </m:sSub>
      </m:oMath>
      <w:r w:rsidRPr="00E27D3B">
        <w:rPr>
          <w:lang w:val="en-US"/>
        </w:rPr>
        <w:t xml:space="preserve">) served as outputs.  </w:t>
      </w:r>
    </w:p>
    <w:p w14:paraId="7ED89D3E" w14:textId="77777777" w:rsidR="00614453" w:rsidRPr="00614453" w:rsidRDefault="00614453" w:rsidP="00614453">
      <w:pPr>
        <w:pStyle w:val="ListParagraph0"/>
        <w:keepNext/>
        <w:keepLines/>
        <w:numPr>
          <w:ilvl w:val="1"/>
          <w:numId w:val="76"/>
        </w:numPr>
        <w:tabs>
          <w:tab w:val="left" w:pos="1134"/>
        </w:tabs>
        <w:spacing w:before="360" w:after="240" w:line="240" w:lineRule="auto"/>
        <w:contextualSpacing w:val="0"/>
        <w:outlineLvl w:val="1"/>
        <w:rPr>
          <w:rFonts w:eastAsiaTheme="majorEastAsia" w:cstheme="majorBidi"/>
          <w:bCs/>
          <w:vanish/>
          <w:color w:val="001D34" w:themeColor="accent2"/>
          <w:sz w:val="32"/>
          <w:szCs w:val="26"/>
          <w:lang w:val="en-US"/>
        </w:rPr>
      </w:pPr>
    </w:p>
    <w:p w14:paraId="3ED359FA" w14:textId="7B84801A" w:rsidR="00E2284F" w:rsidRPr="00614453" w:rsidRDefault="00E2284F" w:rsidP="00614453">
      <w:pPr>
        <w:pStyle w:val="Heading3"/>
        <w:numPr>
          <w:ilvl w:val="2"/>
          <w:numId w:val="76"/>
        </w:numPr>
        <w:rPr>
          <w:bCs w:val="0"/>
          <w:lang w:val="en-US"/>
        </w:rPr>
      </w:pPr>
      <w:r w:rsidRPr="00614453">
        <w:rPr>
          <w:lang w:val="en-US"/>
        </w:rPr>
        <w:t xml:space="preserve">Validation of DDTD </w:t>
      </w:r>
      <w:r w:rsidR="009330B0">
        <w:rPr>
          <w:lang w:val="en-US"/>
        </w:rPr>
        <w:t>M</w:t>
      </w:r>
      <w:r w:rsidRPr="00614453">
        <w:rPr>
          <w:lang w:val="en-US"/>
        </w:rPr>
        <w:t xml:space="preserve">odels in SMIB </w:t>
      </w:r>
      <w:r w:rsidR="009330B0">
        <w:rPr>
          <w:lang w:val="en-US"/>
        </w:rPr>
        <w:t>S</w:t>
      </w:r>
      <w:r w:rsidRPr="00614453">
        <w:rPr>
          <w:lang w:val="en-US"/>
        </w:rPr>
        <w:t xml:space="preserve">ystem with </w:t>
      </w:r>
      <w:r w:rsidR="009330B0">
        <w:rPr>
          <w:lang w:val="en-US"/>
        </w:rPr>
        <w:t>D</w:t>
      </w:r>
      <w:r w:rsidRPr="00614453">
        <w:rPr>
          <w:lang w:val="en-US"/>
        </w:rPr>
        <w:t>roop and VSM-controlled GFMI</w:t>
      </w:r>
    </w:p>
    <w:p w14:paraId="4D2FA6DC" w14:textId="25335E75" w:rsidR="00E2284F" w:rsidRPr="00E27D3B" w:rsidRDefault="00E2284F" w:rsidP="0026716B">
      <w:pPr>
        <w:pStyle w:val="BodyText"/>
        <w:spacing w:after="0"/>
        <w:rPr>
          <w:lang w:val="en-US"/>
        </w:rPr>
      </w:pPr>
      <w:r w:rsidRPr="00E27D3B">
        <w:rPr>
          <w:lang w:val="en-US"/>
        </w:rPr>
        <w:t xml:space="preserve">Firstly, to illustrate the dynamic behavior of the droop-controlled and VSM-controlled GFMI, </w:t>
      </w:r>
      <w:r w:rsidR="00B154DD">
        <w:rPr>
          <w:lang w:val="en-US"/>
        </w:rPr>
        <w:t>the</w:t>
      </w:r>
      <w:r w:rsidRPr="00E27D3B">
        <w:rPr>
          <w:lang w:val="en-US"/>
        </w:rPr>
        <w:t xml:space="preserve"> SMIB system as shown in</w:t>
      </w:r>
      <w:r w:rsidRPr="00E27D3B">
        <w:t xml:space="preserve"> </w:t>
      </w:r>
      <w:r w:rsidRPr="00E27D3B">
        <w:fldChar w:fldCharType="begin"/>
      </w:r>
      <w:r w:rsidRPr="00E27D3B">
        <w:instrText xml:space="preserve"> REF _Ref223644127 \h  \* MERGEFORMAT </w:instrText>
      </w:r>
      <w:r w:rsidRPr="00E27D3B">
        <w:fldChar w:fldCharType="separate"/>
      </w:r>
      <w:r w:rsidR="00753DAF" w:rsidRPr="00E27D3B">
        <w:t xml:space="preserve">Figure </w:t>
      </w:r>
      <w:r w:rsidR="00753DAF">
        <w:rPr>
          <w:noProof/>
        </w:rPr>
        <w:t>12</w:t>
      </w:r>
      <w:r w:rsidRPr="00E27D3B">
        <w:fldChar w:fldCharType="end"/>
      </w:r>
      <w:r w:rsidRPr="00E27D3B">
        <w:rPr>
          <w:lang w:val="en-US"/>
        </w:rPr>
        <w:t xml:space="preserve">, was implemented in DIgSILENT </w:t>
      </w:r>
      <w:proofErr w:type="spellStart"/>
      <w:r w:rsidRPr="00E27D3B">
        <w:rPr>
          <w:lang w:val="en-US"/>
        </w:rPr>
        <w:t>PowerFactory</w:t>
      </w:r>
      <w:proofErr w:type="spellEnd"/>
      <w:r w:rsidRPr="00E27D3B">
        <w:rPr>
          <w:lang w:val="en-US"/>
        </w:rPr>
        <w:t xml:space="preserve"> with 1.12 MVA </w:t>
      </w:r>
      <w:r w:rsidR="00B154DD">
        <w:rPr>
          <w:lang w:val="en-US"/>
        </w:rPr>
        <w:t xml:space="preserve">of </w:t>
      </w:r>
      <w:r w:rsidRPr="00E27D3B">
        <w:rPr>
          <w:lang w:val="en-US"/>
        </w:rPr>
        <w:t xml:space="preserve">built-in droop and VSM-controlled GFMIs. Three case studies were conducted to evaluate the small-signal stability (SSS) of the system under different short-circuit ratio (SCR) scenarios: SCR = 1.2, 2.5, and 4.0. Also, the active power reference of the GFMI varied from 0.5, 0.75, and 1.0 MW. </w:t>
      </w:r>
      <w:r w:rsidRPr="00E27D3B">
        <w:rPr>
          <w:lang w:val="en-US"/>
        </w:rPr>
        <w:fldChar w:fldCharType="begin"/>
      </w:r>
      <w:r w:rsidRPr="00E27D3B">
        <w:rPr>
          <w:lang w:val="en-US"/>
        </w:rPr>
        <w:instrText xml:space="preserve"> REF _Ref223644387 \h  \* MERGEFORMAT </w:instrText>
      </w:r>
      <w:r w:rsidRPr="00E27D3B">
        <w:rPr>
          <w:lang w:val="en-US"/>
        </w:rPr>
      </w:r>
      <w:r w:rsidRPr="00E27D3B">
        <w:rPr>
          <w:lang w:val="en-US"/>
        </w:rPr>
        <w:fldChar w:fldCharType="separate"/>
      </w:r>
      <w:r w:rsidR="00753DAF" w:rsidRPr="00E27D3B">
        <w:t xml:space="preserve">Figure </w:t>
      </w:r>
      <w:r w:rsidR="00753DAF">
        <w:rPr>
          <w:noProof/>
        </w:rPr>
        <w:t>23</w:t>
      </w:r>
      <w:r w:rsidRPr="00E27D3B">
        <w:rPr>
          <w:lang w:val="en-US"/>
        </w:rPr>
        <w:fldChar w:fldCharType="end"/>
      </w:r>
      <w:r w:rsidRPr="00E27D3B">
        <w:rPr>
          <w:lang w:val="en-US"/>
        </w:rPr>
        <w:t xml:space="preserve">(a) presents the electromagnetic transient (EMT) results for the droop-controlled GFMI, showing voltage, </w:t>
      </w:r>
      <w:r w:rsidRPr="60762895">
        <w:rPr>
          <w:i/>
          <w:iCs/>
          <w:lang w:val="en-US"/>
        </w:rPr>
        <w:t>V</w:t>
      </w:r>
      <w:r w:rsidRPr="00E27D3B">
        <w:rPr>
          <w:lang w:val="en-US"/>
        </w:rPr>
        <w:t xml:space="preserve"> and frequency, </w:t>
      </w:r>
      <w:r w:rsidRPr="60762895">
        <w:rPr>
          <w:i/>
          <w:iCs/>
          <w:lang w:val="en-US"/>
        </w:rPr>
        <w:t>f</w:t>
      </w:r>
      <w:r w:rsidRPr="00E27D3B">
        <w:rPr>
          <w:lang w:val="en-US"/>
        </w:rPr>
        <w:t xml:space="preserve"> at the POC. A small perturbation, consisting of a voltage step from 1.00 </w:t>
      </w:r>
      <w:proofErr w:type="spellStart"/>
      <w:r w:rsidRPr="00E27D3B">
        <w:rPr>
          <w:lang w:val="en-US"/>
        </w:rPr>
        <w:t>p.u</w:t>
      </w:r>
      <w:proofErr w:type="spellEnd"/>
      <w:r w:rsidRPr="00E27D3B">
        <w:rPr>
          <w:lang w:val="en-US"/>
        </w:rPr>
        <w:t>. to 1.05 </w:t>
      </w:r>
      <w:proofErr w:type="spellStart"/>
      <w:r w:rsidRPr="00E27D3B">
        <w:rPr>
          <w:lang w:val="en-US"/>
        </w:rPr>
        <w:t>p.u</w:t>
      </w:r>
      <w:proofErr w:type="spellEnd"/>
      <w:r w:rsidRPr="00E27D3B">
        <w:rPr>
          <w:lang w:val="en-US"/>
        </w:rPr>
        <w:t xml:space="preserve">., was applied to the voltage set point of the external grid at 30 s. The system response was monitored to determine the stabilization point, which occurred at approximately 38 s following the perturbation. The results indicate that the performance of the </w:t>
      </w:r>
      <w:proofErr w:type="gramStart"/>
      <w:r w:rsidRPr="00E27D3B">
        <w:rPr>
          <w:lang w:val="en-US"/>
        </w:rPr>
        <w:t>droop</w:t>
      </w:r>
      <w:proofErr w:type="gramEnd"/>
      <w:r w:rsidRPr="00E27D3B">
        <w:rPr>
          <w:lang w:val="en-US"/>
        </w:rPr>
        <w:t xml:space="preserve">-controlled GFMI was only slightly affected as the SCR increased from 1.2 to 4.0. </w:t>
      </w:r>
      <w:r w:rsidRPr="00E27D3B">
        <w:rPr>
          <w:lang w:val="en-US"/>
        </w:rPr>
        <w:fldChar w:fldCharType="begin"/>
      </w:r>
      <w:r w:rsidRPr="00E27D3B">
        <w:rPr>
          <w:lang w:val="en-US"/>
        </w:rPr>
        <w:instrText xml:space="preserve"> REF _Ref223644387 \h  \* MERGEFORMAT </w:instrText>
      </w:r>
      <w:r w:rsidRPr="00E27D3B">
        <w:rPr>
          <w:lang w:val="en-US"/>
        </w:rPr>
      </w:r>
      <w:r w:rsidRPr="00E27D3B">
        <w:rPr>
          <w:lang w:val="en-US"/>
        </w:rPr>
        <w:fldChar w:fldCharType="separate"/>
      </w:r>
      <w:r w:rsidR="00753DAF" w:rsidRPr="00E27D3B">
        <w:t xml:space="preserve">Figure </w:t>
      </w:r>
      <w:r w:rsidR="00753DAF">
        <w:rPr>
          <w:noProof/>
        </w:rPr>
        <w:t>23</w:t>
      </w:r>
      <w:r w:rsidRPr="00E27D3B">
        <w:rPr>
          <w:lang w:val="en-US"/>
        </w:rPr>
        <w:fldChar w:fldCharType="end"/>
      </w:r>
      <w:r w:rsidRPr="00E27D3B">
        <w:rPr>
          <w:lang w:val="en-US"/>
        </w:rPr>
        <w:t>(b) shows the EMT results for the VSM-controlled GFMI. Compared to the droop-controlled case, the VSM-controlled GFMI exhibited larger oscillations and higher overshoots during transients. Increasing the SCR to 4.0 improved system response, producing smoother voltage and frequency profiles compared to SCRs of 2.5 and 1.2.</w:t>
      </w:r>
    </w:p>
    <w:p w14:paraId="382113FF" w14:textId="77777777" w:rsidR="00E2284F" w:rsidRPr="00E27D3B" w:rsidRDefault="00E2284F" w:rsidP="00CD4F3A">
      <w:pPr>
        <w:pStyle w:val="BodyText"/>
        <w:keepNext/>
        <w:spacing w:line="240" w:lineRule="auto"/>
      </w:pPr>
      <w:r w:rsidRPr="00E27D3B">
        <w:rPr>
          <w:noProof/>
        </w:rPr>
        <w:drawing>
          <wp:inline distT="0" distB="0" distL="0" distR="0" wp14:anchorId="015E2933" wp14:editId="145F336A">
            <wp:extent cx="6120130" cy="2108835"/>
            <wp:effectExtent l="0" t="0" r="0" b="5715"/>
            <wp:docPr id="492539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39748" name=""/>
                    <pic:cNvPicPr/>
                  </pic:nvPicPr>
                  <pic:blipFill>
                    <a:blip r:embed="rId68"/>
                    <a:stretch>
                      <a:fillRect/>
                    </a:stretch>
                  </pic:blipFill>
                  <pic:spPr>
                    <a:xfrm>
                      <a:off x="0" y="0"/>
                      <a:ext cx="6120130" cy="21088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524CF" w:rsidRPr="00C15A74" w14:paraId="36FBC5D5" w14:textId="77777777" w:rsidTr="005B21FE">
        <w:tc>
          <w:tcPr>
            <w:tcW w:w="4814" w:type="dxa"/>
          </w:tcPr>
          <w:p w14:paraId="4F6DF7B4" w14:textId="77777777" w:rsidR="005524CF" w:rsidRPr="00C15A74" w:rsidRDefault="005524CF" w:rsidP="00CD4F3A">
            <w:pPr>
              <w:pStyle w:val="BodyText"/>
              <w:spacing w:line="240" w:lineRule="auto"/>
              <w:jc w:val="center"/>
              <w:rPr>
                <w:rFonts w:ascii="Times New Roman" w:hAnsi="Times New Roman"/>
                <w:noProof/>
                <w:sz w:val="22"/>
                <w:szCs w:val="18"/>
              </w:rPr>
            </w:pPr>
            <w:bookmarkStart w:id="111" w:name="_Ref223644387"/>
            <w:bookmarkStart w:id="112" w:name="_Toc229777582"/>
            <w:r w:rsidRPr="00C15A74">
              <w:rPr>
                <w:rFonts w:ascii="Times New Roman" w:hAnsi="Times New Roman"/>
                <w:noProof/>
                <w:sz w:val="22"/>
                <w:szCs w:val="18"/>
              </w:rPr>
              <w:t>(</w:t>
            </w:r>
            <w:r>
              <w:rPr>
                <w:rFonts w:ascii="Times New Roman" w:hAnsi="Times New Roman"/>
                <w:noProof/>
                <w:sz w:val="22"/>
                <w:szCs w:val="18"/>
              </w:rPr>
              <w:t>a</w:t>
            </w:r>
            <w:r w:rsidRPr="00C15A74">
              <w:rPr>
                <w:rFonts w:ascii="Times New Roman" w:hAnsi="Times New Roman"/>
                <w:noProof/>
                <w:sz w:val="22"/>
                <w:szCs w:val="18"/>
              </w:rPr>
              <w:t>)</w:t>
            </w:r>
          </w:p>
        </w:tc>
        <w:tc>
          <w:tcPr>
            <w:tcW w:w="4814" w:type="dxa"/>
          </w:tcPr>
          <w:p w14:paraId="48C48A55" w14:textId="77777777" w:rsidR="005524CF" w:rsidRPr="00C15A74" w:rsidRDefault="005524CF" w:rsidP="00CD4F3A">
            <w:pPr>
              <w:pStyle w:val="BodyText"/>
              <w:spacing w:line="240" w:lineRule="auto"/>
              <w:jc w:val="center"/>
              <w:rPr>
                <w:rFonts w:ascii="Times New Roman" w:hAnsi="Times New Roman"/>
                <w:noProof/>
                <w:sz w:val="22"/>
                <w:szCs w:val="18"/>
              </w:rPr>
            </w:pPr>
            <w:r w:rsidRPr="00C15A74">
              <w:rPr>
                <w:rFonts w:ascii="Times New Roman" w:hAnsi="Times New Roman"/>
                <w:noProof/>
                <w:sz w:val="22"/>
                <w:szCs w:val="18"/>
              </w:rPr>
              <w:t>(</w:t>
            </w:r>
            <w:r>
              <w:rPr>
                <w:rFonts w:ascii="Times New Roman" w:hAnsi="Times New Roman"/>
                <w:noProof/>
                <w:sz w:val="22"/>
                <w:szCs w:val="18"/>
              </w:rPr>
              <w:t>b</w:t>
            </w:r>
            <w:r w:rsidRPr="00C15A74">
              <w:rPr>
                <w:rFonts w:ascii="Times New Roman" w:hAnsi="Times New Roman"/>
                <w:noProof/>
                <w:sz w:val="22"/>
                <w:szCs w:val="18"/>
              </w:rPr>
              <w:t>)</w:t>
            </w:r>
          </w:p>
        </w:tc>
      </w:tr>
    </w:tbl>
    <w:p w14:paraId="680901D0" w14:textId="050F7F0B" w:rsidR="00E2284F" w:rsidRPr="00E27D3B" w:rsidRDefault="00E2284F" w:rsidP="00CD4F3A">
      <w:pPr>
        <w:pStyle w:val="Caption"/>
        <w:spacing w:line="240" w:lineRule="auto"/>
      </w:pPr>
      <w:bookmarkStart w:id="113" w:name="_Toc233735029"/>
      <w:r w:rsidRPr="00E27D3B">
        <w:t xml:space="preserve">Figure </w:t>
      </w:r>
      <w:fldSimple w:instr=" SEQ Figure \* ARABIC ">
        <w:r w:rsidR="00A85006">
          <w:rPr>
            <w:noProof/>
          </w:rPr>
          <w:t>23</w:t>
        </w:r>
      </w:fldSimple>
      <w:bookmarkEnd w:id="111"/>
      <w:r w:rsidRPr="00E27D3B">
        <w:t xml:space="preserve">: Dynamic </w:t>
      </w:r>
      <w:r w:rsidR="009330B0" w:rsidRPr="00E27D3B">
        <w:t>behaviour</w:t>
      </w:r>
      <w:r w:rsidRPr="00E27D3B">
        <w:t xml:space="preserve"> of (a) droop-controlled and (b) VSM-controlled GFMI at different SCR and it is assumed that the converter was assumed to operate as stable at t=30 s.</w:t>
      </w:r>
      <w:bookmarkEnd w:id="112"/>
      <w:bookmarkEnd w:id="113"/>
    </w:p>
    <w:p w14:paraId="3C978325" w14:textId="0073DAF4" w:rsidR="00E2284F" w:rsidRDefault="00E2284F" w:rsidP="0026716B">
      <w:pPr>
        <w:pStyle w:val="BodyText"/>
        <w:spacing w:after="0"/>
        <w:rPr>
          <w:lang w:val="en-US"/>
        </w:rPr>
      </w:pPr>
      <w:r w:rsidRPr="00E27D3B">
        <w:rPr>
          <w:lang w:val="en-US"/>
        </w:rPr>
        <w:fldChar w:fldCharType="begin"/>
      </w:r>
      <w:r w:rsidRPr="00E27D3B">
        <w:rPr>
          <w:lang w:val="en-US"/>
        </w:rPr>
        <w:instrText xml:space="preserve"> REF _Ref223644415 \h  \* MERGEFORMAT </w:instrText>
      </w:r>
      <w:r w:rsidRPr="00E27D3B">
        <w:rPr>
          <w:lang w:val="en-US"/>
        </w:rPr>
      </w:r>
      <w:r w:rsidRPr="00E27D3B">
        <w:rPr>
          <w:lang w:val="en-US"/>
        </w:rPr>
        <w:fldChar w:fldCharType="separate"/>
      </w:r>
      <w:r w:rsidR="00753DAF" w:rsidRPr="00E27D3B">
        <w:t xml:space="preserve">Figure </w:t>
      </w:r>
      <w:r w:rsidR="00753DAF">
        <w:rPr>
          <w:noProof/>
        </w:rPr>
        <w:t>24</w:t>
      </w:r>
      <w:r w:rsidRPr="00E27D3B">
        <w:rPr>
          <w:lang w:val="en-US"/>
        </w:rPr>
        <w:fldChar w:fldCharType="end"/>
      </w:r>
      <w:r w:rsidRPr="00E27D3B">
        <w:rPr>
          <w:lang w:val="en-US"/>
        </w:rPr>
        <w:t xml:space="preserve"> and </w:t>
      </w:r>
      <w:r w:rsidRPr="00E27D3B">
        <w:rPr>
          <w:lang w:val="en-US"/>
        </w:rPr>
        <w:fldChar w:fldCharType="begin"/>
      </w:r>
      <w:r w:rsidRPr="00E27D3B">
        <w:rPr>
          <w:lang w:val="en-US"/>
        </w:rPr>
        <w:instrText xml:space="preserve"> REF _Ref223644420 \h  \* MERGEFORMAT </w:instrText>
      </w:r>
      <w:r w:rsidRPr="00E27D3B">
        <w:rPr>
          <w:lang w:val="en-US"/>
        </w:rPr>
      </w:r>
      <w:r w:rsidRPr="00E27D3B">
        <w:rPr>
          <w:lang w:val="en-US"/>
        </w:rPr>
        <w:fldChar w:fldCharType="separate"/>
      </w:r>
      <w:r w:rsidR="00753DAF" w:rsidRPr="00E27D3B">
        <w:t xml:space="preserve">Figure </w:t>
      </w:r>
      <w:r w:rsidR="00753DAF">
        <w:rPr>
          <w:noProof/>
        </w:rPr>
        <w:t>25</w:t>
      </w:r>
      <w:r w:rsidRPr="00E27D3B">
        <w:rPr>
          <w:lang w:val="en-US"/>
        </w:rPr>
        <w:fldChar w:fldCharType="end"/>
      </w:r>
      <w:r w:rsidRPr="00E27D3B">
        <w:rPr>
          <w:lang w:val="en-US"/>
        </w:rPr>
        <w:t xml:space="preserve"> present the validation of the proposed GPR- and ERA-based DDTD model for evaluating the small-signal stability (SSS) of the SMIB test system with droop- and VSM-controlled GFMIs, respectively. </w:t>
      </w:r>
    </w:p>
    <w:p w14:paraId="7A5F79F0" w14:textId="4BEBA200" w:rsidR="00445AA8" w:rsidRPr="00112632" w:rsidRDefault="00445AA8" w:rsidP="00445AA8">
      <w:pPr>
        <w:pStyle w:val="Heading3"/>
        <w:numPr>
          <w:ilvl w:val="2"/>
          <w:numId w:val="76"/>
        </w:numPr>
        <w:rPr>
          <w:b w:val="0"/>
          <w:bCs w:val="0"/>
          <w:lang w:val="en-US"/>
        </w:rPr>
      </w:pPr>
      <w:r w:rsidRPr="00112632">
        <w:rPr>
          <w:lang w:val="en-US"/>
        </w:rPr>
        <w:t xml:space="preserve">Comparative </w:t>
      </w:r>
      <w:r>
        <w:rPr>
          <w:lang w:val="en-US"/>
        </w:rPr>
        <w:t>P</w:t>
      </w:r>
      <w:r w:rsidRPr="00112632">
        <w:rPr>
          <w:lang w:val="en-US"/>
        </w:rPr>
        <w:t xml:space="preserve">erformance </w:t>
      </w:r>
      <w:r>
        <w:rPr>
          <w:lang w:val="en-US"/>
        </w:rPr>
        <w:t>S</w:t>
      </w:r>
      <w:r w:rsidRPr="00112632">
        <w:rPr>
          <w:lang w:val="en-US"/>
        </w:rPr>
        <w:t xml:space="preserve">tudy of ANN, SVM, and GPR-based DDTD </w:t>
      </w:r>
      <w:r>
        <w:rPr>
          <w:lang w:val="en-US"/>
        </w:rPr>
        <w:t>M</w:t>
      </w:r>
      <w:r w:rsidRPr="00112632">
        <w:rPr>
          <w:lang w:val="en-US"/>
        </w:rPr>
        <w:t>odels</w:t>
      </w:r>
    </w:p>
    <w:p w14:paraId="3BD5D7EF" w14:textId="77777777" w:rsidR="00445AA8" w:rsidRDefault="00445AA8" w:rsidP="0026716B">
      <w:pPr>
        <w:pStyle w:val="BodyText"/>
        <w:spacing w:after="0"/>
      </w:pPr>
      <w:r w:rsidRPr="00E27D3B">
        <w:t>I</w:t>
      </w:r>
      <w:proofErr w:type="spellStart"/>
      <w:r w:rsidRPr="00E27D3B">
        <w:rPr>
          <w:lang w:val="en-US"/>
        </w:rPr>
        <w:t>n</w:t>
      </w:r>
      <w:proofErr w:type="spellEnd"/>
      <w:r w:rsidRPr="00E27D3B">
        <w:rPr>
          <w:lang w:val="en-US"/>
        </w:rPr>
        <w:t xml:space="preserve"> this section, </w:t>
      </w:r>
      <w:r w:rsidRPr="00E27D3B">
        <w:t>a comparative study has been presented between the ANN and ERA-based DDTD</w:t>
      </w:r>
      <w:r>
        <w:t xml:space="preserve">, SVM and ERA-based, and the </w:t>
      </w:r>
      <w:r w:rsidRPr="00E27D3B">
        <w:t>proposed GPR and ERA-based DDTD model</w:t>
      </w:r>
      <w:r>
        <w:t xml:space="preserve">s </w:t>
      </w:r>
      <w:r w:rsidRPr="00E27D3B">
        <w:t xml:space="preserve">in terms of prediction accuracy of time-domain outputs, estimating the system eigenvalues, and evaluating the SSS of the SMIB testing system with VSM-controlled GFMI. </w:t>
      </w:r>
      <w:r w:rsidRPr="00E27D3B">
        <w:fldChar w:fldCharType="begin"/>
      </w:r>
      <w:r w:rsidRPr="00E27D3B">
        <w:instrText xml:space="preserve"> REF _Ref223644490 \h  \* MERGEFORMAT </w:instrText>
      </w:r>
      <w:r w:rsidRPr="00E27D3B">
        <w:fldChar w:fldCharType="separate"/>
      </w:r>
      <w:r w:rsidRPr="00E27D3B">
        <w:t xml:space="preserve">Figure </w:t>
      </w:r>
      <w:r>
        <w:rPr>
          <w:noProof/>
        </w:rPr>
        <w:t>26</w:t>
      </w:r>
      <w:r w:rsidRPr="00E27D3B">
        <w:fldChar w:fldCharType="end"/>
      </w:r>
      <w:r w:rsidRPr="00E27D3B">
        <w:t xml:space="preserve"> shows the comparison between GPR and ERA-based DDTD model ANN and ERA-based DDTD model to predict the frequency, </w:t>
      </w:r>
      <w:r w:rsidRPr="60762895">
        <w:rPr>
          <w:i/>
          <w:iCs/>
        </w:rPr>
        <w:t>i</w:t>
      </w:r>
      <w:r w:rsidRPr="60762895">
        <w:rPr>
          <w:i/>
          <w:iCs/>
          <w:vertAlign w:val="subscript"/>
        </w:rPr>
        <w:t>d</w:t>
      </w:r>
      <w:r w:rsidRPr="00E27D3B">
        <w:t xml:space="preserve">, and </w:t>
      </w:r>
      <w:proofErr w:type="spellStart"/>
      <w:r w:rsidRPr="60762895">
        <w:rPr>
          <w:i/>
          <w:iCs/>
        </w:rPr>
        <w:t>i</w:t>
      </w:r>
      <w:r w:rsidRPr="60762895">
        <w:rPr>
          <w:i/>
          <w:iCs/>
          <w:vertAlign w:val="subscript"/>
        </w:rPr>
        <w:t>q</w:t>
      </w:r>
      <w:proofErr w:type="spellEnd"/>
      <w:r w:rsidRPr="00E27D3B">
        <w:t xml:space="preserve"> of the GFMI at new operating point, </w:t>
      </w:r>
      <w:r w:rsidRPr="60762895">
        <w:rPr>
          <w:i/>
          <w:iCs/>
          <w:lang w:val="en-US"/>
        </w:rPr>
        <w:t>SCR</w:t>
      </w:r>
      <w:r w:rsidRPr="00E27D3B">
        <w:rPr>
          <w:lang w:val="en-US"/>
        </w:rPr>
        <w:t xml:space="preserve">=2, </w:t>
      </w:r>
      <w:r w:rsidRPr="60762895">
        <w:rPr>
          <w:i/>
          <w:iCs/>
          <w:lang w:val="en-US"/>
        </w:rPr>
        <w:t>P</w:t>
      </w:r>
      <w:r w:rsidRPr="00E27D3B">
        <w:rPr>
          <w:vertAlign w:val="subscript"/>
          <w:lang w:val="en-US"/>
        </w:rPr>
        <w:t>ref</w:t>
      </w:r>
      <w:r w:rsidRPr="00E27D3B">
        <w:rPr>
          <w:lang w:val="en-US"/>
        </w:rPr>
        <w:t xml:space="preserve">=0.25 MW, </w:t>
      </w:r>
      <w:proofErr w:type="spellStart"/>
      <w:r w:rsidRPr="60762895">
        <w:rPr>
          <w:i/>
          <w:iCs/>
          <w:lang w:val="en-US"/>
        </w:rPr>
        <w:t>V</w:t>
      </w:r>
      <w:r w:rsidRPr="00E27D3B">
        <w:rPr>
          <w:vertAlign w:val="subscript"/>
          <w:lang w:val="en-US"/>
        </w:rPr>
        <w:t>set</w:t>
      </w:r>
      <w:proofErr w:type="spellEnd"/>
      <w:r w:rsidRPr="00E27D3B">
        <w:rPr>
          <w:lang w:val="en-US"/>
        </w:rPr>
        <w:t>=1.0.</w:t>
      </w:r>
      <w:r w:rsidRPr="00E27D3B">
        <w:t xml:space="preserve"> </w:t>
      </w:r>
    </w:p>
    <w:p w14:paraId="0961CA25" w14:textId="5C131D40" w:rsidR="00445AA8" w:rsidRPr="00E27D3B" w:rsidRDefault="00445AA8" w:rsidP="0026716B">
      <w:pPr>
        <w:pStyle w:val="Caption"/>
        <w:spacing w:before="120" w:after="0"/>
        <w:rPr>
          <w:lang w:val="en-US"/>
        </w:rPr>
      </w:pPr>
      <w:r w:rsidRPr="006B5E2A">
        <w:rPr>
          <w:b w:val="0"/>
          <w:bCs w:val="0"/>
          <w:color w:val="auto"/>
          <w:sz w:val="24"/>
          <w:szCs w:val="22"/>
          <w:lang w:val="en-US"/>
        </w:rPr>
        <w:lastRenderedPageBreak/>
        <w:t>The results indicate that the ANN was less accurate in predicting the system outputs compared to the proposed GPR-based model, due to inherent limitations of the ANN</w:t>
      </w:r>
      <w:r>
        <w:rPr>
          <w:b w:val="0"/>
          <w:bCs w:val="0"/>
          <w:color w:val="auto"/>
          <w:sz w:val="24"/>
          <w:szCs w:val="22"/>
          <w:lang w:val="en-US"/>
        </w:rPr>
        <w:t xml:space="preserve">s, including </w:t>
      </w:r>
      <w:r w:rsidRPr="006E4520">
        <w:rPr>
          <w:b w:val="0"/>
          <w:bCs w:val="0"/>
          <w:color w:val="auto"/>
          <w:sz w:val="24"/>
          <w:szCs w:val="22"/>
        </w:rPr>
        <w:t>their need for large training datasets to achieve accurate predictions</w:t>
      </w:r>
      <w:r w:rsidRPr="006B5E2A">
        <w:rPr>
          <w:b w:val="0"/>
          <w:bCs w:val="0"/>
          <w:color w:val="auto"/>
          <w:sz w:val="24"/>
          <w:szCs w:val="22"/>
          <w:lang w:val="en-US"/>
        </w:rPr>
        <w:t xml:space="preserve">. In contrast, the proposed GPR model successfully captured the true system dynamics, which is critical for accurate eigenvalue estimation using the ERA method. </w:t>
      </w:r>
    </w:p>
    <w:p w14:paraId="163504E1" w14:textId="77777777" w:rsidR="00445AA8" w:rsidRPr="00445AA8" w:rsidRDefault="00445AA8" w:rsidP="00CD4F3A">
      <w:pPr>
        <w:pStyle w:val="BodyText"/>
        <w:spacing w:line="240" w:lineRule="auto"/>
        <w:rPr>
          <w:lang w:val="en-US"/>
        </w:rPr>
      </w:pPr>
    </w:p>
    <w:p w14:paraId="1B8F0294" w14:textId="77777777" w:rsidR="00E2284F" w:rsidRPr="00E27D3B" w:rsidRDefault="00E2284F" w:rsidP="00CD4F3A">
      <w:pPr>
        <w:keepNext/>
      </w:pPr>
      <w:r w:rsidRPr="00E27D3B">
        <w:rPr>
          <w:noProof/>
        </w:rPr>
        <w:lastRenderedPageBreak/>
        <w:drawing>
          <wp:inline distT="0" distB="0" distL="0" distR="0" wp14:anchorId="23443198" wp14:editId="0A2F4929">
            <wp:extent cx="6120130" cy="2660650"/>
            <wp:effectExtent l="0" t="0" r="0" b="6350"/>
            <wp:docPr id="45534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40627" name=""/>
                    <pic:cNvPicPr/>
                  </pic:nvPicPr>
                  <pic:blipFill>
                    <a:blip r:embed="rId69"/>
                    <a:stretch>
                      <a:fillRect/>
                    </a:stretch>
                  </pic:blipFill>
                  <pic:spPr>
                    <a:xfrm>
                      <a:off x="0" y="0"/>
                      <a:ext cx="6120130" cy="2660650"/>
                    </a:xfrm>
                    <a:prstGeom prst="rect">
                      <a:avLst/>
                    </a:prstGeom>
                  </pic:spPr>
                </pic:pic>
              </a:graphicData>
            </a:graphic>
          </wp:inline>
        </w:drawing>
      </w:r>
    </w:p>
    <w:p w14:paraId="7972BA09" w14:textId="3182C2D4" w:rsidR="00E2284F" w:rsidRPr="00E27D3B" w:rsidRDefault="00E2284F" w:rsidP="00445AA8">
      <w:pPr>
        <w:pStyle w:val="Caption"/>
        <w:spacing w:line="240" w:lineRule="auto"/>
      </w:pPr>
      <w:bookmarkStart w:id="114" w:name="_Ref223644415"/>
      <w:bookmarkStart w:id="115" w:name="_Toc229777583"/>
      <w:bookmarkStart w:id="116" w:name="_Toc233735030"/>
      <w:r w:rsidRPr="00E27D3B">
        <w:t xml:space="preserve">Figure </w:t>
      </w:r>
      <w:fldSimple w:instr=" SEQ Figure \* ARABIC ">
        <w:r w:rsidR="00A85006">
          <w:rPr>
            <w:noProof/>
          </w:rPr>
          <w:t>24</w:t>
        </w:r>
      </w:fldSimple>
      <w:bookmarkEnd w:id="114"/>
      <w:r w:rsidRPr="00E27D3B">
        <w:t xml:space="preserve">: DDTD model validation and SSS evaluation with droop-controlled GFMI at: (a) SCR=9, Pref=0.50 MW, </w:t>
      </w:r>
      <w:proofErr w:type="spellStart"/>
      <w:r w:rsidRPr="00E27D3B">
        <w:t>Vset</w:t>
      </w:r>
      <w:proofErr w:type="spellEnd"/>
      <w:r w:rsidRPr="00E27D3B">
        <w:t xml:space="preserve">=1.0 </w:t>
      </w:r>
      <w:proofErr w:type="spellStart"/>
      <w:r w:rsidRPr="00E27D3B">
        <w:t>p.u</w:t>
      </w:r>
      <w:proofErr w:type="spellEnd"/>
      <w:r w:rsidRPr="00E27D3B">
        <w:t xml:space="preserve">., (b) SCR=9, Pref=0.70 MW, </w:t>
      </w:r>
      <w:proofErr w:type="spellStart"/>
      <w:r w:rsidRPr="00E27D3B">
        <w:t>Vset</w:t>
      </w:r>
      <w:proofErr w:type="spellEnd"/>
      <w:r w:rsidRPr="00E27D3B">
        <w:t xml:space="preserve">=1.0 </w:t>
      </w:r>
      <w:proofErr w:type="spellStart"/>
      <w:r w:rsidRPr="00E27D3B">
        <w:t>p.u</w:t>
      </w:r>
      <w:proofErr w:type="spellEnd"/>
      <w:r w:rsidRPr="00E27D3B">
        <w:t xml:space="preserve">., and (c) SCR=3, Pref=0.50 MW, </w:t>
      </w:r>
      <w:proofErr w:type="spellStart"/>
      <w:r w:rsidRPr="00E27D3B">
        <w:t>Vset</w:t>
      </w:r>
      <w:proofErr w:type="spellEnd"/>
      <w:r w:rsidRPr="00E27D3B">
        <w:t xml:space="preserve">=1.0 </w:t>
      </w:r>
      <w:proofErr w:type="spellStart"/>
      <w:r w:rsidRPr="00E27D3B">
        <w:t>p.u</w:t>
      </w:r>
      <w:proofErr w:type="spellEnd"/>
      <w:r w:rsidRPr="00E27D3B">
        <w:t>.</w:t>
      </w:r>
      <w:bookmarkEnd w:id="115"/>
      <w:bookmarkEnd w:id="116"/>
    </w:p>
    <w:p w14:paraId="4157E87A" w14:textId="77777777" w:rsidR="00E2284F" w:rsidRPr="00E27D3B" w:rsidRDefault="00E2284F" w:rsidP="00CD4F3A">
      <w:pPr>
        <w:pStyle w:val="BodyText"/>
        <w:keepNext/>
        <w:spacing w:line="240" w:lineRule="auto"/>
      </w:pPr>
      <w:r w:rsidRPr="00E27D3B">
        <w:rPr>
          <w:noProof/>
        </w:rPr>
        <w:drawing>
          <wp:inline distT="0" distB="0" distL="0" distR="0" wp14:anchorId="531656D0" wp14:editId="1B0D5281">
            <wp:extent cx="6120130" cy="2663190"/>
            <wp:effectExtent l="0" t="0" r="0" b="3810"/>
            <wp:docPr id="99016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64949" name=""/>
                    <pic:cNvPicPr/>
                  </pic:nvPicPr>
                  <pic:blipFill>
                    <a:blip r:embed="rId70"/>
                    <a:stretch>
                      <a:fillRect/>
                    </a:stretch>
                  </pic:blipFill>
                  <pic:spPr>
                    <a:xfrm>
                      <a:off x="0" y="0"/>
                      <a:ext cx="6120130" cy="2663190"/>
                    </a:xfrm>
                    <a:prstGeom prst="rect">
                      <a:avLst/>
                    </a:prstGeom>
                  </pic:spPr>
                </pic:pic>
              </a:graphicData>
            </a:graphic>
          </wp:inline>
        </w:drawing>
      </w:r>
    </w:p>
    <w:p w14:paraId="647E57E0" w14:textId="05D9415F" w:rsidR="00E2284F" w:rsidRPr="00E27D3B" w:rsidRDefault="00E2284F" w:rsidP="00CD4F3A">
      <w:pPr>
        <w:pStyle w:val="Caption"/>
        <w:spacing w:line="240" w:lineRule="auto"/>
      </w:pPr>
      <w:bookmarkStart w:id="117" w:name="_Ref223644420"/>
      <w:bookmarkStart w:id="118" w:name="_Toc229777584"/>
      <w:bookmarkStart w:id="119" w:name="_Toc233735031"/>
      <w:r w:rsidRPr="00E27D3B">
        <w:t xml:space="preserve">Figure </w:t>
      </w:r>
      <w:fldSimple w:instr=" SEQ Figure \* ARABIC ">
        <w:r w:rsidR="00A85006">
          <w:rPr>
            <w:noProof/>
          </w:rPr>
          <w:t>25</w:t>
        </w:r>
      </w:fldSimple>
      <w:bookmarkEnd w:id="117"/>
      <w:r w:rsidRPr="00E27D3B">
        <w:t xml:space="preserve">: DDTD model validation and SSS evaluation with VSM-controlled GFMI at: (a) SCR=9, Pref=0.50 MW, </w:t>
      </w:r>
      <w:proofErr w:type="spellStart"/>
      <w:r w:rsidRPr="00E27D3B">
        <w:t>Vset</w:t>
      </w:r>
      <w:proofErr w:type="spellEnd"/>
      <w:r w:rsidRPr="00E27D3B">
        <w:t xml:space="preserve">=1.0 </w:t>
      </w:r>
      <w:proofErr w:type="spellStart"/>
      <w:r w:rsidRPr="00E27D3B">
        <w:t>p.u</w:t>
      </w:r>
      <w:proofErr w:type="spellEnd"/>
      <w:r w:rsidRPr="00E27D3B">
        <w:t xml:space="preserve">., (b) SCR=9, Pref=0.70 MW, </w:t>
      </w:r>
      <w:proofErr w:type="spellStart"/>
      <w:r w:rsidRPr="00E27D3B">
        <w:t>Vset</w:t>
      </w:r>
      <w:proofErr w:type="spellEnd"/>
      <w:r w:rsidRPr="00E27D3B">
        <w:t xml:space="preserve">=1.0 </w:t>
      </w:r>
      <w:proofErr w:type="spellStart"/>
      <w:r w:rsidRPr="00E27D3B">
        <w:t>p.u</w:t>
      </w:r>
      <w:proofErr w:type="spellEnd"/>
      <w:r w:rsidRPr="00E27D3B">
        <w:t xml:space="preserve">., and (c) SCR=3, Pref=0.50 MW, </w:t>
      </w:r>
      <w:proofErr w:type="spellStart"/>
      <w:r w:rsidRPr="00E27D3B">
        <w:t>Vset</w:t>
      </w:r>
      <w:proofErr w:type="spellEnd"/>
      <w:r w:rsidRPr="00E27D3B">
        <w:t xml:space="preserve">=1.0 </w:t>
      </w:r>
      <w:proofErr w:type="spellStart"/>
      <w:r w:rsidRPr="00E27D3B">
        <w:t>p.u</w:t>
      </w:r>
      <w:proofErr w:type="spellEnd"/>
      <w:r w:rsidRPr="00E27D3B">
        <w:t>.</w:t>
      </w:r>
      <w:bookmarkEnd w:id="118"/>
      <w:bookmarkEnd w:id="119"/>
    </w:p>
    <w:p w14:paraId="56A3E4ED" w14:textId="77777777" w:rsidR="00E2284F" w:rsidRPr="00E27D3B" w:rsidRDefault="00E2284F" w:rsidP="00CD4F3A">
      <w:pPr>
        <w:pStyle w:val="BodyText"/>
        <w:keepNext/>
        <w:spacing w:line="240" w:lineRule="auto"/>
        <w:jc w:val="center"/>
      </w:pPr>
      <w:r w:rsidRPr="00057C0D">
        <w:rPr>
          <w:noProof/>
        </w:rPr>
        <w:drawing>
          <wp:inline distT="0" distB="0" distL="0" distR="0" wp14:anchorId="6922CE11" wp14:editId="5EB0C0BE">
            <wp:extent cx="3171825" cy="2373070"/>
            <wp:effectExtent l="0" t="0" r="0" b="8255"/>
            <wp:docPr id="91341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30609" name=""/>
                    <pic:cNvPicPr/>
                  </pic:nvPicPr>
                  <pic:blipFill>
                    <a:blip r:embed="rId71"/>
                    <a:stretch>
                      <a:fillRect/>
                    </a:stretch>
                  </pic:blipFill>
                  <pic:spPr>
                    <a:xfrm>
                      <a:off x="0" y="0"/>
                      <a:ext cx="3209948" cy="2401593"/>
                    </a:xfrm>
                    <a:prstGeom prst="rect">
                      <a:avLst/>
                    </a:prstGeom>
                  </pic:spPr>
                </pic:pic>
              </a:graphicData>
            </a:graphic>
          </wp:inline>
        </w:drawing>
      </w:r>
    </w:p>
    <w:p w14:paraId="68923322" w14:textId="29B2B809" w:rsidR="00E2284F" w:rsidRPr="00E27D3B" w:rsidRDefault="00E2284F" w:rsidP="00CD4F3A">
      <w:pPr>
        <w:pStyle w:val="Caption"/>
        <w:spacing w:line="240" w:lineRule="auto"/>
      </w:pPr>
      <w:bookmarkStart w:id="120" w:name="_Ref223644490"/>
      <w:bookmarkStart w:id="121" w:name="_Toc229777585"/>
      <w:bookmarkStart w:id="122" w:name="_Toc233735032"/>
      <w:r w:rsidRPr="00E27D3B">
        <w:t xml:space="preserve">Figure </w:t>
      </w:r>
      <w:fldSimple w:instr=" SEQ Figure \* ARABIC ">
        <w:r w:rsidR="00A85006">
          <w:rPr>
            <w:noProof/>
          </w:rPr>
          <w:t>26</w:t>
        </w:r>
      </w:fldSimple>
      <w:bookmarkEnd w:id="120"/>
      <w:r w:rsidRPr="00E27D3B">
        <w:t>: Comparative study between ANN</w:t>
      </w:r>
      <w:r>
        <w:t xml:space="preserve">, SVM, </w:t>
      </w:r>
      <w:r w:rsidRPr="00E27D3B">
        <w:t xml:space="preserve">and the proposed GPR-based DDTD </w:t>
      </w:r>
      <w:r w:rsidR="00E44F34" w:rsidRPr="00E27D3B">
        <w:t>model</w:t>
      </w:r>
      <w:r w:rsidRPr="00E27D3B">
        <w:t xml:space="preserve"> for SMIB testing system with VSM-controlled GFMI system at SCR=2, Pref=0.25 MW, </w:t>
      </w:r>
      <w:proofErr w:type="spellStart"/>
      <w:r w:rsidRPr="00E27D3B">
        <w:t>Vset</w:t>
      </w:r>
      <w:proofErr w:type="spellEnd"/>
      <w:r w:rsidRPr="00E27D3B">
        <w:t>=1.0</w:t>
      </w:r>
      <w:bookmarkStart w:id="123" w:name="_Ref223643467"/>
      <w:r w:rsidRPr="00E27D3B">
        <w:t>.</w:t>
      </w:r>
      <w:bookmarkEnd w:id="121"/>
      <w:bookmarkEnd w:id="122"/>
    </w:p>
    <w:p w14:paraId="60285CE8" w14:textId="7871FD84" w:rsidR="00DC6D94" w:rsidRDefault="00445AA8" w:rsidP="00DD2824">
      <w:pPr>
        <w:pStyle w:val="Caption"/>
        <w:spacing w:before="120" w:after="0"/>
        <w:rPr>
          <w:b w:val="0"/>
          <w:bCs w:val="0"/>
          <w:color w:val="auto"/>
          <w:sz w:val="24"/>
          <w:szCs w:val="22"/>
          <w:lang w:val="en-US"/>
        </w:rPr>
      </w:pPr>
      <w:r w:rsidRPr="006B5E2A">
        <w:rPr>
          <w:b w:val="0"/>
          <w:bCs w:val="0"/>
          <w:color w:val="auto"/>
          <w:sz w:val="24"/>
          <w:szCs w:val="22"/>
          <w:lang w:val="en-US"/>
        </w:rPr>
        <w:lastRenderedPageBreak/>
        <w:t xml:space="preserve">A further comparative study was conducted to assess the accuracy of the eigenvalues by comparing them with values obtained from DIgSILENT </w:t>
      </w:r>
      <w:proofErr w:type="spellStart"/>
      <w:r w:rsidRPr="006B5E2A">
        <w:rPr>
          <w:b w:val="0"/>
          <w:bCs w:val="0"/>
          <w:color w:val="auto"/>
          <w:sz w:val="24"/>
          <w:szCs w:val="22"/>
          <w:lang w:val="en-US"/>
        </w:rPr>
        <w:t>PowerFactory</w:t>
      </w:r>
      <w:proofErr w:type="spellEnd"/>
      <w:r w:rsidRPr="006B5E2A">
        <w:rPr>
          <w:b w:val="0"/>
          <w:bCs w:val="0"/>
          <w:color w:val="auto"/>
          <w:sz w:val="24"/>
          <w:szCs w:val="22"/>
          <w:lang w:val="en-US"/>
        </w:rPr>
        <w:t>.</w:t>
      </w:r>
      <w:r>
        <w:rPr>
          <w:b w:val="0"/>
          <w:bCs w:val="0"/>
          <w:color w:val="auto"/>
          <w:sz w:val="24"/>
          <w:szCs w:val="22"/>
          <w:lang w:val="en-US"/>
        </w:rPr>
        <w:t xml:space="preserve"> </w:t>
      </w:r>
      <w:r>
        <w:rPr>
          <w:b w:val="0"/>
          <w:bCs w:val="0"/>
          <w:color w:val="auto"/>
          <w:sz w:val="24"/>
          <w:szCs w:val="22"/>
          <w:lang w:val="en-US"/>
        </w:rPr>
        <w:fldChar w:fldCharType="begin"/>
      </w:r>
      <w:r w:rsidRPr="00637505">
        <w:rPr>
          <w:b w:val="0"/>
          <w:bCs w:val="0"/>
          <w:color w:val="auto"/>
          <w:sz w:val="24"/>
          <w:szCs w:val="22"/>
          <w:lang w:val="en-US"/>
        </w:rPr>
        <w:instrText xml:space="preserve"> REF _Ref228137568 \h  \* MERGEFORMAT </w:instrText>
      </w:r>
      <w:r>
        <w:rPr>
          <w:b w:val="0"/>
          <w:bCs w:val="0"/>
          <w:color w:val="auto"/>
          <w:sz w:val="24"/>
          <w:szCs w:val="22"/>
          <w:lang w:val="en-US"/>
        </w:rPr>
      </w:r>
      <w:r>
        <w:rPr>
          <w:b w:val="0"/>
          <w:bCs w:val="0"/>
          <w:color w:val="auto"/>
          <w:sz w:val="24"/>
          <w:szCs w:val="22"/>
          <w:lang w:val="en-US"/>
        </w:rPr>
        <w:fldChar w:fldCharType="separate"/>
      </w:r>
      <w:r w:rsidRPr="00753DAF">
        <w:rPr>
          <w:b w:val="0"/>
          <w:bCs w:val="0"/>
          <w:color w:val="auto"/>
          <w:sz w:val="24"/>
          <w:szCs w:val="22"/>
        </w:rPr>
        <w:t>Table</w:t>
      </w:r>
      <w:r w:rsidRPr="00753DAF">
        <w:rPr>
          <w:color w:val="auto"/>
        </w:rPr>
        <w:t xml:space="preserve"> </w:t>
      </w:r>
      <w:r w:rsidRPr="00753DAF">
        <w:rPr>
          <w:noProof/>
          <w:color w:val="auto"/>
        </w:rPr>
        <w:t>7</w:t>
      </w:r>
      <w:r>
        <w:rPr>
          <w:b w:val="0"/>
          <w:bCs w:val="0"/>
          <w:color w:val="auto"/>
          <w:sz w:val="24"/>
          <w:szCs w:val="22"/>
          <w:lang w:val="en-US"/>
        </w:rPr>
        <w:fldChar w:fldCharType="end"/>
      </w:r>
      <w:r>
        <w:rPr>
          <w:b w:val="0"/>
          <w:bCs w:val="0"/>
          <w:color w:val="auto"/>
          <w:sz w:val="24"/>
          <w:szCs w:val="22"/>
          <w:lang w:val="en-US"/>
        </w:rPr>
        <w:t xml:space="preserve"> </w:t>
      </w:r>
      <w:r w:rsidRPr="003C31A0">
        <w:rPr>
          <w:b w:val="0"/>
          <w:bCs w:val="0"/>
          <w:color w:val="auto"/>
          <w:sz w:val="24"/>
          <w:szCs w:val="22"/>
          <w:lang w:val="en-US"/>
        </w:rPr>
        <w:t xml:space="preserve">summarizes the real and imaginary components of the system eigenvalues obtained using the ANN+ERA model, SVM+ERA model, the proposed GPR+ERA model, and the DIgSILENT </w:t>
      </w:r>
      <w:proofErr w:type="spellStart"/>
      <w:r w:rsidRPr="003C31A0">
        <w:rPr>
          <w:b w:val="0"/>
          <w:bCs w:val="0"/>
          <w:color w:val="auto"/>
          <w:sz w:val="24"/>
          <w:szCs w:val="22"/>
          <w:lang w:val="en-US"/>
        </w:rPr>
        <w:t>PowerFactory</w:t>
      </w:r>
      <w:proofErr w:type="spellEnd"/>
      <w:r w:rsidRPr="003C31A0">
        <w:rPr>
          <w:b w:val="0"/>
          <w:bCs w:val="0"/>
          <w:color w:val="auto"/>
          <w:sz w:val="24"/>
          <w:szCs w:val="22"/>
          <w:lang w:val="en-US"/>
        </w:rPr>
        <w:t xml:space="preserve"> simulations.</w:t>
      </w:r>
      <w:bookmarkStart w:id="124" w:name="_Toc224235162"/>
    </w:p>
    <w:p w14:paraId="077805F4" w14:textId="77777777" w:rsidR="00445AA8" w:rsidRPr="00445AA8" w:rsidRDefault="00445AA8" w:rsidP="00445AA8">
      <w:pPr>
        <w:pStyle w:val="BodyText"/>
        <w:rPr>
          <w:sz w:val="2"/>
          <w:szCs w:val="2"/>
          <w:lang w:val="en-US"/>
        </w:rPr>
      </w:pPr>
    </w:p>
    <w:p w14:paraId="71D41989" w14:textId="49C2A806" w:rsidR="00E2284F" w:rsidRDefault="00E2284F" w:rsidP="00CD4F3A">
      <w:pPr>
        <w:pStyle w:val="Caption"/>
        <w:spacing w:line="240" w:lineRule="auto"/>
      </w:pPr>
      <w:bookmarkStart w:id="125" w:name="_Ref228137568"/>
      <w:bookmarkStart w:id="126" w:name="_Toc233735301"/>
      <w:r w:rsidRPr="00E27D3B">
        <w:t xml:space="preserve">Table </w:t>
      </w:r>
      <w:fldSimple w:instr=" SEQ Table \* ARABIC ">
        <w:r w:rsidR="00753DAF">
          <w:rPr>
            <w:noProof/>
          </w:rPr>
          <w:t>7</w:t>
        </w:r>
      </w:fldSimple>
      <w:bookmarkEnd w:id="123"/>
      <w:bookmarkEnd w:id="125"/>
      <w:r w:rsidRPr="00E27D3B">
        <w:t xml:space="preserve">: Comparison of eigenvalues obtained using ANN+ERA, </w:t>
      </w:r>
      <w:r>
        <w:t xml:space="preserve">SVM+ERA, </w:t>
      </w:r>
      <w:r w:rsidRPr="00E27D3B">
        <w:t xml:space="preserve">GPR+ERA, and DIgSILENT </w:t>
      </w:r>
      <w:proofErr w:type="spellStart"/>
      <w:r w:rsidRPr="00E27D3B">
        <w:t>PowerFactory</w:t>
      </w:r>
      <w:proofErr w:type="spellEnd"/>
      <w:r w:rsidRPr="00E27D3B">
        <w:t xml:space="preserve"> for "SCR"=2, </w:t>
      </w:r>
      <w:proofErr w:type="spellStart"/>
      <w:r w:rsidRPr="00E27D3B">
        <w:t>P_ref</w:t>
      </w:r>
      <w:proofErr w:type="spellEnd"/>
      <w:r w:rsidRPr="00E27D3B">
        <w:t xml:space="preserve">=0.25 MW, and </w:t>
      </w:r>
      <w:proofErr w:type="spellStart"/>
      <w:r w:rsidRPr="00E27D3B">
        <w:t>V_set</w:t>
      </w:r>
      <w:proofErr w:type="spellEnd"/>
      <w:r w:rsidRPr="00E27D3B">
        <w:t>=1.0 </w:t>
      </w:r>
      <w:proofErr w:type="spellStart"/>
      <w:r w:rsidRPr="00E27D3B">
        <w:t>p.u</w:t>
      </w:r>
      <w:proofErr w:type="spellEnd"/>
      <w:r w:rsidRPr="00E27D3B">
        <w:t>.</w:t>
      </w:r>
      <w:bookmarkEnd w:id="124"/>
      <w:bookmarkEnd w:id="126"/>
    </w:p>
    <w:tbl>
      <w:tblPr>
        <w:tblStyle w:val="TableGrid3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941"/>
        <w:gridCol w:w="1178"/>
        <w:gridCol w:w="1118"/>
        <w:gridCol w:w="1118"/>
        <w:gridCol w:w="1058"/>
        <w:gridCol w:w="1176"/>
        <w:gridCol w:w="1056"/>
        <w:gridCol w:w="1047"/>
      </w:tblGrid>
      <w:tr w:rsidR="00E2284F" w:rsidRPr="003B2E8F" w14:paraId="40442550" w14:textId="77777777" w:rsidTr="00F722B3">
        <w:trPr>
          <w:jc w:val="center"/>
        </w:trPr>
        <w:tc>
          <w:tcPr>
            <w:tcW w:w="491" w:type="pct"/>
            <w:vMerge w:val="restart"/>
            <w:tcBorders>
              <w:top w:val="double" w:sz="4" w:space="0" w:color="auto"/>
            </w:tcBorders>
            <w:shd w:val="clear" w:color="auto" w:fill="000000" w:themeFill="text1"/>
          </w:tcPr>
          <w:p w14:paraId="70E49EB1" w14:textId="77777777" w:rsidR="00E2284F" w:rsidRPr="003B2E8F" w:rsidRDefault="00E2284F" w:rsidP="00CD4F3A">
            <w:pPr>
              <w:widowControl w:val="0"/>
              <w:jc w:val="center"/>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Modes</w:t>
            </w:r>
          </w:p>
        </w:tc>
        <w:tc>
          <w:tcPr>
            <w:tcW w:w="1099" w:type="pct"/>
            <w:gridSpan w:val="2"/>
            <w:tcBorders>
              <w:top w:val="double" w:sz="4" w:space="0" w:color="auto"/>
              <w:bottom w:val="single" w:sz="4" w:space="0" w:color="auto"/>
            </w:tcBorders>
            <w:shd w:val="clear" w:color="auto" w:fill="000000" w:themeFill="text1"/>
          </w:tcPr>
          <w:p w14:paraId="0DA8EB4F" w14:textId="77777777" w:rsidR="00E2284F" w:rsidRPr="003B2E8F" w:rsidRDefault="00E2284F" w:rsidP="00CD4F3A">
            <w:pPr>
              <w:widowControl w:val="0"/>
              <w:jc w:val="center"/>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ANN+ERA</w:t>
            </w:r>
          </w:p>
        </w:tc>
        <w:tc>
          <w:tcPr>
            <w:tcW w:w="1160" w:type="pct"/>
            <w:gridSpan w:val="2"/>
            <w:tcBorders>
              <w:top w:val="double" w:sz="4" w:space="0" w:color="auto"/>
              <w:bottom w:val="single" w:sz="4" w:space="0" w:color="auto"/>
            </w:tcBorders>
            <w:shd w:val="clear" w:color="auto" w:fill="000000" w:themeFill="text1"/>
          </w:tcPr>
          <w:p w14:paraId="2457E4AE" w14:textId="77777777" w:rsidR="00E2284F" w:rsidRPr="003B2E8F" w:rsidRDefault="00E2284F" w:rsidP="00CD4F3A">
            <w:pPr>
              <w:widowControl w:val="0"/>
              <w:jc w:val="center"/>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SVM+ERA</w:t>
            </w:r>
          </w:p>
        </w:tc>
        <w:tc>
          <w:tcPr>
            <w:tcW w:w="1159" w:type="pct"/>
            <w:gridSpan w:val="2"/>
            <w:tcBorders>
              <w:top w:val="double" w:sz="4" w:space="0" w:color="auto"/>
              <w:bottom w:val="single" w:sz="4" w:space="0" w:color="auto"/>
            </w:tcBorders>
            <w:shd w:val="clear" w:color="auto" w:fill="000000" w:themeFill="text1"/>
          </w:tcPr>
          <w:p w14:paraId="5AECBCC7" w14:textId="77777777" w:rsidR="00E2284F" w:rsidRPr="003B2E8F" w:rsidRDefault="00E2284F" w:rsidP="00CD4F3A">
            <w:pPr>
              <w:widowControl w:val="0"/>
              <w:jc w:val="center"/>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GPR+ERA</w:t>
            </w:r>
          </w:p>
        </w:tc>
        <w:tc>
          <w:tcPr>
            <w:tcW w:w="1091" w:type="pct"/>
            <w:gridSpan w:val="2"/>
            <w:tcBorders>
              <w:top w:val="double" w:sz="4" w:space="0" w:color="auto"/>
              <w:bottom w:val="single" w:sz="4" w:space="0" w:color="auto"/>
            </w:tcBorders>
            <w:shd w:val="clear" w:color="auto" w:fill="000000" w:themeFill="text1"/>
          </w:tcPr>
          <w:p w14:paraId="471308C4" w14:textId="77777777" w:rsidR="00E2284F" w:rsidRPr="003B2E8F" w:rsidRDefault="00E2284F" w:rsidP="00CD4F3A">
            <w:pPr>
              <w:widowControl w:val="0"/>
              <w:jc w:val="center"/>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 xml:space="preserve">DIgSILENT </w:t>
            </w:r>
            <w:proofErr w:type="spellStart"/>
            <w:r w:rsidRPr="003B2E8F">
              <w:rPr>
                <w:rFonts w:asciiTheme="minorHAnsi" w:hAnsiTheme="minorHAnsi" w:cstheme="minorHAnsi"/>
                <w:b/>
                <w:bCs/>
                <w:color w:val="FFFFFF" w:themeColor="background1"/>
                <w:sz w:val="18"/>
                <w:szCs w:val="18"/>
              </w:rPr>
              <w:t>PowerFactory</w:t>
            </w:r>
            <w:proofErr w:type="spellEnd"/>
          </w:p>
        </w:tc>
      </w:tr>
      <w:tr w:rsidR="00E2284F" w:rsidRPr="003B2E8F" w14:paraId="19E91AB3" w14:textId="77777777" w:rsidTr="00F722B3">
        <w:trPr>
          <w:jc w:val="center"/>
        </w:trPr>
        <w:tc>
          <w:tcPr>
            <w:tcW w:w="491" w:type="pct"/>
            <w:vMerge/>
            <w:tcBorders>
              <w:bottom w:val="single" w:sz="4" w:space="0" w:color="auto"/>
            </w:tcBorders>
            <w:shd w:val="clear" w:color="auto" w:fill="000000" w:themeFill="text1"/>
          </w:tcPr>
          <w:p w14:paraId="11584D4D"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p>
        </w:tc>
        <w:tc>
          <w:tcPr>
            <w:tcW w:w="488" w:type="pct"/>
            <w:tcBorders>
              <w:top w:val="single" w:sz="4" w:space="0" w:color="auto"/>
              <w:bottom w:val="single" w:sz="4" w:space="0" w:color="auto"/>
            </w:tcBorders>
            <w:shd w:val="clear" w:color="auto" w:fill="000000" w:themeFill="text1"/>
          </w:tcPr>
          <w:p w14:paraId="039A3148"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Real part</w:t>
            </w:r>
          </w:p>
        </w:tc>
        <w:tc>
          <w:tcPr>
            <w:tcW w:w="611" w:type="pct"/>
            <w:tcBorders>
              <w:top w:val="single" w:sz="4" w:space="0" w:color="auto"/>
              <w:bottom w:val="single" w:sz="4" w:space="0" w:color="auto"/>
            </w:tcBorders>
            <w:shd w:val="clear" w:color="auto" w:fill="000000" w:themeFill="text1"/>
          </w:tcPr>
          <w:p w14:paraId="4D61545F"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Imaginary part</w:t>
            </w:r>
          </w:p>
        </w:tc>
        <w:tc>
          <w:tcPr>
            <w:tcW w:w="580" w:type="pct"/>
            <w:tcBorders>
              <w:top w:val="single" w:sz="4" w:space="0" w:color="auto"/>
              <w:bottom w:val="single" w:sz="4" w:space="0" w:color="auto"/>
            </w:tcBorders>
            <w:shd w:val="clear" w:color="auto" w:fill="000000" w:themeFill="text1"/>
          </w:tcPr>
          <w:p w14:paraId="29EEA9B6"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Real part</w:t>
            </w:r>
          </w:p>
        </w:tc>
        <w:tc>
          <w:tcPr>
            <w:tcW w:w="580" w:type="pct"/>
            <w:tcBorders>
              <w:top w:val="single" w:sz="4" w:space="0" w:color="auto"/>
              <w:bottom w:val="single" w:sz="4" w:space="0" w:color="auto"/>
            </w:tcBorders>
            <w:shd w:val="clear" w:color="auto" w:fill="000000" w:themeFill="text1"/>
          </w:tcPr>
          <w:p w14:paraId="43F185DB"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Imaginary part</w:t>
            </w:r>
          </w:p>
        </w:tc>
        <w:tc>
          <w:tcPr>
            <w:tcW w:w="549" w:type="pct"/>
            <w:tcBorders>
              <w:bottom w:val="single" w:sz="4" w:space="0" w:color="auto"/>
            </w:tcBorders>
            <w:shd w:val="clear" w:color="auto" w:fill="000000" w:themeFill="text1"/>
          </w:tcPr>
          <w:p w14:paraId="23A8FB20"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Real part</w:t>
            </w:r>
          </w:p>
        </w:tc>
        <w:tc>
          <w:tcPr>
            <w:tcW w:w="610" w:type="pct"/>
            <w:tcBorders>
              <w:bottom w:val="single" w:sz="4" w:space="0" w:color="auto"/>
            </w:tcBorders>
            <w:shd w:val="clear" w:color="auto" w:fill="000000" w:themeFill="text1"/>
          </w:tcPr>
          <w:p w14:paraId="24B6C8ED"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Imaginary part</w:t>
            </w:r>
          </w:p>
        </w:tc>
        <w:tc>
          <w:tcPr>
            <w:tcW w:w="548" w:type="pct"/>
            <w:tcBorders>
              <w:top w:val="single" w:sz="4" w:space="0" w:color="auto"/>
              <w:bottom w:val="single" w:sz="4" w:space="0" w:color="auto"/>
            </w:tcBorders>
            <w:shd w:val="clear" w:color="auto" w:fill="000000" w:themeFill="text1"/>
          </w:tcPr>
          <w:p w14:paraId="1346FED2"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Real part</w:t>
            </w:r>
          </w:p>
        </w:tc>
        <w:tc>
          <w:tcPr>
            <w:tcW w:w="543" w:type="pct"/>
            <w:tcBorders>
              <w:top w:val="single" w:sz="4" w:space="0" w:color="auto"/>
              <w:bottom w:val="single" w:sz="4" w:space="0" w:color="auto"/>
            </w:tcBorders>
            <w:shd w:val="clear" w:color="auto" w:fill="000000" w:themeFill="text1"/>
          </w:tcPr>
          <w:p w14:paraId="25AA8626" w14:textId="77777777" w:rsidR="00E2284F" w:rsidRPr="003B2E8F" w:rsidRDefault="00E2284F" w:rsidP="00CD4F3A">
            <w:pPr>
              <w:widowControl w:val="0"/>
              <w:jc w:val="both"/>
              <w:rPr>
                <w:rFonts w:asciiTheme="minorHAnsi" w:hAnsiTheme="minorHAnsi" w:cstheme="minorHAnsi"/>
                <w:b/>
                <w:bCs/>
                <w:color w:val="FFFFFF" w:themeColor="background1"/>
                <w:sz w:val="18"/>
                <w:szCs w:val="18"/>
                <w:lang w:val="en-AU"/>
              </w:rPr>
            </w:pPr>
            <w:r w:rsidRPr="003B2E8F">
              <w:rPr>
                <w:rFonts w:asciiTheme="minorHAnsi" w:hAnsiTheme="minorHAnsi" w:cstheme="minorHAnsi"/>
                <w:b/>
                <w:bCs/>
                <w:color w:val="FFFFFF" w:themeColor="background1"/>
                <w:sz w:val="18"/>
                <w:szCs w:val="18"/>
              </w:rPr>
              <w:t>Imaginary part</w:t>
            </w:r>
          </w:p>
        </w:tc>
      </w:tr>
      <w:tr w:rsidR="00E2284F" w:rsidRPr="003B2E8F" w14:paraId="65953407" w14:textId="77777777" w:rsidTr="00F722B3">
        <w:trPr>
          <w:jc w:val="center"/>
        </w:trPr>
        <w:tc>
          <w:tcPr>
            <w:tcW w:w="491" w:type="pct"/>
            <w:tcBorders>
              <w:top w:val="single" w:sz="4" w:space="0" w:color="auto"/>
            </w:tcBorders>
            <w:shd w:val="clear" w:color="auto" w:fill="BFBFBF" w:themeFill="background1" w:themeFillShade="BF"/>
          </w:tcPr>
          <w:p w14:paraId="1EB2160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w:t>
            </w:r>
          </w:p>
        </w:tc>
        <w:tc>
          <w:tcPr>
            <w:tcW w:w="488" w:type="pct"/>
            <w:tcBorders>
              <w:top w:val="single" w:sz="4" w:space="0" w:color="auto"/>
            </w:tcBorders>
            <w:shd w:val="clear" w:color="auto" w:fill="BFBFBF" w:themeFill="background1" w:themeFillShade="BF"/>
          </w:tcPr>
          <w:p w14:paraId="3103CB9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0.00000</w:t>
            </w:r>
          </w:p>
        </w:tc>
        <w:tc>
          <w:tcPr>
            <w:tcW w:w="611" w:type="pct"/>
            <w:tcBorders>
              <w:top w:val="single" w:sz="4" w:space="0" w:color="auto"/>
            </w:tcBorders>
            <w:shd w:val="clear" w:color="auto" w:fill="BFBFBF" w:themeFill="background1" w:themeFillShade="BF"/>
          </w:tcPr>
          <w:p w14:paraId="79A5E01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80" w:type="pct"/>
            <w:tcBorders>
              <w:top w:val="single" w:sz="4" w:space="0" w:color="auto"/>
            </w:tcBorders>
            <w:shd w:val="clear" w:color="auto" w:fill="BFBFBF" w:themeFill="background1" w:themeFillShade="BF"/>
          </w:tcPr>
          <w:p w14:paraId="6B924E0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-0.01541</w:t>
            </w:r>
          </w:p>
        </w:tc>
        <w:tc>
          <w:tcPr>
            <w:tcW w:w="580" w:type="pct"/>
            <w:tcBorders>
              <w:top w:val="single" w:sz="4" w:space="0" w:color="auto"/>
            </w:tcBorders>
            <w:shd w:val="clear" w:color="auto" w:fill="BFBFBF" w:themeFill="background1" w:themeFillShade="BF"/>
          </w:tcPr>
          <w:p w14:paraId="66C78E8C"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49" w:type="pct"/>
            <w:tcBorders>
              <w:top w:val="single" w:sz="4" w:space="0" w:color="auto"/>
            </w:tcBorders>
            <w:shd w:val="clear" w:color="auto" w:fill="BFBFBF" w:themeFill="background1" w:themeFillShade="BF"/>
          </w:tcPr>
          <w:p w14:paraId="10B4796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-0.01249</w:t>
            </w:r>
          </w:p>
        </w:tc>
        <w:tc>
          <w:tcPr>
            <w:tcW w:w="610" w:type="pct"/>
            <w:tcBorders>
              <w:top w:val="single" w:sz="4" w:space="0" w:color="auto"/>
            </w:tcBorders>
            <w:shd w:val="clear" w:color="auto" w:fill="BFBFBF" w:themeFill="background1" w:themeFillShade="BF"/>
          </w:tcPr>
          <w:p w14:paraId="76A18D5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48" w:type="pct"/>
            <w:tcBorders>
              <w:top w:val="single" w:sz="4" w:space="0" w:color="auto"/>
            </w:tcBorders>
            <w:shd w:val="clear" w:color="auto" w:fill="BFBFBF" w:themeFill="background1" w:themeFillShade="BF"/>
          </w:tcPr>
          <w:p w14:paraId="2EB88CF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-0.01376</w:t>
            </w:r>
          </w:p>
        </w:tc>
        <w:tc>
          <w:tcPr>
            <w:tcW w:w="543" w:type="pct"/>
            <w:tcBorders>
              <w:top w:val="single" w:sz="4" w:space="0" w:color="auto"/>
            </w:tcBorders>
            <w:shd w:val="clear" w:color="auto" w:fill="BFBFBF" w:themeFill="background1" w:themeFillShade="BF"/>
          </w:tcPr>
          <w:p w14:paraId="790590E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4E4BC548" w14:textId="77777777" w:rsidTr="00F722B3">
        <w:trPr>
          <w:jc w:val="center"/>
        </w:trPr>
        <w:tc>
          <w:tcPr>
            <w:tcW w:w="491" w:type="pct"/>
          </w:tcPr>
          <w:p w14:paraId="27F9D446"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2</w:t>
            </w:r>
          </w:p>
        </w:tc>
        <w:tc>
          <w:tcPr>
            <w:tcW w:w="488" w:type="pct"/>
          </w:tcPr>
          <w:p w14:paraId="3651523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-0.20104</w:t>
            </w:r>
          </w:p>
        </w:tc>
        <w:tc>
          <w:tcPr>
            <w:tcW w:w="611" w:type="pct"/>
          </w:tcPr>
          <w:p w14:paraId="68CB676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j0.78454</w:t>
            </w:r>
          </w:p>
        </w:tc>
        <w:tc>
          <w:tcPr>
            <w:tcW w:w="580" w:type="pct"/>
          </w:tcPr>
          <w:p w14:paraId="5E4A1A4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-0.11992</w:t>
            </w:r>
          </w:p>
        </w:tc>
        <w:tc>
          <w:tcPr>
            <w:tcW w:w="580" w:type="pct"/>
          </w:tcPr>
          <w:p w14:paraId="5BDF036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49" w:type="pct"/>
          </w:tcPr>
          <w:p w14:paraId="1592C96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-0.11095</w:t>
            </w:r>
          </w:p>
        </w:tc>
        <w:tc>
          <w:tcPr>
            <w:tcW w:w="610" w:type="pct"/>
          </w:tcPr>
          <w:p w14:paraId="3B44803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48" w:type="pct"/>
          </w:tcPr>
          <w:p w14:paraId="4DF72F4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-0.10762</w:t>
            </w:r>
          </w:p>
        </w:tc>
        <w:tc>
          <w:tcPr>
            <w:tcW w:w="543" w:type="pct"/>
          </w:tcPr>
          <w:p w14:paraId="1EDE395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1E91DA2A" w14:textId="77777777" w:rsidTr="00F722B3">
        <w:trPr>
          <w:jc w:val="center"/>
        </w:trPr>
        <w:tc>
          <w:tcPr>
            <w:tcW w:w="491" w:type="pct"/>
            <w:shd w:val="clear" w:color="auto" w:fill="BFBFBF" w:themeFill="background1" w:themeFillShade="BF"/>
          </w:tcPr>
          <w:p w14:paraId="4BDC37D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3</w:t>
            </w:r>
          </w:p>
        </w:tc>
        <w:tc>
          <w:tcPr>
            <w:tcW w:w="488" w:type="pct"/>
            <w:shd w:val="clear" w:color="auto" w:fill="BFBFBF" w:themeFill="background1" w:themeFillShade="BF"/>
          </w:tcPr>
          <w:p w14:paraId="5A57276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-3.90418</w:t>
            </w:r>
          </w:p>
        </w:tc>
        <w:tc>
          <w:tcPr>
            <w:tcW w:w="611" w:type="pct"/>
            <w:shd w:val="clear" w:color="auto" w:fill="BFBFBF" w:themeFill="background1" w:themeFillShade="BF"/>
          </w:tcPr>
          <w:p w14:paraId="5C8F23E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-j0.58454</w:t>
            </w:r>
          </w:p>
        </w:tc>
        <w:tc>
          <w:tcPr>
            <w:tcW w:w="580" w:type="pct"/>
            <w:shd w:val="clear" w:color="auto" w:fill="BFBFBF" w:themeFill="background1" w:themeFillShade="BF"/>
          </w:tcPr>
          <w:p w14:paraId="7A62644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-0.5319</w:t>
            </w:r>
          </w:p>
        </w:tc>
        <w:tc>
          <w:tcPr>
            <w:tcW w:w="580" w:type="pct"/>
            <w:shd w:val="clear" w:color="auto" w:fill="BFBFBF" w:themeFill="background1" w:themeFillShade="BF"/>
          </w:tcPr>
          <w:p w14:paraId="2BAE23E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j1.18013</w:t>
            </w:r>
          </w:p>
        </w:tc>
        <w:tc>
          <w:tcPr>
            <w:tcW w:w="549" w:type="pct"/>
            <w:shd w:val="clear" w:color="auto" w:fill="BFBFBF" w:themeFill="background1" w:themeFillShade="BF"/>
          </w:tcPr>
          <w:p w14:paraId="52A4379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-0.44073</w:t>
            </w:r>
          </w:p>
        </w:tc>
        <w:tc>
          <w:tcPr>
            <w:tcW w:w="610" w:type="pct"/>
            <w:shd w:val="clear" w:color="auto" w:fill="BFBFBF" w:themeFill="background1" w:themeFillShade="BF"/>
          </w:tcPr>
          <w:p w14:paraId="00F5CAE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j1.17099</w:t>
            </w:r>
          </w:p>
        </w:tc>
        <w:tc>
          <w:tcPr>
            <w:tcW w:w="548" w:type="pct"/>
            <w:shd w:val="clear" w:color="auto" w:fill="BFBFBF" w:themeFill="background1" w:themeFillShade="BF"/>
          </w:tcPr>
          <w:p w14:paraId="70754C4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-0.38535</w:t>
            </w:r>
          </w:p>
        </w:tc>
        <w:tc>
          <w:tcPr>
            <w:tcW w:w="543" w:type="pct"/>
            <w:shd w:val="clear" w:color="auto" w:fill="BFBFBF" w:themeFill="background1" w:themeFillShade="BF"/>
          </w:tcPr>
          <w:p w14:paraId="5EFCAD5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j0.71260</w:t>
            </w:r>
          </w:p>
        </w:tc>
      </w:tr>
      <w:tr w:rsidR="00E2284F" w:rsidRPr="003B2E8F" w14:paraId="1FA4CD0C" w14:textId="77777777" w:rsidTr="00F722B3">
        <w:trPr>
          <w:jc w:val="center"/>
        </w:trPr>
        <w:tc>
          <w:tcPr>
            <w:tcW w:w="491" w:type="pct"/>
          </w:tcPr>
          <w:p w14:paraId="5C6B39A6"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4</w:t>
            </w:r>
          </w:p>
        </w:tc>
        <w:tc>
          <w:tcPr>
            <w:tcW w:w="488" w:type="pct"/>
          </w:tcPr>
          <w:p w14:paraId="188F7E9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-3.90418</w:t>
            </w:r>
          </w:p>
        </w:tc>
        <w:tc>
          <w:tcPr>
            <w:tcW w:w="611" w:type="pct"/>
          </w:tcPr>
          <w:p w14:paraId="53F7D57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j0.38545</w:t>
            </w:r>
          </w:p>
        </w:tc>
        <w:tc>
          <w:tcPr>
            <w:tcW w:w="580" w:type="pct"/>
          </w:tcPr>
          <w:p w14:paraId="65C55766"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-0.5319</w:t>
            </w:r>
          </w:p>
        </w:tc>
        <w:tc>
          <w:tcPr>
            <w:tcW w:w="580" w:type="pct"/>
          </w:tcPr>
          <w:p w14:paraId="5EB6D91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j1.18013</w:t>
            </w:r>
          </w:p>
        </w:tc>
        <w:tc>
          <w:tcPr>
            <w:tcW w:w="549" w:type="pct"/>
          </w:tcPr>
          <w:p w14:paraId="27B33CE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-0.44073</w:t>
            </w:r>
          </w:p>
        </w:tc>
        <w:tc>
          <w:tcPr>
            <w:tcW w:w="610" w:type="pct"/>
          </w:tcPr>
          <w:p w14:paraId="2234DCF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j1.17099</w:t>
            </w:r>
          </w:p>
        </w:tc>
        <w:tc>
          <w:tcPr>
            <w:tcW w:w="548" w:type="pct"/>
          </w:tcPr>
          <w:p w14:paraId="610E92A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-0.38535</w:t>
            </w:r>
          </w:p>
        </w:tc>
        <w:tc>
          <w:tcPr>
            <w:tcW w:w="543" w:type="pct"/>
          </w:tcPr>
          <w:p w14:paraId="071DDC9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-j0.71260</w:t>
            </w:r>
          </w:p>
        </w:tc>
      </w:tr>
      <w:tr w:rsidR="00E2284F" w:rsidRPr="003B2E8F" w14:paraId="10A550E3" w14:textId="77777777" w:rsidTr="00F722B3">
        <w:trPr>
          <w:jc w:val="center"/>
        </w:trPr>
        <w:tc>
          <w:tcPr>
            <w:tcW w:w="491" w:type="pct"/>
            <w:shd w:val="clear" w:color="auto" w:fill="BFBFBF" w:themeFill="background1" w:themeFillShade="BF"/>
          </w:tcPr>
          <w:p w14:paraId="105B1BAE"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5</w:t>
            </w:r>
          </w:p>
        </w:tc>
        <w:tc>
          <w:tcPr>
            <w:tcW w:w="488" w:type="pct"/>
            <w:shd w:val="clear" w:color="auto" w:fill="BFBFBF" w:themeFill="background1" w:themeFillShade="BF"/>
          </w:tcPr>
          <w:p w14:paraId="12419F4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-5.03409</w:t>
            </w:r>
          </w:p>
        </w:tc>
        <w:tc>
          <w:tcPr>
            <w:tcW w:w="611" w:type="pct"/>
            <w:shd w:val="clear" w:color="auto" w:fill="BFBFBF" w:themeFill="background1" w:themeFillShade="BF"/>
          </w:tcPr>
          <w:p w14:paraId="7A88420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j1.01997</w:t>
            </w:r>
          </w:p>
        </w:tc>
        <w:tc>
          <w:tcPr>
            <w:tcW w:w="580" w:type="pct"/>
            <w:shd w:val="clear" w:color="auto" w:fill="BFBFBF" w:themeFill="background1" w:themeFillShade="BF"/>
          </w:tcPr>
          <w:p w14:paraId="585AF61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-1.16035</w:t>
            </w:r>
          </w:p>
        </w:tc>
        <w:tc>
          <w:tcPr>
            <w:tcW w:w="580" w:type="pct"/>
            <w:shd w:val="clear" w:color="auto" w:fill="BFBFBF" w:themeFill="background1" w:themeFillShade="BF"/>
          </w:tcPr>
          <w:p w14:paraId="349EC21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j1.26003</w:t>
            </w:r>
          </w:p>
        </w:tc>
        <w:tc>
          <w:tcPr>
            <w:tcW w:w="549" w:type="pct"/>
            <w:shd w:val="clear" w:color="auto" w:fill="BFBFBF" w:themeFill="background1" w:themeFillShade="BF"/>
          </w:tcPr>
          <w:p w14:paraId="4987E27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-1.13037</w:t>
            </w:r>
          </w:p>
        </w:tc>
        <w:tc>
          <w:tcPr>
            <w:tcW w:w="610" w:type="pct"/>
            <w:shd w:val="clear" w:color="auto" w:fill="BFBFBF" w:themeFill="background1" w:themeFillShade="BF"/>
          </w:tcPr>
          <w:p w14:paraId="7D08A6D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j1.23005</w:t>
            </w:r>
          </w:p>
        </w:tc>
        <w:tc>
          <w:tcPr>
            <w:tcW w:w="548" w:type="pct"/>
            <w:shd w:val="clear" w:color="auto" w:fill="BFBFBF" w:themeFill="background1" w:themeFillShade="BF"/>
          </w:tcPr>
          <w:p w14:paraId="4FF60A6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-1.00000</w:t>
            </w:r>
          </w:p>
        </w:tc>
        <w:tc>
          <w:tcPr>
            <w:tcW w:w="543" w:type="pct"/>
            <w:shd w:val="clear" w:color="auto" w:fill="BFBFBF" w:themeFill="background1" w:themeFillShade="BF"/>
          </w:tcPr>
          <w:p w14:paraId="2CFA128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647CD85A" w14:textId="77777777" w:rsidTr="00F722B3">
        <w:trPr>
          <w:jc w:val="center"/>
        </w:trPr>
        <w:tc>
          <w:tcPr>
            <w:tcW w:w="491" w:type="pct"/>
          </w:tcPr>
          <w:p w14:paraId="311CBC6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6</w:t>
            </w:r>
          </w:p>
        </w:tc>
        <w:tc>
          <w:tcPr>
            <w:tcW w:w="488" w:type="pct"/>
          </w:tcPr>
          <w:p w14:paraId="36748E2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-5.03409</w:t>
            </w:r>
          </w:p>
        </w:tc>
        <w:tc>
          <w:tcPr>
            <w:tcW w:w="611" w:type="pct"/>
          </w:tcPr>
          <w:p w14:paraId="307DC2F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-j1.01997</w:t>
            </w:r>
          </w:p>
        </w:tc>
        <w:tc>
          <w:tcPr>
            <w:tcW w:w="580" w:type="pct"/>
          </w:tcPr>
          <w:p w14:paraId="63AC2C1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-1.16035</w:t>
            </w:r>
          </w:p>
        </w:tc>
        <w:tc>
          <w:tcPr>
            <w:tcW w:w="580" w:type="pct"/>
          </w:tcPr>
          <w:p w14:paraId="5F23F2A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j1.26003</w:t>
            </w:r>
          </w:p>
        </w:tc>
        <w:tc>
          <w:tcPr>
            <w:tcW w:w="549" w:type="pct"/>
          </w:tcPr>
          <w:p w14:paraId="011FCB8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-1.13037</w:t>
            </w:r>
          </w:p>
        </w:tc>
        <w:tc>
          <w:tcPr>
            <w:tcW w:w="610" w:type="pct"/>
          </w:tcPr>
          <w:p w14:paraId="3BCFC6F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j1.23005</w:t>
            </w:r>
          </w:p>
        </w:tc>
        <w:tc>
          <w:tcPr>
            <w:tcW w:w="548" w:type="pct"/>
          </w:tcPr>
          <w:p w14:paraId="2D11ED0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-1.00000</w:t>
            </w:r>
          </w:p>
        </w:tc>
        <w:tc>
          <w:tcPr>
            <w:tcW w:w="543" w:type="pct"/>
          </w:tcPr>
          <w:p w14:paraId="23BEA99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2A38EE3E" w14:textId="77777777" w:rsidTr="00F722B3">
        <w:trPr>
          <w:jc w:val="center"/>
        </w:trPr>
        <w:tc>
          <w:tcPr>
            <w:tcW w:w="491" w:type="pct"/>
            <w:shd w:val="clear" w:color="auto" w:fill="BFBFBF" w:themeFill="background1" w:themeFillShade="BF"/>
          </w:tcPr>
          <w:p w14:paraId="2484CE0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7</w:t>
            </w:r>
          </w:p>
        </w:tc>
        <w:tc>
          <w:tcPr>
            <w:tcW w:w="488" w:type="pct"/>
            <w:shd w:val="clear" w:color="auto" w:fill="BFBFBF" w:themeFill="background1" w:themeFillShade="BF"/>
          </w:tcPr>
          <w:p w14:paraId="15E0105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-10.0535</w:t>
            </w:r>
          </w:p>
        </w:tc>
        <w:tc>
          <w:tcPr>
            <w:tcW w:w="611" w:type="pct"/>
            <w:shd w:val="clear" w:color="auto" w:fill="BFBFBF" w:themeFill="background1" w:themeFillShade="BF"/>
          </w:tcPr>
          <w:p w14:paraId="4FDFF63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j0.57119</w:t>
            </w:r>
          </w:p>
        </w:tc>
        <w:tc>
          <w:tcPr>
            <w:tcW w:w="580" w:type="pct"/>
            <w:shd w:val="clear" w:color="auto" w:fill="BFBFBF" w:themeFill="background1" w:themeFillShade="BF"/>
          </w:tcPr>
          <w:p w14:paraId="5DF51AD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-2.19157</w:t>
            </w:r>
          </w:p>
        </w:tc>
        <w:tc>
          <w:tcPr>
            <w:tcW w:w="580" w:type="pct"/>
            <w:shd w:val="clear" w:color="auto" w:fill="BFBFBF" w:themeFill="background1" w:themeFillShade="BF"/>
          </w:tcPr>
          <w:p w14:paraId="1F1427F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j8.86093</w:t>
            </w:r>
          </w:p>
        </w:tc>
        <w:tc>
          <w:tcPr>
            <w:tcW w:w="549" w:type="pct"/>
            <w:shd w:val="clear" w:color="auto" w:fill="BFBFBF" w:themeFill="background1" w:themeFillShade="BF"/>
          </w:tcPr>
          <w:p w14:paraId="634DF17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-2.18100</w:t>
            </w:r>
          </w:p>
        </w:tc>
        <w:tc>
          <w:tcPr>
            <w:tcW w:w="610" w:type="pct"/>
            <w:shd w:val="clear" w:color="auto" w:fill="BFBFBF" w:themeFill="background1" w:themeFillShade="BF"/>
          </w:tcPr>
          <w:p w14:paraId="4036428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j8.46091</w:t>
            </w:r>
          </w:p>
        </w:tc>
        <w:tc>
          <w:tcPr>
            <w:tcW w:w="548" w:type="pct"/>
            <w:shd w:val="clear" w:color="auto" w:fill="BFBFBF" w:themeFill="background1" w:themeFillShade="BF"/>
          </w:tcPr>
          <w:p w14:paraId="7CA3AB2E"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-3.00071</w:t>
            </w:r>
          </w:p>
        </w:tc>
        <w:tc>
          <w:tcPr>
            <w:tcW w:w="543" w:type="pct"/>
            <w:shd w:val="clear" w:color="auto" w:fill="BFBFBF" w:themeFill="background1" w:themeFillShade="BF"/>
          </w:tcPr>
          <w:p w14:paraId="2DEAF80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j10.3390</w:t>
            </w:r>
          </w:p>
        </w:tc>
      </w:tr>
      <w:tr w:rsidR="00E2284F" w:rsidRPr="003B2E8F" w14:paraId="61418D85" w14:textId="77777777" w:rsidTr="00F722B3">
        <w:trPr>
          <w:jc w:val="center"/>
        </w:trPr>
        <w:tc>
          <w:tcPr>
            <w:tcW w:w="491" w:type="pct"/>
          </w:tcPr>
          <w:p w14:paraId="65189CFC"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8</w:t>
            </w:r>
          </w:p>
        </w:tc>
        <w:tc>
          <w:tcPr>
            <w:tcW w:w="488" w:type="pct"/>
          </w:tcPr>
          <w:p w14:paraId="7C4B4EE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-10.0535</w:t>
            </w:r>
          </w:p>
        </w:tc>
        <w:tc>
          <w:tcPr>
            <w:tcW w:w="611" w:type="pct"/>
          </w:tcPr>
          <w:p w14:paraId="701FE31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-j0.57119</w:t>
            </w:r>
          </w:p>
        </w:tc>
        <w:tc>
          <w:tcPr>
            <w:tcW w:w="580" w:type="pct"/>
          </w:tcPr>
          <w:p w14:paraId="1256DE8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-2.19157</w:t>
            </w:r>
          </w:p>
        </w:tc>
        <w:tc>
          <w:tcPr>
            <w:tcW w:w="580" w:type="pct"/>
          </w:tcPr>
          <w:p w14:paraId="29A3319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-j8.86093</w:t>
            </w:r>
          </w:p>
        </w:tc>
        <w:tc>
          <w:tcPr>
            <w:tcW w:w="549" w:type="pct"/>
          </w:tcPr>
          <w:p w14:paraId="74B32EB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-2.18100</w:t>
            </w:r>
          </w:p>
        </w:tc>
        <w:tc>
          <w:tcPr>
            <w:tcW w:w="610" w:type="pct"/>
          </w:tcPr>
          <w:p w14:paraId="19135AA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-j8.46091</w:t>
            </w:r>
          </w:p>
        </w:tc>
        <w:tc>
          <w:tcPr>
            <w:tcW w:w="548" w:type="pct"/>
          </w:tcPr>
          <w:p w14:paraId="16887EA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-3.00071</w:t>
            </w:r>
          </w:p>
        </w:tc>
        <w:tc>
          <w:tcPr>
            <w:tcW w:w="543" w:type="pct"/>
          </w:tcPr>
          <w:p w14:paraId="0D6E731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-j10.3390</w:t>
            </w:r>
          </w:p>
        </w:tc>
      </w:tr>
      <w:tr w:rsidR="00E2284F" w:rsidRPr="003B2E8F" w14:paraId="6ED15D63" w14:textId="77777777" w:rsidTr="00F722B3">
        <w:trPr>
          <w:jc w:val="center"/>
        </w:trPr>
        <w:tc>
          <w:tcPr>
            <w:tcW w:w="491" w:type="pct"/>
            <w:shd w:val="clear" w:color="auto" w:fill="BFBFBF" w:themeFill="background1" w:themeFillShade="BF"/>
          </w:tcPr>
          <w:p w14:paraId="2ADF1D8E"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9</w:t>
            </w:r>
          </w:p>
        </w:tc>
        <w:tc>
          <w:tcPr>
            <w:tcW w:w="488" w:type="pct"/>
            <w:shd w:val="clear" w:color="auto" w:fill="BFBFBF" w:themeFill="background1" w:themeFillShade="BF"/>
          </w:tcPr>
          <w:p w14:paraId="4C7D9C3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-12.0959</w:t>
            </w:r>
          </w:p>
        </w:tc>
        <w:tc>
          <w:tcPr>
            <w:tcW w:w="611" w:type="pct"/>
            <w:shd w:val="clear" w:color="auto" w:fill="BFBFBF" w:themeFill="background1" w:themeFillShade="BF"/>
          </w:tcPr>
          <w:p w14:paraId="09DDC1D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j0.32159</w:t>
            </w:r>
          </w:p>
        </w:tc>
        <w:tc>
          <w:tcPr>
            <w:tcW w:w="580" w:type="pct"/>
            <w:shd w:val="clear" w:color="auto" w:fill="BFBFBF" w:themeFill="background1" w:themeFillShade="BF"/>
          </w:tcPr>
          <w:p w14:paraId="1B623E3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-8.10087</w:t>
            </w:r>
          </w:p>
        </w:tc>
        <w:tc>
          <w:tcPr>
            <w:tcW w:w="580" w:type="pct"/>
            <w:shd w:val="clear" w:color="auto" w:fill="BFBFBF" w:themeFill="background1" w:themeFillShade="BF"/>
          </w:tcPr>
          <w:p w14:paraId="22FA313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j0.00764</w:t>
            </w:r>
          </w:p>
        </w:tc>
        <w:tc>
          <w:tcPr>
            <w:tcW w:w="549" w:type="pct"/>
            <w:shd w:val="clear" w:color="auto" w:fill="BFBFBF" w:themeFill="background1" w:themeFillShade="BF"/>
          </w:tcPr>
          <w:p w14:paraId="733E749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-8.00021</w:t>
            </w:r>
          </w:p>
        </w:tc>
        <w:tc>
          <w:tcPr>
            <w:tcW w:w="610" w:type="pct"/>
            <w:shd w:val="clear" w:color="auto" w:fill="BFBFBF" w:themeFill="background1" w:themeFillShade="BF"/>
          </w:tcPr>
          <w:p w14:paraId="3E0B1FB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j0.00965</w:t>
            </w:r>
          </w:p>
        </w:tc>
        <w:tc>
          <w:tcPr>
            <w:tcW w:w="548" w:type="pct"/>
            <w:shd w:val="clear" w:color="auto" w:fill="BFBFBF" w:themeFill="background1" w:themeFillShade="BF"/>
          </w:tcPr>
          <w:p w14:paraId="4BCB9F8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-9.37830</w:t>
            </w:r>
          </w:p>
        </w:tc>
        <w:tc>
          <w:tcPr>
            <w:tcW w:w="543" w:type="pct"/>
            <w:shd w:val="clear" w:color="auto" w:fill="BFBFBF" w:themeFill="background1" w:themeFillShade="BF"/>
          </w:tcPr>
          <w:p w14:paraId="5DB473F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25502BB3" w14:textId="77777777" w:rsidTr="00F722B3">
        <w:trPr>
          <w:jc w:val="center"/>
        </w:trPr>
        <w:tc>
          <w:tcPr>
            <w:tcW w:w="491" w:type="pct"/>
          </w:tcPr>
          <w:p w14:paraId="70F8819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10</w:t>
            </w:r>
          </w:p>
        </w:tc>
        <w:tc>
          <w:tcPr>
            <w:tcW w:w="488" w:type="pct"/>
          </w:tcPr>
          <w:p w14:paraId="088F996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-12.0959</w:t>
            </w:r>
          </w:p>
        </w:tc>
        <w:tc>
          <w:tcPr>
            <w:tcW w:w="611" w:type="pct"/>
          </w:tcPr>
          <w:p w14:paraId="07FBE1E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-j0.32159</w:t>
            </w:r>
          </w:p>
        </w:tc>
        <w:tc>
          <w:tcPr>
            <w:tcW w:w="580" w:type="pct"/>
          </w:tcPr>
          <w:p w14:paraId="65160F3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-8.10087</w:t>
            </w:r>
          </w:p>
        </w:tc>
        <w:tc>
          <w:tcPr>
            <w:tcW w:w="580" w:type="pct"/>
          </w:tcPr>
          <w:p w14:paraId="1A52A8F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j0.0524</w:t>
            </w:r>
          </w:p>
        </w:tc>
        <w:tc>
          <w:tcPr>
            <w:tcW w:w="549" w:type="pct"/>
          </w:tcPr>
          <w:p w14:paraId="7027F7F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-8.00021</w:t>
            </w:r>
          </w:p>
        </w:tc>
        <w:tc>
          <w:tcPr>
            <w:tcW w:w="610" w:type="pct"/>
          </w:tcPr>
          <w:p w14:paraId="4860DDCE"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j0.0023</w:t>
            </w:r>
          </w:p>
        </w:tc>
        <w:tc>
          <w:tcPr>
            <w:tcW w:w="548" w:type="pct"/>
          </w:tcPr>
          <w:p w14:paraId="4729F34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-9.99999</w:t>
            </w:r>
          </w:p>
        </w:tc>
        <w:tc>
          <w:tcPr>
            <w:tcW w:w="543" w:type="pct"/>
          </w:tcPr>
          <w:p w14:paraId="2F67345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26E6011F" w14:textId="77777777" w:rsidTr="00F722B3">
        <w:trPr>
          <w:jc w:val="center"/>
        </w:trPr>
        <w:tc>
          <w:tcPr>
            <w:tcW w:w="491" w:type="pct"/>
            <w:shd w:val="clear" w:color="auto" w:fill="BFBFBF" w:themeFill="background1" w:themeFillShade="BF"/>
          </w:tcPr>
          <w:p w14:paraId="0FA9450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11</w:t>
            </w:r>
          </w:p>
        </w:tc>
        <w:tc>
          <w:tcPr>
            <w:tcW w:w="488" w:type="pct"/>
            <w:shd w:val="clear" w:color="auto" w:fill="BFBFBF" w:themeFill="background1" w:themeFillShade="BF"/>
          </w:tcPr>
          <w:p w14:paraId="6BCAC116"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-12.0959</w:t>
            </w:r>
          </w:p>
        </w:tc>
        <w:tc>
          <w:tcPr>
            <w:tcW w:w="611" w:type="pct"/>
            <w:shd w:val="clear" w:color="auto" w:fill="BFBFBF" w:themeFill="background1" w:themeFillShade="BF"/>
          </w:tcPr>
          <w:p w14:paraId="5C5E602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j76.8098</w:t>
            </w:r>
          </w:p>
        </w:tc>
        <w:tc>
          <w:tcPr>
            <w:tcW w:w="580" w:type="pct"/>
            <w:shd w:val="clear" w:color="auto" w:fill="BFBFBF" w:themeFill="background1" w:themeFillShade="BF"/>
          </w:tcPr>
          <w:p w14:paraId="2B9AA4A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-8.12053</w:t>
            </w:r>
          </w:p>
        </w:tc>
        <w:tc>
          <w:tcPr>
            <w:tcW w:w="580" w:type="pct"/>
            <w:shd w:val="clear" w:color="auto" w:fill="BFBFBF" w:themeFill="background1" w:themeFillShade="BF"/>
          </w:tcPr>
          <w:p w14:paraId="66AAC21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j0.00524</w:t>
            </w:r>
          </w:p>
        </w:tc>
        <w:tc>
          <w:tcPr>
            <w:tcW w:w="549" w:type="pct"/>
            <w:shd w:val="clear" w:color="auto" w:fill="BFBFBF" w:themeFill="background1" w:themeFillShade="BF"/>
          </w:tcPr>
          <w:p w14:paraId="3FE544D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-8.17056</w:t>
            </w:r>
          </w:p>
        </w:tc>
        <w:tc>
          <w:tcPr>
            <w:tcW w:w="610" w:type="pct"/>
            <w:shd w:val="clear" w:color="auto" w:fill="BFBFBF" w:themeFill="background1" w:themeFillShade="BF"/>
          </w:tcPr>
          <w:p w14:paraId="598E2346"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j0.00567</w:t>
            </w:r>
          </w:p>
        </w:tc>
        <w:tc>
          <w:tcPr>
            <w:tcW w:w="548" w:type="pct"/>
            <w:shd w:val="clear" w:color="auto" w:fill="BFBFBF" w:themeFill="background1" w:themeFillShade="BF"/>
          </w:tcPr>
          <w:p w14:paraId="3CEC1F5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-9.99999</w:t>
            </w:r>
          </w:p>
        </w:tc>
        <w:tc>
          <w:tcPr>
            <w:tcW w:w="543" w:type="pct"/>
            <w:shd w:val="clear" w:color="auto" w:fill="BFBFBF" w:themeFill="background1" w:themeFillShade="BF"/>
          </w:tcPr>
          <w:p w14:paraId="497BA14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2218EA9D" w14:textId="77777777" w:rsidTr="00F722B3">
        <w:trPr>
          <w:jc w:val="center"/>
        </w:trPr>
        <w:tc>
          <w:tcPr>
            <w:tcW w:w="491" w:type="pct"/>
          </w:tcPr>
          <w:p w14:paraId="60C5D92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12</w:t>
            </w:r>
          </w:p>
        </w:tc>
        <w:tc>
          <w:tcPr>
            <w:tcW w:w="488" w:type="pct"/>
          </w:tcPr>
          <w:p w14:paraId="2129882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-32.0994</w:t>
            </w:r>
          </w:p>
        </w:tc>
        <w:tc>
          <w:tcPr>
            <w:tcW w:w="611" w:type="pct"/>
          </w:tcPr>
          <w:p w14:paraId="51596D8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-j76.8098</w:t>
            </w:r>
          </w:p>
        </w:tc>
        <w:tc>
          <w:tcPr>
            <w:tcW w:w="580" w:type="pct"/>
          </w:tcPr>
          <w:p w14:paraId="6ECCA03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-27.8371</w:t>
            </w:r>
          </w:p>
        </w:tc>
        <w:tc>
          <w:tcPr>
            <w:tcW w:w="580" w:type="pct"/>
          </w:tcPr>
          <w:p w14:paraId="3B2AA68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J83.3781</w:t>
            </w:r>
          </w:p>
        </w:tc>
        <w:tc>
          <w:tcPr>
            <w:tcW w:w="549" w:type="pct"/>
          </w:tcPr>
          <w:p w14:paraId="6E439FB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-27.1076</w:t>
            </w:r>
          </w:p>
        </w:tc>
        <w:tc>
          <w:tcPr>
            <w:tcW w:w="610" w:type="pct"/>
          </w:tcPr>
          <w:p w14:paraId="335360C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j86.1100</w:t>
            </w:r>
          </w:p>
        </w:tc>
        <w:tc>
          <w:tcPr>
            <w:tcW w:w="548" w:type="pct"/>
          </w:tcPr>
          <w:p w14:paraId="20B3E9B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-28.2762</w:t>
            </w:r>
          </w:p>
        </w:tc>
        <w:tc>
          <w:tcPr>
            <w:tcW w:w="543" w:type="pct"/>
          </w:tcPr>
          <w:p w14:paraId="3118DE6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j102.734</w:t>
            </w:r>
          </w:p>
        </w:tc>
      </w:tr>
      <w:tr w:rsidR="00E2284F" w:rsidRPr="003B2E8F" w14:paraId="0B1FC770" w14:textId="77777777" w:rsidTr="00F722B3">
        <w:trPr>
          <w:jc w:val="center"/>
        </w:trPr>
        <w:tc>
          <w:tcPr>
            <w:tcW w:w="491" w:type="pct"/>
            <w:shd w:val="clear" w:color="auto" w:fill="BFBFBF" w:themeFill="background1" w:themeFillShade="BF"/>
          </w:tcPr>
          <w:p w14:paraId="30ED50A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13</w:t>
            </w:r>
          </w:p>
        </w:tc>
        <w:tc>
          <w:tcPr>
            <w:tcW w:w="488" w:type="pct"/>
            <w:shd w:val="clear" w:color="auto" w:fill="BFBFBF" w:themeFill="background1" w:themeFillShade="BF"/>
          </w:tcPr>
          <w:p w14:paraId="1B3C7C7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-32.0994</w:t>
            </w:r>
          </w:p>
        </w:tc>
        <w:tc>
          <w:tcPr>
            <w:tcW w:w="611" w:type="pct"/>
            <w:shd w:val="clear" w:color="auto" w:fill="BFBFBF" w:themeFill="background1" w:themeFillShade="BF"/>
          </w:tcPr>
          <w:p w14:paraId="7A800B5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80" w:type="pct"/>
            <w:shd w:val="clear" w:color="auto" w:fill="BFBFBF" w:themeFill="background1" w:themeFillShade="BF"/>
          </w:tcPr>
          <w:p w14:paraId="1D3F08B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-27.8371</w:t>
            </w:r>
          </w:p>
        </w:tc>
        <w:tc>
          <w:tcPr>
            <w:tcW w:w="580" w:type="pct"/>
            <w:shd w:val="clear" w:color="auto" w:fill="BFBFBF" w:themeFill="background1" w:themeFillShade="BF"/>
          </w:tcPr>
          <w:p w14:paraId="163DB8FC"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j83.3781</w:t>
            </w:r>
          </w:p>
        </w:tc>
        <w:tc>
          <w:tcPr>
            <w:tcW w:w="549" w:type="pct"/>
            <w:shd w:val="clear" w:color="auto" w:fill="BFBFBF" w:themeFill="background1" w:themeFillShade="BF"/>
          </w:tcPr>
          <w:p w14:paraId="58EE5BFC"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-2710760</w:t>
            </w:r>
          </w:p>
        </w:tc>
        <w:tc>
          <w:tcPr>
            <w:tcW w:w="610" w:type="pct"/>
            <w:shd w:val="clear" w:color="auto" w:fill="BFBFBF" w:themeFill="background1" w:themeFillShade="BF"/>
          </w:tcPr>
          <w:p w14:paraId="4B4BB47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 j86.1100</w:t>
            </w:r>
          </w:p>
        </w:tc>
        <w:tc>
          <w:tcPr>
            <w:tcW w:w="548" w:type="pct"/>
            <w:shd w:val="clear" w:color="auto" w:fill="BFBFBF" w:themeFill="background1" w:themeFillShade="BF"/>
          </w:tcPr>
          <w:p w14:paraId="325795AC"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-28.2762</w:t>
            </w:r>
          </w:p>
        </w:tc>
        <w:tc>
          <w:tcPr>
            <w:tcW w:w="543" w:type="pct"/>
            <w:shd w:val="clear" w:color="auto" w:fill="BFBFBF" w:themeFill="background1" w:themeFillShade="BF"/>
          </w:tcPr>
          <w:p w14:paraId="6515A9C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-j102.734</w:t>
            </w:r>
          </w:p>
        </w:tc>
      </w:tr>
      <w:tr w:rsidR="00E2284F" w:rsidRPr="003B2E8F" w14:paraId="6DEA3FE0" w14:textId="77777777" w:rsidTr="00F722B3">
        <w:trPr>
          <w:jc w:val="center"/>
        </w:trPr>
        <w:tc>
          <w:tcPr>
            <w:tcW w:w="491" w:type="pct"/>
          </w:tcPr>
          <w:p w14:paraId="5D32BC5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Mode 14</w:t>
            </w:r>
          </w:p>
        </w:tc>
        <w:tc>
          <w:tcPr>
            <w:tcW w:w="488" w:type="pct"/>
          </w:tcPr>
          <w:p w14:paraId="7E717A8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-43.4721</w:t>
            </w:r>
          </w:p>
        </w:tc>
        <w:tc>
          <w:tcPr>
            <w:tcW w:w="611" w:type="pct"/>
          </w:tcPr>
          <w:p w14:paraId="62775E9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80" w:type="pct"/>
          </w:tcPr>
          <w:p w14:paraId="1874D24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-44.0452</w:t>
            </w:r>
          </w:p>
        </w:tc>
        <w:tc>
          <w:tcPr>
            <w:tcW w:w="580" w:type="pct"/>
          </w:tcPr>
          <w:p w14:paraId="54B488B9"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j0.000338</w:t>
            </w:r>
          </w:p>
        </w:tc>
        <w:tc>
          <w:tcPr>
            <w:tcW w:w="549" w:type="pct"/>
          </w:tcPr>
          <w:p w14:paraId="2CEDF64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-46.02862</w:t>
            </w:r>
          </w:p>
        </w:tc>
        <w:tc>
          <w:tcPr>
            <w:tcW w:w="610" w:type="pct"/>
          </w:tcPr>
          <w:p w14:paraId="400CD54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j0.000252</w:t>
            </w:r>
          </w:p>
        </w:tc>
        <w:tc>
          <w:tcPr>
            <w:tcW w:w="548" w:type="pct"/>
          </w:tcPr>
          <w:p w14:paraId="47600C4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-50.0000</w:t>
            </w:r>
          </w:p>
        </w:tc>
        <w:tc>
          <w:tcPr>
            <w:tcW w:w="543" w:type="pct"/>
          </w:tcPr>
          <w:p w14:paraId="4AC475D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014763BD" w14:textId="77777777" w:rsidTr="00F722B3">
        <w:trPr>
          <w:jc w:val="center"/>
        </w:trPr>
        <w:tc>
          <w:tcPr>
            <w:tcW w:w="491" w:type="pct"/>
            <w:shd w:val="clear" w:color="auto" w:fill="BFBFBF" w:themeFill="background1" w:themeFillShade="BF"/>
          </w:tcPr>
          <w:p w14:paraId="4EA1751A"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Mode 15</w:t>
            </w:r>
          </w:p>
        </w:tc>
        <w:tc>
          <w:tcPr>
            <w:tcW w:w="488" w:type="pct"/>
            <w:shd w:val="clear" w:color="auto" w:fill="BFBFBF" w:themeFill="background1" w:themeFillShade="BF"/>
          </w:tcPr>
          <w:p w14:paraId="231642AF"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-43.4721</w:t>
            </w:r>
          </w:p>
        </w:tc>
        <w:tc>
          <w:tcPr>
            <w:tcW w:w="611" w:type="pct"/>
            <w:shd w:val="clear" w:color="auto" w:fill="BFBFBF" w:themeFill="background1" w:themeFillShade="BF"/>
          </w:tcPr>
          <w:p w14:paraId="2808FE0E"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j0.00000</w:t>
            </w:r>
          </w:p>
        </w:tc>
        <w:tc>
          <w:tcPr>
            <w:tcW w:w="580" w:type="pct"/>
            <w:shd w:val="clear" w:color="auto" w:fill="BFBFBF" w:themeFill="background1" w:themeFillShade="BF"/>
          </w:tcPr>
          <w:p w14:paraId="7C0727B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-44.0452</w:t>
            </w:r>
          </w:p>
        </w:tc>
        <w:tc>
          <w:tcPr>
            <w:tcW w:w="580" w:type="pct"/>
            <w:shd w:val="clear" w:color="auto" w:fill="BFBFBF" w:themeFill="background1" w:themeFillShade="BF"/>
          </w:tcPr>
          <w:p w14:paraId="398A8B8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j0.000338</w:t>
            </w:r>
          </w:p>
        </w:tc>
        <w:tc>
          <w:tcPr>
            <w:tcW w:w="549" w:type="pct"/>
            <w:shd w:val="clear" w:color="auto" w:fill="BFBFBF" w:themeFill="background1" w:themeFillShade="BF"/>
          </w:tcPr>
          <w:p w14:paraId="1317151B"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-46.0035</w:t>
            </w:r>
          </w:p>
        </w:tc>
        <w:tc>
          <w:tcPr>
            <w:tcW w:w="610" w:type="pct"/>
            <w:shd w:val="clear" w:color="auto" w:fill="BFBFBF" w:themeFill="background1" w:themeFillShade="BF"/>
          </w:tcPr>
          <w:p w14:paraId="77917197"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j0.000252</w:t>
            </w:r>
          </w:p>
        </w:tc>
        <w:tc>
          <w:tcPr>
            <w:tcW w:w="548" w:type="pct"/>
            <w:shd w:val="clear" w:color="auto" w:fill="BFBFBF" w:themeFill="background1" w:themeFillShade="BF"/>
          </w:tcPr>
          <w:p w14:paraId="21BFA45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-50.0000</w:t>
            </w:r>
          </w:p>
        </w:tc>
        <w:tc>
          <w:tcPr>
            <w:tcW w:w="543" w:type="pct"/>
            <w:shd w:val="clear" w:color="auto" w:fill="BFBFBF" w:themeFill="background1" w:themeFillShade="BF"/>
          </w:tcPr>
          <w:p w14:paraId="500F980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1D51A2D9" w14:textId="77777777" w:rsidTr="00F722B3">
        <w:trPr>
          <w:jc w:val="center"/>
        </w:trPr>
        <w:tc>
          <w:tcPr>
            <w:tcW w:w="491" w:type="pct"/>
          </w:tcPr>
          <w:p w14:paraId="2ACA096D"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Mode 16</w:t>
            </w:r>
          </w:p>
        </w:tc>
        <w:tc>
          <w:tcPr>
            <w:tcW w:w="488" w:type="pct"/>
          </w:tcPr>
          <w:p w14:paraId="23D8642E"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611" w:type="pct"/>
          </w:tcPr>
          <w:p w14:paraId="3F8805ED"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580" w:type="pct"/>
          </w:tcPr>
          <w:p w14:paraId="605822A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-103.086</w:t>
            </w:r>
          </w:p>
        </w:tc>
        <w:tc>
          <w:tcPr>
            <w:tcW w:w="580" w:type="pct"/>
          </w:tcPr>
          <w:p w14:paraId="303783F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j0.000283</w:t>
            </w:r>
          </w:p>
        </w:tc>
        <w:tc>
          <w:tcPr>
            <w:tcW w:w="549" w:type="pct"/>
          </w:tcPr>
          <w:p w14:paraId="5CCE864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-101.0845</w:t>
            </w:r>
          </w:p>
        </w:tc>
        <w:tc>
          <w:tcPr>
            <w:tcW w:w="610" w:type="pct"/>
          </w:tcPr>
          <w:p w14:paraId="7A01383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j0.000046</w:t>
            </w:r>
          </w:p>
        </w:tc>
        <w:tc>
          <w:tcPr>
            <w:tcW w:w="548" w:type="pct"/>
          </w:tcPr>
          <w:p w14:paraId="1BD57BB5"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-100.000</w:t>
            </w:r>
          </w:p>
        </w:tc>
        <w:tc>
          <w:tcPr>
            <w:tcW w:w="543" w:type="pct"/>
          </w:tcPr>
          <w:p w14:paraId="67F7826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3C2950E2" w14:textId="77777777" w:rsidTr="00F722B3">
        <w:trPr>
          <w:jc w:val="center"/>
        </w:trPr>
        <w:tc>
          <w:tcPr>
            <w:tcW w:w="491" w:type="pct"/>
            <w:shd w:val="clear" w:color="auto" w:fill="BFBFBF" w:themeFill="background1" w:themeFillShade="BF"/>
          </w:tcPr>
          <w:p w14:paraId="5FE12FFA"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Mode 17</w:t>
            </w:r>
          </w:p>
        </w:tc>
        <w:tc>
          <w:tcPr>
            <w:tcW w:w="488" w:type="pct"/>
            <w:shd w:val="clear" w:color="auto" w:fill="BFBFBF" w:themeFill="background1" w:themeFillShade="BF"/>
          </w:tcPr>
          <w:p w14:paraId="5CFA7F28"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611" w:type="pct"/>
            <w:shd w:val="clear" w:color="auto" w:fill="BFBFBF" w:themeFill="background1" w:themeFillShade="BF"/>
          </w:tcPr>
          <w:p w14:paraId="10ED0C9B"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580" w:type="pct"/>
            <w:shd w:val="clear" w:color="auto" w:fill="BFBFBF" w:themeFill="background1" w:themeFillShade="BF"/>
          </w:tcPr>
          <w:p w14:paraId="71095F7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-103.086</w:t>
            </w:r>
          </w:p>
        </w:tc>
        <w:tc>
          <w:tcPr>
            <w:tcW w:w="580" w:type="pct"/>
            <w:shd w:val="clear" w:color="auto" w:fill="BFBFBF" w:themeFill="background1" w:themeFillShade="BF"/>
          </w:tcPr>
          <w:p w14:paraId="0F9F3052"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j0.000283</w:t>
            </w:r>
          </w:p>
        </w:tc>
        <w:tc>
          <w:tcPr>
            <w:tcW w:w="549" w:type="pct"/>
            <w:shd w:val="clear" w:color="auto" w:fill="BFBFBF" w:themeFill="background1" w:themeFillShade="BF"/>
          </w:tcPr>
          <w:p w14:paraId="690D6B2A"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-101.0845</w:t>
            </w:r>
          </w:p>
        </w:tc>
        <w:tc>
          <w:tcPr>
            <w:tcW w:w="610" w:type="pct"/>
            <w:shd w:val="clear" w:color="auto" w:fill="BFBFBF" w:themeFill="background1" w:themeFillShade="BF"/>
          </w:tcPr>
          <w:p w14:paraId="42D51EFF"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j0.000452</w:t>
            </w:r>
          </w:p>
        </w:tc>
        <w:tc>
          <w:tcPr>
            <w:tcW w:w="548" w:type="pct"/>
            <w:shd w:val="clear" w:color="auto" w:fill="BFBFBF" w:themeFill="background1" w:themeFillShade="BF"/>
          </w:tcPr>
          <w:p w14:paraId="0512F654"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-100.048</w:t>
            </w:r>
          </w:p>
        </w:tc>
        <w:tc>
          <w:tcPr>
            <w:tcW w:w="543" w:type="pct"/>
            <w:shd w:val="clear" w:color="auto" w:fill="BFBFBF" w:themeFill="background1" w:themeFillShade="BF"/>
          </w:tcPr>
          <w:p w14:paraId="4380B84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45DD85D1" w14:textId="77777777" w:rsidTr="00F722B3">
        <w:trPr>
          <w:jc w:val="center"/>
        </w:trPr>
        <w:tc>
          <w:tcPr>
            <w:tcW w:w="491" w:type="pct"/>
          </w:tcPr>
          <w:p w14:paraId="1810BB95"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Mode 18</w:t>
            </w:r>
          </w:p>
        </w:tc>
        <w:tc>
          <w:tcPr>
            <w:tcW w:w="488" w:type="pct"/>
          </w:tcPr>
          <w:p w14:paraId="54F8EF8F"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611" w:type="pct"/>
          </w:tcPr>
          <w:p w14:paraId="6D0B3622"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580" w:type="pct"/>
          </w:tcPr>
          <w:p w14:paraId="6228B9D9"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-362.556</w:t>
            </w:r>
          </w:p>
        </w:tc>
        <w:tc>
          <w:tcPr>
            <w:tcW w:w="580" w:type="pct"/>
          </w:tcPr>
          <w:p w14:paraId="4F6EB1A4"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j0.000669</w:t>
            </w:r>
          </w:p>
        </w:tc>
        <w:tc>
          <w:tcPr>
            <w:tcW w:w="549" w:type="pct"/>
          </w:tcPr>
          <w:p w14:paraId="64A1CB6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-361.2330</w:t>
            </w:r>
          </w:p>
        </w:tc>
        <w:tc>
          <w:tcPr>
            <w:tcW w:w="610" w:type="pct"/>
          </w:tcPr>
          <w:p w14:paraId="2E05EF30"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j0.000561</w:t>
            </w:r>
          </w:p>
        </w:tc>
        <w:tc>
          <w:tcPr>
            <w:tcW w:w="548" w:type="pct"/>
          </w:tcPr>
          <w:p w14:paraId="34B5CF11"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-366.857</w:t>
            </w:r>
          </w:p>
        </w:tc>
        <w:tc>
          <w:tcPr>
            <w:tcW w:w="543" w:type="pct"/>
          </w:tcPr>
          <w:p w14:paraId="3DD595B8"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07A488C9" w14:textId="77777777" w:rsidTr="00F722B3">
        <w:trPr>
          <w:jc w:val="center"/>
        </w:trPr>
        <w:tc>
          <w:tcPr>
            <w:tcW w:w="491" w:type="pct"/>
            <w:shd w:val="clear" w:color="auto" w:fill="BFBFBF" w:themeFill="background1" w:themeFillShade="BF"/>
          </w:tcPr>
          <w:p w14:paraId="5E6371D3" w14:textId="77777777" w:rsidR="00E2284F" w:rsidRPr="003B2E8F" w:rsidRDefault="00E2284F" w:rsidP="00CD4F3A">
            <w:pPr>
              <w:widowControl w:val="0"/>
              <w:rPr>
                <w:rFonts w:asciiTheme="minorHAnsi" w:hAnsiTheme="minorHAnsi" w:cstheme="minorHAnsi"/>
                <w:sz w:val="18"/>
                <w:szCs w:val="18"/>
                <w:lang w:val="en-AU"/>
              </w:rPr>
            </w:pPr>
            <w:r w:rsidRPr="003B2E8F">
              <w:rPr>
                <w:rFonts w:asciiTheme="minorHAnsi" w:hAnsiTheme="minorHAnsi" w:cstheme="minorHAnsi"/>
                <w:sz w:val="18"/>
                <w:szCs w:val="18"/>
              </w:rPr>
              <w:t>Mode 19</w:t>
            </w:r>
          </w:p>
        </w:tc>
        <w:tc>
          <w:tcPr>
            <w:tcW w:w="488" w:type="pct"/>
            <w:shd w:val="clear" w:color="auto" w:fill="BFBFBF" w:themeFill="background1" w:themeFillShade="BF"/>
          </w:tcPr>
          <w:p w14:paraId="28128FC2"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611" w:type="pct"/>
            <w:shd w:val="clear" w:color="auto" w:fill="BFBFBF" w:themeFill="background1" w:themeFillShade="BF"/>
          </w:tcPr>
          <w:p w14:paraId="6B21D2BA" w14:textId="77777777" w:rsidR="00E2284F" w:rsidRPr="003B2E8F" w:rsidRDefault="00E2284F" w:rsidP="00CD4F3A">
            <w:pPr>
              <w:widowControl w:val="0"/>
              <w:jc w:val="center"/>
              <w:rPr>
                <w:rFonts w:asciiTheme="minorHAnsi" w:hAnsiTheme="minorHAnsi" w:cstheme="minorHAnsi"/>
                <w:sz w:val="18"/>
                <w:szCs w:val="18"/>
                <w:lang w:val="en-AU"/>
              </w:rPr>
            </w:pPr>
            <w:r w:rsidRPr="003B2E8F">
              <w:rPr>
                <w:rFonts w:asciiTheme="minorHAnsi" w:hAnsiTheme="minorHAnsi" w:cstheme="minorHAnsi"/>
                <w:sz w:val="18"/>
                <w:szCs w:val="18"/>
              </w:rPr>
              <w:t>-</w:t>
            </w:r>
          </w:p>
        </w:tc>
        <w:tc>
          <w:tcPr>
            <w:tcW w:w="580" w:type="pct"/>
            <w:shd w:val="clear" w:color="auto" w:fill="BFBFBF" w:themeFill="background1" w:themeFillShade="BF"/>
          </w:tcPr>
          <w:p w14:paraId="0B9E0DD4"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-413.005</w:t>
            </w:r>
          </w:p>
        </w:tc>
        <w:tc>
          <w:tcPr>
            <w:tcW w:w="580" w:type="pct"/>
            <w:shd w:val="clear" w:color="auto" w:fill="BFBFBF" w:themeFill="background1" w:themeFillShade="BF"/>
          </w:tcPr>
          <w:p w14:paraId="498532FD"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j0.000669</w:t>
            </w:r>
          </w:p>
        </w:tc>
        <w:tc>
          <w:tcPr>
            <w:tcW w:w="549" w:type="pct"/>
            <w:shd w:val="clear" w:color="auto" w:fill="BFBFBF" w:themeFill="background1" w:themeFillShade="BF"/>
          </w:tcPr>
          <w:p w14:paraId="1601FDD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-412.0000</w:t>
            </w:r>
          </w:p>
        </w:tc>
        <w:tc>
          <w:tcPr>
            <w:tcW w:w="610" w:type="pct"/>
            <w:shd w:val="clear" w:color="auto" w:fill="BFBFBF" w:themeFill="background1" w:themeFillShade="BF"/>
          </w:tcPr>
          <w:p w14:paraId="6574B49D"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j0.000561</w:t>
            </w:r>
          </w:p>
        </w:tc>
        <w:tc>
          <w:tcPr>
            <w:tcW w:w="548" w:type="pct"/>
            <w:shd w:val="clear" w:color="auto" w:fill="BFBFBF" w:themeFill="background1" w:themeFillShade="BF"/>
          </w:tcPr>
          <w:p w14:paraId="4941E71E"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-400.000</w:t>
            </w:r>
          </w:p>
        </w:tc>
        <w:tc>
          <w:tcPr>
            <w:tcW w:w="543" w:type="pct"/>
            <w:shd w:val="clear" w:color="auto" w:fill="BFBFBF" w:themeFill="background1" w:themeFillShade="BF"/>
          </w:tcPr>
          <w:p w14:paraId="004C3BF3" w14:textId="77777777" w:rsidR="00E2284F" w:rsidRPr="003B2E8F" w:rsidRDefault="00E2284F" w:rsidP="00CD4F3A">
            <w:pPr>
              <w:widowControl w:val="0"/>
              <w:jc w:val="both"/>
              <w:rPr>
                <w:rFonts w:asciiTheme="minorHAnsi" w:hAnsiTheme="minorHAnsi" w:cstheme="minorHAnsi"/>
                <w:sz w:val="18"/>
                <w:szCs w:val="18"/>
                <w:lang w:val="en-AU"/>
              </w:rPr>
            </w:pPr>
            <w:r w:rsidRPr="003B2E8F">
              <w:rPr>
                <w:rFonts w:asciiTheme="minorHAnsi" w:hAnsiTheme="minorHAnsi" w:cstheme="minorHAnsi"/>
                <w:sz w:val="18"/>
                <w:szCs w:val="18"/>
              </w:rPr>
              <w:t>j0.00000</w:t>
            </w:r>
          </w:p>
        </w:tc>
      </w:tr>
      <w:tr w:rsidR="00E2284F" w:rsidRPr="003B2E8F" w14:paraId="6A92CD80" w14:textId="77777777" w:rsidTr="00F722B3">
        <w:trPr>
          <w:jc w:val="center"/>
        </w:trPr>
        <w:tc>
          <w:tcPr>
            <w:tcW w:w="491" w:type="pct"/>
            <w:tcBorders>
              <w:bottom w:val="single" w:sz="4" w:space="0" w:color="auto"/>
            </w:tcBorders>
          </w:tcPr>
          <w:p w14:paraId="4E2040A4" w14:textId="77777777" w:rsidR="00E2284F" w:rsidRPr="003B2E8F" w:rsidRDefault="00E2284F" w:rsidP="00CD4F3A">
            <w:pPr>
              <w:widowControl w:val="0"/>
              <w:rPr>
                <w:rFonts w:asciiTheme="minorHAnsi" w:hAnsiTheme="minorHAnsi" w:cstheme="minorHAnsi"/>
                <w:sz w:val="18"/>
                <w:szCs w:val="18"/>
              </w:rPr>
            </w:pPr>
            <w:r w:rsidRPr="003B2E8F">
              <w:rPr>
                <w:rFonts w:asciiTheme="minorHAnsi" w:hAnsiTheme="minorHAnsi" w:cstheme="minorHAnsi"/>
                <w:sz w:val="18"/>
                <w:szCs w:val="18"/>
              </w:rPr>
              <w:t>MAE</w:t>
            </w:r>
          </w:p>
        </w:tc>
        <w:tc>
          <w:tcPr>
            <w:tcW w:w="488" w:type="pct"/>
            <w:tcBorders>
              <w:bottom w:val="single" w:sz="4" w:space="0" w:color="auto"/>
            </w:tcBorders>
          </w:tcPr>
          <w:p w14:paraId="465CAF95" w14:textId="77777777" w:rsidR="00E2284F" w:rsidRPr="003B2E8F" w:rsidRDefault="00E2284F" w:rsidP="00CD4F3A">
            <w:pPr>
              <w:widowControl w:val="0"/>
              <w:jc w:val="center"/>
              <w:rPr>
                <w:rFonts w:asciiTheme="minorHAnsi" w:hAnsiTheme="minorHAnsi" w:cstheme="minorHAnsi"/>
                <w:sz w:val="18"/>
                <w:szCs w:val="18"/>
              </w:rPr>
            </w:pPr>
            <w:r w:rsidRPr="003B2E8F">
              <w:rPr>
                <w:rFonts w:asciiTheme="minorHAnsi" w:hAnsiTheme="minorHAnsi" w:cstheme="minorHAnsi"/>
                <w:sz w:val="18"/>
                <w:szCs w:val="18"/>
              </w:rPr>
              <w:t>3.80</w:t>
            </w:r>
          </w:p>
        </w:tc>
        <w:tc>
          <w:tcPr>
            <w:tcW w:w="611" w:type="pct"/>
            <w:tcBorders>
              <w:bottom w:val="single" w:sz="4" w:space="0" w:color="auto"/>
            </w:tcBorders>
          </w:tcPr>
          <w:p w14:paraId="6CC8B3C7" w14:textId="77777777" w:rsidR="00E2284F" w:rsidRPr="003B2E8F" w:rsidRDefault="00E2284F" w:rsidP="00CD4F3A">
            <w:pPr>
              <w:widowControl w:val="0"/>
              <w:jc w:val="center"/>
              <w:rPr>
                <w:rFonts w:asciiTheme="minorHAnsi" w:hAnsiTheme="minorHAnsi" w:cstheme="minorHAnsi"/>
                <w:sz w:val="18"/>
                <w:szCs w:val="18"/>
              </w:rPr>
            </w:pPr>
            <w:r w:rsidRPr="003B2E8F">
              <w:rPr>
                <w:rFonts w:asciiTheme="minorHAnsi" w:hAnsiTheme="minorHAnsi" w:cstheme="minorHAnsi"/>
                <w:sz w:val="18"/>
                <w:szCs w:val="18"/>
              </w:rPr>
              <w:t>25.63</w:t>
            </w:r>
          </w:p>
        </w:tc>
        <w:tc>
          <w:tcPr>
            <w:tcW w:w="580" w:type="pct"/>
            <w:tcBorders>
              <w:bottom w:val="single" w:sz="4" w:space="0" w:color="auto"/>
            </w:tcBorders>
          </w:tcPr>
          <w:p w14:paraId="6AA5D286"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2.29</w:t>
            </w:r>
          </w:p>
        </w:tc>
        <w:tc>
          <w:tcPr>
            <w:tcW w:w="580" w:type="pct"/>
            <w:tcBorders>
              <w:bottom w:val="single" w:sz="4" w:space="0" w:color="auto"/>
            </w:tcBorders>
          </w:tcPr>
          <w:p w14:paraId="768A5AFC"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2.24</w:t>
            </w:r>
          </w:p>
        </w:tc>
        <w:tc>
          <w:tcPr>
            <w:tcW w:w="549" w:type="pct"/>
            <w:tcBorders>
              <w:bottom w:val="single" w:sz="4" w:space="0" w:color="auto"/>
            </w:tcBorders>
          </w:tcPr>
          <w:p w14:paraId="34D15C80"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1.96</w:t>
            </w:r>
          </w:p>
        </w:tc>
        <w:tc>
          <w:tcPr>
            <w:tcW w:w="610" w:type="pct"/>
            <w:tcBorders>
              <w:bottom w:val="single" w:sz="4" w:space="0" w:color="auto"/>
            </w:tcBorders>
          </w:tcPr>
          <w:p w14:paraId="5ED66427" w14:textId="77777777" w:rsidR="00E2284F" w:rsidRPr="003B2E8F" w:rsidRDefault="00E2284F" w:rsidP="00CD4F3A">
            <w:pPr>
              <w:widowControl w:val="0"/>
              <w:jc w:val="both"/>
              <w:rPr>
                <w:rFonts w:asciiTheme="minorHAnsi" w:hAnsiTheme="minorHAnsi" w:cstheme="minorHAnsi"/>
                <w:sz w:val="18"/>
                <w:szCs w:val="18"/>
              </w:rPr>
            </w:pPr>
            <w:r w:rsidRPr="003B2E8F">
              <w:rPr>
                <w:rFonts w:asciiTheme="minorHAnsi" w:hAnsiTheme="minorHAnsi" w:cstheme="minorHAnsi"/>
                <w:sz w:val="18"/>
                <w:szCs w:val="18"/>
              </w:rPr>
              <w:t>2.06</w:t>
            </w:r>
          </w:p>
        </w:tc>
        <w:tc>
          <w:tcPr>
            <w:tcW w:w="548" w:type="pct"/>
            <w:tcBorders>
              <w:bottom w:val="single" w:sz="4" w:space="0" w:color="auto"/>
            </w:tcBorders>
          </w:tcPr>
          <w:p w14:paraId="61CD1B36" w14:textId="77777777" w:rsidR="00E2284F" w:rsidRPr="003B2E8F" w:rsidRDefault="00E2284F" w:rsidP="00CD4F3A">
            <w:pPr>
              <w:widowControl w:val="0"/>
              <w:jc w:val="both"/>
              <w:rPr>
                <w:rFonts w:asciiTheme="minorHAnsi" w:hAnsiTheme="minorHAnsi" w:cstheme="minorHAnsi"/>
                <w:sz w:val="18"/>
                <w:szCs w:val="18"/>
              </w:rPr>
            </w:pPr>
          </w:p>
        </w:tc>
        <w:tc>
          <w:tcPr>
            <w:tcW w:w="543" w:type="pct"/>
            <w:tcBorders>
              <w:bottom w:val="single" w:sz="4" w:space="0" w:color="auto"/>
            </w:tcBorders>
          </w:tcPr>
          <w:p w14:paraId="1499C7CD" w14:textId="77777777" w:rsidR="00E2284F" w:rsidRPr="003B2E8F" w:rsidRDefault="00E2284F" w:rsidP="00CD4F3A">
            <w:pPr>
              <w:widowControl w:val="0"/>
              <w:jc w:val="both"/>
              <w:rPr>
                <w:rFonts w:asciiTheme="minorHAnsi" w:hAnsiTheme="minorHAnsi" w:cstheme="minorHAnsi"/>
                <w:sz w:val="18"/>
                <w:szCs w:val="18"/>
              </w:rPr>
            </w:pPr>
          </w:p>
        </w:tc>
      </w:tr>
    </w:tbl>
    <w:p w14:paraId="498DB98F" w14:textId="77777777" w:rsidR="00F722B3" w:rsidRPr="00F722B3" w:rsidRDefault="00F722B3" w:rsidP="00DB2608">
      <w:pPr>
        <w:pStyle w:val="BodyText"/>
        <w:spacing w:after="0"/>
      </w:pPr>
      <w:r w:rsidRPr="00F722B3">
        <w:t>The developed approach in this study estimates only the system eigenvalues, from which the modal frequencies and damping ratios are calculated. It does not estimate mode shapes or participation factors.</w:t>
      </w:r>
    </w:p>
    <w:p w14:paraId="3B2F19C2" w14:textId="77777777" w:rsidR="00E2284F" w:rsidRPr="00135FEB" w:rsidRDefault="00E2284F" w:rsidP="00DB2608">
      <w:pPr>
        <w:pStyle w:val="BodyText"/>
        <w:spacing w:after="0"/>
        <w:rPr>
          <w:lang w:val="en-US"/>
        </w:rPr>
      </w:pPr>
      <w:r w:rsidRPr="00E27D3B">
        <w:rPr>
          <w:lang w:val="en-US"/>
        </w:rPr>
        <w:lastRenderedPageBreak/>
        <w:t xml:space="preserve">The proposed GPR- and ERA-based model was able to predict the same number of modes as obtained from DIgSILENT </w:t>
      </w:r>
      <w:proofErr w:type="spellStart"/>
      <w:r w:rsidRPr="00E27D3B">
        <w:rPr>
          <w:lang w:val="en-US"/>
        </w:rPr>
        <w:t>PowerFactory</w:t>
      </w:r>
      <w:proofErr w:type="spellEnd"/>
      <w:r w:rsidRPr="00E27D3B">
        <w:rPr>
          <w:lang w:val="en-US"/>
        </w:rPr>
        <w:t xml:space="preserve">, whereas the ANN+ERA model captured only 15 modes due to insufficient representation of the system dynamics. All modes were analyzed and compared. For instance, Mode 2 exhibited an approximate 46.46 % difference in the real part of the eigenvalue between the ANN-based model and DIgSILENT </w:t>
      </w:r>
      <w:proofErr w:type="spellStart"/>
      <w:r w:rsidRPr="00E27D3B">
        <w:rPr>
          <w:lang w:val="en-US"/>
        </w:rPr>
        <w:t>PowerFactory</w:t>
      </w:r>
      <w:proofErr w:type="spellEnd"/>
      <w:r w:rsidRPr="00E27D3B">
        <w:rPr>
          <w:lang w:val="en-US"/>
        </w:rPr>
        <w:t>, whereas the proposed GPR-based model showed only a 3.09 % difference. Similar comparisons across all other modes confirmed that the proposed GPR- and ERA-based DDTD model provides significantly higher accuracy in eigenvalue estimation.</w:t>
      </w:r>
      <w:r>
        <w:rPr>
          <w:lang w:val="en-US"/>
        </w:rPr>
        <w:t xml:space="preserve"> </w:t>
      </w:r>
    </w:p>
    <w:p w14:paraId="18FBF362" w14:textId="2314C931" w:rsidR="00E2284F" w:rsidRPr="002C2480" w:rsidRDefault="00E2284F" w:rsidP="00F12E16">
      <w:pPr>
        <w:pStyle w:val="Heading3"/>
        <w:numPr>
          <w:ilvl w:val="2"/>
          <w:numId w:val="76"/>
        </w:numPr>
        <w:rPr>
          <w:lang w:val="en-US"/>
        </w:rPr>
      </w:pPr>
      <w:r w:rsidRPr="002C2480">
        <w:rPr>
          <w:lang w:val="en-US"/>
        </w:rPr>
        <w:t xml:space="preserve">Effect of </w:t>
      </w:r>
      <w:r w:rsidR="009330B0">
        <w:rPr>
          <w:lang w:val="en-US"/>
        </w:rPr>
        <w:t>D</w:t>
      </w:r>
      <w:r w:rsidRPr="002C2480">
        <w:rPr>
          <w:lang w:val="en-US"/>
        </w:rPr>
        <w:t xml:space="preserve">ata </w:t>
      </w:r>
      <w:r w:rsidR="009330B0">
        <w:rPr>
          <w:lang w:val="en-US"/>
        </w:rPr>
        <w:t>S</w:t>
      </w:r>
      <w:r w:rsidRPr="002C2480">
        <w:rPr>
          <w:lang w:val="en-US"/>
        </w:rPr>
        <w:t xml:space="preserve">ize on the </w:t>
      </w:r>
      <w:r w:rsidR="009330B0">
        <w:rPr>
          <w:lang w:val="en-US"/>
        </w:rPr>
        <w:t>P</w:t>
      </w:r>
      <w:r w:rsidRPr="002C2480">
        <w:rPr>
          <w:lang w:val="en-US"/>
        </w:rPr>
        <w:t xml:space="preserve">erformance of ANN, SVM, and GPR-based DDTD </w:t>
      </w:r>
      <w:r w:rsidR="009330B0">
        <w:rPr>
          <w:lang w:val="en-US"/>
        </w:rPr>
        <w:t>M</w:t>
      </w:r>
      <w:r w:rsidRPr="002C2480">
        <w:rPr>
          <w:lang w:val="en-US"/>
        </w:rPr>
        <w:t>odels</w:t>
      </w:r>
    </w:p>
    <w:p w14:paraId="565314CA" w14:textId="6F77172B" w:rsidR="000C188E" w:rsidRDefault="00E2284F" w:rsidP="00DB2608">
      <w:pPr>
        <w:pStyle w:val="BodyText"/>
        <w:rPr>
          <w:lang w:val="en-US"/>
        </w:rPr>
      </w:pPr>
      <w:r>
        <w:rPr>
          <w:lang w:val="en-US"/>
        </w:rPr>
        <w:t xml:space="preserve">In this section, the performance of </w:t>
      </w:r>
      <w:r w:rsidRPr="00916B17">
        <w:rPr>
          <w:lang w:val="en-US"/>
        </w:rPr>
        <w:t>ANN, SVM, and GPR-based DDTD models</w:t>
      </w:r>
      <w:r>
        <w:rPr>
          <w:lang w:val="en-US"/>
        </w:rPr>
        <w:t xml:space="preserve"> has been analysed in terms of data size reduction and time-domain prediction results of the models. </w:t>
      </w:r>
      <w:r>
        <w:rPr>
          <w:lang w:val="en-US"/>
        </w:rPr>
        <w:fldChar w:fldCharType="begin"/>
      </w:r>
      <w:r>
        <w:rPr>
          <w:lang w:val="en-US"/>
        </w:rPr>
        <w:instrText xml:space="preserve"> REF _Ref228136588 \h </w:instrText>
      </w:r>
      <w:r w:rsidR="00CD4F3A">
        <w:rPr>
          <w:lang w:val="en-US"/>
        </w:rPr>
        <w:instrText xml:space="preserve"> \* MERGEFORMAT </w:instrText>
      </w:r>
      <w:r>
        <w:rPr>
          <w:lang w:val="en-US"/>
        </w:rPr>
      </w:r>
      <w:r>
        <w:rPr>
          <w:lang w:val="en-US"/>
        </w:rPr>
        <w:fldChar w:fldCharType="separate"/>
      </w:r>
      <w:r w:rsidR="00753DAF" w:rsidRPr="00E27D3B">
        <w:t xml:space="preserve">Figure </w:t>
      </w:r>
      <w:r w:rsidR="00753DAF">
        <w:rPr>
          <w:noProof/>
        </w:rPr>
        <w:t>27</w:t>
      </w:r>
      <w:r>
        <w:rPr>
          <w:lang w:val="en-US"/>
        </w:rPr>
        <w:fldChar w:fldCharType="end"/>
      </w:r>
      <w:r>
        <w:rPr>
          <w:lang w:val="en-US"/>
        </w:rPr>
        <w:t xml:space="preserve"> shows the time-domain prediction of the outputs for different percentages of data size used in the training of ANN, SVM, and GPR-based DDTD models. Different data size</w:t>
      </w:r>
      <w:r w:rsidR="000C188E">
        <w:rPr>
          <w:lang w:val="en-US"/>
        </w:rPr>
        <w:t>s</w:t>
      </w:r>
      <w:r>
        <w:rPr>
          <w:lang w:val="en-US"/>
        </w:rPr>
        <w:t xml:space="preserve"> of the datasets ha</w:t>
      </w:r>
      <w:r w:rsidR="000C188E">
        <w:rPr>
          <w:lang w:val="en-US"/>
        </w:rPr>
        <w:t>ve</w:t>
      </w:r>
      <w:r>
        <w:rPr>
          <w:lang w:val="en-US"/>
        </w:rPr>
        <w:t xml:space="preserve"> been considered 100 %, 50 %, 25 %, and 5 % for all these models.</w:t>
      </w:r>
      <w:r w:rsidR="000C188E">
        <w:rPr>
          <w:lang w:val="en-US"/>
        </w:rPr>
        <w:t xml:space="preserve"> </w:t>
      </w:r>
      <w:r w:rsidR="000C188E" w:rsidRPr="000C188E">
        <w:rPr>
          <w:lang w:val="en-US"/>
        </w:rPr>
        <w:t>In this study, data size refers to the number of operating points used for training each data-driven dynamic equivalent model. The complete dataset consists of 460 operating points. Therefore, 100% data size corresponds to the complete dataset of 460 operating points, while 50%, 25%, and 5% correspond to 230, 115, and 23 operating points, respectively.</w:t>
      </w:r>
    </w:p>
    <w:p w14:paraId="14B4AA28" w14:textId="46C0B991" w:rsidR="00E2284F" w:rsidRDefault="00E2284F" w:rsidP="00DB2608">
      <w:pPr>
        <w:pStyle w:val="BodyText"/>
        <w:rPr>
          <w:lang w:val="en-US"/>
        </w:rPr>
      </w:pPr>
      <w:r>
        <w:rPr>
          <w:lang w:val="en-US"/>
        </w:rPr>
        <w:fldChar w:fldCharType="begin"/>
      </w:r>
      <w:r>
        <w:rPr>
          <w:lang w:val="en-US"/>
        </w:rPr>
        <w:instrText xml:space="preserve"> REF _Ref228138370 \h </w:instrText>
      </w:r>
      <w:r w:rsidR="00CD4F3A">
        <w:rPr>
          <w:lang w:val="en-US"/>
        </w:rPr>
        <w:instrText xml:space="preserve"> \* MERGEFORMAT </w:instrText>
      </w:r>
      <w:r>
        <w:rPr>
          <w:lang w:val="en-US"/>
        </w:rPr>
      </w:r>
      <w:r>
        <w:rPr>
          <w:lang w:val="en-US"/>
        </w:rPr>
        <w:fldChar w:fldCharType="separate"/>
      </w:r>
      <w:r w:rsidR="00753DAF" w:rsidRPr="00E27D3B">
        <w:t xml:space="preserve">Figure </w:t>
      </w:r>
      <w:r w:rsidR="00753DAF">
        <w:rPr>
          <w:noProof/>
        </w:rPr>
        <w:t>28</w:t>
      </w:r>
      <w:r>
        <w:rPr>
          <w:lang w:val="en-US"/>
        </w:rPr>
        <w:fldChar w:fldCharType="end"/>
      </w:r>
      <w:r>
        <w:rPr>
          <w:lang w:val="en-US"/>
        </w:rPr>
        <w:t xml:space="preserve"> </w:t>
      </w:r>
      <w:r w:rsidRPr="00F1271D">
        <w:rPr>
          <w:lang w:val="en-US"/>
        </w:rPr>
        <w:t xml:space="preserve">shows the percentage of error in eigenvalue prediction with </w:t>
      </w:r>
      <w:r>
        <w:rPr>
          <w:lang w:val="en-US"/>
        </w:rPr>
        <w:t xml:space="preserve">100 % data in the training process </w:t>
      </w:r>
      <w:r w:rsidRPr="00F1271D">
        <w:rPr>
          <w:lang w:val="en-US"/>
        </w:rPr>
        <w:t xml:space="preserve">for ANN, SVM, and GPR-based DDTD models. </w:t>
      </w:r>
      <w:r>
        <w:rPr>
          <w:lang w:val="en-US"/>
        </w:rPr>
        <w:t xml:space="preserve">It has been found that, as the data size is reduced in the training the time-domain prediction of ANN degrades significantly as this model requires large dataset for accurate prediction of the outputs. However, the time-domain prediction of SVM and GPR-based DDTD models was very similar but higher percentage of error in eigenvalue prediction has been observed with the proposed GPR-based DDTD model.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76"/>
      </w:tblGrid>
      <w:tr w:rsidR="00E2284F" w14:paraId="045C7E59" w14:textId="77777777" w:rsidTr="00445AA8">
        <w:trPr>
          <w:trHeight w:val="3343"/>
        </w:trPr>
        <w:tc>
          <w:tcPr>
            <w:tcW w:w="4776" w:type="dxa"/>
          </w:tcPr>
          <w:p w14:paraId="71F072CE" w14:textId="77777777" w:rsidR="00E2284F" w:rsidRDefault="00E2284F" w:rsidP="00CD4F3A">
            <w:pPr>
              <w:pStyle w:val="BodyText"/>
              <w:spacing w:line="240" w:lineRule="auto"/>
              <w:jc w:val="center"/>
              <w:rPr>
                <w:lang w:val="en-US"/>
              </w:rPr>
            </w:pPr>
            <w:r w:rsidRPr="00057C0D">
              <w:rPr>
                <w:noProof/>
              </w:rPr>
              <w:drawing>
                <wp:inline distT="0" distB="0" distL="0" distR="0" wp14:anchorId="2BB15A6B" wp14:editId="4BFE7245">
                  <wp:extent cx="2563404" cy="1917865"/>
                  <wp:effectExtent l="0" t="0" r="8890" b="6350"/>
                  <wp:docPr id="167363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30609" name=""/>
                          <pic:cNvPicPr/>
                        </pic:nvPicPr>
                        <pic:blipFill>
                          <a:blip r:embed="rId71"/>
                          <a:stretch>
                            <a:fillRect/>
                          </a:stretch>
                        </pic:blipFill>
                        <pic:spPr>
                          <a:xfrm>
                            <a:off x="0" y="0"/>
                            <a:ext cx="2619354" cy="1959725"/>
                          </a:xfrm>
                          <a:prstGeom prst="rect">
                            <a:avLst/>
                          </a:prstGeom>
                        </pic:spPr>
                      </pic:pic>
                    </a:graphicData>
                  </a:graphic>
                </wp:inline>
              </w:drawing>
            </w:r>
          </w:p>
        </w:tc>
        <w:tc>
          <w:tcPr>
            <w:tcW w:w="4776" w:type="dxa"/>
          </w:tcPr>
          <w:p w14:paraId="30714478" w14:textId="77777777" w:rsidR="00E2284F" w:rsidRDefault="00E2284F" w:rsidP="00CD4F3A">
            <w:pPr>
              <w:pStyle w:val="BodyText"/>
              <w:spacing w:line="240" w:lineRule="auto"/>
              <w:jc w:val="center"/>
              <w:rPr>
                <w:lang w:val="en-US"/>
              </w:rPr>
            </w:pPr>
            <w:r w:rsidRPr="00ED5FBC">
              <w:rPr>
                <w:noProof/>
              </w:rPr>
              <w:drawing>
                <wp:inline distT="0" distB="0" distL="0" distR="0" wp14:anchorId="1CF314B2" wp14:editId="33AFC0E4">
                  <wp:extent cx="2329732" cy="1868743"/>
                  <wp:effectExtent l="0" t="0" r="0" b="0"/>
                  <wp:docPr id="59499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98019" name=""/>
                          <pic:cNvPicPr/>
                        </pic:nvPicPr>
                        <pic:blipFill>
                          <a:blip r:embed="rId72"/>
                          <a:stretch>
                            <a:fillRect/>
                          </a:stretch>
                        </pic:blipFill>
                        <pic:spPr>
                          <a:xfrm>
                            <a:off x="0" y="0"/>
                            <a:ext cx="2382942" cy="1911424"/>
                          </a:xfrm>
                          <a:prstGeom prst="rect">
                            <a:avLst/>
                          </a:prstGeom>
                        </pic:spPr>
                      </pic:pic>
                    </a:graphicData>
                  </a:graphic>
                </wp:inline>
              </w:drawing>
            </w:r>
          </w:p>
        </w:tc>
      </w:tr>
      <w:tr w:rsidR="00E2284F" w14:paraId="49B944D5" w14:textId="77777777" w:rsidTr="00445AA8">
        <w:trPr>
          <w:trHeight w:val="273"/>
        </w:trPr>
        <w:tc>
          <w:tcPr>
            <w:tcW w:w="4776" w:type="dxa"/>
          </w:tcPr>
          <w:p w14:paraId="6B67CC22" w14:textId="77777777" w:rsidR="00E2284F" w:rsidRPr="00C15A74" w:rsidRDefault="00E2284F" w:rsidP="00CD4F3A">
            <w:pPr>
              <w:pStyle w:val="BodyText"/>
              <w:spacing w:line="240" w:lineRule="auto"/>
              <w:jc w:val="center"/>
              <w:rPr>
                <w:rFonts w:ascii="Times New Roman" w:hAnsi="Times New Roman"/>
                <w:noProof/>
                <w:sz w:val="22"/>
                <w:szCs w:val="18"/>
              </w:rPr>
            </w:pPr>
            <w:r w:rsidRPr="00C15A74">
              <w:rPr>
                <w:rFonts w:ascii="Times New Roman" w:hAnsi="Times New Roman"/>
                <w:noProof/>
                <w:sz w:val="22"/>
                <w:szCs w:val="18"/>
              </w:rPr>
              <w:t>(a)</w:t>
            </w:r>
          </w:p>
        </w:tc>
        <w:tc>
          <w:tcPr>
            <w:tcW w:w="4776" w:type="dxa"/>
          </w:tcPr>
          <w:p w14:paraId="080F3036" w14:textId="77777777" w:rsidR="00E2284F" w:rsidRPr="00C15A74" w:rsidRDefault="00E2284F" w:rsidP="00CD4F3A">
            <w:pPr>
              <w:pStyle w:val="BodyText"/>
              <w:spacing w:line="240" w:lineRule="auto"/>
              <w:jc w:val="center"/>
              <w:rPr>
                <w:rFonts w:ascii="Times New Roman" w:hAnsi="Times New Roman"/>
                <w:noProof/>
                <w:sz w:val="22"/>
                <w:szCs w:val="18"/>
              </w:rPr>
            </w:pPr>
            <w:r w:rsidRPr="00C15A74">
              <w:rPr>
                <w:rFonts w:ascii="Times New Roman" w:hAnsi="Times New Roman"/>
                <w:noProof/>
                <w:sz w:val="22"/>
                <w:szCs w:val="18"/>
              </w:rPr>
              <w:t>(b)</w:t>
            </w:r>
          </w:p>
        </w:tc>
      </w:tr>
      <w:tr w:rsidR="00E2284F" w14:paraId="7E7EDD6D" w14:textId="77777777" w:rsidTr="00445AA8">
        <w:trPr>
          <w:trHeight w:val="3136"/>
        </w:trPr>
        <w:tc>
          <w:tcPr>
            <w:tcW w:w="4776" w:type="dxa"/>
          </w:tcPr>
          <w:p w14:paraId="63928894" w14:textId="77777777" w:rsidR="00E2284F" w:rsidRDefault="00E2284F" w:rsidP="00CD4F3A">
            <w:pPr>
              <w:pStyle w:val="BodyText"/>
              <w:spacing w:line="240" w:lineRule="auto"/>
              <w:jc w:val="center"/>
              <w:rPr>
                <w:lang w:val="en-US"/>
              </w:rPr>
            </w:pPr>
            <w:r w:rsidRPr="00BB4F5F">
              <w:rPr>
                <w:noProof/>
              </w:rPr>
              <w:lastRenderedPageBreak/>
              <w:drawing>
                <wp:inline distT="0" distB="0" distL="0" distR="0" wp14:anchorId="6EB479EF" wp14:editId="65834B29">
                  <wp:extent cx="2464904" cy="1901247"/>
                  <wp:effectExtent l="0" t="0" r="0" b="3810"/>
                  <wp:docPr id="198382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2741" name=""/>
                          <pic:cNvPicPr/>
                        </pic:nvPicPr>
                        <pic:blipFill>
                          <a:blip r:embed="rId73"/>
                          <a:stretch>
                            <a:fillRect/>
                          </a:stretch>
                        </pic:blipFill>
                        <pic:spPr>
                          <a:xfrm>
                            <a:off x="0" y="0"/>
                            <a:ext cx="2517020" cy="1941445"/>
                          </a:xfrm>
                          <a:prstGeom prst="rect">
                            <a:avLst/>
                          </a:prstGeom>
                        </pic:spPr>
                      </pic:pic>
                    </a:graphicData>
                  </a:graphic>
                </wp:inline>
              </w:drawing>
            </w:r>
          </w:p>
        </w:tc>
        <w:tc>
          <w:tcPr>
            <w:tcW w:w="4776" w:type="dxa"/>
          </w:tcPr>
          <w:p w14:paraId="078E7082" w14:textId="77777777" w:rsidR="00E2284F" w:rsidRDefault="00E2284F" w:rsidP="00CD4F3A">
            <w:pPr>
              <w:pStyle w:val="BodyText"/>
              <w:spacing w:line="240" w:lineRule="auto"/>
              <w:jc w:val="center"/>
              <w:rPr>
                <w:lang w:val="en-US"/>
              </w:rPr>
            </w:pPr>
            <w:r w:rsidRPr="00892034">
              <w:rPr>
                <w:noProof/>
              </w:rPr>
              <w:drawing>
                <wp:inline distT="0" distB="0" distL="0" distR="0" wp14:anchorId="2AFA4ABD" wp14:editId="7E9BB926">
                  <wp:extent cx="2783062" cy="1869762"/>
                  <wp:effectExtent l="0" t="0" r="0" b="0"/>
                  <wp:docPr id="705977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77324" name=""/>
                          <pic:cNvPicPr/>
                        </pic:nvPicPr>
                        <pic:blipFill>
                          <a:blip r:embed="rId74"/>
                          <a:stretch>
                            <a:fillRect/>
                          </a:stretch>
                        </pic:blipFill>
                        <pic:spPr>
                          <a:xfrm>
                            <a:off x="0" y="0"/>
                            <a:ext cx="2815258" cy="1891392"/>
                          </a:xfrm>
                          <a:prstGeom prst="rect">
                            <a:avLst/>
                          </a:prstGeom>
                        </pic:spPr>
                      </pic:pic>
                    </a:graphicData>
                  </a:graphic>
                </wp:inline>
              </w:drawing>
            </w:r>
          </w:p>
        </w:tc>
      </w:tr>
      <w:tr w:rsidR="00E2284F" w14:paraId="32F1C18A" w14:textId="77777777" w:rsidTr="00445AA8">
        <w:trPr>
          <w:trHeight w:val="472"/>
        </w:trPr>
        <w:tc>
          <w:tcPr>
            <w:tcW w:w="4776" w:type="dxa"/>
          </w:tcPr>
          <w:p w14:paraId="64019342" w14:textId="77777777" w:rsidR="00E2284F" w:rsidRPr="00C15A74" w:rsidRDefault="00E2284F" w:rsidP="00CD4F3A">
            <w:pPr>
              <w:pStyle w:val="BodyText"/>
              <w:spacing w:line="240" w:lineRule="auto"/>
              <w:jc w:val="center"/>
              <w:rPr>
                <w:rFonts w:ascii="Times New Roman" w:hAnsi="Times New Roman"/>
                <w:noProof/>
                <w:sz w:val="22"/>
                <w:szCs w:val="18"/>
              </w:rPr>
            </w:pPr>
            <w:r w:rsidRPr="00C15A74">
              <w:rPr>
                <w:rFonts w:ascii="Times New Roman" w:hAnsi="Times New Roman"/>
                <w:noProof/>
                <w:sz w:val="22"/>
                <w:szCs w:val="18"/>
              </w:rPr>
              <w:t>(c)</w:t>
            </w:r>
          </w:p>
        </w:tc>
        <w:tc>
          <w:tcPr>
            <w:tcW w:w="4776" w:type="dxa"/>
          </w:tcPr>
          <w:p w14:paraId="2B7B4423" w14:textId="77777777" w:rsidR="00E2284F" w:rsidRPr="00C15A74" w:rsidRDefault="00E2284F" w:rsidP="00CD4F3A">
            <w:pPr>
              <w:pStyle w:val="BodyText"/>
              <w:spacing w:line="240" w:lineRule="auto"/>
              <w:jc w:val="center"/>
              <w:rPr>
                <w:rFonts w:ascii="Times New Roman" w:hAnsi="Times New Roman"/>
                <w:noProof/>
                <w:sz w:val="22"/>
                <w:szCs w:val="18"/>
              </w:rPr>
            </w:pPr>
            <w:r w:rsidRPr="00C15A74">
              <w:rPr>
                <w:rFonts w:ascii="Times New Roman" w:hAnsi="Times New Roman"/>
                <w:noProof/>
                <w:sz w:val="22"/>
                <w:szCs w:val="18"/>
              </w:rPr>
              <w:t>(d)</w:t>
            </w:r>
          </w:p>
        </w:tc>
      </w:tr>
    </w:tbl>
    <w:p w14:paraId="295B8A73" w14:textId="7C6E090C" w:rsidR="00445AA8" w:rsidRPr="00445AA8" w:rsidRDefault="00E2284F" w:rsidP="004077BB">
      <w:pPr>
        <w:pStyle w:val="Caption"/>
        <w:spacing w:line="240" w:lineRule="auto"/>
      </w:pPr>
      <w:bookmarkStart w:id="127" w:name="_Ref228136588"/>
      <w:bookmarkStart w:id="128" w:name="_Toc229777586"/>
      <w:bookmarkStart w:id="129" w:name="_Toc233735033"/>
      <w:r w:rsidRPr="00E27D3B">
        <w:t xml:space="preserve">Figure </w:t>
      </w:r>
      <w:fldSimple w:instr=" SEQ Figure \* ARABIC ">
        <w:r w:rsidR="00A85006">
          <w:rPr>
            <w:noProof/>
          </w:rPr>
          <w:t>27</w:t>
        </w:r>
      </w:fldSimple>
      <w:bookmarkEnd w:id="127"/>
      <w:r w:rsidRPr="00E27D3B">
        <w:t xml:space="preserve">: </w:t>
      </w:r>
      <w:r w:rsidRPr="00E933F8">
        <w:t>A comparative study between ANN, SVM, and GPR-based DDTD models with: (a) 100 % (b) 50 % (c) 25 % and, (d) 5 % of dataset.</w:t>
      </w:r>
      <w:bookmarkEnd w:id="128"/>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2284F" w14:paraId="07DD493C" w14:textId="77777777" w:rsidTr="000177F1">
        <w:tc>
          <w:tcPr>
            <w:tcW w:w="9628" w:type="dxa"/>
          </w:tcPr>
          <w:p w14:paraId="662A8280" w14:textId="77777777" w:rsidR="00E2284F" w:rsidRDefault="00E2284F" w:rsidP="00CD4F3A">
            <w:pPr>
              <w:pStyle w:val="BodyText"/>
              <w:spacing w:line="240" w:lineRule="auto"/>
              <w:jc w:val="center"/>
              <w:rPr>
                <w:lang w:val="en-US"/>
              </w:rPr>
            </w:pPr>
            <w:r>
              <w:rPr>
                <w:noProof/>
                <w14:ligatures w14:val="standardContextual"/>
              </w:rPr>
              <w:drawing>
                <wp:inline distT="0" distB="0" distL="0" distR="0" wp14:anchorId="5213BE0F" wp14:editId="39C7F6B0">
                  <wp:extent cx="5168265" cy="2218414"/>
                  <wp:effectExtent l="0" t="0" r="13335" b="10795"/>
                  <wp:docPr id="382312391" name="Chart 1">
                    <a:extLst xmlns:a="http://schemas.openxmlformats.org/drawingml/2006/main">
                      <a:ext uri="{FF2B5EF4-FFF2-40B4-BE49-F238E27FC236}">
                        <a16:creationId xmlns:a16="http://schemas.microsoft.com/office/drawing/2014/main" id="{A9B0EA85-12AE-041F-28B0-3BABE969E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E2284F" w14:paraId="2FBEEC20" w14:textId="77777777" w:rsidTr="000177F1">
        <w:tc>
          <w:tcPr>
            <w:tcW w:w="9628" w:type="dxa"/>
          </w:tcPr>
          <w:p w14:paraId="4F4F4961" w14:textId="77777777" w:rsidR="00E2284F" w:rsidRDefault="00E2284F" w:rsidP="00CD4F3A">
            <w:pPr>
              <w:pStyle w:val="BodyText"/>
              <w:spacing w:line="240" w:lineRule="auto"/>
              <w:jc w:val="center"/>
              <w:rPr>
                <w:noProof/>
                <w14:ligatures w14:val="standardContextual"/>
              </w:rPr>
            </w:pPr>
            <w:r>
              <w:rPr>
                <w:noProof/>
                <w14:ligatures w14:val="standardContextual"/>
              </w:rPr>
              <w:t>(a)</w:t>
            </w:r>
          </w:p>
        </w:tc>
      </w:tr>
      <w:tr w:rsidR="00E2284F" w14:paraId="11D5DEAD" w14:textId="77777777" w:rsidTr="000177F1">
        <w:tc>
          <w:tcPr>
            <w:tcW w:w="9628" w:type="dxa"/>
          </w:tcPr>
          <w:p w14:paraId="4A7551F4" w14:textId="77777777" w:rsidR="00E2284F" w:rsidRDefault="00E2284F" w:rsidP="00CD4F3A">
            <w:pPr>
              <w:pStyle w:val="BodyText"/>
              <w:spacing w:line="240" w:lineRule="auto"/>
              <w:jc w:val="center"/>
              <w:rPr>
                <w:noProof/>
                <w14:ligatures w14:val="standardContextual"/>
              </w:rPr>
            </w:pPr>
            <w:r>
              <w:rPr>
                <w:noProof/>
                <w14:ligatures w14:val="standardContextual"/>
              </w:rPr>
              <w:drawing>
                <wp:inline distT="0" distB="0" distL="0" distR="0" wp14:anchorId="772C67BA" wp14:editId="474F97ED">
                  <wp:extent cx="5278642" cy="1993900"/>
                  <wp:effectExtent l="0" t="0" r="17780" b="6350"/>
                  <wp:docPr id="329336723" name="Chart 1">
                    <a:extLst xmlns:a="http://schemas.openxmlformats.org/drawingml/2006/main">
                      <a:ext uri="{FF2B5EF4-FFF2-40B4-BE49-F238E27FC236}">
                        <a16:creationId xmlns:a16="http://schemas.microsoft.com/office/drawing/2014/main" id="{8944CD19-33C8-EA8B-A1C1-1FEE748321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r w:rsidR="00E2284F" w14:paraId="3CFD40F4" w14:textId="77777777" w:rsidTr="000177F1">
        <w:tc>
          <w:tcPr>
            <w:tcW w:w="9628" w:type="dxa"/>
          </w:tcPr>
          <w:p w14:paraId="54CC4EF0" w14:textId="77777777" w:rsidR="00E2284F" w:rsidRDefault="00E2284F" w:rsidP="00CD4F3A">
            <w:pPr>
              <w:pStyle w:val="BodyText"/>
              <w:spacing w:line="240" w:lineRule="auto"/>
              <w:jc w:val="center"/>
              <w:rPr>
                <w:noProof/>
                <w14:ligatures w14:val="standardContextual"/>
              </w:rPr>
            </w:pPr>
            <w:r>
              <w:rPr>
                <w:noProof/>
                <w14:ligatures w14:val="standardContextual"/>
              </w:rPr>
              <w:t>(b)</w:t>
            </w:r>
          </w:p>
        </w:tc>
      </w:tr>
      <w:tr w:rsidR="00E2284F" w14:paraId="6ACC7A89" w14:textId="77777777" w:rsidTr="000177F1">
        <w:tc>
          <w:tcPr>
            <w:tcW w:w="9628" w:type="dxa"/>
          </w:tcPr>
          <w:p w14:paraId="5AB19C77" w14:textId="77777777" w:rsidR="00E2284F" w:rsidRDefault="00E2284F" w:rsidP="00CD4F3A">
            <w:pPr>
              <w:pStyle w:val="BodyText"/>
              <w:spacing w:line="240" w:lineRule="auto"/>
              <w:jc w:val="center"/>
              <w:rPr>
                <w:noProof/>
                <w14:ligatures w14:val="standardContextual"/>
              </w:rPr>
            </w:pPr>
            <w:r>
              <w:rPr>
                <w:noProof/>
                <w14:ligatures w14:val="standardContextual"/>
              </w:rPr>
              <w:lastRenderedPageBreak/>
              <w:drawing>
                <wp:inline distT="0" distB="0" distL="0" distR="0" wp14:anchorId="3E5B705D" wp14:editId="6A800AB8">
                  <wp:extent cx="5156200" cy="2160325"/>
                  <wp:effectExtent l="0" t="0" r="6350" b="11430"/>
                  <wp:docPr id="2133358684" name="Chart 1">
                    <a:extLst xmlns:a="http://schemas.openxmlformats.org/drawingml/2006/main">
                      <a:ext uri="{FF2B5EF4-FFF2-40B4-BE49-F238E27FC236}">
                        <a16:creationId xmlns:a16="http://schemas.microsoft.com/office/drawing/2014/main" id="{2ABA9CCB-DF12-DD0E-3B40-22CFA4CD4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E2284F" w14:paraId="4778123C" w14:textId="77777777" w:rsidTr="000177F1">
        <w:tc>
          <w:tcPr>
            <w:tcW w:w="9628" w:type="dxa"/>
          </w:tcPr>
          <w:p w14:paraId="4185DCE5" w14:textId="77777777" w:rsidR="00E2284F" w:rsidRDefault="00E2284F" w:rsidP="00CD4F3A">
            <w:pPr>
              <w:pStyle w:val="BodyText"/>
              <w:spacing w:line="240" w:lineRule="auto"/>
              <w:jc w:val="center"/>
              <w:rPr>
                <w:noProof/>
                <w14:ligatures w14:val="standardContextual"/>
              </w:rPr>
            </w:pPr>
            <w:r>
              <w:rPr>
                <w:noProof/>
                <w14:ligatures w14:val="standardContextual"/>
              </w:rPr>
              <w:t>(c)</w:t>
            </w:r>
          </w:p>
        </w:tc>
      </w:tr>
    </w:tbl>
    <w:p w14:paraId="4E526D66" w14:textId="6312CDA8" w:rsidR="00E2284F" w:rsidRPr="004077BB" w:rsidRDefault="00E2284F" w:rsidP="004077BB">
      <w:pPr>
        <w:pStyle w:val="Caption"/>
        <w:spacing w:line="240" w:lineRule="auto"/>
      </w:pPr>
      <w:bookmarkStart w:id="130" w:name="_Ref228138370"/>
      <w:bookmarkStart w:id="131" w:name="_Toc229777587"/>
      <w:bookmarkStart w:id="132" w:name="_Toc233735034"/>
      <w:r w:rsidRPr="00E27D3B">
        <w:t xml:space="preserve">Figure </w:t>
      </w:r>
      <w:fldSimple w:instr=" SEQ Figure \* ARABIC ">
        <w:r w:rsidR="00A85006">
          <w:rPr>
            <w:noProof/>
          </w:rPr>
          <w:t>28</w:t>
        </w:r>
      </w:fldSimple>
      <w:bookmarkEnd w:id="130"/>
      <w:r w:rsidRPr="00E27D3B">
        <w:t xml:space="preserve">: </w:t>
      </w:r>
      <w:r>
        <w:t>P</w:t>
      </w:r>
      <w:r w:rsidRPr="00CD698D">
        <w:t>ercentage of error in eigenvalue prediction with 100 % data in the training process for</w:t>
      </w:r>
      <w:r>
        <w:t xml:space="preserve">: (a) </w:t>
      </w:r>
      <w:r w:rsidRPr="00CD698D">
        <w:t xml:space="preserve">ANN, </w:t>
      </w:r>
      <w:r>
        <w:t xml:space="preserve">(b) </w:t>
      </w:r>
      <w:r w:rsidRPr="00CD698D">
        <w:t xml:space="preserve">SVM, and </w:t>
      </w:r>
      <w:r>
        <w:t xml:space="preserve">(c) </w:t>
      </w:r>
      <w:r w:rsidRPr="00CD698D">
        <w:t>GPR-based DDTD models</w:t>
      </w:r>
      <w:r>
        <w:t>.</w:t>
      </w:r>
      <w:bookmarkEnd w:id="131"/>
      <w:bookmarkEnd w:id="132"/>
    </w:p>
    <w:p w14:paraId="4B3BBE24" w14:textId="2124D69C" w:rsidR="00E2284F" w:rsidRPr="002C7A17" w:rsidRDefault="00E2284F" w:rsidP="00F12E16">
      <w:pPr>
        <w:pStyle w:val="Heading3"/>
        <w:numPr>
          <w:ilvl w:val="2"/>
          <w:numId w:val="76"/>
        </w:numPr>
        <w:rPr>
          <w:lang w:val="en-US"/>
        </w:rPr>
      </w:pPr>
      <w:r w:rsidRPr="002C7A17">
        <w:rPr>
          <w:lang w:val="en-US"/>
        </w:rPr>
        <w:t xml:space="preserve">Effect of </w:t>
      </w:r>
      <w:r w:rsidR="009330B0">
        <w:rPr>
          <w:lang w:val="en-US"/>
        </w:rPr>
        <w:t>N</w:t>
      </w:r>
      <w:r w:rsidRPr="002C7A17">
        <w:rPr>
          <w:lang w:val="en-US"/>
        </w:rPr>
        <w:t xml:space="preserve">oise </w:t>
      </w:r>
      <w:r w:rsidR="009330B0">
        <w:rPr>
          <w:lang w:val="en-US"/>
        </w:rPr>
        <w:t>M</w:t>
      </w:r>
      <w:r w:rsidRPr="002C7A17">
        <w:rPr>
          <w:lang w:val="en-US"/>
        </w:rPr>
        <w:t xml:space="preserve">easurement on the </w:t>
      </w:r>
      <w:r w:rsidR="009330B0">
        <w:rPr>
          <w:lang w:val="en-US"/>
        </w:rPr>
        <w:t>P</w:t>
      </w:r>
      <w:r w:rsidRPr="002C7A17">
        <w:rPr>
          <w:lang w:val="en-US"/>
        </w:rPr>
        <w:t>erformance of GPR</w:t>
      </w:r>
    </w:p>
    <w:p w14:paraId="4DFA4DFC" w14:textId="1D49EC00" w:rsidR="00E2284F" w:rsidRDefault="00E2284F" w:rsidP="004077BB">
      <w:pPr>
        <w:pStyle w:val="BodyText"/>
        <w:spacing w:after="0"/>
        <w:rPr>
          <w:lang w:val="en-US"/>
        </w:rPr>
      </w:pPr>
      <w:r>
        <w:rPr>
          <w:lang w:val="en-US"/>
        </w:rPr>
        <w:t xml:space="preserve">In this section, the performance of GPR-based DDTD model has been analysed considering different noise levels to the inputs of the models such as voltage magnitude and phase angle at POC. </w:t>
      </w:r>
      <w:r>
        <w:rPr>
          <w:lang w:val="en-US"/>
        </w:rPr>
        <w:fldChar w:fldCharType="begin"/>
      </w:r>
      <w:r>
        <w:rPr>
          <w:lang w:val="en-US"/>
        </w:rPr>
        <w:instrText xml:space="preserve"> REF _Ref227091077 \h </w:instrText>
      </w:r>
      <w:r w:rsidR="00CD4F3A">
        <w:rPr>
          <w:lang w:val="en-US"/>
        </w:rPr>
        <w:instrText xml:space="preserve"> \* MERGEFORMAT </w:instrText>
      </w:r>
      <w:r>
        <w:rPr>
          <w:lang w:val="en-US"/>
        </w:rPr>
      </w:r>
      <w:r>
        <w:rPr>
          <w:lang w:val="en-US"/>
        </w:rPr>
        <w:fldChar w:fldCharType="separate"/>
      </w:r>
      <w:r w:rsidR="00753DAF" w:rsidRPr="00E27D3B">
        <w:t xml:space="preserve">Figure </w:t>
      </w:r>
      <w:r w:rsidR="00753DAF">
        <w:rPr>
          <w:noProof/>
        </w:rPr>
        <w:t>29</w:t>
      </w:r>
      <w:r>
        <w:rPr>
          <w:lang w:val="en-US"/>
        </w:rPr>
        <w:fldChar w:fldCharType="end"/>
      </w:r>
      <w:r>
        <w:rPr>
          <w:lang w:val="en-US"/>
        </w:rPr>
        <w:t xml:space="preserve"> shows the effects of measurement noise in the input signals on the time-domain prediction of the GPR-based DDTD model. It is found that, as the level of noise increases, the prediction accuracy slightly decreases. However, proper modelling and optimization of the hyperparameters of the GPR-based model can be considered to reduce the effect of noise on the prediction accuracy of the model.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2284F" w14:paraId="42AB14BA" w14:textId="77777777" w:rsidTr="000177F1">
        <w:tc>
          <w:tcPr>
            <w:tcW w:w="4508" w:type="dxa"/>
          </w:tcPr>
          <w:p w14:paraId="168E8D66" w14:textId="77777777" w:rsidR="00E2284F" w:rsidRDefault="00E2284F" w:rsidP="00CD4F3A">
            <w:pPr>
              <w:jc w:val="center"/>
            </w:pPr>
            <w:r w:rsidRPr="00835BD9">
              <w:rPr>
                <w:noProof/>
              </w:rPr>
              <w:drawing>
                <wp:inline distT="0" distB="0" distL="0" distR="0" wp14:anchorId="72B85D3F" wp14:editId="25DE2B8E">
                  <wp:extent cx="2328877" cy="1831159"/>
                  <wp:effectExtent l="0" t="0" r="0" b="0"/>
                  <wp:docPr id="343596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96529" name=""/>
                          <pic:cNvPicPr/>
                        </pic:nvPicPr>
                        <pic:blipFill>
                          <a:blip r:embed="rId78"/>
                          <a:stretch>
                            <a:fillRect/>
                          </a:stretch>
                        </pic:blipFill>
                        <pic:spPr>
                          <a:xfrm>
                            <a:off x="0" y="0"/>
                            <a:ext cx="2344840" cy="1843710"/>
                          </a:xfrm>
                          <a:prstGeom prst="rect">
                            <a:avLst/>
                          </a:prstGeom>
                        </pic:spPr>
                      </pic:pic>
                    </a:graphicData>
                  </a:graphic>
                </wp:inline>
              </w:drawing>
            </w:r>
          </w:p>
        </w:tc>
        <w:tc>
          <w:tcPr>
            <w:tcW w:w="4508" w:type="dxa"/>
          </w:tcPr>
          <w:p w14:paraId="75D33527" w14:textId="77777777" w:rsidR="00E2284F" w:rsidRDefault="00E2284F" w:rsidP="00CD4F3A">
            <w:pPr>
              <w:jc w:val="center"/>
            </w:pPr>
            <w:r w:rsidRPr="00C62978">
              <w:rPr>
                <w:noProof/>
              </w:rPr>
              <w:drawing>
                <wp:inline distT="0" distB="0" distL="0" distR="0" wp14:anchorId="5739AF31" wp14:editId="5B02C503">
                  <wp:extent cx="2197466" cy="1667697"/>
                  <wp:effectExtent l="0" t="0" r="0" b="8890"/>
                  <wp:docPr id="1556297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97436" name=""/>
                          <pic:cNvPicPr/>
                        </pic:nvPicPr>
                        <pic:blipFill>
                          <a:blip r:embed="rId79"/>
                          <a:stretch>
                            <a:fillRect/>
                          </a:stretch>
                        </pic:blipFill>
                        <pic:spPr>
                          <a:xfrm>
                            <a:off x="0" y="0"/>
                            <a:ext cx="2233613" cy="1695130"/>
                          </a:xfrm>
                          <a:prstGeom prst="rect">
                            <a:avLst/>
                          </a:prstGeom>
                        </pic:spPr>
                      </pic:pic>
                    </a:graphicData>
                  </a:graphic>
                </wp:inline>
              </w:drawing>
            </w:r>
          </w:p>
        </w:tc>
      </w:tr>
      <w:tr w:rsidR="00E2284F" w14:paraId="4E6EEFC6" w14:textId="77777777" w:rsidTr="000177F1">
        <w:tc>
          <w:tcPr>
            <w:tcW w:w="4508" w:type="dxa"/>
          </w:tcPr>
          <w:p w14:paraId="3846EB47" w14:textId="77777777" w:rsidR="00E2284F" w:rsidRPr="00631647" w:rsidRDefault="00E2284F" w:rsidP="00CD4F3A">
            <w:pPr>
              <w:jc w:val="center"/>
              <w:rPr>
                <w:rFonts w:ascii="Times New Roman" w:hAnsi="Times New Roman"/>
              </w:rPr>
            </w:pPr>
            <w:r w:rsidRPr="00631647">
              <w:rPr>
                <w:rFonts w:ascii="Times New Roman" w:hAnsi="Times New Roman"/>
              </w:rPr>
              <w:t>(a)</w:t>
            </w:r>
          </w:p>
        </w:tc>
        <w:tc>
          <w:tcPr>
            <w:tcW w:w="4508" w:type="dxa"/>
          </w:tcPr>
          <w:p w14:paraId="13BCD61E" w14:textId="77777777" w:rsidR="00E2284F" w:rsidRPr="00631647" w:rsidRDefault="00E2284F" w:rsidP="00CD4F3A">
            <w:pPr>
              <w:jc w:val="center"/>
              <w:rPr>
                <w:rFonts w:ascii="Times New Roman" w:hAnsi="Times New Roman"/>
              </w:rPr>
            </w:pPr>
            <w:r w:rsidRPr="00631647">
              <w:rPr>
                <w:rFonts w:ascii="Times New Roman" w:hAnsi="Times New Roman"/>
              </w:rPr>
              <w:t>(b)</w:t>
            </w:r>
          </w:p>
        </w:tc>
      </w:tr>
      <w:tr w:rsidR="00E2284F" w14:paraId="0EE06BDB" w14:textId="77777777" w:rsidTr="000177F1">
        <w:tc>
          <w:tcPr>
            <w:tcW w:w="4508" w:type="dxa"/>
          </w:tcPr>
          <w:p w14:paraId="10F16596" w14:textId="77777777" w:rsidR="00E2284F" w:rsidRDefault="00E2284F" w:rsidP="00CD4F3A">
            <w:pPr>
              <w:jc w:val="center"/>
            </w:pPr>
            <w:r w:rsidRPr="00494782">
              <w:rPr>
                <w:noProof/>
              </w:rPr>
              <w:lastRenderedPageBreak/>
              <w:drawing>
                <wp:inline distT="0" distB="0" distL="0" distR="0" wp14:anchorId="144CF89B" wp14:editId="67EA1717">
                  <wp:extent cx="2341499" cy="1887261"/>
                  <wp:effectExtent l="0" t="0" r="1905" b="0"/>
                  <wp:docPr id="807167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67230" name=""/>
                          <pic:cNvPicPr/>
                        </pic:nvPicPr>
                        <pic:blipFill>
                          <a:blip r:embed="rId80"/>
                          <a:stretch>
                            <a:fillRect/>
                          </a:stretch>
                        </pic:blipFill>
                        <pic:spPr>
                          <a:xfrm>
                            <a:off x="0" y="0"/>
                            <a:ext cx="2372700" cy="1912409"/>
                          </a:xfrm>
                          <a:prstGeom prst="rect">
                            <a:avLst/>
                          </a:prstGeom>
                        </pic:spPr>
                      </pic:pic>
                    </a:graphicData>
                  </a:graphic>
                </wp:inline>
              </w:drawing>
            </w:r>
          </w:p>
        </w:tc>
        <w:tc>
          <w:tcPr>
            <w:tcW w:w="4508" w:type="dxa"/>
          </w:tcPr>
          <w:p w14:paraId="17D2D920" w14:textId="77777777" w:rsidR="00E2284F" w:rsidRDefault="00E2284F" w:rsidP="00CD4F3A">
            <w:pPr>
              <w:jc w:val="center"/>
            </w:pPr>
            <w:r w:rsidRPr="00631647">
              <w:rPr>
                <w:noProof/>
              </w:rPr>
              <w:drawing>
                <wp:inline distT="0" distB="0" distL="0" distR="0" wp14:anchorId="1A84C3D2" wp14:editId="7259096E">
                  <wp:extent cx="2225860" cy="1781230"/>
                  <wp:effectExtent l="0" t="0" r="3175" b="0"/>
                  <wp:docPr id="881374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74349" name=""/>
                          <pic:cNvPicPr/>
                        </pic:nvPicPr>
                        <pic:blipFill>
                          <a:blip r:embed="rId81"/>
                          <a:stretch>
                            <a:fillRect/>
                          </a:stretch>
                        </pic:blipFill>
                        <pic:spPr>
                          <a:xfrm>
                            <a:off x="0" y="0"/>
                            <a:ext cx="2252777" cy="1802770"/>
                          </a:xfrm>
                          <a:prstGeom prst="rect">
                            <a:avLst/>
                          </a:prstGeom>
                        </pic:spPr>
                      </pic:pic>
                    </a:graphicData>
                  </a:graphic>
                </wp:inline>
              </w:drawing>
            </w:r>
          </w:p>
        </w:tc>
      </w:tr>
      <w:tr w:rsidR="00E2284F" w14:paraId="01308064" w14:textId="77777777" w:rsidTr="000177F1">
        <w:tc>
          <w:tcPr>
            <w:tcW w:w="4508" w:type="dxa"/>
          </w:tcPr>
          <w:p w14:paraId="5296721F" w14:textId="77777777" w:rsidR="00E2284F" w:rsidRPr="00631647" w:rsidRDefault="00E2284F" w:rsidP="00CD4F3A">
            <w:pPr>
              <w:jc w:val="center"/>
              <w:rPr>
                <w:rFonts w:ascii="Times New Roman" w:hAnsi="Times New Roman"/>
              </w:rPr>
            </w:pPr>
            <w:r w:rsidRPr="00631647">
              <w:rPr>
                <w:rFonts w:ascii="Times New Roman" w:hAnsi="Times New Roman"/>
              </w:rPr>
              <w:t>(c)</w:t>
            </w:r>
          </w:p>
        </w:tc>
        <w:tc>
          <w:tcPr>
            <w:tcW w:w="4508" w:type="dxa"/>
          </w:tcPr>
          <w:p w14:paraId="70A4E6A0" w14:textId="77777777" w:rsidR="00E2284F" w:rsidRPr="00631647" w:rsidRDefault="00E2284F" w:rsidP="00CD4F3A">
            <w:pPr>
              <w:jc w:val="center"/>
              <w:rPr>
                <w:rFonts w:ascii="Times New Roman" w:hAnsi="Times New Roman"/>
              </w:rPr>
            </w:pPr>
            <w:r w:rsidRPr="00631647">
              <w:rPr>
                <w:rFonts w:ascii="Times New Roman" w:hAnsi="Times New Roman"/>
              </w:rPr>
              <w:t>(d)</w:t>
            </w:r>
          </w:p>
        </w:tc>
      </w:tr>
    </w:tbl>
    <w:p w14:paraId="3CBA1DF9" w14:textId="380027B5" w:rsidR="00E2284F" w:rsidRPr="0021761A" w:rsidRDefault="00E2284F" w:rsidP="00CD4F3A">
      <w:pPr>
        <w:pStyle w:val="Caption"/>
        <w:spacing w:line="240" w:lineRule="auto"/>
      </w:pPr>
      <w:bookmarkStart w:id="133" w:name="_Ref227091077"/>
      <w:bookmarkStart w:id="134" w:name="_Toc229777588"/>
      <w:bookmarkStart w:id="135" w:name="_Toc233735035"/>
      <w:r w:rsidRPr="00E27D3B">
        <w:t xml:space="preserve">Figure </w:t>
      </w:r>
      <w:fldSimple w:instr=" SEQ Figure \* ARABIC ">
        <w:r w:rsidR="00A85006">
          <w:rPr>
            <w:noProof/>
          </w:rPr>
          <w:t>29</w:t>
        </w:r>
      </w:fldSimple>
      <w:bookmarkEnd w:id="133"/>
      <w:r w:rsidRPr="00E27D3B">
        <w:t xml:space="preserve">: </w:t>
      </w:r>
      <w:r w:rsidRPr="00774502">
        <w:t>Performance analysis the proposed GPR-based DDTD model with noise to the inputs: (a) without any noise (b) 1 % and 0.1 % noise to noise to voltage magnitude and phase angle, respectively, (c) with 10 % reduction in the noise and (d) with 200 % increase in noise to the inputs.</w:t>
      </w:r>
      <w:bookmarkEnd w:id="134"/>
      <w:bookmarkEnd w:id="135"/>
    </w:p>
    <w:p w14:paraId="4B1CA24A" w14:textId="3EAE74C7" w:rsidR="00E2284F" w:rsidRPr="00EE6EF0" w:rsidRDefault="00E2284F" w:rsidP="00F12E16">
      <w:pPr>
        <w:pStyle w:val="Heading3"/>
        <w:numPr>
          <w:ilvl w:val="2"/>
          <w:numId w:val="76"/>
        </w:numPr>
        <w:rPr>
          <w:lang w:val="en-US"/>
        </w:rPr>
      </w:pPr>
      <w:r>
        <w:rPr>
          <w:lang w:val="en-US"/>
        </w:rPr>
        <w:t xml:space="preserve">Validation of DDTD </w:t>
      </w:r>
      <w:r w:rsidR="009330B0">
        <w:rPr>
          <w:lang w:val="en-US"/>
        </w:rPr>
        <w:t>M</w:t>
      </w:r>
      <w:r>
        <w:rPr>
          <w:lang w:val="en-US"/>
        </w:rPr>
        <w:t xml:space="preserve">odel in </w:t>
      </w:r>
      <w:r w:rsidR="009330B0">
        <w:rPr>
          <w:lang w:val="en-US"/>
        </w:rPr>
        <w:t>M</w:t>
      </w:r>
      <w:r w:rsidRPr="00EE6EF0">
        <w:rPr>
          <w:lang w:val="en-US"/>
        </w:rPr>
        <w:t xml:space="preserve">odified IEEE 39-bus </w:t>
      </w:r>
      <w:r w:rsidR="009330B0">
        <w:rPr>
          <w:lang w:val="en-US"/>
        </w:rPr>
        <w:t>S</w:t>
      </w:r>
      <w:r w:rsidRPr="00EE6EF0">
        <w:rPr>
          <w:lang w:val="en-US"/>
        </w:rPr>
        <w:t>ystem with VSM-</w:t>
      </w:r>
      <w:r w:rsidR="009330B0">
        <w:rPr>
          <w:lang w:val="en-US"/>
        </w:rPr>
        <w:t>C</w:t>
      </w:r>
      <w:r w:rsidRPr="00EE6EF0">
        <w:rPr>
          <w:lang w:val="en-US"/>
        </w:rPr>
        <w:t>ontrolled GFMI</w:t>
      </w:r>
    </w:p>
    <w:p w14:paraId="7AB85693" w14:textId="58EB6567" w:rsidR="00E2284F" w:rsidRPr="00E27D3B" w:rsidRDefault="00E2284F" w:rsidP="00385BDC">
      <w:pPr>
        <w:pStyle w:val="BodyText"/>
        <w:spacing w:after="0"/>
      </w:pPr>
      <w:r w:rsidRPr="00E27D3B">
        <w:t xml:space="preserve">A load step of -10 % in active and reactive power was considered for all the 19 loads in the system to illustrate the dynamic behaviour of the system following a disturbance.  All the local controller mode of the GFMIs were set to constant </w:t>
      </w:r>
      <w:r w:rsidRPr="00E27D3B">
        <w:rPr>
          <w:i/>
          <w:iCs/>
        </w:rPr>
        <w:t>V</w:t>
      </w:r>
      <w:r w:rsidRPr="00E27D3B">
        <w:t xml:space="preserve">. Therefore, the GFMIs adjusted the reactive power to keep the terminal voltage </w:t>
      </w:r>
      <w:proofErr w:type="gramStart"/>
      <w:r w:rsidRPr="00E27D3B">
        <w:t>steady-state</w:t>
      </w:r>
      <w:proofErr w:type="gramEnd"/>
      <w:r w:rsidRPr="00E27D3B">
        <w:t xml:space="preserve"> as the pre-disturbance condition. The voltage set point were chosen as the same value of the synchronous generators which have been replaced by the corresponding VSM-GFMIs. The number of parallel units were selected to match the actual loading of the synchronous generators at bus 30, 36, and 37 (unmodified IEEE 39-bus testing system). </w:t>
      </w:r>
      <w:r w:rsidRPr="00E27D3B">
        <w:fldChar w:fldCharType="begin"/>
      </w:r>
      <w:r w:rsidRPr="00E27D3B">
        <w:instrText xml:space="preserve"> REF _Ref223644456 \h  \* MERGEFORMAT </w:instrText>
      </w:r>
      <w:r w:rsidRPr="00E27D3B">
        <w:fldChar w:fldCharType="separate"/>
      </w:r>
      <w:r w:rsidR="00753DAF" w:rsidRPr="00E27D3B">
        <w:t xml:space="preserve">Figure </w:t>
      </w:r>
      <w:r w:rsidR="00753DAF">
        <w:rPr>
          <w:noProof/>
        </w:rPr>
        <w:t>30</w:t>
      </w:r>
      <w:r w:rsidRPr="00E27D3B">
        <w:fldChar w:fldCharType="end"/>
      </w:r>
      <w:r w:rsidRPr="00E27D3B">
        <w:t xml:space="preserve"> shows the response plots for V-f, PQ, </w:t>
      </w:r>
      <w:r w:rsidRPr="00E27D3B">
        <w:rPr>
          <w:i/>
          <w:iCs/>
        </w:rPr>
        <w:t>i</w:t>
      </w:r>
      <w:r w:rsidRPr="00E27D3B">
        <w:rPr>
          <w:vertAlign w:val="subscript"/>
        </w:rPr>
        <w:t>d</w:t>
      </w:r>
      <w:r w:rsidRPr="00E27D3B">
        <w:t xml:space="preserve">, </w:t>
      </w:r>
      <w:proofErr w:type="spellStart"/>
      <w:r w:rsidRPr="00E27D3B">
        <w:rPr>
          <w:i/>
          <w:iCs/>
        </w:rPr>
        <w:t>i</w:t>
      </w:r>
      <w:r w:rsidRPr="00E27D3B">
        <w:rPr>
          <w:vertAlign w:val="subscript"/>
        </w:rPr>
        <w:t>q</w:t>
      </w:r>
      <w:proofErr w:type="spellEnd"/>
      <w:r w:rsidRPr="00E27D3B">
        <w:t xml:space="preserve">, and </w:t>
      </w:r>
      <w:proofErr w:type="spellStart"/>
      <w:r w:rsidRPr="00E27D3B">
        <w:rPr>
          <w:i/>
          <w:iCs/>
        </w:rPr>
        <w:t>θ</w:t>
      </w:r>
      <w:r w:rsidRPr="00E27D3B">
        <w:rPr>
          <w:vertAlign w:val="subscript"/>
        </w:rPr>
        <w:t>poc</w:t>
      </w:r>
      <w:proofErr w:type="spellEnd"/>
      <w:r w:rsidRPr="00E27D3B">
        <w:t xml:space="preserve"> for the modified IEEE 39-bus testing system following a total load drop of 10 % at t=40 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9"/>
      </w:tblGrid>
      <w:tr w:rsidR="00E2284F" w:rsidRPr="00E27D3B" w14:paraId="67BAE5CC" w14:textId="77777777" w:rsidTr="000177F1">
        <w:tc>
          <w:tcPr>
            <w:tcW w:w="4799" w:type="dxa"/>
          </w:tcPr>
          <w:p w14:paraId="0CDE4755" w14:textId="77777777" w:rsidR="00E2284F" w:rsidRPr="00E27D3B" w:rsidRDefault="00E2284F" w:rsidP="00CD4F3A">
            <w:pPr>
              <w:pStyle w:val="BodyText"/>
              <w:spacing w:line="240" w:lineRule="auto"/>
            </w:pPr>
            <w:r w:rsidRPr="00E27D3B">
              <w:rPr>
                <w:noProof/>
              </w:rPr>
              <w:drawing>
                <wp:inline distT="0" distB="0" distL="0" distR="0" wp14:anchorId="5CCBBF5D" wp14:editId="0F793D1D">
                  <wp:extent cx="2973023" cy="1926696"/>
                  <wp:effectExtent l="0" t="0" r="0" b="0"/>
                  <wp:docPr id="2041345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45819" name=""/>
                          <pic:cNvPicPr/>
                        </pic:nvPicPr>
                        <pic:blipFill>
                          <a:blip r:embed="rId82"/>
                          <a:stretch>
                            <a:fillRect/>
                          </a:stretch>
                        </pic:blipFill>
                        <pic:spPr>
                          <a:xfrm>
                            <a:off x="0" y="0"/>
                            <a:ext cx="3011376" cy="1951551"/>
                          </a:xfrm>
                          <a:prstGeom prst="rect">
                            <a:avLst/>
                          </a:prstGeom>
                        </pic:spPr>
                      </pic:pic>
                    </a:graphicData>
                  </a:graphic>
                </wp:inline>
              </w:drawing>
            </w:r>
          </w:p>
        </w:tc>
        <w:tc>
          <w:tcPr>
            <w:tcW w:w="4839" w:type="dxa"/>
          </w:tcPr>
          <w:p w14:paraId="46633A28" w14:textId="77777777" w:rsidR="00E2284F" w:rsidRPr="00E27D3B" w:rsidRDefault="00E2284F" w:rsidP="00CD4F3A">
            <w:pPr>
              <w:pStyle w:val="BodyText"/>
              <w:spacing w:line="240" w:lineRule="auto"/>
            </w:pPr>
            <w:r w:rsidRPr="00E27D3B">
              <w:rPr>
                <w:noProof/>
              </w:rPr>
              <w:drawing>
                <wp:inline distT="0" distB="0" distL="0" distR="0" wp14:anchorId="392A2B59" wp14:editId="21CDB672">
                  <wp:extent cx="3036590" cy="1961591"/>
                  <wp:effectExtent l="0" t="0" r="0" b="635"/>
                  <wp:docPr id="410243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43624" name=""/>
                          <pic:cNvPicPr/>
                        </pic:nvPicPr>
                        <pic:blipFill>
                          <a:blip r:embed="rId83"/>
                          <a:stretch>
                            <a:fillRect/>
                          </a:stretch>
                        </pic:blipFill>
                        <pic:spPr>
                          <a:xfrm>
                            <a:off x="0" y="0"/>
                            <a:ext cx="3080953" cy="1990249"/>
                          </a:xfrm>
                          <a:prstGeom prst="rect">
                            <a:avLst/>
                          </a:prstGeom>
                        </pic:spPr>
                      </pic:pic>
                    </a:graphicData>
                  </a:graphic>
                </wp:inline>
              </w:drawing>
            </w:r>
          </w:p>
        </w:tc>
      </w:tr>
      <w:tr w:rsidR="00E2284F" w:rsidRPr="00E27D3B" w14:paraId="3B0BEB16" w14:textId="77777777" w:rsidTr="000177F1">
        <w:tc>
          <w:tcPr>
            <w:tcW w:w="4799" w:type="dxa"/>
          </w:tcPr>
          <w:p w14:paraId="080EB814" w14:textId="77777777" w:rsidR="00E2284F" w:rsidRPr="00E27D3B" w:rsidRDefault="00E2284F" w:rsidP="00CD4F3A">
            <w:pPr>
              <w:pStyle w:val="BodyText"/>
              <w:spacing w:line="240" w:lineRule="auto"/>
              <w:jc w:val="center"/>
            </w:pPr>
            <w:r w:rsidRPr="00E27D3B">
              <w:t>(a)</w:t>
            </w:r>
          </w:p>
        </w:tc>
        <w:tc>
          <w:tcPr>
            <w:tcW w:w="4839" w:type="dxa"/>
          </w:tcPr>
          <w:p w14:paraId="37B87922" w14:textId="77777777" w:rsidR="00E2284F" w:rsidRPr="00E27D3B" w:rsidRDefault="00E2284F" w:rsidP="00CD4F3A">
            <w:pPr>
              <w:pStyle w:val="BodyText"/>
              <w:spacing w:line="240" w:lineRule="auto"/>
              <w:jc w:val="center"/>
            </w:pPr>
            <w:r w:rsidRPr="00E27D3B">
              <w:t>(b)</w:t>
            </w:r>
          </w:p>
        </w:tc>
      </w:tr>
      <w:tr w:rsidR="00E2284F" w:rsidRPr="00E27D3B" w14:paraId="4EEA521A" w14:textId="77777777" w:rsidTr="000177F1">
        <w:tc>
          <w:tcPr>
            <w:tcW w:w="4799" w:type="dxa"/>
          </w:tcPr>
          <w:p w14:paraId="53468DBF" w14:textId="77777777" w:rsidR="00E2284F" w:rsidRPr="00E27D3B" w:rsidRDefault="00E2284F" w:rsidP="00CD4F3A">
            <w:pPr>
              <w:pStyle w:val="BodyText"/>
              <w:spacing w:line="240" w:lineRule="auto"/>
            </w:pPr>
            <w:r w:rsidRPr="00E27D3B">
              <w:rPr>
                <w:noProof/>
              </w:rPr>
              <w:lastRenderedPageBreak/>
              <w:drawing>
                <wp:inline distT="0" distB="0" distL="0" distR="0" wp14:anchorId="6BDD0755" wp14:editId="196F3281">
                  <wp:extent cx="3007252" cy="2039989"/>
                  <wp:effectExtent l="0" t="0" r="3175" b="0"/>
                  <wp:docPr id="9041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0485" name=""/>
                          <pic:cNvPicPr/>
                        </pic:nvPicPr>
                        <pic:blipFill>
                          <a:blip r:embed="rId84"/>
                          <a:stretch>
                            <a:fillRect/>
                          </a:stretch>
                        </pic:blipFill>
                        <pic:spPr>
                          <a:xfrm>
                            <a:off x="0" y="0"/>
                            <a:ext cx="3019064" cy="2048001"/>
                          </a:xfrm>
                          <a:prstGeom prst="rect">
                            <a:avLst/>
                          </a:prstGeom>
                        </pic:spPr>
                      </pic:pic>
                    </a:graphicData>
                  </a:graphic>
                </wp:inline>
              </w:drawing>
            </w:r>
          </w:p>
        </w:tc>
        <w:tc>
          <w:tcPr>
            <w:tcW w:w="4839" w:type="dxa"/>
          </w:tcPr>
          <w:p w14:paraId="54B8C1A9" w14:textId="77777777" w:rsidR="00E2284F" w:rsidRPr="00E27D3B" w:rsidRDefault="00E2284F" w:rsidP="00CD4F3A">
            <w:pPr>
              <w:pStyle w:val="BodyText"/>
              <w:spacing w:line="240" w:lineRule="auto"/>
            </w:pPr>
            <w:r w:rsidRPr="00E27D3B">
              <w:rPr>
                <w:noProof/>
              </w:rPr>
              <w:drawing>
                <wp:inline distT="0" distB="0" distL="0" distR="0" wp14:anchorId="59F1449F" wp14:editId="17E265B9">
                  <wp:extent cx="3007251" cy="1971967"/>
                  <wp:effectExtent l="0" t="0" r="3175" b="0"/>
                  <wp:docPr id="420706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06345" name=""/>
                          <pic:cNvPicPr/>
                        </pic:nvPicPr>
                        <pic:blipFill>
                          <a:blip r:embed="rId85"/>
                          <a:stretch>
                            <a:fillRect/>
                          </a:stretch>
                        </pic:blipFill>
                        <pic:spPr>
                          <a:xfrm>
                            <a:off x="0" y="0"/>
                            <a:ext cx="3027457" cy="1985217"/>
                          </a:xfrm>
                          <a:prstGeom prst="rect">
                            <a:avLst/>
                          </a:prstGeom>
                        </pic:spPr>
                      </pic:pic>
                    </a:graphicData>
                  </a:graphic>
                </wp:inline>
              </w:drawing>
            </w:r>
          </w:p>
        </w:tc>
      </w:tr>
      <w:tr w:rsidR="00E2284F" w:rsidRPr="00E27D3B" w14:paraId="44807410" w14:textId="77777777" w:rsidTr="000177F1">
        <w:tc>
          <w:tcPr>
            <w:tcW w:w="4799" w:type="dxa"/>
          </w:tcPr>
          <w:p w14:paraId="0E5C83E5" w14:textId="77777777" w:rsidR="00E2284F" w:rsidRPr="00E27D3B" w:rsidRDefault="00E2284F" w:rsidP="00CD4F3A">
            <w:pPr>
              <w:pStyle w:val="BodyText"/>
              <w:spacing w:line="240" w:lineRule="auto"/>
              <w:jc w:val="center"/>
            </w:pPr>
            <w:r w:rsidRPr="00E27D3B">
              <w:t>(c)</w:t>
            </w:r>
          </w:p>
        </w:tc>
        <w:tc>
          <w:tcPr>
            <w:tcW w:w="4839" w:type="dxa"/>
          </w:tcPr>
          <w:p w14:paraId="0E3C9082" w14:textId="77777777" w:rsidR="00E2284F" w:rsidRPr="00E27D3B" w:rsidRDefault="00E2284F" w:rsidP="00CD4F3A">
            <w:pPr>
              <w:pStyle w:val="BodyText"/>
              <w:keepNext/>
              <w:spacing w:line="240" w:lineRule="auto"/>
              <w:jc w:val="center"/>
            </w:pPr>
            <w:r w:rsidRPr="00E27D3B">
              <w:t>(d)</w:t>
            </w:r>
          </w:p>
        </w:tc>
      </w:tr>
    </w:tbl>
    <w:p w14:paraId="0EF1636E" w14:textId="70DB9819" w:rsidR="00E2284F" w:rsidRPr="00E27D3B" w:rsidRDefault="00E2284F" w:rsidP="00CD4F3A">
      <w:pPr>
        <w:pStyle w:val="Caption"/>
        <w:spacing w:line="240" w:lineRule="auto"/>
      </w:pPr>
      <w:bookmarkStart w:id="136" w:name="_Ref223644456"/>
      <w:bookmarkStart w:id="137" w:name="_Toc229777589"/>
      <w:bookmarkStart w:id="138" w:name="_Toc233735036"/>
      <w:r w:rsidRPr="00E27D3B">
        <w:t xml:space="preserve">Figure </w:t>
      </w:r>
      <w:fldSimple w:instr=" SEQ Figure \* ARABIC ">
        <w:r w:rsidR="00A85006">
          <w:rPr>
            <w:noProof/>
          </w:rPr>
          <w:t>30</w:t>
        </w:r>
      </w:fldSimple>
      <w:bookmarkEnd w:id="136"/>
      <w:r w:rsidRPr="00E27D3B">
        <w:t xml:space="preserve">: EMT results for: (a) V1mag and f (b) P and Q at POCs, (c) id and </w:t>
      </w:r>
      <w:proofErr w:type="spellStart"/>
      <w:r w:rsidRPr="00E27D3B">
        <w:t>iq</w:t>
      </w:r>
      <w:proofErr w:type="spellEnd"/>
      <w:r w:rsidRPr="00E27D3B">
        <w:t xml:space="preserve"> of GFMIs and (d) </w:t>
      </w:r>
      <w:proofErr w:type="spellStart"/>
      <w:r w:rsidRPr="00E27D3B">
        <w:t>θpoc</w:t>
      </w:r>
      <w:proofErr w:type="spellEnd"/>
      <w:r w:rsidRPr="00E27D3B">
        <w:t xml:space="preserve"> in the modified IEEE 39-bus system (it is assumed that the system operates at steady-state at t=40 s).</w:t>
      </w:r>
      <w:bookmarkEnd w:id="137"/>
      <w:bookmarkEnd w:id="138"/>
    </w:p>
    <w:p w14:paraId="54B738D9" w14:textId="77777777" w:rsidR="00445AA8" w:rsidRDefault="00E2284F" w:rsidP="00385BDC">
      <w:pPr>
        <w:pStyle w:val="BodyText"/>
        <w:spacing w:after="0"/>
        <w:rPr>
          <w:lang w:val="en-US"/>
        </w:rPr>
      </w:pPr>
      <w:r w:rsidRPr="00E27D3B">
        <w:rPr>
          <w:lang w:val="en-US"/>
        </w:rPr>
        <w:fldChar w:fldCharType="begin"/>
      </w:r>
      <w:r w:rsidRPr="00E27D3B">
        <w:rPr>
          <w:lang w:val="en-US"/>
        </w:rPr>
        <w:instrText xml:space="preserve"> REF _Ref223644471 \h  \* MERGEFORMAT </w:instrText>
      </w:r>
      <w:r w:rsidRPr="00E27D3B">
        <w:rPr>
          <w:lang w:val="en-US"/>
        </w:rPr>
      </w:r>
      <w:r w:rsidRPr="00E27D3B">
        <w:rPr>
          <w:lang w:val="en-US"/>
        </w:rPr>
        <w:fldChar w:fldCharType="separate"/>
      </w:r>
      <w:r w:rsidR="00753DAF" w:rsidRPr="00E27D3B">
        <w:t xml:space="preserve">Figure </w:t>
      </w:r>
      <w:r w:rsidR="00753DAF">
        <w:rPr>
          <w:noProof/>
        </w:rPr>
        <w:t>31</w:t>
      </w:r>
      <w:r w:rsidRPr="00E27D3B">
        <w:rPr>
          <w:lang w:val="en-US"/>
        </w:rPr>
        <w:fldChar w:fldCharType="end"/>
      </w:r>
      <w:r w:rsidR="00726D6A">
        <w:rPr>
          <w:lang w:val="en-US"/>
        </w:rPr>
        <w:t xml:space="preserve"> </w:t>
      </w:r>
      <w:r w:rsidRPr="00E27D3B">
        <w:rPr>
          <w:lang w:val="en-US"/>
        </w:rPr>
        <w:t xml:space="preserve">shows the validation of the proposed DDTD model for modified IEEE 39-bus testing system. In this case, data from operating point such as </w:t>
      </w:r>
      <w:r w:rsidRPr="60762895">
        <w:rPr>
          <w:i/>
          <w:iCs/>
          <w:lang w:val="en-US"/>
        </w:rPr>
        <w:t>P</w:t>
      </w:r>
      <w:r w:rsidRPr="00E27D3B">
        <w:rPr>
          <w:vertAlign w:val="subscript"/>
          <w:lang w:val="en-US"/>
        </w:rPr>
        <w:t>ref</w:t>
      </w:r>
      <w:r w:rsidRPr="00E27D3B">
        <w:rPr>
          <w:lang w:val="en-US"/>
        </w:rPr>
        <w:t xml:space="preserve">=0.80 MW, </w:t>
      </w:r>
      <w:proofErr w:type="spellStart"/>
      <w:r w:rsidRPr="60762895">
        <w:rPr>
          <w:i/>
          <w:iCs/>
          <w:lang w:val="en-US"/>
        </w:rPr>
        <w:t>V</w:t>
      </w:r>
      <w:r w:rsidRPr="00E27D3B">
        <w:rPr>
          <w:vertAlign w:val="subscript"/>
          <w:lang w:val="en-US"/>
        </w:rPr>
        <w:t>set</w:t>
      </w:r>
      <w:proofErr w:type="spellEnd"/>
      <w:r w:rsidRPr="00E27D3B">
        <w:rPr>
          <w:lang w:val="en-US"/>
        </w:rPr>
        <w:t xml:space="preserve">=1.0475 </w:t>
      </w:r>
      <w:proofErr w:type="spellStart"/>
      <w:r w:rsidRPr="00E27D3B">
        <w:rPr>
          <w:lang w:val="en-US"/>
        </w:rPr>
        <w:t>p.u</w:t>
      </w:r>
      <w:proofErr w:type="spellEnd"/>
      <w:r w:rsidRPr="00E27D3B">
        <w:rPr>
          <w:lang w:val="en-US"/>
        </w:rPr>
        <w:t xml:space="preserve">., and total load drop of 10 % have been used. It was found that the proposed model was able to capture the full dynamics and the eigenvalues of the system perfectly. </w:t>
      </w:r>
    </w:p>
    <w:p w14:paraId="19B3D853" w14:textId="098F2CD2" w:rsidR="00E2284F" w:rsidRPr="00E27D3B" w:rsidRDefault="00E2284F" w:rsidP="00445AA8">
      <w:pPr>
        <w:pStyle w:val="BodyText"/>
        <w:spacing w:line="240" w:lineRule="auto"/>
        <w:jc w:val="center"/>
      </w:pPr>
      <w:r w:rsidRPr="00E27D3B">
        <w:rPr>
          <w:noProof/>
          <w:lang w:val="en-US"/>
        </w:rPr>
        <w:drawing>
          <wp:inline distT="0" distB="0" distL="0" distR="0" wp14:anchorId="63653B81" wp14:editId="72266065">
            <wp:extent cx="3248350" cy="1419225"/>
            <wp:effectExtent l="0" t="0" r="9525" b="0"/>
            <wp:docPr id="30203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39861" name=""/>
                    <pic:cNvPicPr/>
                  </pic:nvPicPr>
                  <pic:blipFill>
                    <a:blip r:embed="rId86"/>
                    <a:stretch>
                      <a:fillRect/>
                    </a:stretch>
                  </pic:blipFill>
                  <pic:spPr>
                    <a:xfrm>
                      <a:off x="0" y="0"/>
                      <a:ext cx="3248350" cy="1419225"/>
                    </a:xfrm>
                    <a:prstGeom prst="rect">
                      <a:avLst/>
                    </a:prstGeom>
                  </pic:spPr>
                </pic:pic>
              </a:graphicData>
            </a:graphic>
          </wp:inline>
        </w:drawing>
      </w:r>
    </w:p>
    <w:p w14:paraId="4EFC54EE" w14:textId="705FD0A6" w:rsidR="00E2284F" w:rsidRPr="00385BDC" w:rsidRDefault="00E2284F" w:rsidP="00385BDC">
      <w:pPr>
        <w:pStyle w:val="Caption"/>
        <w:spacing w:line="240" w:lineRule="auto"/>
        <w:rPr>
          <w:lang w:val="en-US"/>
        </w:rPr>
      </w:pPr>
      <w:bookmarkStart w:id="139" w:name="_Ref223644471"/>
      <w:bookmarkStart w:id="140" w:name="_Toc229777590"/>
      <w:bookmarkStart w:id="141" w:name="_Toc233735037"/>
      <w:r w:rsidRPr="00E27D3B">
        <w:t xml:space="preserve">Figure </w:t>
      </w:r>
      <w:fldSimple w:instr=" SEQ Figure \* ARABIC ">
        <w:r w:rsidR="00A85006">
          <w:rPr>
            <w:noProof/>
          </w:rPr>
          <w:t>31</w:t>
        </w:r>
      </w:fldSimple>
      <w:bookmarkEnd w:id="139"/>
      <w:r w:rsidRPr="00E27D3B">
        <w:t>: Implementation and validation of the proposed model in modified IEEE 39-bus testing system: (a) Model validation and (b) estimation of eigenvalues.</w:t>
      </w:r>
      <w:bookmarkEnd w:id="140"/>
      <w:bookmarkEnd w:id="141"/>
    </w:p>
    <w:p w14:paraId="415311E4" w14:textId="79B2B944" w:rsidR="00E2284F" w:rsidRPr="00E27D3B" w:rsidRDefault="00E2284F" w:rsidP="00F12E16">
      <w:pPr>
        <w:pStyle w:val="Heading3"/>
        <w:numPr>
          <w:ilvl w:val="2"/>
          <w:numId w:val="76"/>
        </w:numPr>
        <w:rPr>
          <w:lang w:val="en-US"/>
        </w:rPr>
      </w:pPr>
      <w:r>
        <w:rPr>
          <w:lang w:val="en-US"/>
        </w:rPr>
        <w:t xml:space="preserve">Validation of DDTD </w:t>
      </w:r>
      <w:r w:rsidR="009330B0">
        <w:rPr>
          <w:lang w:val="en-US"/>
        </w:rPr>
        <w:t>M</w:t>
      </w:r>
      <w:r>
        <w:rPr>
          <w:lang w:val="en-US"/>
        </w:rPr>
        <w:t xml:space="preserve">odel in </w:t>
      </w:r>
      <w:r w:rsidR="009330B0">
        <w:rPr>
          <w:lang w:val="en-US"/>
        </w:rPr>
        <w:t>M</w:t>
      </w:r>
      <w:r w:rsidRPr="00EE6EF0">
        <w:rPr>
          <w:lang w:val="en-US"/>
        </w:rPr>
        <w:t>odified 14-</w:t>
      </w:r>
      <w:r w:rsidR="009330B0">
        <w:rPr>
          <w:lang w:val="en-US"/>
        </w:rPr>
        <w:t>G</w:t>
      </w:r>
      <w:r w:rsidRPr="00EE6EF0">
        <w:rPr>
          <w:lang w:val="en-US"/>
        </w:rPr>
        <w:t xml:space="preserve">enerator Australian </w:t>
      </w:r>
      <w:r w:rsidR="009330B0">
        <w:rPr>
          <w:lang w:val="en-US"/>
        </w:rPr>
        <w:t>P</w:t>
      </w:r>
      <w:r w:rsidRPr="00EE6EF0">
        <w:rPr>
          <w:lang w:val="en-US"/>
        </w:rPr>
        <w:t xml:space="preserve">ower </w:t>
      </w:r>
      <w:r w:rsidR="009330B0">
        <w:rPr>
          <w:lang w:val="en-US"/>
        </w:rPr>
        <w:t>S</w:t>
      </w:r>
      <w:r w:rsidRPr="00EE6EF0">
        <w:rPr>
          <w:lang w:val="en-US"/>
        </w:rPr>
        <w:t>ystem with VSM-controlled GFMI</w:t>
      </w:r>
    </w:p>
    <w:p w14:paraId="2AE23318" w14:textId="33E0C77A" w:rsidR="00E2284F" w:rsidRDefault="00E2284F" w:rsidP="00385BDC">
      <w:pPr>
        <w:pStyle w:val="BodyText"/>
        <w:spacing w:after="0"/>
      </w:pPr>
      <w:r w:rsidRPr="00E27D3B">
        <w:t xml:space="preserve">A load step of 10 % in active and reactive power was considered for </w:t>
      </w:r>
      <w:proofErr w:type="gramStart"/>
      <w:r w:rsidRPr="00E27D3B">
        <w:t xml:space="preserve">all </w:t>
      </w:r>
      <w:r w:rsidR="00E00872">
        <w:t>of</w:t>
      </w:r>
      <w:proofErr w:type="gramEnd"/>
      <w:r w:rsidRPr="00E27D3B">
        <w:t xml:space="preserve"> the </w:t>
      </w:r>
      <w:r>
        <w:t>2</w:t>
      </w:r>
      <w:r w:rsidRPr="00E27D3B">
        <w:t>9 loads in the system to illustrate the dynamic behaviour of the system following a disturbance.  All the local controller mode</w:t>
      </w:r>
      <w:r w:rsidR="00E00872">
        <w:t>s</w:t>
      </w:r>
      <w:r w:rsidRPr="00E27D3B">
        <w:t xml:space="preserve"> of the GFMIs were set to constant </w:t>
      </w:r>
      <w:r w:rsidRPr="00E27D3B">
        <w:rPr>
          <w:i/>
          <w:iCs/>
        </w:rPr>
        <w:t>V</w:t>
      </w:r>
      <w:r w:rsidRPr="00E27D3B">
        <w:t xml:space="preserve">. The number of parallel units were selected to match the actual loading of the synchronous generators at bus </w:t>
      </w:r>
      <w:r>
        <w:t xml:space="preserve">501 </w:t>
      </w:r>
      <w:r w:rsidRPr="00E27D3B">
        <w:t xml:space="preserve">(unmodified </w:t>
      </w:r>
      <w:r>
        <w:t xml:space="preserve">and simplified </w:t>
      </w:r>
      <w:r w:rsidRPr="006A177C">
        <w:t>14-generator Australian power system</w:t>
      </w:r>
      <w:r w:rsidRPr="00E27D3B">
        <w:t>).</w:t>
      </w:r>
      <w:r>
        <w:t xml:space="preserve"> </w:t>
      </w:r>
      <w:r>
        <w:fldChar w:fldCharType="begin"/>
      </w:r>
      <w:r>
        <w:instrText xml:space="preserve"> REF _Ref227089930 \h </w:instrText>
      </w:r>
      <w:r w:rsidR="00CD4F3A">
        <w:instrText xml:space="preserve"> \* MERGEFORMAT </w:instrText>
      </w:r>
      <w:r>
        <w:fldChar w:fldCharType="separate"/>
      </w:r>
      <w:r w:rsidR="00753DAF" w:rsidRPr="00E27D3B">
        <w:t xml:space="preserve">Figure </w:t>
      </w:r>
      <w:r w:rsidR="00753DAF">
        <w:rPr>
          <w:noProof/>
        </w:rPr>
        <w:t>32</w:t>
      </w:r>
      <w:r>
        <w:fldChar w:fldCharType="end"/>
      </w:r>
      <w:r>
        <w:t xml:space="preserve"> </w:t>
      </w:r>
      <w:r w:rsidRPr="00E27D3B">
        <w:t xml:space="preserve">shows the response plots for V-f, PQ, </w:t>
      </w:r>
      <w:r w:rsidRPr="00E27D3B">
        <w:rPr>
          <w:i/>
          <w:iCs/>
        </w:rPr>
        <w:t>i</w:t>
      </w:r>
      <w:r w:rsidRPr="00E27D3B">
        <w:rPr>
          <w:vertAlign w:val="subscript"/>
        </w:rPr>
        <w:t>d</w:t>
      </w:r>
      <w:r w:rsidRPr="00E27D3B">
        <w:t xml:space="preserve">, </w:t>
      </w:r>
      <w:proofErr w:type="spellStart"/>
      <w:r w:rsidRPr="00E27D3B">
        <w:rPr>
          <w:i/>
          <w:iCs/>
        </w:rPr>
        <w:t>i</w:t>
      </w:r>
      <w:r w:rsidRPr="00E27D3B">
        <w:rPr>
          <w:vertAlign w:val="subscript"/>
        </w:rPr>
        <w:t>q</w:t>
      </w:r>
      <w:proofErr w:type="spellEnd"/>
      <w:r w:rsidRPr="00E27D3B">
        <w:t xml:space="preserve">, and </w:t>
      </w:r>
      <w:proofErr w:type="spellStart"/>
      <w:r w:rsidRPr="00E27D3B">
        <w:rPr>
          <w:i/>
          <w:iCs/>
        </w:rPr>
        <w:t>θ</w:t>
      </w:r>
      <w:r w:rsidRPr="00E27D3B">
        <w:rPr>
          <w:vertAlign w:val="subscript"/>
        </w:rPr>
        <w:t>poc</w:t>
      </w:r>
      <w:proofErr w:type="spellEnd"/>
      <w:r w:rsidRPr="00E27D3B">
        <w:t xml:space="preserve"> for the </w:t>
      </w:r>
      <w:r>
        <w:t>m</w:t>
      </w:r>
      <w:r w:rsidRPr="006A177C">
        <w:t>odified and simplified 14-generator Australian power system with VSM-controlled GFMI</w:t>
      </w:r>
      <w:r>
        <w:t xml:space="preserve"> </w:t>
      </w:r>
      <w:r w:rsidRPr="00E27D3B">
        <w:t>load drop of 10 % at t=</w:t>
      </w:r>
      <w:r>
        <w:t>6</w:t>
      </w:r>
      <w:r w:rsidRPr="00E27D3B">
        <w:t xml:space="preserve">0 s. </w:t>
      </w:r>
    </w:p>
    <w:p w14:paraId="0A86BE92" w14:textId="587A71E5" w:rsidR="00DC6D94" w:rsidRPr="005A6F5A" w:rsidRDefault="00DC6D94" w:rsidP="00385BDC">
      <w:pPr>
        <w:pStyle w:val="BodyText"/>
        <w:spacing w:after="0"/>
      </w:pPr>
      <w:r>
        <w:rPr>
          <w:lang w:val="en-US"/>
        </w:rPr>
        <w:fldChar w:fldCharType="begin"/>
      </w:r>
      <w:r>
        <w:rPr>
          <w:lang w:val="en-US"/>
        </w:rPr>
        <w:instrText xml:space="preserve"> REF _Ref227090268 \h  \* MERGEFORMAT </w:instrText>
      </w:r>
      <w:r>
        <w:rPr>
          <w:lang w:val="en-US"/>
        </w:rPr>
      </w:r>
      <w:r>
        <w:rPr>
          <w:lang w:val="en-US"/>
        </w:rPr>
        <w:fldChar w:fldCharType="separate"/>
      </w:r>
      <w:r w:rsidRPr="00E27D3B">
        <w:t xml:space="preserve">Figure </w:t>
      </w:r>
      <w:r>
        <w:rPr>
          <w:noProof/>
        </w:rPr>
        <w:t>33</w:t>
      </w:r>
      <w:r>
        <w:rPr>
          <w:lang w:val="en-US"/>
        </w:rPr>
        <w:fldChar w:fldCharType="end"/>
      </w:r>
      <w:r>
        <w:rPr>
          <w:lang w:val="en-US"/>
        </w:rPr>
        <w:t xml:space="preserve"> </w:t>
      </w:r>
      <w:r w:rsidRPr="00E27D3B">
        <w:rPr>
          <w:lang w:val="en-US"/>
        </w:rPr>
        <w:t xml:space="preserve">shows the validation of the proposed DDTD model for </w:t>
      </w:r>
      <w:r w:rsidRPr="00D951EA">
        <w:rPr>
          <w:lang w:val="en-US"/>
        </w:rPr>
        <w:t>modified and simplified 14-generator Australian power system with VSM-controlled GFMI</w:t>
      </w:r>
      <w:r w:rsidRPr="00E27D3B">
        <w:rPr>
          <w:lang w:val="en-US"/>
        </w:rPr>
        <w:t xml:space="preserve">. In this case, data from operating point such as </w:t>
      </w:r>
      <w:r w:rsidRPr="60762895">
        <w:rPr>
          <w:i/>
          <w:iCs/>
          <w:lang w:val="en-US"/>
        </w:rPr>
        <w:t>P</w:t>
      </w:r>
      <w:r w:rsidRPr="00E27D3B">
        <w:rPr>
          <w:vertAlign w:val="subscript"/>
          <w:lang w:val="en-US"/>
        </w:rPr>
        <w:t>ref</w:t>
      </w:r>
      <w:r w:rsidRPr="00E27D3B">
        <w:rPr>
          <w:lang w:val="en-US"/>
        </w:rPr>
        <w:t>=0.</w:t>
      </w:r>
      <w:r>
        <w:rPr>
          <w:lang w:val="en-US"/>
        </w:rPr>
        <w:t>9</w:t>
      </w:r>
      <w:r w:rsidRPr="00E27D3B">
        <w:rPr>
          <w:lang w:val="en-US"/>
        </w:rPr>
        <w:t xml:space="preserve">0 MW, </w:t>
      </w:r>
      <w:proofErr w:type="spellStart"/>
      <w:r w:rsidRPr="60762895">
        <w:rPr>
          <w:i/>
          <w:iCs/>
          <w:lang w:val="en-US"/>
        </w:rPr>
        <w:t>V</w:t>
      </w:r>
      <w:r w:rsidRPr="00E27D3B">
        <w:rPr>
          <w:vertAlign w:val="subscript"/>
          <w:lang w:val="en-US"/>
        </w:rPr>
        <w:t>set</w:t>
      </w:r>
      <w:proofErr w:type="spellEnd"/>
      <w:r w:rsidRPr="00E27D3B">
        <w:rPr>
          <w:lang w:val="en-US"/>
        </w:rPr>
        <w:t>=1.</w:t>
      </w:r>
      <w:r>
        <w:rPr>
          <w:lang w:val="en-US"/>
        </w:rPr>
        <w:t>0</w:t>
      </w:r>
      <w:r w:rsidRPr="00E27D3B">
        <w:rPr>
          <w:lang w:val="en-US"/>
        </w:rPr>
        <w:t xml:space="preserve"> </w:t>
      </w:r>
      <w:proofErr w:type="spellStart"/>
      <w:r w:rsidRPr="00E27D3B">
        <w:rPr>
          <w:lang w:val="en-US"/>
        </w:rPr>
        <w:t>p.u</w:t>
      </w:r>
      <w:proofErr w:type="spellEnd"/>
      <w:r w:rsidRPr="00E27D3B">
        <w:rPr>
          <w:lang w:val="en-US"/>
        </w:rPr>
        <w:t xml:space="preserve">., and total load drop of 10 % have been used. It was found that the proposed model was able to capture the full dynamics and the eigenvalues of the system perfectly. </w:t>
      </w:r>
      <w:r>
        <w:rPr>
          <w:lang w:val="en-US"/>
        </w:rPr>
        <w:t xml:space="preserve"> </w:t>
      </w:r>
      <w:r w:rsidRPr="005A6F5A">
        <w:t xml:space="preserve">This case study demonstrates the effectiveness of the proposed small-signal DDTD </w:t>
      </w:r>
      <w:r w:rsidRPr="005A6F5A">
        <w:lastRenderedPageBreak/>
        <w:t xml:space="preserve">model for evaluating system stability under the considered disturbance condition, where the applied disturbance remains within the linear operating region of the system. However, it should be noted that small-signal analysis is inherently limited in capturing instability phenomena associated with nonlinear mechanisms or large disturbances that drive the system beyond the linear region. Therefore, the proposed approach </w:t>
      </w:r>
      <w:r w:rsidR="00B10E83">
        <w:t>may</w:t>
      </w:r>
      <w:r w:rsidRPr="005A6F5A">
        <w:t xml:space="preserve"> not provide accurate stability predictions for all disturbance sizes or network conditions where nonlinear dynamics become dominant.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869"/>
      </w:tblGrid>
      <w:tr w:rsidR="00E2284F" w:rsidRPr="00E27D3B" w14:paraId="35CAA451" w14:textId="77777777" w:rsidTr="00445AA8">
        <w:trPr>
          <w:trHeight w:val="2244"/>
          <w:jc w:val="center"/>
        </w:trPr>
        <w:tc>
          <w:tcPr>
            <w:tcW w:w="4191" w:type="dxa"/>
          </w:tcPr>
          <w:p w14:paraId="14E7A710" w14:textId="77777777" w:rsidR="00E2284F" w:rsidRPr="00E27D3B" w:rsidRDefault="00E2284F" w:rsidP="00CD4F3A">
            <w:pPr>
              <w:pStyle w:val="BodyText"/>
              <w:spacing w:line="240" w:lineRule="auto"/>
            </w:pPr>
            <w:r w:rsidRPr="00CB7306">
              <w:rPr>
                <w:noProof/>
              </w:rPr>
              <w:drawing>
                <wp:inline distT="0" distB="0" distL="0" distR="0" wp14:anchorId="092CAEC4" wp14:editId="7091CFE7">
                  <wp:extent cx="2888466" cy="2057703"/>
                  <wp:effectExtent l="0" t="0" r="7620" b="0"/>
                  <wp:docPr id="115762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21035" name=""/>
                          <pic:cNvPicPr/>
                        </pic:nvPicPr>
                        <pic:blipFill>
                          <a:blip r:embed="rId87"/>
                          <a:stretch>
                            <a:fillRect/>
                          </a:stretch>
                        </pic:blipFill>
                        <pic:spPr>
                          <a:xfrm>
                            <a:off x="0" y="0"/>
                            <a:ext cx="2945106" cy="2098052"/>
                          </a:xfrm>
                          <a:prstGeom prst="rect">
                            <a:avLst/>
                          </a:prstGeom>
                        </pic:spPr>
                      </pic:pic>
                    </a:graphicData>
                  </a:graphic>
                </wp:inline>
              </w:drawing>
            </w:r>
          </w:p>
        </w:tc>
        <w:tc>
          <w:tcPr>
            <w:tcW w:w="4205" w:type="dxa"/>
          </w:tcPr>
          <w:p w14:paraId="1600BFCC" w14:textId="77777777" w:rsidR="00E2284F" w:rsidRPr="00E27D3B" w:rsidRDefault="00E2284F" w:rsidP="00CD4F3A">
            <w:pPr>
              <w:pStyle w:val="BodyText"/>
              <w:spacing w:line="240" w:lineRule="auto"/>
            </w:pPr>
            <w:r w:rsidRPr="00B250BA">
              <w:rPr>
                <w:rFonts w:ascii="Times New Roman" w:hAnsi="Times New Roman"/>
                <w:noProof/>
                <w:sz w:val="16"/>
                <w:szCs w:val="16"/>
              </w:rPr>
              <w:drawing>
                <wp:inline distT="0" distB="0" distL="0" distR="0" wp14:anchorId="3841C86E" wp14:editId="59314DAB">
                  <wp:extent cx="2959100" cy="2102777"/>
                  <wp:effectExtent l="0" t="0" r="0" b="0"/>
                  <wp:docPr id="210609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93347" name=""/>
                          <pic:cNvPicPr/>
                        </pic:nvPicPr>
                        <pic:blipFill>
                          <a:blip r:embed="rId88"/>
                          <a:stretch>
                            <a:fillRect/>
                          </a:stretch>
                        </pic:blipFill>
                        <pic:spPr>
                          <a:xfrm>
                            <a:off x="0" y="0"/>
                            <a:ext cx="3013131" cy="2141172"/>
                          </a:xfrm>
                          <a:prstGeom prst="rect">
                            <a:avLst/>
                          </a:prstGeom>
                        </pic:spPr>
                      </pic:pic>
                    </a:graphicData>
                  </a:graphic>
                </wp:inline>
              </w:drawing>
            </w:r>
          </w:p>
        </w:tc>
      </w:tr>
      <w:tr w:rsidR="00E2284F" w:rsidRPr="00E27D3B" w14:paraId="767BDAF8" w14:textId="77777777" w:rsidTr="00445AA8">
        <w:trPr>
          <w:trHeight w:val="366"/>
          <w:jc w:val="center"/>
        </w:trPr>
        <w:tc>
          <w:tcPr>
            <w:tcW w:w="4191" w:type="dxa"/>
          </w:tcPr>
          <w:p w14:paraId="3A0E7B89" w14:textId="77777777" w:rsidR="00E2284F" w:rsidRPr="00E27D3B" w:rsidRDefault="00E2284F" w:rsidP="00CD4F3A">
            <w:pPr>
              <w:pStyle w:val="BodyText"/>
              <w:spacing w:line="240" w:lineRule="auto"/>
              <w:jc w:val="center"/>
            </w:pPr>
            <w:r w:rsidRPr="00E27D3B">
              <w:t>(a)</w:t>
            </w:r>
          </w:p>
        </w:tc>
        <w:tc>
          <w:tcPr>
            <w:tcW w:w="4205" w:type="dxa"/>
          </w:tcPr>
          <w:p w14:paraId="58A614E1" w14:textId="77777777" w:rsidR="00E2284F" w:rsidRPr="00E27D3B" w:rsidRDefault="00E2284F" w:rsidP="00CD4F3A">
            <w:pPr>
              <w:pStyle w:val="BodyText"/>
              <w:spacing w:line="240" w:lineRule="auto"/>
              <w:jc w:val="center"/>
            </w:pPr>
            <w:r w:rsidRPr="00E27D3B">
              <w:t>(b)</w:t>
            </w:r>
          </w:p>
        </w:tc>
      </w:tr>
      <w:tr w:rsidR="00E2284F" w:rsidRPr="00E27D3B" w14:paraId="4BEC55D5" w14:textId="77777777" w:rsidTr="00445AA8">
        <w:trPr>
          <w:trHeight w:val="2264"/>
          <w:jc w:val="center"/>
        </w:trPr>
        <w:tc>
          <w:tcPr>
            <w:tcW w:w="4191" w:type="dxa"/>
          </w:tcPr>
          <w:p w14:paraId="088C5721" w14:textId="77777777" w:rsidR="00E2284F" w:rsidRPr="00E27D3B" w:rsidRDefault="00E2284F" w:rsidP="00CD4F3A">
            <w:pPr>
              <w:pStyle w:val="BodyText"/>
              <w:spacing w:line="240" w:lineRule="auto"/>
            </w:pPr>
            <w:r w:rsidRPr="00BD2DAF">
              <w:rPr>
                <w:rFonts w:ascii="Times New Roman" w:hAnsi="Times New Roman"/>
                <w:noProof/>
                <w:sz w:val="16"/>
                <w:szCs w:val="16"/>
              </w:rPr>
              <w:drawing>
                <wp:inline distT="0" distB="0" distL="0" distR="0" wp14:anchorId="42FEDBCF" wp14:editId="4C717F76">
                  <wp:extent cx="2767459" cy="1966595"/>
                  <wp:effectExtent l="0" t="0" r="0" b="0"/>
                  <wp:docPr id="227299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99466" name=""/>
                          <pic:cNvPicPr/>
                        </pic:nvPicPr>
                        <pic:blipFill>
                          <a:blip r:embed="rId89"/>
                          <a:stretch>
                            <a:fillRect/>
                          </a:stretch>
                        </pic:blipFill>
                        <pic:spPr>
                          <a:xfrm>
                            <a:off x="0" y="0"/>
                            <a:ext cx="2807041" cy="1994722"/>
                          </a:xfrm>
                          <a:prstGeom prst="rect">
                            <a:avLst/>
                          </a:prstGeom>
                        </pic:spPr>
                      </pic:pic>
                    </a:graphicData>
                  </a:graphic>
                </wp:inline>
              </w:drawing>
            </w:r>
          </w:p>
        </w:tc>
        <w:tc>
          <w:tcPr>
            <w:tcW w:w="4205" w:type="dxa"/>
          </w:tcPr>
          <w:p w14:paraId="0AF74A5C" w14:textId="77777777" w:rsidR="00E2284F" w:rsidRPr="00E27D3B" w:rsidRDefault="00E2284F" w:rsidP="00CD4F3A">
            <w:pPr>
              <w:pStyle w:val="BodyText"/>
              <w:spacing w:line="240" w:lineRule="auto"/>
            </w:pPr>
            <w:r w:rsidRPr="0040508C">
              <w:rPr>
                <w:rFonts w:ascii="Times New Roman" w:hAnsi="Times New Roman"/>
                <w:noProof/>
                <w:sz w:val="16"/>
                <w:szCs w:val="16"/>
              </w:rPr>
              <w:drawing>
                <wp:inline distT="0" distB="0" distL="0" distR="0" wp14:anchorId="24F25B05" wp14:editId="24F48A2F">
                  <wp:extent cx="2743200" cy="1966681"/>
                  <wp:effectExtent l="0" t="0" r="0" b="0"/>
                  <wp:docPr id="139413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38443" name=""/>
                          <pic:cNvPicPr/>
                        </pic:nvPicPr>
                        <pic:blipFill>
                          <a:blip r:embed="rId90"/>
                          <a:stretch>
                            <a:fillRect/>
                          </a:stretch>
                        </pic:blipFill>
                        <pic:spPr>
                          <a:xfrm>
                            <a:off x="0" y="0"/>
                            <a:ext cx="2743200" cy="1966681"/>
                          </a:xfrm>
                          <a:prstGeom prst="rect">
                            <a:avLst/>
                          </a:prstGeom>
                        </pic:spPr>
                      </pic:pic>
                    </a:graphicData>
                  </a:graphic>
                </wp:inline>
              </w:drawing>
            </w:r>
          </w:p>
        </w:tc>
      </w:tr>
      <w:tr w:rsidR="00E2284F" w:rsidRPr="00E27D3B" w14:paraId="6C6EDD8E" w14:textId="77777777" w:rsidTr="00445AA8">
        <w:trPr>
          <w:trHeight w:val="356"/>
          <w:jc w:val="center"/>
        </w:trPr>
        <w:tc>
          <w:tcPr>
            <w:tcW w:w="4191" w:type="dxa"/>
          </w:tcPr>
          <w:p w14:paraId="44A59EE0" w14:textId="77777777" w:rsidR="00E2284F" w:rsidRPr="00E27D3B" w:rsidRDefault="00E2284F" w:rsidP="00CD4F3A">
            <w:pPr>
              <w:pStyle w:val="BodyText"/>
              <w:spacing w:line="240" w:lineRule="auto"/>
              <w:jc w:val="center"/>
            </w:pPr>
            <w:r w:rsidRPr="00E27D3B">
              <w:t>(c)</w:t>
            </w:r>
          </w:p>
        </w:tc>
        <w:tc>
          <w:tcPr>
            <w:tcW w:w="4205" w:type="dxa"/>
          </w:tcPr>
          <w:p w14:paraId="20CCD0B1" w14:textId="77777777" w:rsidR="00E2284F" w:rsidRPr="00E27D3B" w:rsidRDefault="00E2284F" w:rsidP="00CD4F3A">
            <w:pPr>
              <w:pStyle w:val="BodyText"/>
              <w:keepNext/>
              <w:spacing w:line="240" w:lineRule="auto"/>
              <w:jc w:val="center"/>
            </w:pPr>
            <w:r w:rsidRPr="00E27D3B">
              <w:t>(d)</w:t>
            </w:r>
          </w:p>
        </w:tc>
      </w:tr>
    </w:tbl>
    <w:p w14:paraId="34AD9A92" w14:textId="5D45C129" w:rsidR="00445AA8" w:rsidRDefault="00E2284F" w:rsidP="00385BDC">
      <w:pPr>
        <w:pStyle w:val="Caption"/>
        <w:spacing w:line="240" w:lineRule="auto"/>
      </w:pPr>
      <w:bookmarkStart w:id="142" w:name="_Ref227089930"/>
      <w:bookmarkStart w:id="143" w:name="_Toc229777591"/>
      <w:bookmarkStart w:id="144" w:name="_Toc233735038"/>
      <w:r w:rsidRPr="00E27D3B">
        <w:t xml:space="preserve">Figure </w:t>
      </w:r>
      <w:fldSimple w:instr=" SEQ Figure \* ARABIC ">
        <w:r w:rsidR="00A85006">
          <w:rPr>
            <w:noProof/>
          </w:rPr>
          <w:t>32</w:t>
        </w:r>
      </w:fldSimple>
      <w:bookmarkEnd w:id="142"/>
      <w:r w:rsidRPr="00E27D3B">
        <w:t>: EMT results for: (a) V</w:t>
      </w:r>
      <w:r w:rsidRPr="00361CC3">
        <w:rPr>
          <w:vertAlign w:val="subscript"/>
        </w:rPr>
        <w:t>1mag</w:t>
      </w:r>
      <w:r w:rsidRPr="00E27D3B">
        <w:t xml:space="preserve"> and f (b) P and Q at POCs, (c) i</w:t>
      </w:r>
      <w:r w:rsidRPr="00140578">
        <w:rPr>
          <w:vertAlign w:val="subscript"/>
        </w:rPr>
        <w:t>d</w:t>
      </w:r>
      <w:r w:rsidRPr="00E27D3B">
        <w:t xml:space="preserve"> and </w:t>
      </w:r>
      <w:proofErr w:type="spellStart"/>
      <w:r w:rsidRPr="00E27D3B">
        <w:t>i</w:t>
      </w:r>
      <w:r w:rsidRPr="00140578">
        <w:rPr>
          <w:vertAlign w:val="subscript"/>
        </w:rPr>
        <w:t>q</w:t>
      </w:r>
      <w:proofErr w:type="spellEnd"/>
      <w:r w:rsidRPr="00E27D3B">
        <w:t xml:space="preserve"> of GFMIs and (d) </w:t>
      </w:r>
      <w:proofErr w:type="spellStart"/>
      <w:r w:rsidRPr="00E27D3B">
        <w:t>θ</w:t>
      </w:r>
      <w:r w:rsidRPr="00361CC3">
        <w:rPr>
          <w:vertAlign w:val="subscript"/>
        </w:rPr>
        <w:t>poc</w:t>
      </w:r>
      <w:proofErr w:type="spellEnd"/>
      <w:r w:rsidRPr="00E27D3B">
        <w:t xml:space="preserve"> in the </w:t>
      </w:r>
      <w:r>
        <w:t>m</w:t>
      </w:r>
      <w:r w:rsidRPr="00361CC3">
        <w:t>odified and simplified 14-generator Australian power system with VSM-controlled GFMI</w:t>
      </w:r>
      <w:r w:rsidRPr="00E27D3B">
        <w:t xml:space="preserve"> (it is assumed that the system operates at steady-state at t=</w:t>
      </w:r>
      <w:r>
        <w:t>6</w:t>
      </w:r>
      <w:r w:rsidRPr="00E27D3B">
        <w:t>0 s).</w:t>
      </w:r>
      <w:bookmarkEnd w:id="143"/>
      <w:bookmarkEnd w:id="144"/>
    </w:p>
    <w:p w14:paraId="131F5B96" w14:textId="77777777" w:rsidR="006564F0" w:rsidRPr="006564F0" w:rsidRDefault="006564F0" w:rsidP="006564F0">
      <w:pPr>
        <w:pStyle w:val="BodyText"/>
      </w:pPr>
    </w:p>
    <w:p w14:paraId="30C3E84E" w14:textId="77777777" w:rsidR="00E2284F" w:rsidRDefault="00E2284F" w:rsidP="00385BDC">
      <w:pPr>
        <w:pStyle w:val="BodyText"/>
        <w:spacing w:line="240" w:lineRule="auto"/>
        <w:jc w:val="center"/>
      </w:pPr>
      <w:r w:rsidRPr="00D951EA">
        <w:rPr>
          <w:noProof/>
        </w:rPr>
        <w:lastRenderedPageBreak/>
        <w:drawing>
          <wp:inline distT="0" distB="0" distL="0" distR="0" wp14:anchorId="4705F50F" wp14:editId="6341E3F4">
            <wp:extent cx="5313680" cy="2166711"/>
            <wp:effectExtent l="0" t="0" r="1270" b="5080"/>
            <wp:docPr id="648303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03674" name=""/>
                    <pic:cNvPicPr/>
                  </pic:nvPicPr>
                  <pic:blipFill>
                    <a:blip r:embed="rId91"/>
                    <a:stretch>
                      <a:fillRect/>
                    </a:stretch>
                  </pic:blipFill>
                  <pic:spPr>
                    <a:xfrm>
                      <a:off x="0" y="0"/>
                      <a:ext cx="5360582" cy="2185836"/>
                    </a:xfrm>
                    <a:prstGeom prst="rect">
                      <a:avLst/>
                    </a:prstGeom>
                  </pic:spPr>
                </pic:pic>
              </a:graphicData>
            </a:graphic>
          </wp:inline>
        </w:drawing>
      </w:r>
    </w:p>
    <w:p w14:paraId="66B3CFB3" w14:textId="59D8D243" w:rsidR="00E2284F" w:rsidRDefault="00E2284F" w:rsidP="007D1E0C">
      <w:pPr>
        <w:pStyle w:val="BodyText"/>
        <w:tabs>
          <w:tab w:val="left" w:pos="2870"/>
          <w:tab w:val="left" w:pos="7520"/>
        </w:tabs>
        <w:spacing w:after="0" w:line="240" w:lineRule="auto"/>
        <w:ind w:left="1077"/>
        <w:jc w:val="both"/>
      </w:pPr>
      <w:r>
        <w:t xml:space="preserve"> </w:t>
      </w:r>
      <w:r>
        <w:tab/>
      </w:r>
      <w:r w:rsidRPr="00D951EA">
        <w:rPr>
          <w:sz w:val="20"/>
          <w:szCs w:val="18"/>
        </w:rPr>
        <w:t>(a)</w:t>
      </w:r>
      <w:r w:rsidRPr="00D951EA">
        <w:rPr>
          <w:sz w:val="20"/>
          <w:szCs w:val="18"/>
        </w:rPr>
        <w:tab/>
        <w:t>(b)</w:t>
      </w:r>
    </w:p>
    <w:p w14:paraId="1B33FE4A" w14:textId="59D8D243" w:rsidR="00E2284F" w:rsidRPr="00E27D3B" w:rsidRDefault="00E2284F" w:rsidP="007D1E0C">
      <w:pPr>
        <w:pStyle w:val="Caption"/>
        <w:spacing w:before="120" w:after="120"/>
        <w:rPr>
          <w:lang w:val="en-US"/>
        </w:rPr>
      </w:pPr>
      <w:bookmarkStart w:id="145" w:name="_Ref227090268"/>
      <w:bookmarkStart w:id="146" w:name="_Toc229777592"/>
      <w:bookmarkStart w:id="147" w:name="_Toc233735039"/>
      <w:r w:rsidRPr="00E27D3B">
        <w:t xml:space="preserve">Figure </w:t>
      </w:r>
      <w:fldSimple w:instr=" SEQ Figure \* ARABIC ">
        <w:r w:rsidR="00A85006">
          <w:rPr>
            <w:noProof/>
          </w:rPr>
          <w:t>33</w:t>
        </w:r>
      </w:fldSimple>
      <w:bookmarkEnd w:id="145"/>
      <w:r w:rsidRPr="00E27D3B">
        <w:t xml:space="preserve">: Implementation and validation of the proposed model in </w:t>
      </w:r>
      <w:r w:rsidRPr="00654D41">
        <w:t>the modified and simplified 14-generator Australian power system with VSM-controlled GFMI</w:t>
      </w:r>
      <w:r w:rsidRPr="00E27D3B">
        <w:t>: (a) Model validation and (b) estimation of eigenvalues.</w:t>
      </w:r>
      <w:bookmarkEnd w:id="146"/>
      <w:bookmarkEnd w:id="147"/>
    </w:p>
    <w:p w14:paraId="0C173D43" w14:textId="77777777" w:rsidR="00E2284F" w:rsidRPr="00E27D3B" w:rsidRDefault="00E2284F" w:rsidP="00CD4F3A">
      <w:pPr>
        <w:pStyle w:val="Heading2"/>
        <w:numPr>
          <w:ilvl w:val="0"/>
          <w:numId w:val="52"/>
        </w:numPr>
        <w:ind w:left="0" w:firstLine="0"/>
      </w:pPr>
      <w:bookmarkStart w:id="148" w:name="_Toc224235063"/>
      <w:bookmarkStart w:id="149" w:name="_Ref230098935"/>
      <w:bookmarkStart w:id="150" w:name="_Toc233734303"/>
      <w:r>
        <w:t>Chapter Summary</w:t>
      </w:r>
      <w:bookmarkEnd w:id="148"/>
      <w:bookmarkEnd w:id="150"/>
      <w:r>
        <w:t xml:space="preserve"> </w:t>
      </w:r>
      <w:bookmarkEnd w:id="149"/>
    </w:p>
    <w:p w14:paraId="685E52CA" w14:textId="77777777" w:rsidR="005A6F5A" w:rsidRDefault="00AF7CB6" w:rsidP="007D1E0C">
      <w:pPr>
        <w:pStyle w:val="BodyText"/>
        <w:spacing w:after="0"/>
        <w:rPr>
          <w:color w:val="000000" w:themeColor="text1"/>
          <w:lang w:val="en-US"/>
        </w:rPr>
      </w:pPr>
      <w:r>
        <w:t xml:space="preserve">The </w:t>
      </w:r>
      <w:r w:rsidR="00E2284F">
        <w:t>small-</w:t>
      </w:r>
      <w:r>
        <w:t xml:space="preserve">signal </w:t>
      </w:r>
      <w:r w:rsidR="00E2284F">
        <w:t xml:space="preserve">stability analysis work package of AR-PST project in Stage-5 </w:t>
      </w:r>
      <w:r w:rsidR="00E2284F" w:rsidRPr="00547C88">
        <w:rPr>
          <w:color w:val="000000" w:themeColor="text1"/>
          <w:lang w:val="en-US"/>
        </w:rPr>
        <w:t xml:space="preserve">has two distinct contributions: </w:t>
      </w:r>
    </w:p>
    <w:p w14:paraId="4481CAC6" w14:textId="6C703255" w:rsidR="005A6F5A" w:rsidRDefault="00E2284F" w:rsidP="007D1E0C">
      <w:pPr>
        <w:pStyle w:val="BodyText"/>
        <w:numPr>
          <w:ilvl w:val="0"/>
          <w:numId w:val="87"/>
        </w:numPr>
        <w:spacing w:after="0"/>
        <w:ind w:left="357" w:hanging="357"/>
        <w:rPr>
          <w:color w:val="000000" w:themeColor="text1"/>
        </w:rPr>
      </w:pPr>
      <w:r w:rsidRPr="00547C88">
        <w:rPr>
          <w:color w:val="000000" w:themeColor="text1"/>
        </w:rPr>
        <w:t>The research team has implemented and evaluated different voltage control strategies of FVC, PVC, and AVR for grid-forming inverters. Small-signal stability analyses are conducted across very weak, weak, and strong grids. This contribution also includes the improvement of AVR-based GFMI stability incorporating a virtual impedance loop and adaptive tuning of the K</w:t>
      </w:r>
      <w:r w:rsidRPr="00547C88">
        <w:rPr>
          <w:color w:val="000000" w:themeColor="text1"/>
          <w:vertAlign w:val="subscript"/>
        </w:rPr>
        <w:t>i-q</w:t>
      </w:r>
      <w:r w:rsidRPr="00547C88">
        <w:rPr>
          <w:color w:val="000000" w:themeColor="text1"/>
        </w:rPr>
        <w:t xml:space="preserve"> values based on grid SCR. </w:t>
      </w:r>
    </w:p>
    <w:p w14:paraId="45F08C16" w14:textId="2747E669" w:rsidR="005A6F5A" w:rsidRDefault="000548C2" w:rsidP="007D1E0C">
      <w:pPr>
        <w:pStyle w:val="BodyText"/>
        <w:numPr>
          <w:ilvl w:val="0"/>
          <w:numId w:val="87"/>
        </w:numPr>
        <w:spacing w:after="0"/>
        <w:ind w:left="357" w:hanging="357"/>
      </w:pPr>
      <w:r w:rsidRPr="00547C88">
        <w:rPr>
          <w:color w:val="000000" w:themeColor="text1"/>
        </w:rPr>
        <w:t>T</w:t>
      </w:r>
      <w:r w:rsidR="00E2284F" w:rsidRPr="00547C88">
        <w:rPr>
          <w:color w:val="000000" w:themeColor="text1"/>
        </w:rPr>
        <w:t xml:space="preserve">he development of a data-driven time-domain identification framework that combines the Eigensystem Realization Algorithm (ERA) and Gaussian Process Regression (GPR) for accurate eigenvalue prediction in IBR-based power system networks. </w:t>
      </w:r>
      <w:r w:rsidR="00E2284F" w:rsidRPr="00547C88">
        <w:t xml:space="preserve">Built-in models in DIgSILENT </w:t>
      </w:r>
      <w:proofErr w:type="spellStart"/>
      <w:r w:rsidR="00E2284F" w:rsidRPr="00547C88">
        <w:t>Powerfactory</w:t>
      </w:r>
      <w:proofErr w:type="spellEnd"/>
      <w:r w:rsidR="00E2284F" w:rsidRPr="00547C88">
        <w:t xml:space="preserve"> for power-controlled GFLI, VSM-controlled GFMI, and droop-controlled GFMI were investigated under various SCR circumstances in the three recommended testing systems. </w:t>
      </w:r>
    </w:p>
    <w:p w14:paraId="1C9DF110" w14:textId="346C9DDA" w:rsidR="00E01CDD" w:rsidRPr="00E27D3B" w:rsidRDefault="00E2284F" w:rsidP="007D1E0C">
      <w:pPr>
        <w:pStyle w:val="BodyText"/>
        <w:spacing w:after="0"/>
      </w:pPr>
      <w:r w:rsidRPr="00547C88">
        <w:t xml:space="preserve">Three test systems were selected for validation of the proposed DDTD model: (1) SMIB with 1–2 IBRs, (2) a modified IEEE 39-bus system with mix IBRs, and (3) the modified 14-generator Australian power system with VSM-controlled GFMI. </w:t>
      </w:r>
      <w:r w:rsidRPr="00547C88">
        <w:rPr>
          <w:color w:val="000000" w:themeColor="text1"/>
        </w:rPr>
        <w:t>The control and stability observations of GFMI strategies, along with modal analysis on benchmark systems, were used to motivate, benchmark, and validate the proposed framework.</w:t>
      </w:r>
      <w:r w:rsidRPr="00726D6A">
        <w:rPr>
          <w:color w:val="000000" w:themeColor="text1"/>
        </w:rPr>
        <w:t xml:space="preserve"> </w:t>
      </w:r>
      <w:r>
        <w:t>The performance of the proposed model is evaluated using a SMIB system with droop- and VSM-controlled GFMIs. Additionally, a modified IEEE 39-bus test system is implemented, and the SSS is assessed using time-domain data obtained from EMT simulations. A comparative study is conducted between the proposed GPR- and ERA-based DDTD model and an ANN- and ERA-based DDTD model in terms of prediction accuracy, eigenvalue estimation, and SSS evaluation for the SMIB system with VSM-controlled GFMI.</w:t>
      </w:r>
    </w:p>
    <w:p w14:paraId="00A3E69E" w14:textId="6E37B931" w:rsidR="0097651C" w:rsidRPr="00E27D3B" w:rsidRDefault="0097651C" w:rsidP="00CD4F3A">
      <w:pPr>
        <w:spacing w:after="0"/>
        <w:rPr>
          <w:color w:val="000000" w:themeColor="text1"/>
          <w:sz w:val="24"/>
        </w:rPr>
      </w:pPr>
      <w:r w:rsidRPr="00E27D3B">
        <w:rPr>
          <w:color w:val="000000" w:themeColor="text1"/>
          <w:sz w:val="24"/>
        </w:rPr>
        <w:br w:type="page"/>
      </w:r>
    </w:p>
    <w:bookmarkStart w:id="151" w:name="_Toc233734304" w:displacedByCustomXml="next"/>
    <w:sdt>
      <w:sdtPr>
        <w:rPr>
          <w:rStyle w:val="PartNumber"/>
          <w:b/>
          <w:bCs/>
          <w:sz w:val="24"/>
          <w:szCs w:val="24"/>
        </w:rPr>
        <w:id w:val="74176568"/>
        <w:docPartObj>
          <w:docPartGallery w:val="Cover Pages"/>
        </w:docPartObj>
      </w:sdtPr>
      <w:sdtEndPr>
        <w:rPr>
          <w:rStyle w:val="DefaultParagraphFont"/>
          <w:b w:val="0"/>
          <w:bCs w:val="0"/>
          <w:color w:val="000000"/>
        </w:rPr>
      </w:sdtEndPr>
      <w:sdtContent>
        <w:sdt>
          <w:sdtPr>
            <w:rPr>
              <w:rStyle w:val="PartNumber"/>
              <w:b/>
              <w:bCs/>
              <w:sz w:val="24"/>
              <w:szCs w:val="24"/>
            </w:rPr>
            <w:id w:val="897016025"/>
            <w:docPartObj>
              <w:docPartGallery w:val="Cover Pages"/>
            </w:docPartObj>
          </w:sdtPr>
          <w:sdtEndPr>
            <w:rPr>
              <w:rStyle w:val="DefaultParagraphFont"/>
              <w:b w:val="0"/>
              <w:bCs w:val="0"/>
              <w:color w:val="757579" w:themeColor="accent3"/>
              <w:sz w:val="80"/>
              <w:szCs w:val="80"/>
            </w:rPr>
          </w:sdtEndPr>
          <w:sdtContent>
            <w:p w14:paraId="4D66A0BA" w14:textId="61480422" w:rsidR="004C4DD5" w:rsidRPr="00E27D3B" w:rsidRDefault="004C4DD5" w:rsidP="00CD4F3A">
              <w:pPr>
                <w:pStyle w:val="PartTitle"/>
              </w:pPr>
              <w:r w:rsidRPr="00E27D3B">
                <w:rPr>
                  <w:rStyle w:val="PartNumber"/>
                </w:rPr>
                <w:t>Part II</w:t>
              </w:r>
              <w:r w:rsidRPr="00E27D3B">
                <w:rPr>
                  <w:rStyle w:val="PartNumber"/>
                </w:rPr>
                <w:tab/>
              </w:r>
              <w:r w:rsidR="00EA1B50" w:rsidRPr="00E27D3B">
                <w:t xml:space="preserve">Dynamic Signature of the Power System through Stability </w:t>
              </w:r>
              <w:r w:rsidR="006714DB">
                <w:t>Indices</w:t>
              </w:r>
            </w:p>
          </w:sdtContent>
        </w:sdt>
        <w:bookmarkEnd w:id="151" w:displacedByCustomXml="prev"/>
        <w:p w14:paraId="7530DBA7" w14:textId="77777777" w:rsidR="004C4DD5" w:rsidRPr="00E27D3B" w:rsidRDefault="004C4DD5"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551744" behindDoc="1" locked="0" layoutInCell="1" allowOverlap="1" wp14:anchorId="752B295C" wp14:editId="49166885">
                    <wp:simplePos x="0" y="0"/>
                    <wp:positionH relativeFrom="page">
                      <wp:posOffset>0</wp:posOffset>
                    </wp:positionH>
                    <wp:positionV relativeFrom="page">
                      <wp:align>bottom</wp:align>
                    </wp:positionV>
                    <wp:extent cx="7596000" cy="5400000"/>
                    <wp:effectExtent l="0" t="0" r="5080" b="0"/>
                    <wp:wrapNone/>
                    <wp:docPr id="1408403366" name="Text Box 1408403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1416079430"/>
                                  <w:picture/>
                                </w:sdtPr>
                                <w:sdtEndPr/>
                                <w:sdtContent>
                                  <w:p w14:paraId="60A40558" w14:textId="77777777" w:rsidR="004C4DD5" w:rsidRDefault="004C4DD5" w:rsidP="004C4DD5">
                                    <w:r>
                                      <w:rPr>
                                        <w:noProof/>
                                      </w:rPr>
                                      <w:drawing>
                                        <wp:inline distT="0" distB="0" distL="0" distR="0" wp14:anchorId="0977CEF0" wp14:editId="544A7B6B">
                                          <wp:extent cx="7635600" cy="5426540"/>
                                          <wp:effectExtent l="0" t="0" r="3810" b="3175"/>
                                          <wp:docPr id="6798255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B295C" id="Text Box 1408403366" o:spid="_x0000_s1050" type="#_x0000_t202" alt="&quot;&quot;" style="position:absolute;margin-left:0;margin-top:0;width:598.1pt;height:425.2pt;z-index:-25176473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" fillcolor="#00a9ce [3204]" stroked="f" strokeweight=".5pt">
                    <v:textbox inset="0,0,0,0">
                      <w:txbxContent>
                        <w:sdt>
                          <w:sdtPr>
                            <w:id w:val="-1416079430"/>
                            <w:picture/>
                          </w:sdtPr>
                          <w:sdtEndPr/>
                          <w:sdtContent>
                            <w:p w14:paraId="60A40558" w14:textId="77777777" w:rsidR="004C4DD5" w:rsidRDefault="004C4DD5" w:rsidP="004C4DD5">
                              <w:r>
                                <w:rPr>
                                  <w:noProof/>
                                </w:rPr>
                                <w:drawing>
                                  <wp:inline distT="0" distB="0" distL="0" distR="0" wp14:anchorId="0977CEF0" wp14:editId="544A7B6B">
                                    <wp:extent cx="7635600" cy="5426540"/>
                                    <wp:effectExtent l="0" t="0" r="3810" b="3175"/>
                                    <wp:docPr id="6798255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559936" behindDoc="1" locked="1" layoutInCell="1" allowOverlap="1" wp14:anchorId="5D856869" wp14:editId="7BB4A578">
                    <wp:simplePos x="0" y="0"/>
                    <wp:positionH relativeFrom="page">
                      <wp:align>left</wp:align>
                    </wp:positionH>
                    <wp:positionV relativeFrom="page">
                      <wp:align>top</wp:align>
                    </wp:positionV>
                    <wp:extent cx="7559675" cy="5345430"/>
                    <wp:effectExtent l="0" t="0" r="3175" b="7620"/>
                    <wp:wrapNone/>
                    <wp:docPr id="1114623278"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36DB8" id="Rectangle 85" o:spid="_x0000_s1026" alt="&quot;&quot;" style="position:absolute;margin-left:0;margin-top:0;width:595.25pt;height:420.9pt;z-index:-2517565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7A535A33" w14:textId="611BA8E2" w:rsidR="00BE57F4" w:rsidRPr="00B45DC8" w:rsidRDefault="00E51705" w:rsidP="00CD4F3A">
      <w:pPr>
        <w:pStyle w:val="Heading1"/>
        <w:spacing w:line="240" w:lineRule="auto"/>
      </w:pPr>
      <w:bookmarkStart w:id="152" w:name="_Toc233734305"/>
      <w:r w:rsidRPr="00B45DC8">
        <w:lastRenderedPageBreak/>
        <w:t xml:space="preserve">Dynamic Signature of the Power System through Voltage </w:t>
      </w:r>
      <w:r w:rsidR="004E7464" w:rsidRPr="00B45DC8">
        <w:t xml:space="preserve">and Small Signal </w:t>
      </w:r>
      <w:r w:rsidRPr="00B45DC8">
        <w:t xml:space="preserve">Stability </w:t>
      </w:r>
      <w:r w:rsidR="000E0919" w:rsidRPr="00B45DC8">
        <w:t>Indices</w:t>
      </w:r>
      <w:bookmarkEnd w:id="152"/>
    </w:p>
    <w:p w14:paraId="6AB85D9F" w14:textId="77777777" w:rsidR="00BE57F4" w:rsidRPr="00285959" w:rsidRDefault="00BE57F4" w:rsidP="00CD4F3A">
      <w:pPr>
        <w:pStyle w:val="Heading2"/>
      </w:pPr>
      <w:bookmarkStart w:id="153" w:name="_Toc230256834"/>
      <w:bookmarkStart w:id="154" w:name="_Toc233734306"/>
      <w:r w:rsidRPr="00E27D3B">
        <w:t>Introduction</w:t>
      </w:r>
      <w:bookmarkEnd w:id="153"/>
      <w:bookmarkEnd w:id="154"/>
    </w:p>
    <w:p w14:paraId="3DEC89C8" w14:textId="341A8417" w:rsidR="00BE57F4" w:rsidRPr="00B45DC8" w:rsidRDefault="00BE57F4" w:rsidP="002B0009">
      <w:pPr>
        <w:ind w:right="-23"/>
        <w:rPr>
          <w:sz w:val="24"/>
          <w:szCs w:val="24"/>
        </w:rPr>
      </w:pPr>
      <w:r w:rsidRPr="00B45DC8">
        <w:rPr>
          <w:sz w:val="24"/>
          <w:szCs w:val="24"/>
        </w:rPr>
        <w:t>The large-scale integration of renewable generation, predominantly</w:t>
      </w:r>
      <w:r w:rsidRPr="00B45DC8" w:rsidDel="001B01A2">
        <w:rPr>
          <w:sz w:val="24"/>
          <w:szCs w:val="24"/>
        </w:rPr>
        <w:t xml:space="preserve"> </w:t>
      </w:r>
      <w:r w:rsidRPr="00B45DC8">
        <w:rPr>
          <w:sz w:val="24"/>
          <w:szCs w:val="24"/>
        </w:rPr>
        <w:t>inverter-based resources (IBRs), has introduced significant</w:t>
      </w:r>
      <w:r w:rsidRPr="00B45DC8" w:rsidDel="00D81715">
        <w:rPr>
          <w:sz w:val="24"/>
          <w:szCs w:val="24"/>
        </w:rPr>
        <w:t xml:space="preserve"> </w:t>
      </w:r>
      <w:r w:rsidRPr="00B45DC8">
        <w:rPr>
          <w:sz w:val="24"/>
          <w:szCs w:val="24"/>
        </w:rPr>
        <w:t>challenges to power system stability, such as voltage and small signal instability, due to their fundamentally different dynamic</w:t>
      </w:r>
      <w:r w:rsidRPr="00B45DC8" w:rsidDel="0017034E">
        <w:rPr>
          <w:sz w:val="24"/>
          <w:szCs w:val="24"/>
        </w:rPr>
        <w:t xml:space="preserve"> </w:t>
      </w:r>
      <w:r w:rsidRPr="00B45DC8">
        <w:rPr>
          <w:sz w:val="24"/>
          <w:szCs w:val="24"/>
        </w:rPr>
        <w:t xml:space="preserve">and control characteristics. Consequently, voltage and small signal stability </w:t>
      </w:r>
      <w:r w:rsidR="00FC4A55">
        <w:rPr>
          <w:sz w:val="24"/>
          <w:szCs w:val="24"/>
        </w:rPr>
        <w:t>have</w:t>
      </w:r>
      <w:r w:rsidRPr="00B45DC8">
        <w:rPr>
          <w:sz w:val="24"/>
          <w:szCs w:val="24"/>
        </w:rPr>
        <w:t xml:space="preserve"> emerged</w:t>
      </w:r>
      <w:r w:rsidRPr="00B45DC8" w:rsidDel="003513A4">
        <w:rPr>
          <w:sz w:val="24"/>
          <w:szCs w:val="24"/>
        </w:rPr>
        <w:t xml:space="preserve"> </w:t>
      </w:r>
      <w:r w:rsidRPr="00B45DC8">
        <w:rPr>
          <w:sz w:val="24"/>
          <w:szCs w:val="24"/>
        </w:rPr>
        <w:t>as a critical concern</w:t>
      </w:r>
      <w:r w:rsidRPr="00B45DC8" w:rsidDel="004A0F89">
        <w:rPr>
          <w:sz w:val="24"/>
          <w:szCs w:val="24"/>
        </w:rPr>
        <w:t xml:space="preserve"> </w:t>
      </w:r>
      <w:r w:rsidRPr="00B45DC8">
        <w:rPr>
          <w:sz w:val="24"/>
          <w:szCs w:val="24"/>
        </w:rPr>
        <w:t xml:space="preserve">for transmission system operators (TSOs). </w:t>
      </w:r>
      <w:r w:rsidRPr="00B45DC8">
        <w:rPr>
          <w:sz w:val="24"/>
          <w:szCs w:val="24"/>
          <w:lang w:val="en-US"/>
        </w:rPr>
        <w:t>Although numerous indices have been developed for voltage and small-signal stability assessment, relatively little attention has been paid to systems dominated by IBRs and DLs. For example, in the context of Large-disturbance voltage stability (LDVS), limited work has addressed the simultaneous evaluation of short-term voltage stability (STVS) and long-term voltage stability (LTVS), which is crucial for practical and real-time applications</w:t>
      </w:r>
      <w:r w:rsidRPr="00B45DC8">
        <w:rPr>
          <w:sz w:val="24"/>
          <w:szCs w:val="24"/>
        </w:rPr>
        <w:t>. To address this research gap, this chapter introduces three distinct indices for assessing voltage stability and small-signal stability in modern renewable-rich power systems. These include the Dynamic Voltage Resilience Index (DVRI) and its system-level extension (</w:t>
      </w:r>
      <w:proofErr w:type="spellStart"/>
      <w:r w:rsidRPr="00B45DC8">
        <w:rPr>
          <w:sz w:val="24"/>
          <w:szCs w:val="24"/>
        </w:rPr>
        <w:t>sysDVRI</w:t>
      </w:r>
      <w:proofErr w:type="spellEnd"/>
      <w:r w:rsidRPr="00B45DC8">
        <w:rPr>
          <w:sz w:val="24"/>
          <w:szCs w:val="24"/>
        </w:rPr>
        <w:t xml:space="preserve">), which enable simultaneous assessment of short-term voltage stability (STVS) and long-term voltage stability (LTVS) following large disturbances; the Small-Disturbance Voltage Proximity Index (SDVPI), developed using the adaptive continuation </w:t>
      </w:r>
      <w:r w:rsidR="0052041F">
        <w:rPr>
          <w:sz w:val="24"/>
          <w:szCs w:val="24"/>
        </w:rPr>
        <w:t>power</w:t>
      </w:r>
      <w:r w:rsidRPr="00B45DC8">
        <w:rPr>
          <w:sz w:val="24"/>
          <w:szCs w:val="24"/>
        </w:rPr>
        <w:t xml:space="preserve"> flow (AC</w:t>
      </w:r>
      <w:r w:rsidR="0052041F">
        <w:rPr>
          <w:sz w:val="24"/>
          <w:szCs w:val="24"/>
        </w:rPr>
        <w:t>P</w:t>
      </w:r>
      <w:r w:rsidRPr="00B45DC8">
        <w:rPr>
          <w:sz w:val="24"/>
          <w:szCs w:val="24"/>
        </w:rPr>
        <w:t xml:space="preserve">F) method to quantify the system’s proximity to voltage collapse; and the Small-Signal Operating Area Security Index (SSOASI), proposed to quantify the small-signal security of power systems under varying operating conditions. </w:t>
      </w:r>
    </w:p>
    <w:p w14:paraId="366EA283" w14:textId="438ABFC1" w:rsidR="00BE57F4" w:rsidRDefault="00BE57F4" w:rsidP="002B0009">
      <w:pPr>
        <w:ind w:right="-23"/>
        <w:rPr>
          <w:sz w:val="24"/>
          <w:szCs w:val="24"/>
        </w:rPr>
      </w:pPr>
      <w:r w:rsidRPr="00B45DC8">
        <w:rPr>
          <w:sz w:val="24"/>
          <w:szCs w:val="24"/>
        </w:rPr>
        <w:t xml:space="preserve">The rest of this chapter is organised as follows. The </w:t>
      </w:r>
      <w:r w:rsidRPr="00B45DC8">
        <w:rPr>
          <w:bCs/>
          <w:sz w:val="24"/>
          <w:szCs w:val="24"/>
          <w:lang w:val="en-US"/>
        </w:rPr>
        <w:t xml:space="preserve">overview </w:t>
      </w:r>
      <w:r w:rsidRPr="00B45DC8">
        <w:rPr>
          <w:sz w:val="24"/>
          <w:szCs w:val="24"/>
          <w:lang w:val="en-US"/>
        </w:rPr>
        <w:t>of</w:t>
      </w:r>
      <w:r w:rsidRPr="00B45DC8">
        <w:rPr>
          <w:bCs/>
          <w:sz w:val="24"/>
          <w:szCs w:val="24"/>
          <w:lang w:val="en-US"/>
        </w:rPr>
        <w:t xml:space="preserve"> power system stability indices</w:t>
      </w:r>
      <w:r w:rsidRPr="00B45DC8">
        <w:rPr>
          <w:sz w:val="24"/>
          <w:szCs w:val="24"/>
        </w:rPr>
        <w:t xml:space="preserve"> </w:t>
      </w:r>
      <w:r w:rsidR="00FC4A55">
        <w:rPr>
          <w:sz w:val="24"/>
          <w:szCs w:val="24"/>
        </w:rPr>
        <w:t>is</w:t>
      </w:r>
      <w:r w:rsidRPr="00B45DC8">
        <w:rPr>
          <w:sz w:val="24"/>
          <w:szCs w:val="24"/>
        </w:rPr>
        <w:t xml:space="preserve"> discussed in Section 3.2</w:t>
      </w:r>
      <w:r w:rsidR="00FC4A55">
        <w:rPr>
          <w:sz w:val="24"/>
          <w:szCs w:val="24"/>
        </w:rPr>
        <w:t>,</w:t>
      </w:r>
      <w:r w:rsidRPr="00B45DC8">
        <w:rPr>
          <w:sz w:val="24"/>
          <w:szCs w:val="24"/>
        </w:rPr>
        <w:t xml:space="preserve"> and the theoretical background and modelling of the system with components are presented in Section 3.3. The </w:t>
      </w:r>
      <w:r w:rsidRPr="00B45DC8">
        <w:rPr>
          <w:i/>
          <w:iCs/>
          <w:sz w:val="24"/>
          <w:szCs w:val="24"/>
        </w:rPr>
        <w:t>DVRI and</w:t>
      </w:r>
      <w:r w:rsidRPr="00B45DC8">
        <w:rPr>
          <w:sz w:val="24"/>
          <w:szCs w:val="24"/>
        </w:rPr>
        <w:t xml:space="preserve"> </w:t>
      </w:r>
      <w:proofErr w:type="spellStart"/>
      <w:r w:rsidRPr="00B45DC8">
        <w:rPr>
          <w:i/>
          <w:iCs/>
          <w:sz w:val="24"/>
          <w:szCs w:val="24"/>
        </w:rPr>
        <w:t>sysDVRI</w:t>
      </w:r>
      <w:proofErr w:type="spellEnd"/>
      <w:r w:rsidRPr="00B45DC8">
        <w:rPr>
          <w:i/>
          <w:iCs/>
          <w:sz w:val="24"/>
          <w:szCs w:val="24"/>
        </w:rPr>
        <w:t xml:space="preserve"> </w:t>
      </w:r>
      <w:r w:rsidRPr="00B45DC8">
        <w:rPr>
          <w:sz w:val="24"/>
          <w:szCs w:val="24"/>
        </w:rPr>
        <w:t>mathematical formulations, including the deployment of an oscillatory and non-oscillatory voltage waveform identification algorithm using a statistical approach, and performance analysis</w:t>
      </w:r>
      <w:r w:rsidR="00FC4A55">
        <w:rPr>
          <w:sz w:val="24"/>
          <w:szCs w:val="24"/>
        </w:rPr>
        <w:t>,</w:t>
      </w:r>
      <w:r w:rsidRPr="00B45DC8">
        <w:rPr>
          <w:sz w:val="24"/>
          <w:szCs w:val="24"/>
        </w:rPr>
        <w:t xml:space="preserve"> are given in Section 3.4.  Section 3.5 presents the methodology</w:t>
      </w:r>
      <w:r w:rsidR="00D828B2">
        <w:rPr>
          <w:sz w:val="24"/>
          <w:szCs w:val="24"/>
        </w:rPr>
        <w:t>,</w:t>
      </w:r>
      <w:r w:rsidRPr="00B45DC8">
        <w:rPr>
          <w:sz w:val="24"/>
          <w:szCs w:val="24"/>
        </w:rPr>
        <w:t xml:space="preserve"> results</w:t>
      </w:r>
      <w:r w:rsidR="00D828B2">
        <w:rPr>
          <w:sz w:val="24"/>
          <w:szCs w:val="24"/>
        </w:rPr>
        <w:t>,</w:t>
      </w:r>
      <w:r w:rsidRPr="00B45DC8">
        <w:rPr>
          <w:sz w:val="24"/>
          <w:szCs w:val="24"/>
        </w:rPr>
        <w:t xml:space="preserve"> and discussion of the proposed SDVPI. The </w:t>
      </w:r>
      <w:r w:rsidRPr="00B45DC8">
        <w:rPr>
          <w:bCs/>
          <w:sz w:val="24"/>
          <w:szCs w:val="24"/>
          <w:lang w:val="en-US"/>
        </w:rPr>
        <w:t xml:space="preserve">methodology </w:t>
      </w:r>
      <w:r w:rsidRPr="00B45DC8">
        <w:rPr>
          <w:sz w:val="24"/>
          <w:szCs w:val="24"/>
          <w:lang w:val="en-US"/>
        </w:rPr>
        <w:t>of</w:t>
      </w:r>
      <w:r w:rsidRPr="00B45DC8">
        <w:rPr>
          <w:bCs/>
          <w:sz w:val="24"/>
          <w:szCs w:val="24"/>
          <w:lang w:val="en-US"/>
        </w:rPr>
        <w:t xml:space="preserve"> mathematical formulation of </w:t>
      </w:r>
      <w:r w:rsidRPr="00B45DC8">
        <w:rPr>
          <w:sz w:val="24"/>
          <w:szCs w:val="24"/>
        </w:rPr>
        <w:t>SSOASI, followed by the performance analysis obtained from the results are discussed in Section 3.6. Finally, the work is concluded in Section 3.7.</w:t>
      </w:r>
    </w:p>
    <w:p w14:paraId="4D5D41CC" w14:textId="77777777" w:rsidR="00BE57F4" w:rsidRPr="00285959" w:rsidRDefault="00BE57F4" w:rsidP="00CD4F3A">
      <w:pPr>
        <w:pStyle w:val="Heading2"/>
        <w:rPr>
          <w:lang w:val="en-US"/>
        </w:rPr>
      </w:pPr>
      <w:bookmarkStart w:id="155" w:name="_Toc230256835"/>
      <w:bookmarkStart w:id="156" w:name="_Toc233734307"/>
      <w:r>
        <w:rPr>
          <w:lang w:val="en-US"/>
        </w:rPr>
        <w:t>Overview of</w:t>
      </w:r>
      <w:r w:rsidRPr="00285959">
        <w:rPr>
          <w:lang w:val="en-US"/>
        </w:rPr>
        <w:t xml:space="preserve"> Power System Stability Indices</w:t>
      </w:r>
      <w:bookmarkEnd w:id="155"/>
      <w:bookmarkEnd w:id="156"/>
    </w:p>
    <w:p w14:paraId="0DB21085" w14:textId="170FAB9A" w:rsidR="00BE57F4" w:rsidRPr="00293C06" w:rsidRDefault="00BE57F4" w:rsidP="002B0009">
      <w:pPr>
        <w:pStyle w:val="BodyText"/>
      </w:pPr>
      <w:r w:rsidRPr="00293C06">
        <w:t xml:space="preserve">The global transition toward low-carbon energy systems has accelerated the integration of renewable generation technologies, particularly wind and photovoltaic (PV) systems, into modern power grids </w:t>
      </w:r>
      <w:r>
        <w:fldChar w:fldCharType="begin"/>
      </w:r>
      <w:r>
        <w:instrText xml:space="preserve"> REF _Ref230197092 \r \h </w:instrText>
      </w:r>
      <w:r w:rsidR="00AD2E82">
        <w:instrText xml:space="preserve"> \* MERGEFORMAT </w:instrText>
      </w:r>
      <w:r>
        <w:fldChar w:fldCharType="separate"/>
      </w:r>
      <w:r w:rsidR="004E7464">
        <w:t>[51]</w:t>
      </w:r>
      <w:r>
        <w:fldChar w:fldCharType="end"/>
      </w:r>
      <w:r w:rsidRPr="00293C06">
        <w:t xml:space="preserve">. This transformation has been driven by the increasing availability of renewable energy resources, advancements in power electronic converter technologies, and the declining cost of renewable generation compared with conventional fossil-fuel-based generation </w:t>
      </w:r>
      <w:r>
        <w:fldChar w:fldCharType="begin"/>
      </w:r>
      <w:r>
        <w:instrText xml:space="preserve"> REF _Ref230197111 \r \h </w:instrText>
      </w:r>
      <w:r w:rsidR="00AD2E82">
        <w:instrText xml:space="preserve"> \* MERGEFORMAT </w:instrText>
      </w:r>
      <w:r>
        <w:fldChar w:fldCharType="separate"/>
      </w:r>
      <w:r w:rsidR="004E7464">
        <w:t>[52]</w:t>
      </w:r>
      <w:r>
        <w:fldChar w:fldCharType="end"/>
      </w:r>
      <w:r w:rsidRPr="00293C06">
        <w:t xml:space="preserve">. As a result, inverter-based resources (IBRs) have become a dominant component of contemporary power systems, ranging from distributed rooftop PV installations to utility-scale renewable energy plants </w:t>
      </w:r>
      <w:r>
        <w:fldChar w:fldCharType="begin"/>
      </w:r>
      <w:r>
        <w:instrText xml:space="preserve"> REF _Ref230197122 \r \h </w:instrText>
      </w:r>
      <w:r w:rsidR="00AD2E82">
        <w:instrText xml:space="preserve"> \* MERGEFORMAT </w:instrText>
      </w:r>
      <w:r>
        <w:fldChar w:fldCharType="separate"/>
      </w:r>
      <w:r w:rsidR="004E7464">
        <w:t>[53]</w:t>
      </w:r>
      <w:r>
        <w:fldChar w:fldCharType="end"/>
      </w:r>
      <w:r w:rsidRPr="00293C06">
        <w:t xml:space="preserve">, </w:t>
      </w:r>
      <w:r>
        <w:fldChar w:fldCharType="begin"/>
      </w:r>
      <w:r>
        <w:instrText xml:space="preserve"> REF _Ref230197131 \r \h </w:instrText>
      </w:r>
      <w:r w:rsidR="00AD2E82">
        <w:instrText xml:space="preserve"> \* MERGEFORMAT </w:instrText>
      </w:r>
      <w:r>
        <w:fldChar w:fldCharType="separate"/>
      </w:r>
      <w:r w:rsidR="004E7464">
        <w:t>[54]</w:t>
      </w:r>
      <w:r>
        <w:fldChar w:fldCharType="end"/>
      </w:r>
      <w:r w:rsidRPr="00293C06">
        <w:t xml:space="preserve">. </w:t>
      </w:r>
    </w:p>
    <w:p w14:paraId="033076E4" w14:textId="0F051670" w:rsidR="00BE57F4" w:rsidRPr="00293C06" w:rsidRDefault="00BE57F4" w:rsidP="00CF142B">
      <w:pPr>
        <w:pStyle w:val="BodyText"/>
        <w:spacing w:after="0"/>
      </w:pPr>
      <w:r w:rsidRPr="00293C06">
        <w:lastRenderedPageBreak/>
        <w:t xml:space="preserve">Several studies have reported that the operational characteristics of IBRs differ fundamentally from those of conventional SGs because their dynamic behaviour is predominantly governed by converter control systems rather than inherent electromechanical dynamics </w:t>
      </w:r>
      <w:r>
        <w:fldChar w:fldCharType="begin"/>
      </w:r>
      <w:r>
        <w:instrText xml:space="preserve"> REF _Ref230197151 \r \h </w:instrText>
      </w:r>
      <w:r w:rsidR="00D3171F">
        <w:instrText xml:space="preserve"> \* MERGEFORMAT </w:instrText>
      </w:r>
      <w:r>
        <w:fldChar w:fldCharType="separate"/>
      </w:r>
      <w:r w:rsidR="004E7464">
        <w:t>[55]</w:t>
      </w:r>
      <w:r>
        <w:fldChar w:fldCharType="end"/>
      </w:r>
      <w:r w:rsidRPr="00293C06">
        <w:t xml:space="preserve">. Fast inner current control loops and slower outer voltage or power control loops enable rapid dynamic responses; however, inadequate coordination among these control layers may adversely interact with network dynamics and contribute to stability issues. In addition, the widespread use of phase-locked loops (PLLs) for grid synchronization has been identified as a major source of low-frequency oscillations, particularly in weak-grid conditions where the short-circuit ratio (SCR) is low </w:t>
      </w:r>
      <w:r>
        <w:fldChar w:fldCharType="begin"/>
      </w:r>
      <w:r>
        <w:instrText xml:space="preserve"> REF _Ref230197163 \r \h </w:instrText>
      </w:r>
      <w:r w:rsidR="00D3171F">
        <w:instrText xml:space="preserve"> \* MERGEFORMAT </w:instrText>
      </w:r>
      <w:r>
        <w:fldChar w:fldCharType="separate"/>
      </w:r>
      <w:r w:rsidR="004E7464">
        <w:t>[56]</w:t>
      </w:r>
      <w:r>
        <w:fldChar w:fldCharType="end"/>
      </w:r>
      <w:r w:rsidRPr="00293C06">
        <w:t>. Researchers have shown that interactions among multiple converter controllers operating in close electrical proximity may lead to oscillatory behaviour, reactive power hunting, and reduced small-signal stability margins. These challenges become increasingly significant as renewable penetration levels rise and system inertia decreases.</w:t>
      </w:r>
    </w:p>
    <w:p w14:paraId="754DC19F" w14:textId="03661F08" w:rsidR="00BE57F4" w:rsidRPr="00293C06" w:rsidRDefault="00BE57F4" w:rsidP="00CF142B">
      <w:pPr>
        <w:pStyle w:val="BodyText"/>
        <w:spacing w:after="0"/>
      </w:pPr>
      <w:r w:rsidRPr="00293C06">
        <w:t xml:space="preserve">Small-signal stability (SSS) has therefore emerged as a major research focus in renewable-dominated power systems. SSS refers to the ability of a power system to maintain synchronism and return to a stable operating condition following small perturbations, such as minor load changes or generation fluctuations </w:t>
      </w:r>
      <w:r>
        <w:fldChar w:fldCharType="begin"/>
      </w:r>
      <w:r>
        <w:instrText xml:space="preserve"> REF _Ref230197163 \r \h </w:instrText>
      </w:r>
      <w:r w:rsidR="00BE4320">
        <w:instrText xml:space="preserve"> \* MERGEFORMAT </w:instrText>
      </w:r>
      <w:r>
        <w:fldChar w:fldCharType="separate"/>
      </w:r>
      <w:r w:rsidR="004E7464">
        <w:t>[56]</w:t>
      </w:r>
      <w:r>
        <w:fldChar w:fldCharType="end"/>
      </w:r>
      <w:r w:rsidRPr="00293C06">
        <w:t xml:space="preserve">, </w:t>
      </w:r>
      <w:r>
        <w:fldChar w:fldCharType="begin"/>
      </w:r>
      <w:r>
        <w:instrText xml:space="preserve"> REF _Ref230197187 \r \h </w:instrText>
      </w:r>
      <w:r w:rsidR="00BE4320">
        <w:instrText xml:space="preserve"> \* MERGEFORMAT </w:instrText>
      </w:r>
      <w:r>
        <w:fldChar w:fldCharType="separate"/>
      </w:r>
      <w:r w:rsidR="004E7464">
        <w:t>[57]</w:t>
      </w:r>
      <w:r>
        <w:fldChar w:fldCharType="end"/>
      </w:r>
      <w:r w:rsidRPr="00293C06">
        <w:t xml:space="preserve">. Conventional small-signal stability analysis is typically conducted by linearising the nonlinear differential-algebraic equations of the system around an operating point to obtain a state-space representation. The eigenvalues of the resulting system matrix are then analysed to determine the damping and oscillatory characteristics of the system </w:t>
      </w:r>
      <w:r>
        <w:fldChar w:fldCharType="begin"/>
      </w:r>
      <w:r>
        <w:instrText xml:space="preserve"> REF _Ref230197163 \r \h </w:instrText>
      </w:r>
      <w:r w:rsidR="00BE4320">
        <w:instrText xml:space="preserve"> \* MERGEFORMAT </w:instrText>
      </w:r>
      <w:r>
        <w:fldChar w:fldCharType="separate"/>
      </w:r>
      <w:r w:rsidR="004E7464">
        <w:t>[56]</w:t>
      </w:r>
      <w:r>
        <w:fldChar w:fldCharType="end"/>
      </w:r>
      <w:r w:rsidRPr="00293C06">
        <w:t xml:space="preserve">. In SG-dominated systems, voltage regulation and dynamic support are naturally maintained through excitation systems that continuously adjust reactive power output </w:t>
      </w:r>
      <w:r>
        <w:fldChar w:fldCharType="begin"/>
      </w:r>
      <w:r>
        <w:instrText xml:space="preserve"> REF _Ref230197187 \r \h </w:instrText>
      </w:r>
      <w:r w:rsidR="00BE4320">
        <w:instrText xml:space="preserve"> \* MERGEFORMAT </w:instrText>
      </w:r>
      <w:r>
        <w:fldChar w:fldCharType="separate"/>
      </w:r>
      <w:r w:rsidR="004E7464">
        <w:t>[57]</w:t>
      </w:r>
      <w:r>
        <w:fldChar w:fldCharType="end"/>
      </w:r>
      <w:r w:rsidRPr="00293C06">
        <w:t xml:space="preserve">. However, in IBR-dominated networks, voltage regulation relies entirely on converter control strategies. Consequently, poor tuning of control parameters, PLL instability, and interactions among multiple inverter controllers can significantly reduce stability margins and introduce sustained oscillatory behaviour, especially under weak-grid operating conditions. Previous studies have further indicated that these phenomena may not always be visible through conventional steady-state load-flow analysis and often require eigenvalue-based small-signal analysis for accurate identification </w:t>
      </w:r>
      <w:r>
        <w:fldChar w:fldCharType="begin"/>
      </w:r>
      <w:r>
        <w:instrText xml:space="preserve"> REF _Ref230197163 \r \h </w:instrText>
      </w:r>
      <w:r w:rsidR="00BE4320">
        <w:instrText xml:space="preserve"> \* MERGEFORMAT </w:instrText>
      </w:r>
      <w:r>
        <w:fldChar w:fldCharType="separate"/>
      </w:r>
      <w:r w:rsidR="004E7464">
        <w:t>[56]</w:t>
      </w:r>
      <w:r>
        <w:fldChar w:fldCharType="end"/>
      </w:r>
      <w:r w:rsidRPr="00293C06">
        <w:t>.</w:t>
      </w:r>
    </w:p>
    <w:p w14:paraId="4309E4D4" w14:textId="2DFEE190" w:rsidR="00BE57F4" w:rsidRPr="00293C06" w:rsidRDefault="00BE57F4" w:rsidP="00CF142B">
      <w:pPr>
        <w:pStyle w:val="BodyText"/>
        <w:spacing w:after="0"/>
      </w:pPr>
      <w:r w:rsidRPr="00293C06">
        <w:t xml:space="preserve">In parallel with small-signal stability concerns, voltage stability has become another critical issue in renewable-rich power systems. Unlike SGs, which </w:t>
      </w:r>
      <w:proofErr w:type="gramStart"/>
      <w:r w:rsidRPr="00293C06">
        <w:t>are capable of contributing</w:t>
      </w:r>
      <w:proofErr w:type="gramEnd"/>
      <w:r w:rsidRPr="00293C06">
        <w:t xml:space="preserve"> large fault currents during disturbances, IBRs are inherently current-limited devices and typically supply fault currents of only approximately 1.5 </w:t>
      </w:r>
      <w:proofErr w:type="spellStart"/>
      <w:r w:rsidRPr="00293C06">
        <w:t>p.u</w:t>
      </w:r>
      <w:proofErr w:type="spellEnd"/>
      <w:r w:rsidRPr="00293C06">
        <w:t xml:space="preserve">., compared with approximately 6 </w:t>
      </w:r>
      <w:proofErr w:type="spellStart"/>
      <w:r w:rsidRPr="00293C06">
        <w:t>p.u</w:t>
      </w:r>
      <w:proofErr w:type="spellEnd"/>
      <w:r w:rsidRPr="00293C06">
        <w:t xml:space="preserve">. for SGs </w:t>
      </w:r>
      <w:r>
        <w:fldChar w:fldCharType="begin"/>
      </w:r>
      <w:r>
        <w:instrText xml:space="preserve"> REF _Ref230197187 \r \h </w:instrText>
      </w:r>
      <w:r w:rsidR="00BE4320">
        <w:instrText xml:space="preserve"> \* MERGEFORMAT </w:instrText>
      </w:r>
      <w:r>
        <w:fldChar w:fldCharType="separate"/>
      </w:r>
      <w:r w:rsidR="004E7464">
        <w:t>[57]</w:t>
      </w:r>
      <w:r>
        <w:fldChar w:fldCharType="end"/>
      </w:r>
      <w:r w:rsidRPr="00293C06">
        <w:t xml:space="preserve">. This reduced fault current capability weakens voltage support during disturbances and increases the likelihood of voltage instability in stressed networks. Voltage stability issues are generally categorised into small-disturbance voltage stability (SDVS) and large-disturbance voltage stability (LDVS) </w:t>
      </w:r>
      <w:r>
        <w:fldChar w:fldCharType="begin"/>
      </w:r>
      <w:r>
        <w:instrText xml:space="preserve"> REF _Ref230197187 \r \h </w:instrText>
      </w:r>
      <w:r w:rsidR="00BE4320">
        <w:instrText xml:space="preserve"> \* MERGEFORMAT </w:instrText>
      </w:r>
      <w:r>
        <w:fldChar w:fldCharType="separate"/>
      </w:r>
      <w:r w:rsidR="004E7464">
        <w:t>[57]</w:t>
      </w:r>
      <w:r>
        <w:fldChar w:fldCharType="end"/>
      </w:r>
      <w:r w:rsidRPr="00293C06">
        <w:t>. SDVS problems typically occur under normal operating conditions when the system experiences small variations in load or generation. Under such conditions, inadequate voltage controller tuning, converter interactions, and weak-grid operation may lead to slow voltage oscillations and degraded voltage recovery characteristics. Existing literature has demonstrated that low SCR conditions significantly increase the sensitivity of system voltage to reactive power variations, thereby reducing voltage stability margins in IBR-dominated systems.</w:t>
      </w:r>
    </w:p>
    <w:p w14:paraId="6D9C715B" w14:textId="29A26CBD" w:rsidR="00BE57F4" w:rsidRPr="00293C06" w:rsidRDefault="00BE57F4" w:rsidP="00CF142B">
      <w:pPr>
        <w:pStyle w:val="BodyText"/>
        <w:spacing w:after="0"/>
      </w:pPr>
      <w:r w:rsidRPr="00293C06">
        <w:t xml:space="preserve">LDVS, on the other hand, is associated with severe disturbances such as faults, line outages, or sudden generation loss </w:t>
      </w:r>
      <w:r>
        <w:fldChar w:fldCharType="begin"/>
      </w:r>
      <w:r>
        <w:instrText xml:space="preserve"> REF _Ref230197252 \r \h </w:instrText>
      </w:r>
      <w:r w:rsidR="00BE4320">
        <w:instrText xml:space="preserve"> \* MERGEFORMAT </w:instrText>
      </w:r>
      <w:r>
        <w:fldChar w:fldCharType="separate"/>
      </w:r>
      <w:r w:rsidR="004E7464">
        <w:t>[58]</w:t>
      </w:r>
      <w:r>
        <w:fldChar w:fldCharType="end"/>
      </w:r>
      <w:r w:rsidRPr="00293C06">
        <w:t xml:space="preserve">. Numerous investigations have shown that renewable-rich systems are particularly vulnerable to LDVS because converter-based generation contributes limited fault </w:t>
      </w:r>
      <w:r w:rsidRPr="00293C06">
        <w:lastRenderedPageBreak/>
        <w:t xml:space="preserve">current and may prioritise active current injection during disturbances, thereby restricting reactive power support when it is most needed. In addition, converter protection mechanisms may trigger blocking or tripping actions during faults, which further weakens system voltage support and delays post-fault voltage recovery </w:t>
      </w:r>
      <w:r>
        <w:fldChar w:fldCharType="begin"/>
      </w:r>
      <w:r>
        <w:instrText xml:space="preserve"> REF _Ref230197252 \r \h </w:instrText>
      </w:r>
      <w:r w:rsidR="00BE4320">
        <w:instrText xml:space="preserve"> \* MERGEFORMAT </w:instrText>
      </w:r>
      <w:r>
        <w:fldChar w:fldCharType="separate"/>
      </w:r>
      <w:r w:rsidR="004E7464">
        <w:t>[58]</w:t>
      </w:r>
      <w:r>
        <w:fldChar w:fldCharType="end"/>
      </w:r>
      <w:r w:rsidRPr="00293C06">
        <w:t xml:space="preserve">. These issues have been observed in several practical power systems, including renewable-rich regions of the Australian National Electricity Market (NEM), where reduced system strength has been linked to voltage recovery concerns and large-scale disturbances such as the 2016 South Australia blackout </w:t>
      </w:r>
      <w:r>
        <w:fldChar w:fldCharType="begin"/>
      </w:r>
      <w:r>
        <w:instrText xml:space="preserve"> REF _Ref230197151 \r \h </w:instrText>
      </w:r>
      <w:r w:rsidR="00BE4320">
        <w:instrText xml:space="preserve"> \* MERGEFORMAT </w:instrText>
      </w:r>
      <w:r>
        <w:fldChar w:fldCharType="separate"/>
      </w:r>
      <w:r w:rsidR="004E7464">
        <w:t>[55]</w:t>
      </w:r>
      <w:r>
        <w:fldChar w:fldCharType="end"/>
      </w:r>
      <w:r w:rsidRPr="00293C06">
        <w:t>.</w:t>
      </w:r>
    </w:p>
    <w:p w14:paraId="25B58FD2" w14:textId="4D05265E" w:rsidR="00BE57F4" w:rsidRPr="00293C06" w:rsidRDefault="00BE57F4" w:rsidP="00CF142B">
      <w:pPr>
        <w:pStyle w:val="BodyText"/>
        <w:spacing w:after="0"/>
      </w:pPr>
      <w:r w:rsidRPr="00293C06">
        <w:t>Previous studies have commonly divided LDVS into short-term voltage stability (STVS) and long-term voltage stability (LTVS). STVS focuses on the immediate dynamic response of the system following large disturbances and is primarily associated with fast nonlinear dynamics, fault-induced voltage recovery, and short-term control interactions</w:t>
      </w:r>
      <w:r w:rsidR="00B57BFB">
        <w:t xml:space="preserve"> [59]</w:t>
      </w:r>
      <w:r w:rsidRPr="00293C06">
        <w:t>–</w:t>
      </w:r>
      <w:r>
        <w:fldChar w:fldCharType="begin"/>
      </w:r>
      <w:r>
        <w:instrText xml:space="preserve"> REF _Ref230197303 \r \h </w:instrText>
      </w:r>
      <w:r w:rsidR="00BE4320">
        <w:instrText xml:space="preserve"> \* MERGEFORMAT </w:instrText>
      </w:r>
      <w:r>
        <w:fldChar w:fldCharType="separate"/>
      </w:r>
      <w:r w:rsidR="004E7464">
        <w:t>[61]</w:t>
      </w:r>
      <w:r>
        <w:fldChar w:fldCharType="end"/>
      </w:r>
      <w:r w:rsidRPr="00293C06">
        <w:t xml:space="preserve">. In contrast, LTVS addresses slower dynamic processes, including load recovery, transmission–distribution interactions, and long-term reactive power adequacy </w:t>
      </w:r>
      <w:r>
        <w:fldChar w:fldCharType="begin"/>
      </w:r>
      <w:r>
        <w:instrText xml:space="preserve"> REF _Ref230197312 \r \h </w:instrText>
      </w:r>
      <w:r w:rsidR="00BE4320">
        <w:instrText xml:space="preserve"> \* MERGEFORMAT </w:instrText>
      </w:r>
      <w:r>
        <w:fldChar w:fldCharType="separate"/>
      </w:r>
      <w:r w:rsidR="004E7464">
        <w:t>[62]</w:t>
      </w:r>
      <w:r>
        <w:fldChar w:fldCharType="end"/>
      </w:r>
      <w:r w:rsidRPr="00293C06">
        <w:t>. Existing research has shown that a system may satisfy short-term voltage recovery criteria while exhibiting long-term voltage collapse, or conversely, may violate short-term voltage recovery limits while remaining stable over longer durations. Therefore, the separate assessment of STVS or LTVS alone may not provide a comprehensive representation of system voltage behaviour under disturbances.</w:t>
      </w:r>
    </w:p>
    <w:p w14:paraId="415B2429" w14:textId="065FD38A" w:rsidR="00BE57F4" w:rsidRDefault="00BE57F4" w:rsidP="00CF142B">
      <w:pPr>
        <w:pStyle w:val="BodyText"/>
        <w:spacing w:after="0"/>
      </w:pPr>
      <w:r w:rsidRPr="003B77C9">
        <w:t xml:space="preserve">Traditionally, system stability assessment has relied on visual inspection methods: post-disturbance voltage recovery is examined to evaluate voltage stability, while eigenvalue locations in the complex plane before and after small perturbations are compared to assess small-signal stability. However, this manual approach is impractical for large and complex modern power systems </w:t>
      </w:r>
      <w:r>
        <w:fldChar w:fldCharType="begin"/>
      </w:r>
      <w:r>
        <w:instrText xml:space="preserve"> REF _Ref230197092 \r \h </w:instrText>
      </w:r>
      <w:r w:rsidR="00BE4320">
        <w:instrText xml:space="preserve"> \* MERGEFORMAT </w:instrText>
      </w:r>
      <w:r>
        <w:fldChar w:fldCharType="separate"/>
      </w:r>
      <w:r w:rsidR="004E7464">
        <w:t>[51]</w:t>
      </w:r>
      <w:r>
        <w:fldChar w:fldCharType="end"/>
      </w:r>
      <w:r w:rsidRPr="003B77C9">
        <w:t xml:space="preserve">, </w:t>
      </w:r>
      <w:r>
        <w:fldChar w:fldCharType="begin"/>
      </w:r>
      <w:r>
        <w:instrText xml:space="preserve"> REF _Ref230197163 \r \h </w:instrText>
      </w:r>
      <w:r w:rsidR="00BE4320">
        <w:instrText xml:space="preserve"> \* MERGEFORMAT </w:instrText>
      </w:r>
      <w:r>
        <w:fldChar w:fldCharType="separate"/>
      </w:r>
      <w:r w:rsidR="004E7464">
        <w:t>[56]</w:t>
      </w:r>
      <w:r>
        <w:fldChar w:fldCharType="end"/>
      </w:r>
      <w:r w:rsidRPr="003B77C9">
        <w:t>. To address this limitation, numerous voltage and small-signal stability indices have been developed. These indices aim to characterise voltage dynamics under both small and large disturbances and to capture system behaviour in terms of small-signal stability following small perturbations. Nevertheless, existing indices vary significantly in their formulation and applicability, particularly in systems dominated by IBRs and DLs.</w:t>
      </w:r>
      <w:r>
        <w:t xml:space="preserve"> </w:t>
      </w:r>
      <w:r w:rsidRPr="003B77C9">
        <w:t xml:space="preserve">Although numerous indices have been developed for voltage and small-signal stability assessment, relatively little attention has been paid to systems dominated by IBRs and DLs. In the context of LDVS, limited work has addressed the simultaneous evaluation of STVS and LTVS, which is crucial for practical and real-time applications. A disturbance may lead to short-term instability while the system remains stable in the long term, or conversely, exhibit acceptable short-term performance followed by long-term voltage collapse. As illustrated in </w:t>
      </w:r>
      <w:r>
        <w:fldChar w:fldCharType="begin"/>
      </w:r>
      <w:r>
        <w:instrText xml:space="preserve"> REF _Ref230191681 \h </w:instrText>
      </w:r>
      <w:r w:rsidR="00BE4320">
        <w:instrText xml:space="preserve"> \* MERGEFORMAT </w:instrText>
      </w:r>
      <w:r>
        <w:fldChar w:fldCharType="separate"/>
      </w:r>
      <w:r w:rsidR="004E7464" w:rsidRPr="00E27D3B">
        <w:t xml:space="preserve">Figure </w:t>
      </w:r>
      <w:r w:rsidR="004E7464">
        <w:rPr>
          <w:noProof/>
        </w:rPr>
        <w:t>34</w:t>
      </w:r>
      <w:r>
        <w:fldChar w:fldCharType="end"/>
      </w:r>
      <w:r w:rsidRPr="003B77C9">
        <w:t>, the black trace represents a voltage response that violates short-term stability criteria but satisfies long-term requirements, according to the Western Electricity Coordinating Council (WECC) criterion. In contrast, the red trace shows stable short-term behaviour followed by long-term voltage instability. These contrasting responses highlight that relying solely on either STVS or LTVS is insufficient. Therefore, comprehensive voltage signature quantification requires the concurrent assessment of both short- and long-term voltage stability.</w:t>
      </w:r>
    </w:p>
    <w:p w14:paraId="662148FA" w14:textId="33B90260" w:rsidR="00DC6D94" w:rsidRPr="00293C06" w:rsidRDefault="00DC6D94" w:rsidP="00CF142B">
      <w:pPr>
        <w:pStyle w:val="BodyText"/>
        <w:spacing w:after="0"/>
      </w:pPr>
      <w:r w:rsidRPr="00293C06">
        <w:t>To address these limitations, recent research efforts have focused on developing advanced stability indices capable of capturing the dynamic signatures of renewable-rich power systems under varying operating conditions. In this context, this chapter introduces three complementary indices for assessing voltage stability and small-signal stability in modern power systems. The first contribution is the development of the Dynamic Voltage Resilience Index (DVRI) and its system-level extension, the system Dynamic Voltage Resilience Index (</w:t>
      </w:r>
      <w:proofErr w:type="spellStart"/>
      <w:r w:rsidRPr="00293C06">
        <w:t>sysDVRI</w:t>
      </w:r>
      <w:proofErr w:type="spellEnd"/>
      <w:r w:rsidRPr="00293C06">
        <w:t xml:space="preserve">), which simultaneously </w:t>
      </w:r>
      <w:r>
        <w:lastRenderedPageBreak/>
        <w:t>evaluates</w:t>
      </w:r>
      <w:r w:rsidRPr="00293C06">
        <w:t xml:space="preserve"> short-term and long-term voltage stability following large disturbances. Unlike conventional scalar-based indices that consider only STVS or LTVS characteristics independently </w:t>
      </w:r>
      <w:r>
        <w:fldChar w:fldCharType="begin"/>
      </w:r>
      <w:r>
        <w:instrText xml:space="preserve"> REF _Ref230197252 \r \h  \* MERGEFORMAT </w:instrText>
      </w:r>
      <w:r>
        <w:fldChar w:fldCharType="separate"/>
      </w:r>
      <w:r>
        <w:t>[58]</w:t>
      </w:r>
      <w:r>
        <w:fldChar w:fldCharType="end"/>
      </w:r>
      <w:r w:rsidRPr="00293C06">
        <w:t xml:space="preserve">, </w:t>
      </w:r>
      <w:r>
        <w:fldChar w:fldCharType="begin"/>
      </w:r>
      <w:r>
        <w:instrText xml:space="preserve"> REF _Ref230197584 \r \h  \* MERGEFORMAT </w:instrText>
      </w:r>
      <w:r>
        <w:fldChar w:fldCharType="separate"/>
      </w:r>
      <w:r>
        <w:t>[63]</w:t>
      </w:r>
      <w:r>
        <w:fldChar w:fldCharType="end"/>
      </w:r>
      <w:r w:rsidRPr="00293C06">
        <w:t>–</w:t>
      </w:r>
      <w:r>
        <w:fldChar w:fldCharType="begin"/>
      </w:r>
      <w:r>
        <w:instrText xml:space="preserve"> REF _Ref230197603 \r \h  \* MERGEFORMAT </w:instrText>
      </w:r>
      <w:r>
        <w:fldChar w:fldCharType="separate"/>
      </w:r>
      <w:r>
        <w:t>[68]</w:t>
      </w:r>
      <w:r>
        <w:fldChar w:fldCharType="end"/>
      </w:r>
      <w:r w:rsidRPr="00293C06">
        <w:t xml:space="preserve">, the proposed DVRI employs a vector-based representation capable of quantifying both short-term and long-term voltage stability characteristics simultaneously. To further improve practical applicability, a statistical waveform identification algorithm is incorporated to distinguish oscillatory voltage responses from undervoltage recovery waveforms without requiring explicit waveform inspection. The proposed </w:t>
      </w:r>
      <w:proofErr w:type="spellStart"/>
      <w:r w:rsidRPr="00293C06">
        <w:t>sysDVRI</w:t>
      </w:r>
      <w:proofErr w:type="spellEnd"/>
      <w:r w:rsidRPr="00293C06">
        <w:t xml:space="preserve"> further extends the methodology to provide system-level quantification of LDVS performance. The effectiveness of the proposed indices is validated </w:t>
      </w:r>
    </w:p>
    <w:p w14:paraId="47692D7C" w14:textId="77777777" w:rsidR="00DC6D94" w:rsidRDefault="00DC6D94" w:rsidP="00CD4F3A">
      <w:pPr>
        <w:pStyle w:val="BodyText"/>
        <w:spacing w:line="240" w:lineRule="auto"/>
      </w:pPr>
    </w:p>
    <w:p w14:paraId="60870D90" w14:textId="77777777" w:rsidR="00BE57F4" w:rsidRPr="003B77C9" w:rsidRDefault="00BE57F4" w:rsidP="00CD4F3A">
      <w:pPr>
        <w:pStyle w:val="BodyText"/>
        <w:spacing w:line="240" w:lineRule="auto"/>
        <w:jc w:val="center"/>
      </w:pPr>
      <w:r w:rsidRPr="003B77C9">
        <w:rPr>
          <w:noProof/>
        </w:rPr>
        <w:drawing>
          <wp:inline distT="0" distB="0" distL="0" distR="0" wp14:anchorId="63286C58" wp14:editId="3D1DC4E0">
            <wp:extent cx="3404440" cy="2037080"/>
            <wp:effectExtent l="0" t="0" r="5715" b="1270"/>
            <wp:docPr id="17825164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61339" cy="2071126"/>
                    </a:xfrm>
                    <a:prstGeom prst="rect">
                      <a:avLst/>
                    </a:prstGeom>
                    <a:noFill/>
                    <a:ln>
                      <a:noFill/>
                    </a:ln>
                  </pic:spPr>
                </pic:pic>
              </a:graphicData>
            </a:graphic>
          </wp:inline>
        </w:drawing>
      </w:r>
    </w:p>
    <w:p w14:paraId="382030E5" w14:textId="31BB9B3E" w:rsidR="00BE57F4" w:rsidRPr="00E27D3B" w:rsidRDefault="00BE57F4" w:rsidP="00CD4F3A">
      <w:pPr>
        <w:pStyle w:val="Caption"/>
        <w:spacing w:line="240" w:lineRule="auto"/>
        <w:rPr>
          <w:lang w:val="en-US"/>
        </w:rPr>
      </w:pPr>
      <w:bookmarkStart w:id="157" w:name="_Ref230191681"/>
      <w:bookmarkStart w:id="158" w:name="_Toc230198625"/>
      <w:bookmarkStart w:id="159" w:name="_Toc233735040"/>
      <w:r w:rsidRPr="00E27D3B">
        <w:t xml:space="preserve">Figure </w:t>
      </w:r>
      <w:fldSimple w:instr=" SEQ Figure \* ARABIC ">
        <w:r w:rsidR="00A85006">
          <w:rPr>
            <w:noProof/>
          </w:rPr>
          <w:t>34</w:t>
        </w:r>
      </w:fldSimple>
      <w:bookmarkEnd w:id="157"/>
      <w:r w:rsidRPr="00E27D3B">
        <w:t xml:space="preserve">: </w:t>
      </w:r>
      <w:r w:rsidRPr="003B77C9">
        <w:rPr>
          <w:rFonts w:asciiTheme="minorHAnsi" w:hAnsiTheme="minorHAnsi" w:cstheme="minorHAnsi"/>
          <w:szCs w:val="20"/>
        </w:rPr>
        <w:t>A fictitious post-fault waveform. The black line violates WECC short-term voltage criteria but meets long-term requirements, while the red line shows acceptable short-term response followed by long-term voltage instability.</w:t>
      </w:r>
      <w:bookmarkEnd w:id="158"/>
      <w:bookmarkEnd w:id="159"/>
    </w:p>
    <w:p w14:paraId="1F86D9BC" w14:textId="77777777" w:rsidR="00DC6D94" w:rsidRDefault="00DC6D94" w:rsidP="00C41FC2">
      <w:pPr>
        <w:pStyle w:val="BodyText"/>
        <w:spacing w:after="0"/>
      </w:pPr>
      <w:r w:rsidRPr="00293C06">
        <w:t>through comprehensive time-domain simulations on the Australian NEM Area 5 test system under varying renewable penetration levels and composite load scenarios.</w:t>
      </w:r>
    </w:p>
    <w:p w14:paraId="1CD5DB49" w14:textId="501277ED" w:rsidR="00BE57F4" w:rsidRPr="00293C06" w:rsidRDefault="00BE57F4" w:rsidP="00C41FC2">
      <w:pPr>
        <w:pStyle w:val="BodyText"/>
        <w:spacing w:after="0"/>
      </w:pPr>
      <w:r w:rsidRPr="00293C06">
        <w:t xml:space="preserve">The second contribution of this chapter focuses on small-disturbance voltage stability through the development of the Small-Disturbance Voltage Proximity Index (SDVPI). The proposed SDVPI is formulated using the adaptive continuation </w:t>
      </w:r>
      <w:r w:rsidR="0052041F">
        <w:t>power</w:t>
      </w:r>
      <w:r w:rsidRPr="00293C06">
        <w:t xml:space="preserve"> flow (AC</w:t>
      </w:r>
      <w:r w:rsidR="0052041F">
        <w:t>PF</w:t>
      </w:r>
      <w:r w:rsidRPr="00293C06">
        <w:t xml:space="preserve">) method and provides a simple yet comprehensive measure of the system’s proximity to the voltage collapse boundary. A mathematical formulation is developed to quantify the distance between stable and unstable operating regions under changing operating conditions. The proposed approach is further evaluated using a modified IEEE 39-bus system to investigate the impact of different generation and loading scenarios on voltage stability margins and to identify the weakest buses within the network using DIgSILENT </w:t>
      </w:r>
      <w:proofErr w:type="spellStart"/>
      <w:r w:rsidRPr="00293C06">
        <w:t>PowerFactory</w:t>
      </w:r>
      <w:proofErr w:type="spellEnd"/>
      <w:r w:rsidRPr="00293C06">
        <w:t xml:space="preserve"> simulations.</w:t>
      </w:r>
    </w:p>
    <w:p w14:paraId="534A31B8" w14:textId="77777777" w:rsidR="00BE57F4" w:rsidRPr="003B77C9" w:rsidRDefault="00BE57F4" w:rsidP="00C41FC2">
      <w:pPr>
        <w:pStyle w:val="BodyText"/>
        <w:spacing w:after="0"/>
      </w:pPr>
      <w:r w:rsidRPr="00293C06">
        <w:t>The final contribution of this chapter addresses small-signal stability assessment through the development of the Small-Signal Operating Area Security Index (SSOASI). The proposed index quantifies variations in system small-signal security by evaluating the minimum permissible damping of oscillatory modes under different operating conditions. A mathematical framework is developed to assess system security under varying generation patterns, network topologies, and loading conditions following contingencies. The proposed methodology is validated through detailed case studies conducted on a modified IEEE 39-bus system under multiple generation scenarios, demonstrating its effectiveness in assessing the dynamic security of renewable-rich power systems.</w:t>
      </w:r>
    </w:p>
    <w:p w14:paraId="60625481" w14:textId="77777777" w:rsidR="00BE57F4" w:rsidRPr="00E27D3B" w:rsidRDefault="00BE57F4" w:rsidP="00CD4F3A">
      <w:pPr>
        <w:pStyle w:val="Heading2"/>
      </w:pPr>
      <w:bookmarkStart w:id="160" w:name="_Toc223627362"/>
      <w:bookmarkStart w:id="161" w:name="_Toc230256836"/>
      <w:bookmarkStart w:id="162" w:name="_Toc233734308"/>
      <w:r w:rsidRPr="00E27D3B">
        <w:lastRenderedPageBreak/>
        <w:t>System Modelling</w:t>
      </w:r>
      <w:bookmarkEnd w:id="160"/>
      <w:bookmarkEnd w:id="161"/>
      <w:bookmarkEnd w:id="162"/>
    </w:p>
    <w:p w14:paraId="3750D1F3" w14:textId="6B819CD9" w:rsidR="00BE57F4" w:rsidRPr="00E27D3B" w:rsidRDefault="00BE57F4" w:rsidP="008021E8">
      <w:pPr>
        <w:pStyle w:val="BodyText"/>
        <w:spacing w:after="0"/>
      </w:pPr>
      <w:r w:rsidRPr="00E27D3B">
        <w:t>The study uses an integrated PSS®E</w:t>
      </w:r>
      <w:r>
        <w:t>/</w:t>
      </w:r>
      <w:r w:rsidR="00275A4E" w:rsidRPr="00275A4E">
        <w:t xml:space="preserve"> </w:t>
      </w:r>
      <w:r w:rsidR="00275A4E">
        <w:t xml:space="preserve">DIgSILENT </w:t>
      </w:r>
      <w:proofErr w:type="spellStart"/>
      <w:r w:rsidR="000E7D1C" w:rsidRPr="00293C06">
        <w:t>PowerFactory</w:t>
      </w:r>
      <w:proofErr w:type="spellEnd"/>
      <w:r w:rsidR="000E7D1C" w:rsidRPr="00293C06">
        <w:t xml:space="preserve"> </w:t>
      </w:r>
      <w:r>
        <w:t>/</w:t>
      </w:r>
      <w:r w:rsidRPr="00E27D3B">
        <w:t>Python</w:t>
      </w:r>
      <w:r>
        <w:t>/</w:t>
      </w:r>
      <w:r w:rsidRPr="00E27D3B">
        <w:t>MATLAB® environment: fixed–time-step dynamic simulations (0.05 cycles at 50 Hz) are performed in PSS®E</w:t>
      </w:r>
      <w:r>
        <w:t xml:space="preserve"> and DI</w:t>
      </w:r>
      <w:r w:rsidR="00275A4E">
        <w:t>gSILENT</w:t>
      </w:r>
      <w:r>
        <w:t xml:space="preserve"> </w:t>
      </w:r>
      <w:proofErr w:type="spellStart"/>
      <w:r w:rsidR="000E7D1C" w:rsidRPr="00293C06">
        <w:t>PowerFactory</w:t>
      </w:r>
      <w:proofErr w:type="spellEnd"/>
      <w:r w:rsidRPr="00E27D3B">
        <w:t>; voltage responses are classified as oscillatory or non-oscillatory in MATLAB®; and all simulation workflows are fully automated using Python®.</w:t>
      </w:r>
      <w:r>
        <w:t xml:space="preserve">  </w:t>
      </w:r>
    </w:p>
    <w:p w14:paraId="32931F22" w14:textId="77777777" w:rsidR="00BE57F4" w:rsidRPr="00E27D3B" w:rsidRDefault="00BE57F4" w:rsidP="00CD4F3A">
      <w:pPr>
        <w:pStyle w:val="Heading3"/>
      </w:pPr>
      <w:r w:rsidRPr="00E27D3B">
        <w:t xml:space="preserve">System Under Consideration </w:t>
      </w:r>
    </w:p>
    <w:p w14:paraId="511E3C9C" w14:textId="4569F2A3" w:rsidR="00BE57F4" w:rsidRPr="0072580A" w:rsidRDefault="00BE57F4" w:rsidP="008021E8">
      <w:pPr>
        <w:spacing w:after="0"/>
        <w:rPr>
          <w:rFonts w:asciiTheme="minorHAnsi" w:eastAsia="Times New Roman" w:hAnsiTheme="minorHAnsi" w:cstheme="minorHAnsi"/>
          <w:color w:val="auto"/>
          <w:sz w:val="24"/>
          <w:szCs w:val="24"/>
          <w:lang w:val="en-US" w:eastAsia="en-US"/>
        </w:rPr>
      </w:pPr>
      <w:r w:rsidRPr="0072580A">
        <w:rPr>
          <w:rFonts w:asciiTheme="minorHAnsi" w:eastAsia="Times New Roman" w:hAnsiTheme="minorHAnsi" w:cstheme="minorHAnsi"/>
          <w:color w:val="auto"/>
          <w:sz w:val="24"/>
          <w:szCs w:val="24"/>
          <w:lang w:val="en-US" w:eastAsia="en-US"/>
        </w:rPr>
        <w:t xml:space="preserve">This study </w:t>
      </w:r>
      <w:proofErr w:type="spellStart"/>
      <w:r w:rsidRPr="0072580A">
        <w:rPr>
          <w:rFonts w:asciiTheme="minorHAnsi" w:eastAsia="Times New Roman" w:hAnsiTheme="minorHAnsi" w:cstheme="minorHAnsi"/>
          <w:color w:val="auto"/>
          <w:sz w:val="24"/>
          <w:szCs w:val="24"/>
          <w:lang w:val="en-US" w:eastAsia="en-US"/>
        </w:rPr>
        <w:t>utilises</w:t>
      </w:r>
      <w:proofErr w:type="spellEnd"/>
      <w:r w:rsidRPr="0072580A">
        <w:rPr>
          <w:rFonts w:asciiTheme="minorHAnsi" w:eastAsia="Times New Roman" w:hAnsiTheme="minorHAnsi" w:cstheme="minorHAnsi"/>
          <w:color w:val="auto"/>
          <w:sz w:val="24"/>
          <w:szCs w:val="24"/>
          <w:lang w:val="en-US" w:eastAsia="en-US"/>
        </w:rPr>
        <w:t xml:space="preserve"> two test systems: a modified IEEE 39-bus system for SDVS and </w:t>
      </w:r>
      <w:r>
        <w:rPr>
          <w:rFonts w:asciiTheme="minorHAnsi" w:eastAsia="Times New Roman" w:hAnsiTheme="minorHAnsi" w:cstheme="minorHAnsi"/>
          <w:color w:val="auto"/>
          <w:sz w:val="24"/>
          <w:szCs w:val="24"/>
          <w:lang w:val="en-US" w:eastAsia="en-US"/>
        </w:rPr>
        <w:t>small signal stability index (SSSI)</w:t>
      </w:r>
      <w:r w:rsidRPr="0072580A">
        <w:rPr>
          <w:rFonts w:asciiTheme="minorHAnsi" w:eastAsia="Times New Roman" w:hAnsiTheme="minorHAnsi" w:cstheme="minorHAnsi"/>
          <w:color w:val="auto"/>
          <w:sz w:val="24"/>
          <w:szCs w:val="24"/>
          <w:lang w:val="en-US" w:eastAsia="en-US"/>
        </w:rPr>
        <w:t xml:space="preserve"> analyses, and a modified NEM 14-generator Area 5 test system (representing the South Australian network) for LDVS analysis. As the modified IEEE 39 bus model is the same as that presented in </w:t>
      </w:r>
      <w:r>
        <w:rPr>
          <w:rFonts w:asciiTheme="minorHAnsi" w:eastAsia="Times New Roman" w:hAnsiTheme="minorHAnsi" w:cstheme="minorHAnsi"/>
          <w:color w:val="auto"/>
          <w:sz w:val="24"/>
          <w:szCs w:val="24"/>
          <w:lang w:val="en-US" w:eastAsia="en-US"/>
        </w:rPr>
        <w:fldChar w:fldCharType="begin"/>
      </w:r>
      <w:r>
        <w:rPr>
          <w:rFonts w:asciiTheme="minorHAnsi" w:eastAsia="Times New Roman" w:hAnsiTheme="minorHAnsi" w:cstheme="minorHAnsi"/>
          <w:color w:val="auto"/>
          <w:sz w:val="24"/>
          <w:szCs w:val="24"/>
          <w:lang w:val="en-US" w:eastAsia="en-US"/>
        </w:rPr>
        <w:instrText xml:space="preserve"> REF _Ref223644144 \h </w:instrText>
      </w:r>
      <w:r w:rsidR="00BE4320">
        <w:rPr>
          <w:rFonts w:asciiTheme="minorHAnsi" w:eastAsia="Times New Roman" w:hAnsiTheme="minorHAnsi" w:cstheme="minorHAnsi"/>
          <w:color w:val="auto"/>
          <w:sz w:val="24"/>
          <w:szCs w:val="24"/>
          <w:lang w:val="en-US" w:eastAsia="en-US"/>
        </w:rPr>
        <w:instrText xml:space="preserve"> \* MERGEFORMAT </w:instrText>
      </w:r>
      <w:r>
        <w:rPr>
          <w:rFonts w:asciiTheme="minorHAnsi" w:eastAsia="Times New Roman" w:hAnsiTheme="minorHAnsi" w:cstheme="minorHAnsi"/>
          <w:color w:val="auto"/>
          <w:sz w:val="24"/>
          <w:szCs w:val="24"/>
          <w:lang w:val="en-US" w:eastAsia="en-US"/>
        </w:rPr>
      </w:r>
      <w:r>
        <w:rPr>
          <w:rFonts w:asciiTheme="minorHAnsi" w:eastAsia="Times New Roman" w:hAnsiTheme="minorHAnsi" w:cstheme="minorHAnsi"/>
          <w:color w:val="auto"/>
          <w:sz w:val="24"/>
          <w:szCs w:val="24"/>
          <w:lang w:val="en-US" w:eastAsia="en-US"/>
        </w:rPr>
        <w:fldChar w:fldCharType="separate"/>
      </w:r>
      <w:r w:rsidR="00753DAF" w:rsidRPr="00E27D3B">
        <w:t xml:space="preserve">Figure </w:t>
      </w:r>
      <w:r w:rsidR="00753DAF">
        <w:rPr>
          <w:noProof/>
        </w:rPr>
        <w:t>13</w:t>
      </w:r>
      <w:r>
        <w:rPr>
          <w:rFonts w:asciiTheme="minorHAnsi" w:eastAsia="Times New Roman" w:hAnsiTheme="minorHAnsi" w:cstheme="minorHAnsi"/>
          <w:color w:val="auto"/>
          <w:sz w:val="24"/>
          <w:szCs w:val="24"/>
          <w:lang w:val="en-US" w:eastAsia="en-US"/>
        </w:rPr>
        <w:fldChar w:fldCharType="end"/>
      </w:r>
      <w:r w:rsidRPr="0072580A">
        <w:rPr>
          <w:rFonts w:asciiTheme="minorHAnsi" w:eastAsia="Times New Roman" w:hAnsiTheme="minorHAnsi" w:cstheme="minorHAnsi"/>
          <w:color w:val="auto"/>
          <w:sz w:val="24"/>
          <w:szCs w:val="24"/>
          <w:lang w:val="en-US" w:eastAsia="en-US"/>
        </w:rPr>
        <w:t xml:space="preserve"> </w:t>
      </w:r>
      <w:r w:rsidR="004F3BD2">
        <w:rPr>
          <w:rFonts w:asciiTheme="minorHAnsi" w:eastAsia="Times New Roman" w:hAnsiTheme="minorHAnsi" w:cstheme="minorHAnsi"/>
          <w:color w:val="auto"/>
          <w:sz w:val="24"/>
          <w:szCs w:val="24"/>
          <w:lang w:val="en-US" w:eastAsia="en-US"/>
        </w:rPr>
        <w:t>in</w:t>
      </w:r>
      <w:r w:rsidRPr="0072580A">
        <w:rPr>
          <w:rFonts w:asciiTheme="minorHAnsi" w:eastAsia="Times New Roman" w:hAnsiTheme="minorHAnsi" w:cstheme="minorHAnsi"/>
          <w:color w:val="auto"/>
          <w:sz w:val="24"/>
          <w:szCs w:val="24"/>
          <w:lang w:val="en-US" w:eastAsia="en-US"/>
        </w:rPr>
        <w:t xml:space="preserve"> Chapter 2, its detailed modelling is not repeated in this section.</w:t>
      </w:r>
    </w:p>
    <w:p w14:paraId="1007FDAC" w14:textId="36C0C45F" w:rsidR="00BE57F4" w:rsidRDefault="00BE57F4" w:rsidP="008021E8">
      <w:pPr>
        <w:pStyle w:val="BodyText"/>
        <w:spacing w:after="0"/>
        <w:rPr>
          <w:rFonts w:asciiTheme="minorHAnsi" w:eastAsia="Times New Roman" w:hAnsiTheme="minorHAnsi" w:cstheme="minorHAnsi"/>
          <w:color w:val="auto"/>
          <w:szCs w:val="24"/>
          <w:lang w:val="en-US" w:eastAsia="en-US"/>
        </w:rPr>
      </w:pPr>
      <w:r w:rsidRPr="0072580A">
        <w:rPr>
          <w:rFonts w:asciiTheme="minorHAnsi" w:eastAsia="Times New Roman" w:hAnsiTheme="minorHAnsi" w:cstheme="minorHAnsi"/>
          <w:color w:val="auto"/>
          <w:szCs w:val="24"/>
          <w:lang w:val="en-US" w:eastAsia="en-US"/>
        </w:rPr>
        <w:t xml:space="preserve">For the LDVS study, the modified NEM 14-generator Area 5 system comprises 10 buses, three synchronous generators (SGs) with a combined capacity of 2325 MW, two static VAR compensators, four loads, and three transformers. Aggregated models are adopted for both generation and loads to represent the underlying distribution networks, while distribution-level dynamics are not explicitly modelled. The single-line diagram of the system is shown in </w:t>
      </w:r>
      <w:r>
        <w:rPr>
          <w:rFonts w:asciiTheme="minorHAnsi" w:eastAsia="Times New Roman" w:hAnsiTheme="minorHAnsi" w:cstheme="minorHAnsi"/>
          <w:color w:val="auto"/>
          <w:szCs w:val="24"/>
          <w:lang w:val="en-US" w:eastAsia="en-US"/>
        </w:rPr>
        <w:fldChar w:fldCharType="begin"/>
      </w:r>
      <w:r>
        <w:rPr>
          <w:rFonts w:asciiTheme="minorHAnsi" w:eastAsia="Times New Roman" w:hAnsiTheme="minorHAnsi" w:cstheme="minorHAnsi"/>
          <w:color w:val="auto"/>
          <w:szCs w:val="24"/>
          <w:lang w:val="en-US" w:eastAsia="en-US"/>
        </w:rPr>
        <w:instrText xml:space="preserve"> REF _Ref230191749 \h </w:instrText>
      </w:r>
      <w:r w:rsidR="00BE4320">
        <w:rPr>
          <w:rFonts w:asciiTheme="minorHAnsi" w:eastAsia="Times New Roman" w:hAnsiTheme="minorHAnsi" w:cstheme="minorHAnsi"/>
          <w:color w:val="auto"/>
          <w:szCs w:val="24"/>
          <w:lang w:val="en-US" w:eastAsia="en-US"/>
        </w:rPr>
        <w:instrText xml:space="preserve"> \* MERGEFORMAT </w:instrText>
      </w:r>
      <w:r>
        <w:rPr>
          <w:rFonts w:asciiTheme="minorHAnsi" w:eastAsia="Times New Roman" w:hAnsiTheme="minorHAnsi" w:cstheme="minorHAnsi"/>
          <w:color w:val="auto"/>
          <w:szCs w:val="24"/>
          <w:lang w:val="en-US" w:eastAsia="en-US"/>
        </w:rPr>
      </w:r>
      <w:r>
        <w:rPr>
          <w:rFonts w:asciiTheme="minorHAnsi" w:eastAsia="Times New Roman" w:hAnsiTheme="minorHAnsi" w:cstheme="minorHAnsi"/>
          <w:color w:val="auto"/>
          <w:szCs w:val="24"/>
          <w:lang w:val="en-US" w:eastAsia="en-US"/>
        </w:rPr>
        <w:fldChar w:fldCharType="separate"/>
      </w:r>
      <w:r w:rsidR="00753DAF" w:rsidRPr="00E27D3B">
        <w:t xml:space="preserve">Figure </w:t>
      </w:r>
      <w:r w:rsidR="00753DAF">
        <w:rPr>
          <w:noProof/>
        </w:rPr>
        <w:t>35</w:t>
      </w:r>
      <w:r>
        <w:rPr>
          <w:rFonts w:asciiTheme="minorHAnsi" w:eastAsia="Times New Roman" w:hAnsiTheme="minorHAnsi" w:cstheme="minorHAnsi"/>
          <w:color w:val="auto"/>
          <w:szCs w:val="24"/>
          <w:lang w:val="en-US" w:eastAsia="en-US"/>
        </w:rPr>
        <w:fldChar w:fldCharType="end"/>
      </w:r>
      <w:r w:rsidRPr="0072580A">
        <w:rPr>
          <w:rFonts w:asciiTheme="minorHAnsi" w:eastAsia="Times New Roman" w:hAnsiTheme="minorHAnsi" w:cstheme="minorHAnsi"/>
          <w:color w:val="auto"/>
          <w:szCs w:val="24"/>
          <w:lang w:val="en-US" w:eastAsia="en-US"/>
        </w:rPr>
        <w:t>. Bus 315 acts as the interconnection point to the remainder of the 14-generator NEM system.</w:t>
      </w:r>
    </w:p>
    <w:p w14:paraId="2C4D4762" w14:textId="77777777" w:rsidR="00BE4320" w:rsidRPr="00E27D3B" w:rsidRDefault="00BE4320" w:rsidP="00CD4F3A">
      <w:pPr>
        <w:pStyle w:val="Heading3"/>
        <w:ind w:left="1134" w:hanging="1134"/>
      </w:pPr>
      <w:r w:rsidRPr="00E27D3B">
        <w:t xml:space="preserve">Synchronous Generators Modelling </w:t>
      </w:r>
    </w:p>
    <w:p w14:paraId="2BB848D4" w14:textId="6DA1E1C1" w:rsidR="00BE4320" w:rsidRPr="00E27D3B" w:rsidRDefault="00BE4320" w:rsidP="008021E8">
      <w:pPr>
        <w:pStyle w:val="BodyText"/>
        <w:spacing w:after="0"/>
      </w:pPr>
      <w:r w:rsidRPr="00E27D3B">
        <w:t xml:space="preserve">In the base case, generators at Buses 501–503 are modelled as conventional SGs using GENROE, ESAC4A, and TGOV1 models </w:t>
      </w:r>
      <w:r>
        <w:fldChar w:fldCharType="begin"/>
      </w:r>
      <w:r>
        <w:instrText xml:space="preserve"> REF _Ref230197777 \r \h </w:instrText>
      </w:r>
      <w:r w:rsidR="008F1039">
        <w:instrText xml:space="preserve"> \* MERGEFORMAT </w:instrText>
      </w:r>
      <w:r>
        <w:fldChar w:fldCharType="separate"/>
      </w:r>
      <w:r>
        <w:t>[69]</w:t>
      </w:r>
      <w:r>
        <w:fldChar w:fldCharType="end"/>
      </w:r>
      <w:r w:rsidRPr="00E27D3B">
        <w:t>,</w:t>
      </w:r>
      <w:r>
        <w:t xml:space="preserve"> </w:t>
      </w:r>
      <w:r>
        <w:fldChar w:fldCharType="begin"/>
      </w:r>
      <w:r>
        <w:instrText xml:space="preserve"> REF _Ref230197786 \r \h </w:instrText>
      </w:r>
      <w:r w:rsidR="008F1039">
        <w:instrText xml:space="preserve"> \* MERGEFORMAT </w:instrText>
      </w:r>
      <w:r>
        <w:fldChar w:fldCharType="separate"/>
      </w:r>
      <w:r>
        <w:t>[70]</w:t>
      </w:r>
      <w:r>
        <w:fldChar w:fldCharType="end"/>
      </w:r>
      <w:r>
        <w:t xml:space="preserve"> </w:t>
      </w:r>
      <w:r w:rsidRPr="00E27D3B">
        <w:t>with transmission lines represented by π-equivalents. The dominant 1000 MVA unit at Bus 503 has a transient reactance nearly twice that of the other generators, indicating weaker dynamic strength and is therefore treated as a weak grid. Subsequent studies examine the impact of replacing this unit with IBRs.</w:t>
      </w:r>
    </w:p>
    <w:p w14:paraId="1D9B7086" w14:textId="77777777" w:rsidR="00BE57F4" w:rsidRPr="00E27D3B" w:rsidRDefault="00BE57F4" w:rsidP="00CD4F3A">
      <w:pPr>
        <w:pStyle w:val="BodyText"/>
        <w:keepNext/>
        <w:spacing w:line="240" w:lineRule="auto"/>
        <w:jc w:val="center"/>
      </w:pPr>
      <w:r w:rsidRPr="00C20E65">
        <w:rPr>
          <w:noProof/>
        </w:rPr>
        <w:lastRenderedPageBreak/>
        <w:drawing>
          <wp:inline distT="0" distB="0" distL="0" distR="0" wp14:anchorId="179DE5CE" wp14:editId="04991BE8">
            <wp:extent cx="4200525" cy="4264984"/>
            <wp:effectExtent l="0" t="0" r="0" b="2540"/>
            <wp:docPr id="20699885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06009" cy="4270552"/>
                    </a:xfrm>
                    <a:prstGeom prst="rect">
                      <a:avLst/>
                    </a:prstGeom>
                    <a:noFill/>
                    <a:ln>
                      <a:noFill/>
                    </a:ln>
                  </pic:spPr>
                </pic:pic>
              </a:graphicData>
            </a:graphic>
          </wp:inline>
        </w:drawing>
      </w:r>
    </w:p>
    <w:p w14:paraId="6F3891A1" w14:textId="2B312429" w:rsidR="00BE57F4" w:rsidRDefault="00BE57F4" w:rsidP="00CD4F3A">
      <w:pPr>
        <w:pStyle w:val="Caption"/>
        <w:spacing w:line="240" w:lineRule="auto"/>
        <w:jc w:val="both"/>
      </w:pPr>
      <w:bookmarkStart w:id="163" w:name="_Ref230191749"/>
      <w:bookmarkStart w:id="164" w:name="_Toc223699970"/>
      <w:bookmarkStart w:id="165" w:name="_Toc224235126"/>
      <w:bookmarkStart w:id="166" w:name="_Toc230198626"/>
      <w:bookmarkStart w:id="167" w:name="_Toc233735041"/>
      <w:r w:rsidRPr="00E27D3B">
        <w:t xml:space="preserve">Figure </w:t>
      </w:r>
      <w:fldSimple w:instr=" SEQ Figure \* ARABIC ">
        <w:r w:rsidR="00A85006">
          <w:rPr>
            <w:noProof/>
          </w:rPr>
          <w:t>35</w:t>
        </w:r>
      </w:fldSimple>
      <w:bookmarkEnd w:id="163"/>
      <w:r w:rsidRPr="00E27D3B">
        <w:t xml:space="preserve">: </w:t>
      </w:r>
      <w:r w:rsidR="00C84558">
        <w:t>M</w:t>
      </w:r>
      <w:r w:rsidRPr="00E27D3B">
        <w:t>odified NEM 14-generators area 5 (South Australia) test system.</w:t>
      </w:r>
      <w:bookmarkEnd w:id="164"/>
      <w:bookmarkEnd w:id="165"/>
      <w:bookmarkEnd w:id="166"/>
      <w:bookmarkEnd w:id="167"/>
    </w:p>
    <w:p w14:paraId="22CE247D" w14:textId="77777777" w:rsidR="00CD4F3A" w:rsidRPr="00E27D3B" w:rsidRDefault="00CD4F3A" w:rsidP="00CD4F3A">
      <w:pPr>
        <w:pStyle w:val="Heading3"/>
        <w:ind w:left="1134" w:hanging="1134"/>
      </w:pPr>
      <w:r w:rsidRPr="00E27D3B">
        <w:t xml:space="preserve">Renewable Generators (PVs and Wind) Modelling  </w:t>
      </w:r>
    </w:p>
    <w:p w14:paraId="311D8518" w14:textId="35200D57" w:rsidR="00CD4F3A" w:rsidRPr="00CD4F3A" w:rsidRDefault="00CD4F3A" w:rsidP="0023077F">
      <w:pPr>
        <w:pStyle w:val="BodyText"/>
        <w:spacing w:after="0"/>
      </w:pPr>
      <w:r w:rsidRPr="00E27D3B">
        <w:t xml:space="preserve">This study uses WECC generic renewable models for PV and wind plants, including a WECC-type generic Renewable Energy Generator model named REGCA1, a WECC-type generic Renewable Energy Electrical Control Model named REECA1, and a WECC-type generic Renewable Energy plant control model named REPC </w:t>
      </w:r>
      <w:r>
        <w:fldChar w:fldCharType="begin"/>
      </w:r>
      <w:r>
        <w:instrText xml:space="preserve"> REF _Ref230197801 \r \h  \* MERGEFORMAT </w:instrText>
      </w:r>
      <w:r>
        <w:fldChar w:fldCharType="separate"/>
      </w:r>
      <w:r>
        <w:t>[71]</w:t>
      </w:r>
      <w:r>
        <w:fldChar w:fldCharType="end"/>
      </w:r>
      <w:r w:rsidRPr="00E27D3B">
        <w:t xml:space="preserve">, consistent with PJM Model Development Guidelines </w:t>
      </w:r>
      <w:r>
        <w:fldChar w:fldCharType="begin"/>
      </w:r>
      <w:r>
        <w:instrText xml:space="preserve"> REF _Ref230197786 \r \h  \* MERGEFORMAT </w:instrText>
      </w:r>
      <w:r>
        <w:fldChar w:fldCharType="separate"/>
      </w:r>
      <w:r>
        <w:t>[70]</w:t>
      </w:r>
      <w:r>
        <w:fldChar w:fldCharType="end"/>
      </w:r>
      <w:r w:rsidRPr="00E27D3B">
        <w:t xml:space="preserve">, PV and wind units operate at a 0.95 lagging power factor under plant-level control, using parameters from </w:t>
      </w:r>
      <w:r>
        <w:fldChar w:fldCharType="begin"/>
      </w:r>
      <w:r>
        <w:instrText xml:space="preserve"> REF _Ref230197801 \r \h  \* MERGEFORMAT </w:instrText>
      </w:r>
      <w:r>
        <w:fldChar w:fldCharType="separate"/>
      </w:r>
      <w:r>
        <w:t>[71]</w:t>
      </w:r>
      <w:r>
        <w:fldChar w:fldCharType="end"/>
      </w:r>
      <w:r>
        <w:t>.</w:t>
      </w:r>
      <w:r w:rsidRPr="00E27D3B">
        <w:t xml:space="preserve"> Inverter AC sides are aggregated at low voltage and stepped up to the grid through collector systems and main step-up transformers (T1–T3), as shown in </w:t>
      </w:r>
      <w:r>
        <w:fldChar w:fldCharType="begin"/>
      </w:r>
      <w:r>
        <w:instrText xml:space="preserve"> REF _Ref230191749 \h  \* MERGEFORMAT </w:instrText>
      </w:r>
      <w:r>
        <w:fldChar w:fldCharType="separate"/>
      </w:r>
      <w:r w:rsidRPr="00E27D3B">
        <w:t xml:space="preserve">Figure </w:t>
      </w:r>
      <w:r>
        <w:rPr>
          <w:noProof/>
        </w:rPr>
        <w:t>35</w:t>
      </w:r>
      <w:r>
        <w:fldChar w:fldCharType="end"/>
      </w:r>
      <w:r w:rsidRPr="00E27D3B">
        <w:t xml:space="preserve"> (Zoom section 1).</w:t>
      </w:r>
    </w:p>
    <w:p w14:paraId="4E7A0EA1" w14:textId="77777777" w:rsidR="00BE57F4" w:rsidRPr="00E27D3B" w:rsidRDefault="00BE57F4" w:rsidP="00CD4F3A">
      <w:pPr>
        <w:pStyle w:val="Heading3"/>
        <w:ind w:left="1134" w:hanging="1134"/>
      </w:pPr>
      <w:r>
        <w:t xml:space="preserve">Load Modelling  </w:t>
      </w:r>
    </w:p>
    <w:p w14:paraId="3B902768" w14:textId="6365B2E9" w:rsidR="00BE57F4" w:rsidRPr="00E27D3B" w:rsidRDefault="00BE57F4" w:rsidP="0023077F">
      <w:pPr>
        <w:pStyle w:val="BodyText"/>
        <w:spacing w:after="0"/>
      </w:pPr>
      <w:bookmarkStart w:id="168" w:name="_Toc223627363"/>
      <w:r w:rsidRPr="00E27D3B">
        <w:t xml:space="preserve">The dynamic load model, CMLDBLDGU2 (which integrates distributed energy resources (DERs) into the WECC Composite Load Model), developed by the Modelling and Validation Working Group, is used in this study </w:t>
      </w:r>
      <w:r>
        <w:fldChar w:fldCharType="begin"/>
      </w:r>
      <w:r>
        <w:instrText xml:space="preserve"> REF _Ref230197873 \r \h </w:instrText>
      </w:r>
      <w:r w:rsidR="00D35114">
        <w:instrText xml:space="preserve"> \* MERGEFORMAT </w:instrText>
      </w:r>
      <w:r>
        <w:fldChar w:fldCharType="separate"/>
      </w:r>
      <w:r w:rsidR="00C62031">
        <w:t>[72]</w:t>
      </w:r>
      <w:r>
        <w:fldChar w:fldCharType="end"/>
      </w:r>
      <w:r w:rsidRPr="00E27D3B">
        <w:t xml:space="preserve">. At present, most of this DER connected to the NEM consists of distributed PV generation </w:t>
      </w:r>
      <w:r>
        <w:fldChar w:fldCharType="begin"/>
      </w:r>
      <w:r>
        <w:instrText xml:space="preserve"> REF _Ref230197881 \r \h </w:instrText>
      </w:r>
      <w:r w:rsidR="00D35114">
        <w:instrText xml:space="preserve"> \* MERGEFORMAT </w:instrText>
      </w:r>
      <w:r>
        <w:fldChar w:fldCharType="separate"/>
      </w:r>
      <w:r w:rsidR="00C62031">
        <w:t>[73]</w:t>
      </w:r>
      <w:r>
        <w:fldChar w:fldCharType="end"/>
      </w:r>
      <w:r w:rsidRPr="00E27D3B">
        <w:t xml:space="preserve">. It is worth noting that the Australian Energy Market Operator (AEMO) also employs this model for power system stability assessments. Its structure, shown in </w:t>
      </w:r>
      <w:r>
        <w:fldChar w:fldCharType="begin"/>
      </w:r>
      <w:r>
        <w:instrText xml:space="preserve"> REF _Ref230191749 \h </w:instrText>
      </w:r>
      <w:r w:rsidR="00D35114">
        <w:instrText xml:space="preserve"> \* MERGEFORMAT </w:instrText>
      </w:r>
      <w:r>
        <w:fldChar w:fldCharType="separate"/>
      </w:r>
      <w:r w:rsidR="00C62031" w:rsidRPr="00E27D3B">
        <w:t xml:space="preserve">Figure </w:t>
      </w:r>
      <w:r w:rsidR="00C62031">
        <w:rPr>
          <w:noProof/>
        </w:rPr>
        <w:t>35</w:t>
      </w:r>
      <w:r>
        <w:fldChar w:fldCharType="end"/>
      </w:r>
      <w:r w:rsidRPr="00E27D3B">
        <w:t xml:space="preserve"> (Zoom section 2), includes the following components:</w:t>
      </w:r>
    </w:p>
    <w:p w14:paraId="2444905B" w14:textId="77777777" w:rsidR="00BE57F4" w:rsidRPr="00547C88" w:rsidRDefault="00BE57F4" w:rsidP="0023077F">
      <w:pPr>
        <w:pStyle w:val="BodyText"/>
        <w:spacing w:after="0"/>
        <w:ind w:left="425"/>
      </w:pPr>
      <w:r w:rsidRPr="00E27D3B">
        <w:t>1.</w:t>
      </w:r>
      <w:r w:rsidRPr="00E27D3B">
        <w:tab/>
        <w:t xml:space="preserve">Distribution transformers with on-load tap changers </w:t>
      </w:r>
      <w:r w:rsidRPr="00547C88">
        <w:t>(OLTCs).</w:t>
      </w:r>
    </w:p>
    <w:p w14:paraId="7562C926" w14:textId="77777777" w:rsidR="00BE57F4" w:rsidRPr="00547C88" w:rsidRDefault="00BE57F4" w:rsidP="0023077F">
      <w:pPr>
        <w:pStyle w:val="BodyText"/>
        <w:spacing w:after="0"/>
        <w:ind w:left="425"/>
      </w:pPr>
      <w:r w:rsidRPr="00547C88">
        <w:t>2.</w:t>
      </w:r>
      <w:r w:rsidRPr="00547C88">
        <w:tab/>
        <w:t>Explicit substation shunt capacitors (</w:t>
      </w:r>
      <w:proofErr w:type="spellStart"/>
      <w:r w:rsidRPr="00547C88">
        <w:t>Bss</w:t>
      </w:r>
      <w:proofErr w:type="spellEnd"/>
      <w:r w:rsidRPr="00547C88">
        <w:t>).</w:t>
      </w:r>
    </w:p>
    <w:p w14:paraId="69CBABB1" w14:textId="77777777" w:rsidR="00BE57F4" w:rsidRPr="00547C88" w:rsidRDefault="00BE57F4" w:rsidP="0023077F">
      <w:pPr>
        <w:pStyle w:val="BodyText"/>
        <w:spacing w:after="0"/>
        <w:ind w:left="425"/>
      </w:pPr>
      <w:r w:rsidRPr="00547C88">
        <w:lastRenderedPageBreak/>
        <w:t>3.</w:t>
      </w:r>
      <w:r w:rsidRPr="00547C88">
        <w:tab/>
        <w:t>An aggregated equivalent of distribution feeders supplying end-use loads (</w:t>
      </w:r>
      <w:proofErr w:type="spellStart"/>
      <w:r w:rsidRPr="00547C88">
        <w:t>Rfdr</w:t>
      </w:r>
      <w:proofErr w:type="spellEnd"/>
      <w:r w:rsidRPr="00547C88">
        <w:t xml:space="preserve"> + </w:t>
      </w:r>
      <w:proofErr w:type="spellStart"/>
      <w:r w:rsidRPr="00547C88">
        <w:t>jXfdr</w:t>
      </w:r>
      <w:proofErr w:type="spellEnd"/>
      <w:r w:rsidRPr="00547C88">
        <w:t>), with internal feeder compensation (Bf1 and Bf2) calculated to match transmission-level MW/MVAr.</w:t>
      </w:r>
    </w:p>
    <w:p w14:paraId="45868CED" w14:textId="5439B962" w:rsidR="00BE57F4" w:rsidRPr="00E27D3B" w:rsidRDefault="00BE57F4" w:rsidP="0023077F">
      <w:pPr>
        <w:pStyle w:val="BodyText"/>
        <w:spacing w:after="0"/>
        <w:ind w:left="425"/>
      </w:pPr>
      <w:r w:rsidRPr="00547C88">
        <w:t>4. Aggregated load components at the feeder end, including three-phase induction motors (Motors A, B, C), a performance-based residential air-conditioning model (Motor D), and power electronic and static (ZIP) loads. Motor D</w:t>
      </w:r>
      <w:r w:rsidRPr="00E27D3B">
        <w:t>, developed from laboratory tests, represents single-phase residential induction loads such as air conditioners and refrigeration compressors</w:t>
      </w:r>
      <w:r w:rsidR="001565CD">
        <w:t>.</w:t>
      </w:r>
    </w:p>
    <w:p w14:paraId="55D941F4" w14:textId="12BA2251" w:rsidR="00BE57F4" w:rsidRPr="00E27D3B" w:rsidRDefault="00BE57F4" w:rsidP="0023077F">
      <w:pPr>
        <w:pStyle w:val="BodyText"/>
        <w:spacing w:after="0"/>
        <w:ind w:left="425"/>
        <w:rPr>
          <w:lang w:val="en-GB"/>
        </w:rPr>
      </w:pPr>
      <w:r w:rsidRPr="00E27D3B">
        <w:t xml:space="preserve">5. </w:t>
      </w:r>
      <w:r w:rsidRPr="00E27D3B">
        <w:rPr>
          <w:lang w:val="en-GB"/>
        </w:rPr>
        <w:t xml:space="preserve">The North </w:t>
      </w:r>
      <w:r w:rsidRPr="00547C88">
        <w:rPr>
          <w:lang w:val="en-GB"/>
        </w:rPr>
        <w:t>American DER_A</w:t>
      </w:r>
      <w:r w:rsidRPr="00E27D3B">
        <w:rPr>
          <w:lang w:val="en-GB"/>
        </w:rPr>
        <w:t xml:space="preserve"> model </w:t>
      </w:r>
      <w:r>
        <w:rPr>
          <w:lang w:val="en-GB"/>
        </w:rPr>
        <w:fldChar w:fldCharType="begin"/>
      </w:r>
      <w:r>
        <w:rPr>
          <w:lang w:val="en-GB"/>
        </w:rPr>
        <w:instrText xml:space="preserve"> REF _Ref230197881 \r \h </w:instrText>
      </w:r>
      <w:r w:rsidR="00D35114">
        <w:rPr>
          <w:lang w:val="en-GB"/>
        </w:rPr>
        <w:instrText xml:space="preserve"> \* MERGEFORMAT </w:instrText>
      </w:r>
      <w:r>
        <w:rPr>
          <w:lang w:val="en-GB"/>
        </w:rPr>
      </w:r>
      <w:r>
        <w:rPr>
          <w:lang w:val="en-GB"/>
        </w:rPr>
        <w:fldChar w:fldCharType="separate"/>
      </w:r>
      <w:r w:rsidR="00C62031">
        <w:rPr>
          <w:lang w:val="en-GB"/>
        </w:rPr>
        <w:t>[73]</w:t>
      </w:r>
      <w:r>
        <w:rPr>
          <w:lang w:val="en-GB"/>
        </w:rPr>
        <w:fldChar w:fldCharType="end"/>
      </w:r>
      <w:r w:rsidRPr="00E27D3B">
        <w:rPr>
          <w:lang w:val="en-GB"/>
        </w:rPr>
        <w:t xml:space="preserve"> is used and integrated into the WECC Composite Load Model to create a single aggregated representation of the distribution feeder, including both composite load and feeder-level DER. The model specification is publicly available on the WECC website </w:t>
      </w:r>
      <w:r>
        <w:rPr>
          <w:lang w:val="en-GB"/>
        </w:rPr>
        <w:fldChar w:fldCharType="begin"/>
      </w:r>
      <w:r>
        <w:rPr>
          <w:lang w:val="en-GB"/>
        </w:rPr>
        <w:instrText xml:space="preserve"> REF _Ref230197881 \r \h </w:instrText>
      </w:r>
      <w:r w:rsidR="00D35114">
        <w:rPr>
          <w:lang w:val="en-GB"/>
        </w:rPr>
        <w:instrText xml:space="preserve"> \* MERGEFORMAT </w:instrText>
      </w:r>
      <w:r>
        <w:rPr>
          <w:lang w:val="en-GB"/>
        </w:rPr>
      </w:r>
      <w:r>
        <w:rPr>
          <w:lang w:val="en-GB"/>
        </w:rPr>
        <w:fldChar w:fldCharType="separate"/>
      </w:r>
      <w:r w:rsidR="00C62031">
        <w:rPr>
          <w:lang w:val="en-GB"/>
        </w:rPr>
        <w:t>[73]</w:t>
      </w:r>
      <w:r>
        <w:rPr>
          <w:lang w:val="en-GB"/>
        </w:rPr>
        <w:fldChar w:fldCharType="end"/>
      </w:r>
      <w:r w:rsidRPr="00E27D3B">
        <w:rPr>
          <w:lang w:val="en-GB"/>
        </w:rPr>
        <w:t>.</w:t>
      </w:r>
    </w:p>
    <w:p w14:paraId="0AC41006" w14:textId="77777777" w:rsidR="00BE57F4" w:rsidRDefault="00BE57F4" w:rsidP="00CD4F3A">
      <w:pPr>
        <w:pStyle w:val="Heading2"/>
      </w:pPr>
      <w:bookmarkStart w:id="169" w:name="_Toc230256837"/>
      <w:bookmarkStart w:id="170" w:name="_Toc233734309"/>
      <w:bookmarkEnd w:id="168"/>
      <w:r w:rsidRPr="005F047E">
        <w:t>Develo</w:t>
      </w:r>
      <w:r>
        <w:t>pment of</w:t>
      </w:r>
      <w:r w:rsidRPr="005F047E">
        <w:t xml:space="preserve"> </w:t>
      </w:r>
      <w:r>
        <w:t>Large Disturbance Voltage</w:t>
      </w:r>
      <w:r w:rsidRPr="005F047E">
        <w:t xml:space="preserve"> Stability Ind</w:t>
      </w:r>
      <w:r>
        <w:t>ex</w:t>
      </w:r>
      <w:bookmarkEnd w:id="169"/>
      <w:bookmarkEnd w:id="170"/>
    </w:p>
    <w:p w14:paraId="1EA77C9D" w14:textId="77777777" w:rsidR="00BE57F4" w:rsidRPr="00E27D3B" w:rsidRDefault="00BE57F4" w:rsidP="0023077F">
      <w:pPr>
        <w:pStyle w:val="BodyText"/>
        <w:spacing w:after="0"/>
        <w:jc w:val="both"/>
      </w:pPr>
      <w:r w:rsidRPr="007E44B1">
        <w:t xml:space="preserve">This section presents the mathematical formulations of the DVRI and </w:t>
      </w:r>
      <w:proofErr w:type="spellStart"/>
      <w:r w:rsidRPr="007E44B1">
        <w:t>sysDVRI</w:t>
      </w:r>
      <w:proofErr w:type="spellEnd"/>
      <w:r w:rsidRPr="007E44B1">
        <w:t xml:space="preserve"> indices, along with a detailed description of the statistical algorithm developed for identifying oscillatory and non-oscillatory voltage waveforms, followed by the corresponding results and discussion.</w:t>
      </w:r>
    </w:p>
    <w:p w14:paraId="1A6462FC" w14:textId="77777777" w:rsidR="00BE57F4" w:rsidRPr="00E27D3B" w:rsidRDefault="00BE57F4" w:rsidP="00CD4F3A">
      <w:pPr>
        <w:pStyle w:val="Heading3"/>
        <w:ind w:left="1134" w:hanging="1134"/>
      </w:pPr>
      <w:r w:rsidRPr="007E44B1">
        <w:t xml:space="preserve">Mathematical Formulation of the Proposed DVRI   </w:t>
      </w:r>
      <w:r w:rsidRPr="00E27D3B">
        <w:t xml:space="preserve">  </w:t>
      </w:r>
    </w:p>
    <w:p w14:paraId="1836301F" w14:textId="77777777" w:rsidR="00BE57F4" w:rsidRPr="00E27D3B" w:rsidRDefault="00BE57F4" w:rsidP="00D41C9F">
      <w:pPr>
        <w:spacing w:after="0"/>
        <w:ind w:right="-23"/>
        <w:rPr>
          <w:sz w:val="24"/>
          <w:szCs w:val="24"/>
        </w:rPr>
      </w:pPr>
      <w:r w:rsidRPr="00E27D3B">
        <w:rPr>
          <w:sz w:val="24"/>
          <w:szCs w:val="24"/>
        </w:rPr>
        <w:t xml:space="preserve">To capture simultaneously short- and long-term voltage recovery for varying IBR mixes, the local DVRI is developed based on the percentage voltage deviation </w:t>
      </w:r>
      <m:oMath>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oMath>
      <w:r w:rsidRPr="00E27D3B">
        <w:rPr>
          <w:i/>
          <w:iCs/>
          <w:sz w:val="24"/>
          <w:szCs w:val="24"/>
        </w:rPr>
        <w:t xml:space="preserve"> </w:t>
      </w:r>
      <w:r w:rsidRPr="00E27D3B">
        <w:rPr>
          <w:sz w:val="24"/>
          <w:szCs w:val="24"/>
        </w:rPr>
        <w:t xml:space="preserve">of bus </w:t>
      </w:r>
      <w:r w:rsidRPr="00E27D3B">
        <w:rPr>
          <w:i/>
          <w:iCs/>
          <w:sz w:val="24"/>
          <w:szCs w:val="24"/>
        </w:rPr>
        <w:t xml:space="preserve">k </w:t>
      </w:r>
      <w:r w:rsidRPr="00E27D3B">
        <w:rPr>
          <w:sz w:val="24"/>
          <w:szCs w:val="24"/>
        </w:rPr>
        <w:t xml:space="preserve">at </w:t>
      </w:r>
      <w:r w:rsidRPr="00E27D3B">
        <w:rPr>
          <w:i/>
          <w:iCs/>
          <w:sz w:val="24"/>
          <w:szCs w:val="24"/>
        </w:rPr>
        <w:t>nth</w:t>
      </w:r>
      <w:r w:rsidRPr="00E27D3B">
        <w:rPr>
          <w:sz w:val="24"/>
          <w:szCs w:val="24"/>
        </w:rPr>
        <w:t xml:space="preserve"> instant, subject to a disturbance,</w:t>
      </w:r>
      <w:r w:rsidRPr="00E27D3B">
        <w:rPr>
          <w:i/>
          <w:iCs/>
          <w:sz w:val="24"/>
          <w:szCs w:val="24"/>
        </w:rPr>
        <w:t xml:space="preserve"> </w:t>
      </w:r>
      <w:r w:rsidRPr="00E27D3B">
        <w:rPr>
          <w:sz w:val="24"/>
          <w:szCs w:val="24"/>
        </w:rPr>
        <w:t>as given in (3):</w:t>
      </w:r>
    </w:p>
    <w:p w14:paraId="71E0CF2E" w14:textId="77777777" w:rsidR="00BE57F4" w:rsidRPr="00E27D3B" w:rsidRDefault="00BE57F4" w:rsidP="005C772D">
      <w:pPr>
        <w:ind w:right="-23"/>
        <w:jc w:val="right"/>
      </w:pPr>
      <m:oMath>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k,n=0</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k,n=0</m:t>
                    </m:r>
                  </m:sub>
                </m:sSub>
              </m:den>
            </m:f>
          </m:e>
        </m:d>
        <m:r>
          <w:rPr>
            <w:rFonts w:ascii="Cambria Math" w:hAnsi="Cambria Math"/>
            <w:sz w:val="24"/>
            <w:szCs w:val="24"/>
          </w:rPr>
          <m:t>×100%; ∀n∈</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SIM</m:t>
                </m:r>
              </m:sub>
            </m:sSub>
          </m:e>
        </m:d>
        <m:r>
          <w:rPr>
            <w:rFonts w:ascii="Cambria Math" w:hAnsi="Cambria Math"/>
            <w:sz w:val="24"/>
            <w:szCs w:val="24"/>
          </w:rPr>
          <m:t xml:space="preserve">    </m:t>
        </m:r>
      </m:oMath>
      <w:r w:rsidRPr="00E27D3B">
        <w:rPr>
          <w:sz w:val="24"/>
          <w:szCs w:val="24"/>
        </w:rPr>
        <w:t xml:space="preserve">               </w:t>
      </w:r>
      <w:r>
        <w:rPr>
          <w:sz w:val="24"/>
          <w:szCs w:val="24"/>
        </w:rPr>
        <w:t xml:space="preserve">                                                  </w:t>
      </w:r>
      <w:r w:rsidRPr="00E27D3B">
        <w:rPr>
          <w:sz w:val="24"/>
          <w:szCs w:val="24"/>
        </w:rPr>
        <w:t xml:space="preserve">       (</w:t>
      </w:r>
      <w:r>
        <w:rPr>
          <w:sz w:val="24"/>
          <w:szCs w:val="24"/>
        </w:rPr>
        <w:t>3</w:t>
      </w:r>
      <w:r w:rsidRPr="00E27D3B">
        <w:rPr>
          <w:sz w:val="24"/>
          <w:szCs w:val="24"/>
        </w:rPr>
        <w:t>)</w:t>
      </w:r>
    </w:p>
    <w:p w14:paraId="353044DE" w14:textId="430CDA35" w:rsidR="00BE57F4" w:rsidRPr="00E27D3B" w:rsidRDefault="00BE57F4" w:rsidP="00D41C9F">
      <w:pPr>
        <w:pStyle w:val="BodyText"/>
        <w:spacing w:after="0"/>
      </w:pPr>
      <w:r w:rsidRPr="00E27D3B">
        <w:t xml:space="preserve">where </w:t>
      </w:r>
      <m:oMath>
        <m:sSub>
          <m:sSubPr>
            <m:ctrlPr>
              <w:rPr>
                <w:rFonts w:ascii="Cambria Math" w:hAnsi="Cambria Math"/>
                <w:i/>
              </w:rPr>
            </m:ctrlPr>
          </m:sSubPr>
          <m:e>
            <m:r>
              <w:rPr>
                <w:rFonts w:ascii="Cambria Math" w:hAnsi="Cambria Math"/>
              </w:rPr>
              <m:t>v</m:t>
            </m:r>
          </m:e>
          <m:sub>
            <m:r>
              <w:rPr>
                <w:rFonts w:ascii="Cambria Math" w:hAnsi="Cambria Math"/>
              </w:rPr>
              <m:t>k,n=0</m:t>
            </m:r>
          </m:sub>
        </m:sSub>
      </m:oMath>
      <w:r w:rsidRPr="00E27D3B">
        <w:rPr>
          <w:i/>
          <w:iCs/>
        </w:rPr>
        <w:t xml:space="preserve"> </w:t>
      </w:r>
      <w:r w:rsidRPr="00E27D3B">
        <w:t xml:space="preserve">is the pre-disturbance initial voltage of bus </w:t>
      </w:r>
      <w:r w:rsidRPr="00E27D3B">
        <w:rPr>
          <w:i/>
          <w:iCs/>
        </w:rPr>
        <w:t>k</w:t>
      </w:r>
      <w:r w:rsidRPr="00E27D3B">
        <w:t xml:space="preserve">; </w:t>
      </w:r>
      <m:oMath>
        <m:sSub>
          <m:sSubPr>
            <m:ctrlPr>
              <w:rPr>
                <w:rFonts w:ascii="Cambria Math" w:hAnsi="Cambria Math"/>
                <w:i/>
              </w:rPr>
            </m:ctrlPr>
          </m:sSubPr>
          <m:e>
            <m:r>
              <w:rPr>
                <w:rFonts w:ascii="Cambria Math" w:hAnsi="Cambria Math"/>
              </w:rPr>
              <m:t>v</m:t>
            </m:r>
          </m:e>
          <m:sub>
            <m:r>
              <w:rPr>
                <w:rFonts w:ascii="Cambria Math" w:hAnsi="Cambria Math"/>
              </w:rPr>
              <m:t>k,n</m:t>
            </m:r>
          </m:sub>
        </m:sSub>
      </m:oMath>
      <w:r w:rsidRPr="00E27D3B">
        <w:rPr>
          <w:i/>
          <w:iCs/>
        </w:rPr>
        <w:t xml:space="preserve"> </w:t>
      </w:r>
      <w:r w:rsidRPr="00E27D3B">
        <w:t xml:space="preserve">is the voltage of bus </w:t>
      </w:r>
      <w:r w:rsidRPr="00E27D3B">
        <w:rPr>
          <w:i/>
          <w:iCs/>
        </w:rPr>
        <w:t xml:space="preserve">k </w:t>
      </w:r>
      <w:r w:rsidRPr="00E27D3B">
        <w:t xml:space="preserve">at the </w:t>
      </w:r>
      <w:r w:rsidRPr="00E27D3B">
        <w:rPr>
          <w:i/>
          <w:iCs/>
          <w:szCs w:val="20"/>
        </w:rPr>
        <w:t>n</w:t>
      </w:r>
      <w:r w:rsidRPr="00E27D3B">
        <w:rPr>
          <w:i/>
          <w:iCs/>
          <w:szCs w:val="20"/>
          <w:vertAlign w:val="superscript"/>
        </w:rPr>
        <w:t>th</w:t>
      </w:r>
      <w:r w:rsidRPr="00E27D3B">
        <w:rPr>
          <w:szCs w:val="20"/>
        </w:rPr>
        <w:t xml:space="preserve"> time instant</w:t>
      </w:r>
      <w:r w:rsidRPr="00E27D3B">
        <w:t xml:space="preserve"> b</w:t>
      </w:r>
      <w:r w:rsidRPr="00E27D3B">
        <w:rPr>
          <w:szCs w:val="20"/>
        </w:rPr>
        <w:t xml:space="preserve">ased on the post-fault voltage recovery performance; and </w:t>
      </w:r>
      <w:r w:rsidRPr="00B06DCD">
        <w:rPr>
          <w:i/>
          <w:iCs/>
          <w:szCs w:val="20"/>
        </w:rPr>
        <w:t>T</w:t>
      </w:r>
      <w:r w:rsidRPr="00B06DCD">
        <w:rPr>
          <w:i/>
          <w:iCs/>
          <w:szCs w:val="20"/>
          <w:vertAlign w:val="subscript"/>
        </w:rPr>
        <w:t>CL</w:t>
      </w:r>
      <w:r w:rsidRPr="00E27D3B">
        <w:rPr>
          <w:szCs w:val="20"/>
        </w:rPr>
        <w:t xml:space="preserve">, </w:t>
      </w:r>
      <w:r w:rsidRPr="00B06DCD">
        <w:rPr>
          <w:i/>
          <w:iCs/>
          <w:szCs w:val="20"/>
        </w:rPr>
        <w:t>T</w:t>
      </w:r>
      <w:r w:rsidRPr="00B06DCD">
        <w:rPr>
          <w:i/>
          <w:iCs/>
          <w:szCs w:val="20"/>
          <w:vertAlign w:val="subscript"/>
        </w:rPr>
        <w:t>ST</w:t>
      </w:r>
      <w:r w:rsidRPr="00E27D3B">
        <w:rPr>
          <w:szCs w:val="20"/>
          <w:vertAlign w:val="subscript"/>
        </w:rPr>
        <w:t xml:space="preserve">, </w:t>
      </w:r>
      <w:r w:rsidRPr="00B06DCD">
        <w:rPr>
          <w:i/>
          <w:iCs/>
          <w:szCs w:val="20"/>
        </w:rPr>
        <w:t>T</w:t>
      </w:r>
      <w:r w:rsidRPr="00B06DCD">
        <w:rPr>
          <w:i/>
          <w:iCs/>
          <w:szCs w:val="20"/>
          <w:vertAlign w:val="subscript"/>
        </w:rPr>
        <w:t>ISM</w:t>
      </w:r>
      <w:r w:rsidRPr="00E27D3B">
        <w:rPr>
          <w:szCs w:val="20"/>
        </w:rPr>
        <w:t xml:space="preserve"> are the </w:t>
      </w:r>
      <w:r w:rsidRPr="00E27D3B">
        <w:rPr>
          <w:szCs w:val="20"/>
          <w:lang w:val="en-US"/>
        </w:rPr>
        <w:t>fault clear</w:t>
      </w:r>
      <w:r>
        <w:rPr>
          <w:szCs w:val="20"/>
          <w:lang w:val="en-US"/>
        </w:rPr>
        <w:t>ing</w:t>
      </w:r>
      <w:r w:rsidRPr="00E27D3B">
        <w:rPr>
          <w:szCs w:val="20"/>
          <w:lang w:val="en-US"/>
        </w:rPr>
        <w:t xml:space="preserve"> time, short-term time horizon, </w:t>
      </w:r>
      <w:r>
        <w:rPr>
          <w:szCs w:val="20"/>
          <w:lang w:val="en-US"/>
        </w:rPr>
        <w:t xml:space="preserve">and </w:t>
      </w:r>
      <w:r w:rsidRPr="00E27D3B">
        <w:rPr>
          <w:szCs w:val="20"/>
          <w:lang w:val="en-GB"/>
        </w:rPr>
        <w:t>entire time horizon of interest, respectively</w:t>
      </w:r>
      <w:r w:rsidRPr="00E27D3B">
        <w:rPr>
          <w:szCs w:val="20"/>
        </w:rPr>
        <w:t xml:space="preserve">. </w:t>
      </w:r>
      <w:r w:rsidRPr="00E27D3B">
        <w:t>The WECC/NERC planning standards establish criteria for assessing voltage stability under disturbances</w:t>
      </w:r>
      <w:r w:rsidRPr="00E27D3B">
        <w:rPr>
          <w:szCs w:val="20"/>
        </w:rPr>
        <w:t xml:space="preserve"> </w:t>
      </w:r>
      <w:r>
        <w:rPr>
          <w:szCs w:val="20"/>
        </w:rPr>
        <w:fldChar w:fldCharType="begin"/>
      </w:r>
      <w:r>
        <w:rPr>
          <w:szCs w:val="20"/>
        </w:rPr>
        <w:instrText xml:space="preserve"> REF _Ref230197946 \r \h </w:instrText>
      </w:r>
      <w:r w:rsidR="00D35114">
        <w:rPr>
          <w:szCs w:val="20"/>
        </w:rPr>
        <w:instrText xml:space="preserve"> \* MERGEFORMAT </w:instrText>
      </w:r>
      <w:r>
        <w:rPr>
          <w:szCs w:val="20"/>
        </w:rPr>
      </w:r>
      <w:r>
        <w:rPr>
          <w:szCs w:val="20"/>
        </w:rPr>
        <w:fldChar w:fldCharType="separate"/>
      </w:r>
      <w:r w:rsidR="00533B52">
        <w:rPr>
          <w:szCs w:val="20"/>
        </w:rPr>
        <w:t>[74]</w:t>
      </w:r>
      <w:r>
        <w:rPr>
          <w:szCs w:val="20"/>
        </w:rPr>
        <w:fldChar w:fldCharType="end"/>
      </w:r>
      <w:r w:rsidRPr="00E27D3B">
        <w:rPr>
          <w:szCs w:val="20"/>
        </w:rPr>
        <w:t>,</w:t>
      </w:r>
      <w:r>
        <w:rPr>
          <w:szCs w:val="20"/>
        </w:rPr>
        <w:fldChar w:fldCharType="begin"/>
      </w:r>
      <w:r>
        <w:rPr>
          <w:szCs w:val="20"/>
        </w:rPr>
        <w:instrText xml:space="preserve"> REF _Ref230197958 \r \h </w:instrText>
      </w:r>
      <w:r w:rsidR="00D35114">
        <w:rPr>
          <w:szCs w:val="20"/>
        </w:rPr>
        <w:instrText xml:space="preserve"> \* MERGEFORMAT </w:instrText>
      </w:r>
      <w:r>
        <w:rPr>
          <w:szCs w:val="20"/>
        </w:rPr>
      </w:r>
      <w:r>
        <w:rPr>
          <w:szCs w:val="20"/>
        </w:rPr>
        <w:fldChar w:fldCharType="separate"/>
      </w:r>
      <w:r w:rsidR="00533B52">
        <w:rPr>
          <w:szCs w:val="20"/>
        </w:rPr>
        <w:t>[75]</w:t>
      </w:r>
      <w:r>
        <w:rPr>
          <w:szCs w:val="20"/>
        </w:rPr>
        <w:fldChar w:fldCharType="end"/>
      </w:r>
      <w:r w:rsidRPr="00E27D3B">
        <w:rPr>
          <w:szCs w:val="20"/>
        </w:rPr>
        <w:t>.</w:t>
      </w:r>
      <w:r w:rsidR="005C772D">
        <w:rPr>
          <w:szCs w:val="20"/>
        </w:rPr>
        <w:t xml:space="preserve"> </w:t>
      </w:r>
      <w:r w:rsidRPr="00E27D3B">
        <w:rPr>
          <w:szCs w:val="20"/>
        </w:rPr>
        <w:t>These criteria are used to quantitatively assess both STVS and LTVS for post-fault voltage trajectories.</w:t>
      </w:r>
      <w:r w:rsidRPr="00E27D3B">
        <w:t xml:space="preserve"> Upon checking the </w:t>
      </w:r>
      <w:r w:rsidRPr="00E27D3B">
        <w:rPr>
          <w:szCs w:val="20"/>
        </w:rPr>
        <w:t xml:space="preserve">WECC </w:t>
      </w:r>
      <w:r w:rsidRPr="00E27D3B">
        <w:t xml:space="preserve">condition, the STVS and LTVS of a bus can easily be quantified at the </w:t>
      </w:r>
      <w:r w:rsidRPr="00E27D3B">
        <w:rPr>
          <w:i/>
          <w:iCs/>
        </w:rPr>
        <w:t>n</w:t>
      </w:r>
      <w:r w:rsidRPr="00E27D3B">
        <w:rPr>
          <w:i/>
          <w:iCs/>
          <w:vertAlign w:val="superscript"/>
        </w:rPr>
        <w:t>th</w:t>
      </w:r>
      <w:r w:rsidRPr="00E27D3B">
        <w:t xml:space="preserve"> instant. In terms of STVS and LTVS, a bus may have four voltage signatures for a specific time instant, as given in </w:t>
      </w:r>
      <w:r>
        <w:fldChar w:fldCharType="begin"/>
      </w:r>
      <w:r>
        <w:instrText xml:space="preserve"> REF _Ref230193747 \h </w:instrText>
      </w:r>
      <w:r w:rsidR="00D35114">
        <w:instrText xml:space="preserve"> \* MERGEFORMAT </w:instrText>
      </w:r>
      <w:r>
        <w:fldChar w:fldCharType="separate"/>
      </w:r>
      <w:r w:rsidR="00753DAF" w:rsidRPr="00E27D3B">
        <w:t xml:space="preserve">Table </w:t>
      </w:r>
      <w:r w:rsidR="00753DAF">
        <w:rPr>
          <w:noProof/>
        </w:rPr>
        <w:t>8</w:t>
      </w:r>
      <w:r>
        <w:fldChar w:fldCharType="end"/>
      </w:r>
      <w:r w:rsidRPr="00E27D3B">
        <w:t>.</w:t>
      </w:r>
    </w:p>
    <w:p w14:paraId="17CEC0BB" w14:textId="534358E1" w:rsidR="00BE57F4" w:rsidRPr="00E27D3B" w:rsidRDefault="00BE57F4" w:rsidP="00CD4F3A">
      <w:pPr>
        <w:pStyle w:val="Caption"/>
        <w:spacing w:line="240" w:lineRule="auto"/>
        <w:jc w:val="both"/>
      </w:pPr>
      <w:bookmarkStart w:id="171" w:name="_Ref230193747"/>
      <w:bookmarkStart w:id="172" w:name="_Toc230198670"/>
      <w:bookmarkStart w:id="173" w:name="_Toc233735302"/>
      <w:r w:rsidRPr="00E27D3B">
        <w:t xml:space="preserve">Table </w:t>
      </w:r>
      <w:fldSimple w:instr=" SEQ Table \* ARABIC ">
        <w:r w:rsidR="00753DAF">
          <w:rPr>
            <w:noProof/>
          </w:rPr>
          <w:t>8</w:t>
        </w:r>
      </w:fldSimple>
      <w:bookmarkEnd w:id="171"/>
      <w:r w:rsidRPr="00E27D3B">
        <w:t>: Bus post-recovery voltage performance identification based on the proposed STVS and LTVS.</w:t>
      </w:r>
      <w:bookmarkEnd w:id="172"/>
      <w:bookmarkEnd w:id="173"/>
    </w:p>
    <w:tbl>
      <w:tblPr>
        <w:tblStyle w:val="TableCSIRO"/>
        <w:tblW w:w="7259" w:type="dxa"/>
        <w:jc w:val="center"/>
        <w:tblInd w:w="0" w:type="dxa"/>
        <w:tblLook w:val="00A0" w:firstRow="1" w:lastRow="0" w:firstColumn="1" w:lastColumn="0" w:noHBand="0" w:noVBand="0"/>
      </w:tblPr>
      <w:tblGrid>
        <w:gridCol w:w="1701"/>
        <w:gridCol w:w="1561"/>
        <w:gridCol w:w="3997"/>
      </w:tblGrid>
      <w:tr w:rsidR="00BE57F4" w:rsidRPr="00DC6D94" w14:paraId="6A170F4B" w14:textId="77777777" w:rsidTr="00023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2" w:type="pct"/>
          </w:tcPr>
          <w:p w14:paraId="71C495BB" w14:textId="77777777" w:rsidR="00BE57F4" w:rsidRPr="00DC6D94" w:rsidRDefault="00BE57F4" w:rsidP="00CD4F3A">
            <w:pPr>
              <w:pStyle w:val="ColumnHeading"/>
              <w:spacing w:line="240" w:lineRule="auto"/>
              <w:jc w:val="both"/>
              <w:rPr>
                <w:sz w:val="18"/>
                <w:szCs w:val="18"/>
              </w:rPr>
            </w:pPr>
            <m:oMathPara>
              <m:oMath>
                <m:r>
                  <w:rPr>
                    <w:rFonts w:ascii="Cambria Math" w:hAnsi="Cambria Math"/>
                    <w:sz w:val="18"/>
                    <w:szCs w:val="18"/>
                  </w:rPr>
                  <m:t>%V</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k,n</m:t>
                    </m:r>
                  </m:sub>
                </m:sSub>
                <m:r>
                  <w:rPr>
                    <w:rFonts w:ascii="Cambria Math" w:hAnsi="Cambria Math"/>
                    <w:sz w:val="18"/>
                    <w:szCs w:val="18"/>
                  </w:rPr>
                  <m:t>≤WEC</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ST</m:t>
                    </m:r>
                  </m:sub>
                </m:sSub>
              </m:oMath>
            </m:oMathPara>
          </w:p>
        </w:tc>
        <w:tc>
          <w:tcPr>
            <w:tcW w:w="1075" w:type="pct"/>
          </w:tcPr>
          <w:p w14:paraId="1DB111EF" w14:textId="77777777" w:rsidR="00BE57F4" w:rsidRPr="00DC6D94"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m:oMathPara>
              <m:oMath>
                <m:r>
                  <w:rPr>
                    <w:rFonts w:ascii="Cambria Math" w:hAnsi="Cambria Math"/>
                    <w:sz w:val="18"/>
                    <w:szCs w:val="18"/>
                  </w:rPr>
                  <m:t>%V</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k,n</m:t>
                    </m:r>
                  </m:sub>
                </m:sSub>
                <m:r>
                  <w:rPr>
                    <w:rFonts w:ascii="Cambria Math" w:hAnsi="Cambria Math"/>
                    <w:sz w:val="18"/>
                    <w:szCs w:val="18"/>
                  </w:rPr>
                  <m:t>≤WEC</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LT</m:t>
                    </m:r>
                  </m:sub>
                </m:sSub>
              </m:oMath>
            </m:oMathPara>
          </w:p>
        </w:tc>
        <w:tc>
          <w:tcPr>
            <w:tcW w:w="2753" w:type="pct"/>
          </w:tcPr>
          <w:p w14:paraId="2D09BFFD" w14:textId="77777777" w:rsidR="00BE57F4" w:rsidRPr="00DC6D94"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DC6D94">
              <w:rPr>
                <w:sz w:val="18"/>
                <w:szCs w:val="18"/>
              </w:rPr>
              <w:t>Comments</w:t>
            </w:r>
          </w:p>
        </w:tc>
      </w:tr>
      <w:tr w:rsidR="00BE57F4" w:rsidRPr="00DC6D94" w14:paraId="2B2ADEF4" w14:textId="77777777" w:rsidTr="00023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2" w:type="pct"/>
          </w:tcPr>
          <w:p w14:paraId="11B2ADE7" w14:textId="77777777" w:rsidR="00BE57F4" w:rsidRPr="00DC6D94" w:rsidRDefault="00BE57F4" w:rsidP="00CD4F3A">
            <w:pPr>
              <w:pStyle w:val="TableText"/>
              <w:jc w:val="both"/>
              <w:rPr>
                <w:b w:val="0"/>
                <w:bCs w:val="0"/>
                <w:szCs w:val="18"/>
                <w:lang w:val="en-US"/>
              </w:rPr>
            </w:pPr>
            <w:r w:rsidRPr="00DC6D94">
              <w:rPr>
                <w:b w:val="0"/>
                <w:bCs w:val="0"/>
                <w:szCs w:val="18"/>
              </w:rPr>
              <w:t>0</w:t>
            </w:r>
          </w:p>
        </w:tc>
        <w:tc>
          <w:tcPr>
            <w:tcW w:w="1075" w:type="pct"/>
          </w:tcPr>
          <w:p w14:paraId="0EC641D9" w14:textId="77777777" w:rsidR="00BE57F4" w:rsidRPr="00DC6D94"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DC6D94">
              <w:rPr>
                <w:szCs w:val="18"/>
              </w:rPr>
              <w:t>0</w:t>
            </w:r>
          </w:p>
        </w:tc>
        <w:tc>
          <w:tcPr>
            <w:tcW w:w="2753" w:type="pct"/>
          </w:tcPr>
          <w:p w14:paraId="66D8EDE2" w14:textId="77777777" w:rsidR="00BE57F4" w:rsidRPr="00DC6D94"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DC6D94">
              <w:rPr>
                <w:szCs w:val="18"/>
              </w:rPr>
              <w:t xml:space="preserve">Short-term voltage unstable (STVU) and long-term voltage unstable (LTVU) </w:t>
            </w:r>
          </w:p>
        </w:tc>
      </w:tr>
      <w:tr w:rsidR="00BE57F4" w:rsidRPr="00DC6D94" w14:paraId="1E772C88" w14:textId="77777777" w:rsidTr="0002386E">
        <w:trPr>
          <w:jc w:val="center"/>
        </w:trPr>
        <w:tc>
          <w:tcPr>
            <w:cnfStyle w:val="001000000000" w:firstRow="0" w:lastRow="0" w:firstColumn="1" w:lastColumn="0" w:oddVBand="0" w:evenVBand="0" w:oddHBand="0" w:evenHBand="0" w:firstRowFirstColumn="0" w:firstRowLastColumn="0" w:lastRowFirstColumn="0" w:lastRowLastColumn="0"/>
            <w:tcW w:w="1172" w:type="pct"/>
          </w:tcPr>
          <w:p w14:paraId="26B8070A" w14:textId="77777777" w:rsidR="00BE57F4" w:rsidRPr="00DC6D94" w:rsidRDefault="00BE57F4" w:rsidP="00CD4F3A">
            <w:pPr>
              <w:pStyle w:val="TableText"/>
              <w:jc w:val="both"/>
              <w:rPr>
                <w:b w:val="0"/>
                <w:bCs w:val="0"/>
                <w:szCs w:val="18"/>
              </w:rPr>
            </w:pPr>
            <w:r w:rsidRPr="00DC6D94">
              <w:rPr>
                <w:b w:val="0"/>
                <w:bCs w:val="0"/>
                <w:szCs w:val="18"/>
              </w:rPr>
              <w:t>0</w:t>
            </w:r>
          </w:p>
        </w:tc>
        <w:tc>
          <w:tcPr>
            <w:tcW w:w="1075" w:type="pct"/>
          </w:tcPr>
          <w:p w14:paraId="7CF2E0A6" w14:textId="77777777" w:rsidR="00BE57F4" w:rsidRPr="00DC6D94"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DC6D94">
              <w:rPr>
                <w:szCs w:val="18"/>
              </w:rPr>
              <w:t>1</w:t>
            </w:r>
          </w:p>
        </w:tc>
        <w:tc>
          <w:tcPr>
            <w:tcW w:w="2753" w:type="pct"/>
          </w:tcPr>
          <w:p w14:paraId="0CA12E3A" w14:textId="77777777" w:rsidR="00BE57F4" w:rsidRPr="00DC6D94"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DC6D94">
              <w:rPr>
                <w:szCs w:val="18"/>
              </w:rPr>
              <w:t xml:space="preserve">STVU and long-term voltage stable (LTVS) </w:t>
            </w:r>
          </w:p>
        </w:tc>
      </w:tr>
      <w:tr w:rsidR="00BE57F4" w:rsidRPr="00DC6D94" w14:paraId="5989378D" w14:textId="77777777" w:rsidTr="00023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2" w:type="pct"/>
          </w:tcPr>
          <w:p w14:paraId="5CF41F7E" w14:textId="77777777" w:rsidR="00BE57F4" w:rsidRPr="00DC6D94" w:rsidRDefault="00BE57F4" w:rsidP="00CD4F3A">
            <w:pPr>
              <w:pStyle w:val="TableText"/>
              <w:jc w:val="both"/>
              <w:rPr>
                <w:b w:val="0"/>
                <w:bCs w:val="0"/>
                <w:szCs w:val="18"/>
              </w:rPr>
            </w:pPr>
            <w:r w:rsidRPr="00DC6D94">
              <w:rPr>
                <w:b w:val="0"/>
                <w:bCs w:val="0"/>
                <w:szCs w:val="18"/>
              </w:rPr>
              <w:t>1</w:t>
            </w:r>
          </w:p>
        </w:tc>
        <w:tc>
          <w:tcPr>
            <w:tcW w:w="1075" w:type="pct"/>
          </w:tcPr>
          <w:p w14:paraId="1C69068F" w14:textId="77777777" w:rsidR="00BE57F4" w:rsidRPr="00DC6D94"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DC6D94">
              <w:rPr>
                <w:szCs w:val="18"/>
              </w:rPr>
              <w:t>0</w:t>
            </w:r>
          </w:p>
        </w:tc>
        <w:tc>
          <w:tcPr>
            <w:tcW w:w="2753" w:type="pct"/>
          </w:tcPr>
          <w:p w14:paraId="042D5101" w14:textId="77777777" w:rsidR="00BE57F4" w:rsidRPr="00DC6D94"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DC6D94">
              <w:rPr>
                <w:szCs w:val="18"/>
              </w:rPr>
              <w:t>STVS and LTVU</w:t>
            </w:r>
          </w:p>
        </w:tc>
      </w:tr>
      <w:tr w:rsidR="00BE57F4" w:rsidRPr="00DC6D94" w14:paraId="1B1C1457" w14:textId="77777777" w:rsidTr="0002386E">
        <w:trPr>
          <w:jc w:val="center"/>
        </w:trPr>
        <w:tc>
          <w:tcPr>
            <w:cnfStyle w:val="001000000000" w:firstRow="0" w:lastRow="0" w:firstColumn="1" w:lastColumn="0" w:oddVBand="0" w:evenVBand="0" w:oddHBand="0" w:evenHBand="0" w:firstRowFirstColumn="0" w:firstRowLastColumn="0" w:lastRowFirstColumn="0" w:lastRowLastColumn="0"/>
            <w:tcW w:w="1172" w:type="pct"/>
          </w:tcPr>
          <w:p w14:paraId="0025122A" w14:textId="77777777" w:rsidR="00BE57F4" w:rsidRPr="00DC6D94" w:rsidRDefault="00BE57F4" w:rsidP="00CD4F3A">
            <w:pPr>
              <w:pStyle w:val="TableText"/>
              <w:jc w:val="both"/>
              <w:rPr>
                <w:b w:val="0"/>
                <w:bCs w:val="0"/>
                <w:szCs w:val="18"/>
              </w:rPr>
            </w:pPr>
            <w:r w:rsidRPr="00DC6D94">
              <w:rPr>
                <w:b w:val="0"/>
                <w:bCs w:val="0"/>
                <w:szCs w:val="18"/>
              </w:rPr>
              <w:t>1</w:t>
            </w:r>
          </w:p>
        </w:tc>
        <w:tc>
          <w:tcPr>
            <w:tcW w:w="1075" w:type="pct"/>
          </w:tcPr>
          <w:p w14:paraId="293684FD" w14:textId="77777777" w:rsidR="00BE57F4" w:rsidRPr="00DC6D94"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DC6D94">
              <w:rPr>
                <w:szCs w:val="18"/>
              </w:rPr>
              <w:t>1</w:t>
            </w:r>
          </w:p>
        </w:tc>
        <w:tc>
          <w:tcPr>
            <w:tcW w:w="2753" w:type="pct"/>
          </w:tcPr>
          <w:p w14:paraId="2B98AC70" w14:textId="77777777" w:rsidR="00BE57F4" w:rsidRPr="00DC6D94"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DC6D94">
              <w:rPr>
                <w:szCs w:val="18"/>
              </w:rPr>
              <w:t>STVS and LTVS</w:t>
            </w:r>
          </w:p>
        </w:tc>
      </w:tr>
    </w:tbl>
    <w:p w14:paraId="1F45044E" w14:textId="77777777" w:rsidR="00BE57F4" w:rsidRPr="00E27D3B" w:rsidRDefault="00BE57F4" w:rsidP="00CD4F3A">
      <w:pPr>
        <w:spacing w:after="0"/>
        <w:ind w:left="426" w:right="-22"/>
        <w:jc w:val="both"/>
      </w:pPr>
    </w:p>
    <w:p w14:paraId="124DB0AA" w14:textId="7A5F0F24" w:rsidR="00BE57F4" w:rsidRPr="00E27D3B" w:rsidRDefault="00BE57F4" w:rsidP="005248E1">
      <w:pPr>
        <w:spacing w:after="0"/>
        <w:ind w:right="-23"/>
        <w:rPr>
          <w:sz w:val="24"/>
          <w:szCs w:val="24"/>
          <w:lang w:val="en-US"/>
        </w:rPr>
      </w:pPr>
      <w:r w:rsidRPr="00E27D3B">
        <w:rPr>
          <w:sz w:val="24"/>
          <w:szCs w:val="24"/>
        </w:rPr>
        <w:t xml:space="preserve">From </w:t>
      </w:r>
      <w:r>
        <w:rPr>
          <w:sz w:val="24"/>
          <w:szCs w:val="24"/>
        </w:rPr>
        <w:fldChar w:fldCharType="begin"/>
      </w:r>
      <w:r>
        <w:rPr>
          <w:sz w:val="24"/>
          <w:szCs w:val="24"/>
        </w:rPr>
        <w:instrText xml:space="preserve"> REF _Ref230193747 \h </w:instrText>
      </w:r>
      <w:r w:rsidR="00D35114">
        <w:rPr>
          <w:sz w:val="24"/>
          <w:szCs w:val="24"/>
        </w:rPr>
        <w:instrText xml:space="preserve"> \* MERGEFORMAT </w:instrText>
      </w:r>
      <w:r>
        <w:rPr>
          <w:sz w:val="24"/>
          <w:szCs w:val="24"/>
        </w:rPr>
      </w:r>
      <w:r>
        <w:rPr>
          <w:sz w:val="24"/>
          <w:szCs w:val="24"/>
        </w:rPr>
        <w:fldChar w:fldCharType="separate"/>
      </w:r>
      <w:r w:rsidR="00753DAF" w:rsidRPr="00E27D3B">
        <w:t xml:space="preserve">Table </w:t>
      </w:r>
      <w:r w:rsidR="00753DAF">
        <w:rPr>
          <w:noProof/>
        </w:rPr>
        <w:t>8</w:t>
      </w:r>
      <w:r>
        <w:rPr>
          <w:sz w:val="24"/>
          <w:szCs w:val="24"/>
        </w:rPr>
        <w:fldChar w:fldCharType="end"/>
      </w:r>
      <w:r w:rsidRPr="00E27D3B">
        <w:rPr>
          <w:sz w:val="24"/>
          <w:szCs w:val="24"/>
        </w:rPr>
        <w:t xml:space="preserve">, it is seen that the STVS and LTVS only provide a binary answer to the voltage stability (i.e., stable or unstable) at the </w:t>
      </w:r>
      <w:r w:rsidRPr="00E27D3B">
        <w:rPr>
          <w:i/>
          <w:iCs/>
          <w:sz w:val="24"/>
          <w:szCs w:val="24"/>
        </w:rPr>
        <w:t>n</w:t>
      </w:r>
      <w:r w:rsidRPr="00E27D3B">
        <w:rPr>
          <w:i/>
          <w:iCs/>
          <w:sz w:val="24"/>
          <w:szCs w:val="24"/>
          <w:vertAlign w:val="superscript"/>
        </w:rPr>
        <w:t>th</w:t>
      </w:r>
      <w:r w:rsidRPr="00E27D3B">
        <w:rPr>
          <w:sz w:val="24"/>
          <w:szCs w:val="24"/>
        </w:rPr>
        <w:t xml:space="preserve"> time instant. However, it is unable to define the voltage dip magnitude violation and the time of voltage violation.</w:t>
      </w:r>
      <w:r w:rsidRPr="00E27D3B">
        <w:t xml:space="preserve"> </w:t>
      </w:r>
      <w:r w:rsidRPr="00E27D3B">
        <w:rPr>
          <w:rFonts w:asciiTheme="minorHAnsi" w:hAnsiTheme="minorHAnsi" w:cstheme="minorHAnsi"/>
          <w:sz w:val="24"/>
          <w:szCs w:val="24"/>
        </w:rPr>
        <w:t xml:space="preserve">To quantitatively assess the degree of STVS and LTVS, a stability margin vector rather than a single scalar value is proposed. This vector, defined as the DVRI of </w:t>
      </w:r>
      <w:r w:rsidR="005C772D">
        <w:rPr>
          <w:rFonts w:asciiTheme="minorHAnsi" w:hAnsiTheme="minorHAnsi" w:cstheme="minorHAnsi"/>
          <w:sz w:val="24"/>
          <w:szCs w:val="24"/>
        </w:rPr>
        <w:t xml:space="preserve">the </w:t>
      </w:r>
      <w:r w:rsidRPr="00E27D3B">
        <w:rPr>
          <w:rFonts w:asciiTheme="minorHAnsi" w:hAnsiTheme="minorHAnsi" w:cstheme="minorHAnsi"/>
          <w:sz w:val="24"/>
          <w:szCs w:val="24"/>
        </w:rPr>
        <w:t xml:space="preserve">bus </w:t>
      </w:r>
      <m:oMath>
        <m:r>
          <w:rPr>
            <w:rFonts w:ascii="Cambria Math" w:hAnsi="Cambria Math" w:cstheme="minorHAnsi"/>
            <w:sz w:val="24"/>
            <w:szCs w:val="24"/>
          </w:rPr>
          <m:t>k</m:t>
        </m:r>
      </m:oMath>
      <w:r w:rsidRPr="00E27D3B">
        <w:rPr>
          <w:rFonts w:asciiTheme="minorHAnsi" w:hAnsiTheme="minorHAnsi" w:cstheme="minorHAnsi"/>
          <w:sz w:val="24"/>
          <w:szCs w:val="24"/>
        </w:rPr>
        <w:t>, is expressed in equation (</w:t>
      </w:r>
      <w:r>
        <w:rPr>
          <w:rFonts w:asciiTheme="minorHAnsi" w:hAnsiTheme="minorHAnsi" w:cstheme="minorHAnsi"/>
          <w:sz w:val="24"/>
          <w:szCs w:val="24"/>
        </w:rPr>
        <w:t>4</w:t>
      </w:r>
      <w:r w:rsidRPr="00E27D3B">
        <w:rPr>
          <w:rFonts w:asciiTheme="minorHAnsi" w:hAnsiTheme="minorHAnsi" w:cstheme="minorHAnsi"/>
          <w:sz w:val="24"/>
          <w:szCs w:val="24"/>
        </w:rPr>
        <w:t>):</w:t>
      </w:r>
      <w:r w:rsidRPr="00E27D3B">
        <w:rPr>
          <w:szCs w:val="20"/>
          <w:lang w:val="en-US"/>
        </w:rPr>
        <w:t xml:space="preserve"> </w:t>
      </w:r>
      <w:r w:rsidRPr="00E27D3B">
        <w:rPr>
          <w:sz w:val="24"/>
          <w:szCs w:val="24"/>
          <w:lang w:val="en-US"/>
        </w:rPr>
        <w:t xml:space="preserve"> </w:t>
      </w:r>
    </w:p>
    <w:p w14:paraId="497F21BB" w14:textId="77777777" w:rsidR="00BE57F4" w:rsidRPr="00E27D3B" w:rsidRDefault="00BE57F4" w:rsidP="00CD4F3A">
      <w:pPr>
        <w:spacing w:after="0"/>
        <w:ind w:right="-23"/>
        <w:jc w:val="both"/>
        <w:rPr>
          <w:sz w:val="24"/>
          <w:szCs w:val="24"/>
          <w:lang w:val="en-US"/>
        </w:rPr>
      </w:pPr>
      <m:oMath>
        <m:r>
          <w:rPr>
            <w:rFonts w:ascii="Cambria Math" w:hAnsi="Cambria Math"/>
            <w:sz w:val="24"/>
            <w:szCs w:val="24"/>
            <w:lang w:val="en-US"/>
          </w:rPr>
          <m:t>DVR</m:t>
        </m:r>
        <m:sSub>
          <m:sSubPr>
            <m:ctrlPr>
              <w:rPr>
                <w:rFonts w:ascii="Cambria Math" w:hAnsi="Cambria Math"/>
                <w:i/>
                <w:iCs/>
                <w:sz w:val="24"/>
                <w:szCs w:val="24"/>
                <w:lang w:val="en-US"/>
              </w:rPr>
            </m:ctrlPr>
          </m:sSubPr>
          <m:e>
            <m:r>
              <w:rPr>
                <w:rFonts w:ascii="Cambria Math" w:hAnsi="Cambria Math"/>
                <w:sz w:val="24"/>
                <w:szCs w:val="24"/>
                <w:lang w:val="en-US"/>
              </w:rPr>
              <m:t>I</m:t>
            </m:r>
          </m:e>
          <m:sub>
            <m:r>
              <w:rPr>
                <w:rFonts w:ascii="Cambria Math" w:hAnsi="Cambria Math"/>
                <w:sz w:val="24"/>
                <w:szCs w:val="24"/>
                <w:lang w:val="en-US"/>
              </w:rPr>
              <m:t>k</m:t>
            </m:r>
          </m:sub>
        </m:sSub>
        <m:r>
          <m:rPr>
            <m:sty m:val="p"/>
          </m:rPr>
          <w:rPr>
            <w:rFonts w:ascii="Cambria Math"/>
            <w:sz w:val="24"/>
            <w:szCs w:val="24"/>
            <w:lang w:val="en-US"/>
          </w:rPr>
          <m:t>={</m:t>
        </m:r>
        <m:sSub>
          <m:sSubPr>
            <m:ctrlPr>
              <w:rPr>
                <w:rFonts w:ascii="Cambria Math" w:hAnsi="Cambria Math"/>
                <w:i/>
                <w:iCs/>
                <w:sz w:val="24"/>
                <w:szCs w:val="24"/>
              </w:rPr>
            </m:ctrlPr>
          </m:sSubPr>
          <m:e>
            <m:r>
              <w:rPr>
                <w:rFonts w:ascii="Cambria Math" w:hAnsi="Cambria Math"/>
                <w:sz w:val="24"/>
                <w:szCs w:val="24"/>
              </w:rPr>
              <m:t>STVI</m:t>
            </m:r>
            <m:ctrlPr>
              <w:rPr>
                <w:rFonts w:ascii="Cambria Math" w:hAnsi="Cambria Math"/>
                <w:i/>
                <w:iCs/>
                <w:sz w:val="24"/>
                <w:szCs w:val="24"/>
                <w:lang w:val="en-US"/>
              </w:rPr>
            </m:ctrlPr>
          </m:e>
          <m:sub>
            <m:r>
              <w:rPr>
                <w:rFonts w:ascii="Cambria Math" w:hAnsi="Cambria Math"/>
                <w:sz w:val="24"/>
                <w:szCs w:val="24"/>
              </w:rPr>
              <m:t>k</m:t>
            </m:r>
          </m:sub>
        </m:sSub>
        <m:r>
          <m:rPr>
            <m:sty m:val="p"/>
          </m:rP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LTVI</m:t>
            </m:r>
          </m:e>
          <m:sub>
            <m:r>
              <w:rPr>
                <w:rFonts w:ascii="Cambria Math" w:hAnsi="Cambria Math"/>
                <w:sz w:val="24"/>
                <w:szCs w:val="24"/>
              </w:rPr>
              <m:t>k</m:t>
            </m:r>
          </m:sub>
        </m:sSub>
        <m:r>
          <m:rPr>
            <m:sty m:val="p"/>
          </m:rPr>
          <w:rPr>
            <w:rFonts w:ascii="Cambria Math"/>
            <w:sz w:val="24"/>
            <w:szCs w:val="24"/>
            <w:lang w:val="en-US"/>
          </w:rPr>
          <m:t>}</m:t>
        </m:r>
      </m:oMath>
      <w:r w:rsidRPr="00E27D3B">
        <w:rPr>
          <w:sz w:val="24"/>
          <w:szCs w:val="24"/>
          <w:lang w:val="en-US"/>
        </w:rPr>
        <w:t xml:space="preserve">                                                 </w:t>
      </w:r>
      <w:r>
        <w:rPr>
          <w:sz w:val="24"/>
          <w:szCs w:val="24"/>
          <w:lang w:val="en-US"/>
        </w:rPr>
        <w:t xml:space="preserve">                 </w:t>
      </w:r>
      <w:r w:rsidRPr="00E27D3B">
        <w:rPr>
          <w:sz w:val="24"/>
          <w:szCs w:val="24"/>
          <w:lang w:val="en-US"/>
        </w:rPr>
        <w:t xml:space="preserve"> </w:t>
      </w:r>
      <w:r>
        <w:rPr>
          <w:sz w:val="24"/>
          <w:szCs w:val="24"/>
          <w:lang w:val="en-US"/>
        </w:rPr>
        <w:t xml:space="preserve">                                                        </w:t>
      </w:r>
      <w:r w:rsidRPr="00E27D3B">
        <w:rPr>
          <w:sz w:val="24"/>
          <w:szCs w:val="24"/>
          <w:lang w:val="en-US"/>
        </w:rPr>
        <w:t xml:space="preserve">  (</w:t>
      </w:r>
      <w:r>
        <w:rPr>
          <w:sz w:val="24"/>
          <w:szCs w:val="24"/>
          <w:lang w:val="en-US"/>
        </w:rPr>
        <w:t>4</w:t>
      </w:r>
      <w:r w:rsidRPr="00E27D3B">
        <w:rPr>
          <w:sz w:val="24"/>
          <w:szCs w:val="24"/>
          <w:lang w:val="en-US"/>
        </w:rPr>
        <w:t>)</w:t>
      </w:r>
    </w:p>
    <w:p w14:paraId="2D3DD0B6" w14:textId="77777777" w:rsidR="00BE57F4" w:rsidRPr="00E27D3B" w:rsidRDefault="00BE57F4" w:rsidP="00CD4F3A">
      <w:pPr>
        <w:ind w:right="-23"/>
        <w:jc w:val="both"/>
        <w:rPr>
          <w:sz w:val="24"/>
          <w:szCs w:val="24"/>
          <w:lang w:val="en-US"/>
        </w:rPr>
      </w:pPr>
      <w:proofErr w:type="gramStart"/>
      <w:r w:rsidRPr="00E27D3B">
        <w:rPr>
          <w:sz w:val="24"/>
          <w:szCs w:val="24"/>
          <w:lang w:val="en-US"/>
        </w:rPr>
        <w:t>where</w:t>
      </w:r>
      <w:proofErr w:type="gramEnd"/>
      <w:r w:rsidRPr="00E27D3B">
        <w:rPr>
          <w:sz w:val="24"/>
          <w:szCs w:val="24"/>
          <w:lang w:val="en-US"/>
        </w:rPr>
        <w:t xml:space="preserve">  </w:t>
      </w:r>
    </w:p>
    <w:p w14:paraId="3E3F2B12" w14:textId="33A83B68" w:rsidR="003C0AEB" w:rsidRPr="00747D8E" w:rsidRDefault="00984B23" w:rsidP="00CD4F3A">
      <w:pPr>
        <w:ind w:right="-23"/>
        <w:jc w:val="both"/>
        <w:rPr>
          <w:sz w:val="24"/>
          <w:szCs w:val="24"/>
        </w:rPr>
      </w:pPr>
      <m:oMath>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sSub>
                  <m:sSubPr>
                    <m:ctrlPr>
                      <w:rPr>
                        <w:rFonts w:ascii="Cambria Math" w:hAnsi="Cambria Math"/>
                        <w:i/>
                        <w:iCs/>
                        <w:sz w:val="24"/>
                        <w:szCs w:val="24"/>
                      </w:rPr>
                    </m:ctrlPr>
                  </m:sSubPr>
                  <m:e>
                    <m:r>
                      <w:rPr>
                        <w:rFonts w:ascii="Cambria Math" w:hAnsi="Cambria Math"/>
                        <w:sz w:val="24"/>
                        <w:szCs w:val="24"/>
                      </w:rPr>
                      <m:t>STVI</m:t>
                    </m:r>
                  </m:e>
                  <m:sub>
                    <m:r>
                      <w:rPr>
                        <w:rFonts w:ascii="Cambria Math" w:hAnsi="Cambria Math"/>
                        <w:sz w:val="24"/>
                        <w:szCs w:val="24"/>
                      </w:rPr>
                      <m:t>k</m:t>
                    </m:r>
                  </m:sub>
                </m:sSub>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ST</m:t>
                        </m:r>
                      </m:sub>
                    </m:sSub>
                  </m:den>
                </m:f>
                <m:nary>
                  <m:naryPr>
                    <m:chr m:val="∑"/>
                    <m:limLoc m:val="undOvr"/>
                    <m:ctrlPr>
                      <w:rPr>
                        <w:rFonts w:ascii="Cambria Math" w:hAnsi="Cambria Math"/>
                        <w:i/>
                        <w:sz w:val="24"/>
                        <w:szCs w:val="24"/>
                      </w:rPr>
                    </m:ctrlPr>
                  </m:naryPr>
                  <m:sub>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cl</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ST</m:t>
                        </m:r>
                      </m:sub>
                    </m:s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μ</m:t>
                            </m:r>
                          </m:e>
                          <m:sub>
                            <m:r>
                              <w:rPr>
                                <w:rFonts w:ascii="Cambria Math" w:hAnsi="Cambria Math"/>
                                <w:sz w:val="24"/>
                                <w:szCs w:val="24"/>
                              </w:rPr>
                              <m:t>k,n</m:t>
                            </m:r>
                          </m:sub>
                          <m:sup>
                            <m:r>
                              <w:rPr>
                                <w:rFonts w:ascii="Cambria Math" w:hAnsi="Cambria Math"/>
                                <w:sz w:val="24"/>
                                <w:szCs w:val="24"/>
                              </w:rPr>
                              <m:t>ST</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PDF</m:t>
                            </m:r>
                          </m:e>
                          <m:sub>
                            <m:r>
                              <w:rPr>
                                <w:rFonts w:ascii="Cambria Math" w:hAnsi="Cambria Math"/>
                                <w:sz w:val="24"/>
                                <w:szCs w:val="24"/>
                              </w:rPr>
                              <m:t>k,n</m:t>
                            </m:r>
                          </m:sub>
                          <m:sup>
                            <m:r>
                              <w:rPr>
                                <w:rFonts w:ascii="Cambria Math" w:hAnsi="Cambria Math"/>
                                <w:sz w:val="24"/>
                                <w:szCs w:val="24"/>
                              </w:rPr>
                              <m:t>ST</m:t>
                            </m:r>
                          </m:sup>
                        </m:sSubSup>
                      </m:e>
                    </m:d>
                  </m:e>
                </m:nary>
                <m:r>
                  <w:rPr>
                    <w:rFonts w:ascii="Cambria Math" w:hAnsi="Cambria Math"/>
                    <w:sz w:val="24"/>
                    <w:szCs w:val="24"/>
                  </w:rPr>
                  <m:t xml:space="preserve">     ∀n,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CL</m:t>
                    </m:r>
                  </m:sub>
                </m:sSub>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ss</m:t>
                    </m:r>
                  </m:sub>
                </m:sSub>
                <m:ctrlPr>
                  <w:rPr>
                    <w:rFonts w:ascii="Cambria Math" w:hAnsi="Cambria Math"/>
                    <w:i/>
                    <w:sz w:val="24"/>
                    <w:szCs w:val="24"/>
                  </w:rPr>
                </m:ctrlPr>
              </m:e>
              <m:e>
                <m:r>
                  <w:rPr>
                    <w:rFonts w:ascii="Cambria Math" w:hAnsi="Cambria Math"/>
                    <w:sz w:val="24"/>
                    <w:szCs w:val="24"/>
                  </w:rPr>
                  <m:t xml:space="preserve">  </m:t>
                </m:r>
                <m:ctrlPr>
                  <w:rPr>
                    <w:rFonts w:ascii="Cambria Math" w:eastAsia="Cambria Math" w:hAnsi="Cambria Math" w:cs="Cambria Math"/>
                    <w:i/>
                    <w:sz w:val="24"/>
                    <w:szCs w:val="24"/>
                  </w:rPr>
                </m:ctrlPr>
              </m:e>
              <m:e>
                <m:sSub>
                  <m:sSubPr>
                    <m:ctrlPr>
                      <w:rPr>
                        <w:rFonts w:ascii="Cambria Math" w:hAnsi="Cambria Math"/>
                        <w:i/>
                        <w:iCs/>
                        <w:sz w:val="24"/>
                        <w:szCs w:val="24"/>
                      </w:rPr>
                    </m:ctrlPr>
                  </m:sSubPr>
                  <m:e>
                    <m:r>
                      <w:rPr>
                        <w:rFonts w:ascii="Cambria Math" w:hAnsi="Cambria Math"/>
                        <w:sz w:val="24"/>
                        <w:szCs w:val="24"/>
                      </w:rPr>
                      <m:t>LTVI</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LT</m:t>
                        </m:r>
                      </m:sub>
                    </m:sSub>
                  </m:den>
                </m:f>
                <m:nary>
                  <m:naryPr>
                    <m:chr m:val="∑"/>
                    <m:limLoc m:val="undOvr"/>
                    <m:ctrlPr>
                      <w:rPr>
                        <w:rFonts w:ascii="Cambria Math" w:hAnsi="Cambria Math"/>
                        <w:i/>
                        <w:sz w:val="24"/>
                        <w:szCs w:val="24"/>
                      </w:rPr>
                    </m:ctrlPr>
                  </m:naryPr>
                  <m:sub>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ST</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sim</m:t>
                        </m:r>
                      </m:sub>
                    </m:s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μ</m:t>
                            </m:r>
                          </m:e>
                          <m:sub>
                            <m:r>
                              <w:rPr>
                                <w:rFonts w:ascii="Cambria Math" w:hAnsi="Cambria Math"/>
                                <w:sz w:val="24"/>
                                <w:szCs w:val="24"/>
                              </w:rPr>
                              <m:t>k,n</m:t>
                            </m:r>
                          </m:sub>
                          <m:sup>
                            <m:r>
                              <w:rPr>
                                <w:rFonts w:ascii="Cambria Math" w:hAnsi="Cambria Math"/>
                                <w:sz w:val="24"/>
                                <w:szCs w:val="24"/>
                              </w:rPr>
                              <m:t>LT</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PDF</m:t>
                            </m:r>
                          </m:e>
                          <m:sub>
                            <m:r>
                              <w:rPr>
                                <w:rFonts w:ascii="Cambria Math" w:hAnsi="Cambria Math"/>
                                <w:sz w:val="24"/>
                                <w:szCs w:val="24"/>
                              </w:rPr>
                              <m:t>k,n</m:t>
                            </m:r>
                          </m:sub>
                          <m:sup>
                            <m:r>
                              <w:rPr>
                                <w:rFonts w:ascii="Cambria Math" w:hAnsi="Cambria Math"/>
                                <w:sz w:val="24"/>
                                <w:szCs w:val="24"/>
                              </w:rPr>
                              <m:t>LT</m:t>
                            </m:r>
                          </m:sup>
                        </m:sSubSup>
                      </m:e>
                    </m:d>
                    <m:r>
                      <w:rPr>
                        <w:rFonts w:ascii="Cambria Math" w:hAnsi="Cambria Math"/>
                        <w:sz w:val="24"/>
                        <w:szCs w:val="24"/>
                      </w:rPr>
                      <m:t xml:space="preserve">    ∀n,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ST</m:t>
                        </m:r>
                      </m:sub>
                    </m:sSub>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SIM</m:t>
                        </m:r>
                      </m:sub>
                    </m:sSub>
                  </m:e>
                </m:nary>
                <m:ctrlPr>
                  <w:rPr>
                    <w:rFonts w:ascii="Cambria Math" w:hAnsi="Cambria Math"/>
                    <w:i/>
                    <w:sz w:val="24"/>
                    <w:szCs w:val="24"/>
                  </w:rPr>
                </m:ctrlPr>
              </m:e>
            </m:eqArr>
          </m:e>
        </m:d>
      </m:oMath>
      <w:r w:rsidR="00BE57F4" w:rsidRPr="00E27D3B">
        <w:rPr>
          <w:sz w:val="24"/>
          <w:szCs w:val="24"/>
        </w:rPr>
        <w:t xml:space="preserve">            </w:t>
      </w:r>
      <w:r w:rsidR="00BE57F4">
        <w:rPr>
          <w:sz w:val="24"/>
          <w:szCs w:val="24"/>
        </w:rPr>
        <w:t xml:space="preserve">                                                       </w:t>
      </w:r>
      <w:r w:rsidR="00BE57F4" w:rsidRPr="00E27D3B">
        <w:rPr>
          <w:sz w:val="24"/>
          <w:szCs w:val="24"/>
        </w:rPr>
        <w:t xml:space="preserve"> (</w:t>
      </w:r>
      <w:r w:rsidR="00BE57F4">
        <w:rPr>
          <w:sz w:val="24"/>
          <w:szCs w:val="24"/>
        </w:rPr>
        <w:t>5</w:t>
      </w:r>
      <w:r w:rsidR="00BE57F4" w:rsidRPr="00E27D3B">
        <w:rPr>
          <w:sz w:val="24"/>
          <w:szCs w:val="24"/>
        </w:rPr>
        <w:t>)</w:t>
      </w:r>
    </w:p>
    <w:p w14:paraId="630BD351" w14:textId="7D420947" w:rsidR="00AD32EB" w:rsidRPr="00DC6D94" w:rsidRDefault="00AD32EB" w:rsidP="005248E1">
      <w:pPr>
        <w:spacing w:after="0"/>
        <w:ind w:right="-23"/>
        <w:rPr>
          <w:rFonts w:asciiTheme="minorHAnsi" w:hAnsiTheme="minorHAnsi" w:cstheme="minorHAnsi"/>
          <w:sz w:val="24"/>
          <w:szCs w:val="24"/>
        </w:rPr>
      </w:pPr>
      <w:r w:rsidRPr="00DC6D94">
        <w:rPr>
          <w:rFonts w:asciiTheme="minorHAnsi" w:hAnsiTheme="minorHAnsi" w:cstheme="minorHAnsi"/>
          <w:sz w:val="24"/>
          <w:szCs w:val="24"/>
        </w:rPr>
        <w:t>In (5), the proposed framework defines separate short-term and long-term PDFs to capture the different dynamic characteristics of voltage recovery. The short-</w:t>
      </w:r>
      <w:r w:rsidR="00BA60AF" w:rsidRPr="00DC6D94">
        <w:rPr>
          <w:rFonts w:asciiTheme="minorHAnsi" w:hAnsiTheme="minorHAnsi" w:cstheme="minorHAnsi"/>
          <w:sz w:val="24"/>
          <w:szCs w:val="24"/>
        </w:rPr>
        <w:t>term and</w:t>
      </w:r>
      <w:r w:rsidR="00747D8E" w:rsidRPr="00DC6D94">
        <w:rPr>
          <w:rFonts w:asciiTheme="minorHAnsi" w:hAnsiTheme="minorHAnsi" w:cstheme="minorHAnsi"/>
          <w:sz w:val="24"/>
          <w:szCs w:val="24"/>
        </w:rPr>
        <w:t xml:space="preserve"> long-term </w:t>
      </w:r>
      <w:r w:rsidRPr="00DC6D94">
        <w:rPr>
          <w:rFonts w:asciiTheme="minorHAnsi" w:hAnsiTheme="minorHAnsi" w:cstheme="minorHAnsi"/>
          <w:sz w:val="24"/>
          <w:szCs w:val="24"/>
        </w:rPr>
        <w:t>PDF</w:t>
      </w:r>
      <w:r w:rsidR="00747D8E" w:rsidRPr="00DC6D94">
        <w:rPr>
          <w:rFonts w:asciiTheme="minorHAnsi" w:hAnsiTheme="minorHAnsi" w:cstheme="minorHAnsi"/>
          <w:sz w:val="24"/>
          <w:szCs w:val="24"/>
        </w:rPr>
        <w:t>s</w:t>
      </w:r>
      <w:r w:rsidRPr="00DC6D94">
        <w:rPr>
          <w:rFonts w:asciiTheme="minorHAnsi" w:hAnsiTheme="minorHAnsi" w:cstheme="minorHAnsi"/>
          <w:sz w:val="24"/>
          <w:szCs w:val="24"/>
        </w:rPr>
        <w:t xml:space="preserve"> </w:t>
      </w:r>
      <w:r w:rsidR="00747D8E" w:rsidRPr="00DC6D94">
        <w:rPr>
          <w:rFonts w:asciiTheme="minorHAnsi" w:hAnsiTheme="minorHAnsi" w:cstheme="minorHAnsi"/>
          <w:sz w:val="24"/>
          <w:szCs w:val="24"/>
        </w:rPr>
        <w:t>(</w:t>
      </w:r>
      <m:oMath>
        <m:sSubSup>
          <m:sSubSupPr>
            <m:ctrlPr>
              <w:rPr>
                <w:rFonts w:ascii="Cambria Math" w:hAnsi="Cambria Math" w:cstheme="minorHAnsi"/>
                <w:sz w:val="24"/>
                <w:szCs w:val="24"/>
              </w:rPr>
            </m:ctrlPr>
          </m:sSubSupPr>
          <m:e>
            <m:r>
              <w:rPr>
                <w:rFonts w:ascii="Cambria Math" w:hAnsi="Cambria Math" w:cstheme="minorHAnsi"/>
                <w:sz w:val="24"/>
                <w:szCs w:val="24"/>
              </w:rPr>
              <m:t>PDF</m:t>
            </m:r>
          </m:e>
          <m:sub>
            <m:r>
              <w:rPr>
                <w:rFonts w:ascii="Cambria Math" w:hAnsi="Cambria Math" w:cstheme="minorHAnsi"/>
                <w:sz w:val="24"/>
                <w:szCs w:val="24"/>
              </w:rPr>
              <m:t>k</m:t>
            </m:r>
            <m:r>
              <m:rPr>
                <m:sty m:val="p"/>
              </m:rPr>
              <w:rPr>
                <w:rFonts w:ascii="Cambria Math" w:hAnsi="Cambria Math" w:cstheme="minorHAnsi"/>
                <w:sz w:val="24"/>
                <w:szCs w:val="24"/>
              </w:rPr>
              <m:t>,</m:t>
            </m:r>
            <m:r>
              <w:rPr>
                <w:rFonts w:ascii="Cambria Math" w:hAnsi="Cambria Math" w:cstheme="minorHAnsi"/>
                <w:sz w:val="24"/>
                <w:szCs w:val="24"/>
              </w:rPr>
              <m:t>n</m:t>
            </m:r>
          </m:sub>
          <m:sup>
            <m:r>
              <w:rPr>
                <w:rFonts w:ascii="Cambria Math" w:hAnsi="Cambria Math" w:cstheme="minorHAnsi"/>
                <w:sz w:val="24"/>
                <w:szCs w:val="24"/>
              </w:rPr>
              <m:t>ST</m:t>
            </m:r>
          </m:sup>
        </m:sSubSup>
      </m:oMath>
      <w:r w:rsidR="00747D8E" w:rsidRPr="00DC6D94">
        <w:rPr>
          <w:rFonts w:asciiTheme="minorHAnsi" w:hAnsiTheme="minorHAnsi" w:cstheme="minorHAnsi"/>
          <w:sz w:val="24"/>
          <w:szCs w:val="24"/>
        </w:rPr>
        <w:t xml:space="preserve"> and </w:t>
      </w:r>
      <m:oMath>
        <m:sSubSup>
          <m:sSubSupPr>
            <m:ctrlPr>
              <w:rPr>
                <w:rFonts w:ascii="Cambria Math" w:hAnsi="Cambria Math" w:cstheme="minorHAnsi"/>
                <w:sz w:val="24"/>
                <w:szCs w:val="24"/>
              </w:rPr>
            </m:ctrlPr>
          </m:sSubSupPr>
          <m:e>
            <m:r>
              <w:rPr>
                <w:rFonts w:ascii="Cambria Math" w:hAnsi="Cambria Math" w:cstheme="minorHAnsi"/>
                <w:sz w:val="24"/>
                <w:szCs w:val="24"/>
              </w:rPr>
              <m:t>PDF</m:t>
            </m:r>
          </m:e>
          <m:sub>
            <m:r>
              <w:rPr>
                <w:rFonts w:ascii="Cambria Math" w:hAnsi="Cambria Math" w:cstheme="minorHAnsi"/>
                <w:sz w:val="24"/>
                <w:szCs w:val="24"/>
              </w:rPr>
              <m:t>k</m:t>
            </m:r>
            <m:r>
              <m:rPr>
                <m:sty m:val="p"/>
              </m:rPr>
              <w:rPr>
                <w:rFonts w:ascii="Cambria Math" w:hAnsi="Cambria Math" w:cstheme="minorHAnsi"/>
                <w:sz w:val="24"/>
                <w:szCs w:val="24"/>
              </w:rPr>
              <m:t>,</m:t>
            </m:r>
            <m:r>
              <w:rPr>
                <w:rFonts w:ascii="Cambria Math" w:hAnsi="Cambria Math" w:cstheme="minorHAnsi"/>
                <w:sz w:val="24"/>
                <w:szCs w:val="24"/>
              </w:rPr>
              <m:t>n</m:t>
            </m:r>
          </m:sub>
          <m:sup>
            <m:r>
              <w:rPr>
                <w:rFonts w:ascii="Cambria Math" w:hAnsi="Cambria Math" w:cstheme="minorHAnsi"/>
                <w:sz w:val="24"/>
                <w:szCs w:val="24"/>
              </w:rPr>
              <m:t>LT</m:t>
            </m:r>
          </m:sup>
        </m:sSubSup>
      </m:oMath>
      <w:r w:rsidR="00747D8E" w:rsidRPr="00DC6D94">
        <w:rPr>
          <w:rFonts w:asciiTheme="minorHAnsi" w:hAnsiTheme="minorHAnsi" w:cstheme="minorHAnsi"/>
          <w:sz w:val="24"/>
          <w:szCs w:val="24"/>
        </w:rPr>
        <w:t>) are</w:t>
      </w:r>
      <w:r w:rsidRPr="00DC6D94">
        <w:rPr>
          <w:rFonts w:asciiTheme="minorHAnsi" w:hAnsiTheme="minorHAnsi" w:cstheme="minorHAnsi"/>
          <w:sz w:val="24"/>
          <w:szCs w:val="24"/>
        </w:rPr>
        <w:t xml:space="preserve"> activated </w:t>
      </w:r>
      <w:r w:rsidR="00747D8E" w:rsidRPr="00DC6D94">
        <w:rPr>
          <w:rFonts w:asciiTheme="minorHAnsi" w:hAnsiTheme="minorHAnsi" w:cstheme="minorHAnsi"/>
          <w:sz w:val="24"/>
          <w:szCs w:val="24"/>
        </w:rPr>
        <w:t>during</w:t>
      </w:r>
      <w:r w:rsidRPr="00DC6D94">
        <w:rPr>
          <w:rFonts w:asciiTheme="minorHAnsi" w:hAnsiTheme="minorHAnsi" w:cstheme="minorHAnsi"/>
          <w:sz w:val="24"/>
          <w:szCs w:val="24"/>
        </w:rPr>
        <w:t xml:space="preserve"> the interval between fault clearing (</w:t>
      </w:r>
      <m:oMath>
        <m:sSub>
          <m:sSubPr>
            <m:ctrlPr>
              <w:rPr>
                <w:rFonts w:ascii="Cambria Math" w:hAnsi="Cambria Math" w:cstheme="minorHAnsi"/>
                <w:sz w:val="24"/>
                <w:szCs w:val="24"/>
              </w:rPr>
            </m:ctrlPr>
          </m:sSubPr>
          <m:e>
            <m:r>
              <w:rPr>
                <w:rFonts w:ascii="Cambria Math" w:hAnsi="Cambria Math" w:cstheme="minorHAnsi"/>
                <w:sz w:val="24"/>
                <w:szCs w:val="24"/>
              </w:rPr>
              <m:t>T</m:t>
            </m:r>
          </m:e>
          <m:sub>
            <m:r>
              <w:rPr>
                <w:rFonts w:ascii="Cambria Math" w:hAnsi="Cambria Math" w:cstheme="minorHAnsi"/>
                <w:sz w:val="24"/>
                <w:szCs w:val="24"/>
              </w:rPr>
              <m:t>CL</m:t>
            </m:r>
          </m:sub>
        </m:sSub>
      </m:oMath>
      <w:r w:rsidRPr="00DC6D94">
        <w:rPr>
          <w:rFonts w:asciiTheme="minorHAnsi" w:hAnsiTheme="minorHAnsi" w:cstheme="minorHAnsi"/>
          <w:sz w:val="24"/>
          <w:szCs w:val="24"/>
        </w:rPr>
        <w:t>) and the short-term assessment time (</w:t>
      </w:r>
      <m:oMath>
        <m:sSub>
          <m:sSubPr>
            <m:ctrlPr>
              <w:rPr>
                <w:rFonts w:ascii="Cambria Math" w:hAnsi="Cambria Math" w:cstheme="minorHAnsi"/>
                <w:sz w:val="24"/>
                <w:szCs w:val="24"/>
              </w:rPr>
            </m:ctrlPr>
          </m:sSubPr>
          <m:e>
            <m:r>
              <w:rPr>
                <w:rFonts w:ascii="Cambria Math" w:hAnsi="Cambria Math" w:cstheme="minorHAnsi"/>
                <w:sz w:val="24"/>
                <w:szCs w:val="24"/>
              </w:rPr>
              <m:t>T</m:t>
            </m:r>
          </m:e>
          <m:sub>
            <m:r>
              <w:rPr>
                <w:rFonts w:ascii="Cambria Math" w:hAnsi="Cambria Math" w:cstheme="minorHAnsi"/>
                <w:sz w:val="24"/>
                <w:szCs w:val="24"/>
              </w:rPr>
              <m:t>ss</m:t>
            </m:r>
          </m:sub>
        </m:sSub>
      </m:oMath>
      <w:r w:rsidRPr="00DC6D94">
        <w:rPr>
          <w:rFonts w:asciiTheme="minorHAnsi" w:hAnsiTheme="minorHAnsi" w:cstheme="minorHAnsi"/>
          <w:sz w:val="24"/>
          <w:szCs w:val="24"/>
        </w:rPr>
        <w:t>)</w:t>
      </w:r>
      <w:r w:rsidR="00747D8E" w:rsidRPr="00DC6D94">
        <w:rPr>
          <w:rFonts w:asciiTheme="minorHAnsi" w:hAnsiTheme="minorHAnsi" w:cstheme="minorHAnsi"/>
          <w:sz w:val="24"/>
          <w:szCs w:val="24"/>
        </w:rPr>
        <w:t>;</w:t>
      </w:r>
      <w:r w:rsidRPr="00DC6D94">
        <w:rPr>
          <w:rFonts w:asciiTheme="minorHAnsi" w:hAnsiTheme="minorHAnsi" w:cstheme="minorHAnsi"/>
          <w:sz w:val="24"/>
          <w:szCs w:val="24"/>
        </w:rPr>
        <w:t xml:space="preserve"> </w:t>
      </w:r>
      <w:r w:rsidR="00747D8E" w:rsidRPr="00DC6D94">
        <w:rPr>
          <w:rFonts w:asciiTheme="minorHAnsi" w:hAnsiTheme="minorHAnsi" w:cstheme="minorHAnsi"/>
          <w:sz w:val="24"/>
          <w:szCs w:val="24"/>
        </w:rPr>
        <w:t>and during the</w:t>
      </w:r>
      <w:r w:rsidRPr="00DC6D94">
        <w:rPr>
          <w:rFonts w:asciiTheme="minorHAnsi" w:hAnsiTheme="minorHAnsi" w:cstheme="minorHAnsi"/>
          <w:sz w:val="24"/>
          <w:szCs w:val="24"/>
        </w:rPr>
        <w:t xml:space="preserve"> </w:t>
      </w:r>
      <m:oMath>
        <m:sSub>
          <m:sSubPr>
            <m:ctrlPr>
              <w:rPr>
                <w:rFonts w:ascii="Cambria Math" w:hAnsi="Cambria Math" w:cstheme="minorHAnsi"/>
                <w:sz w:val="24"/>
                <w:szCs w:val="24"/>
              </w:rPr>
            </m:ctrlPr>
          </m:sSubPr>
          <m:e>
            <m:r>
              <w:rPr>
                <w:rFonts w:ascii="Cambria Math" w:hAnsi="Cambria Math" w:cstheme="minorHAnsi"/>
                <w:sz w:val="24"/>
                <w:szCs w:val="24"/>
              </w:rPr>
              <m:t>T</m:t>
            </m:r>
          </m:e>
          <m:sub>
            <m:r>
              <w:rPr>
                <w:rFonts w:ascii="Cambria Math" w:hAnsi="Cambria Math" w:cstheme="minorHAnsi"/>
                <w:sz w:val="24"/>
                <w:szCs w:val="24"/>
              </w:rPr>
              <m:t>ST</m:t>
            </m:r>
          </m:sub>
        </m:sSub>
      </m:oMath>
      <w:r w:rsidRPr="00DC6D94">
        <w:rPr>
          <w:rFonts w:asciiTheme="minorHAnsi" w:hAnsiTheme="minorHAnsi" w:cstheme="minorHAnsi"/>
          <w:sz w:val="24"/>
          <w:szCs w:val="24"/>
        </w:rPr>
        <w:t xml:space="preserve"> and the end of the simulation period (</w:t>
      </w:r>
      <m:oMath>
        <m:sSub>
          <m:sSubPr>
            <m:ctrlPr>
              <w:rPr>
                <w:rFonts w:ascii="Cambria Math" w:hAnsi="Cambria Math" w:cstheme="minorHAnsi"/>
                <w:sz w:val="24"/>
                <w:szCs w:val="24"/>
              </w:rPr>
            </m:ctrlPr>
          </m:sSubPr>
          <m:e>
            <m:r>
              <w:rPr>
                <w:rFonts w:ascii="Cambria Math" w:hAnsi="Cambria Math" w:cstheme="minorHAnsi"/>
                <w:sz w:val="24"/>
                <w:szCs w:val="24"/>
              </w:rPr>
              <m:t>T</m:t>
            </m:r>
          </m:e>
          <m:sub>
            <m:r>
              <w:rPr>
                <w:rFonts w:ascii="Cambria Math" w:hAnsi="Cambria Math" w:cstheme="minorHAnsi"/>
                <w:sz w:val="24"/>
                <w:szCs w:val="24"/>
              </w:rPr>
              <m:t>SIM</m:t>
            </m:r>
          </m:sub>
        </m:sSub>
      </m:oMath>
      <w:r w:rsidRPr="00DC6D94">
        <w:rPr>
          <w:rFonts w:asciiTheme="minorHAnsi" w:hAnsiTheme="minorHAnsi" w:cstheme="minorHAnsi"/>
          <w:sz w:val="24"/>
          <w:szCs w:val="24"/>
        </w:rPr>
        <w:t xml:space="preserve">). The PDF values are assigned as binary indicators (1 within the corresponding assessment interval and 0 otherwise), following the methodology adopted in [51] and [56]. </w:t>
      </w:r>
      <w:r w:rsidR="00BA60AF" w:rsidRPr="00BA60AF">
        <w:rPr>
          <w:rFonts w:asciiTheme="minorHAnsi" w:hAnsiTheme="minorHAnsi" w:cstheme="minorHAnsi"/>
          <w:sz w:val="24"/>
          <w:szCs w:val="24"/>
        </w:rPr>
        <w:t>The selection of the probability density functions (PDFs) used in this chapter is based on established short-term voltage stability assessment methodologies reported in the literature, particularly the approaches presented in [51] and [56]. These studies distinguish voltage recovery performance according to specific post-disturbance time horizons and evaluate compliance with recognised voltage recovery criteria, such as the WECC voltage performance standards. </w:t>
      </w:r>
    </w:p>
    <w:p w14:paraId="590073FF" w14:textId="2B61758E" w:rsidR="003C0AEB" w:rsidRPr="005248E1" w:rsidRDefault="00AD32EB" w:rsidP="005248E1">
      <w:pPr>
        <w:spacing w:after="0"/>
        <w:ind w:right="-23"/>
        <w:rPr>
          <w:rFonts w:asciiTheme="minorHAnsi" w:hAnsiTheme="minorHAnsi" w:cstheme="minorHAnsi"/>
          <w:sz w:val="24"/>
          <w:szCs w:val="24"/>
        </w:rPr>
      </w:pPr>
      <w:r w:rsidRPr="00DC6D94">
        <w:rPr>
          <w:rFonts w:asciiTheme="minorHAnsi" w:hAnsiTheme="minorHAnsi" w:cstheme="minorHAnsi"/>
          <w:sz w:val="24"/>
          <w:szCs w:val="24"/>
        </w:rPr>
        <w:t>At each sampling instant, the measured voltage is compared against the WECC voltage recovery criterion. A weighting factor (</w:t>
      </w:r>
      <m:oMath>
        <m:sSubSup>
          <m:sSubSupPr>
            <m:ctrlPr>
              <w:rPr>
                <w:rFonts w:ascii="Cambria Math" w:hAnsi="Cambria Math" w:cstheme="minorHAnsi"/>
                <w:sz w:val="24"/>
                <w:szCs w:val="24"/>
              </w:rPr>
            </m:ctrlPr>
          </m:sSubSupPr>
          <m:e>
            <m:r>
              <w:rPr>
                <w:rFonts w:ascii="Cambria Math" w:hAnsi="Cambria Math" w:cstheme="minorHAnsi"/>
                <w:sz w:val="24"/>
                <w:szCs w:val="24"/>
              </w:rPr>
              <m:t>μ</m:t>
            </m:r>
          </m:e>
          <m:sub>
            <m:r>
              <w:rPr>
                <w:rFonts w:ascii="Cambria Math" w:hAnsi="Cambria Math" w:cstheme="minorHAnsi"/>
                <w:sz w:val="24"/>
                <w:szCs w:val="24"/>
              </w:rPr>
              <m:t>k</m:t>
            </m:r>
            <m:r>
              <m:rPr>
                <m:sty m:val="p"/>
              </m:rPr>
              <w:rPr>
                <w:rFonts w:ascii="Cambria Math" w:hAnsi="Cambria Math" w:cstheme="minorHAnsi"/>
                <w:sz w:val="24"/>
                <w:szCs w:val="24"/>
              </w:rPr>
              <m:t>,</m:t>
            </m:r>
            <m:r>
              <w:rPr>
                <w:rFonts w:ascii="Cambria Math" w:hAnsi="Cambria Math" w:cstheme="minorHAnsi"/>
                <w:sz w:val="24"/>
                <w:szCs w:val="24"/>
              </w:rPr>
              <m:t>n</m:t>
            </m:r>
          </m:sub>
          <m:sup>
            <m:r>
              <w:rPr>
                <w:rFonts w:ascii="Cambria Math" w:hAnsi="Cambria Math" w:cstheme="minorHAnsi"/>
                <w:sz w:val="24"/>
                <w:szCs w:val="24"/>
              </w:rPr>
              <m:t>ST</m:t>
            </m:r>
          </m:sup>
        </m:sSubSup>
        <m:r>
          <m:rPr>
            <m:sty m:val="p"/>
          </m:rPr>
          <w:rPr>
            <w:rFonts w:ascii="Cambria Math" w:hAnsi="Cambria Math" w:cstheme="minorHAnsi"/>
            <w:sz w:val="24"/>
            <w:szCs w:val="24"/>
          </w:rPr>
          <m:t xml:space="preserve"> </m:t>
        </m:r>
      </m:oMath>
      <w:r w:rsidRPr="00DC6D94">
        <w:rPr>
          <w:rFonts w:asciiTheme="minorHAnsi" w:hAnsiTheme="minorHAnsi" w:cstheme="minorHAnsi"/>
          <w:sz w:val="24"/>
          <w:szCs w:val="24"/>
        </w:rPr>
        <w:t xml:space="preserve">and </w:t>
      </w:r>
      <m:oMath>
        <m:sSubSup>
          <m:sSubSupPr>
            <m:ctrlPr>
              <w:rPr>
                <w:rFonts w:ascii="Cambria Math" w:hAnsi="Cambria Math" w:cstheme="minorHAnsi"/>
                <w:sz w:val="24"/>
                <w:szCs w:val="24"/>
              </w:rPr>
            </m:ctrlPr>
          </m:sSubSupPr>
          <m:e>
            <m:r>
              <w:rPr>
                <w:rFonts w:ascii="Cambria Math" w:hAnsi="Cambria Math" w:cstheme="minorHAnsi"/>
                <w:sz w:val="24"/>
                <w:szCs w:val="24"/>
              </w:rPr>
              <m:t>μ</m:t>
            </m:r>
          </m:e>
          <m:sub>
            <m:r>
              <w:rPr>
                <w:rFonts w:ascii="Cambria Math" w:hAnsi="Cambria Math" w:cstheme="minorHAnsi"/>
                <w:sz w:val="24"/>
                <w:szCs w:val="24"/>
              </w:rPr>
              <m:t>k</m:t>
            </m:r>
            <m:r>
              <m:rPr>
                <m:sty m:val="p"/>
              </m:rPr>
              <w:rPr>
                <w:rFonts w:ascii="Cambria Math" w:hAnsi="Cambria Math" w:cstheme="minorHAnsi"/>
                <w:sz w:val="24"/>
                <w:szCs w:val="24"/>
              </w:rPr>
              <m:t>,</m:t>
            </m:r>
            <m:r>
              <w:rPr>
                <w:rFonts w:ascii="Cambria Math" w:hAnsi="Cambria Math" w:cstheme="minorHAnsi"/>
                <w:sz w:val="24"/>
                <w:szCs w:val="24"/>
              </w:rPr>
              <m:t>n</m:t>
            </m:r>
          </m:sub>
          <m:sup>
            <m:r>
              <w:rPr>
                <w:rFonts w:ascii="Cambria Math" w:hAnsi="Cambria Math" w:cstheme="minorHAnsi"/>
                <w:sz w:val="24"/>
                <w:szCs w:val="24"/>
              </w:rPr>
              <m:t>LT</m:t>
            </m:r>
          </m:sup>
        </m:sSubSup>
      </m:oMath>
      <w:r w:rsidRPr="00DC6D94">
        <w:rPr>
          <w:rFonts w:asciiTheme="minorHAnsi" w:hAnsiTheme="minorHAnsi" w:cstheme="minorHAnsi"/>
          <w:sz w:val="24"/>
          <w:szCs w:val="24"/>
        </w:rPr>
        <w:t xml:space="preserve">) </w:t>
      </w:r>
      <w:r w:rsidR="00747D8E" w:rsidRPr="00DC6D94">
        <w:rPr>
          <w:rFonts w:asciiTheme="minorHAnsi" w:hAnsiTheme="minorHAnsi" w:cstheme="minorHAnsi"/>
          <w:sz w:val="24"/>
          <w:szCs w:val="24"/>
        </w:rPr>
        <w:t xml:space="preserve">defined in (6) </w:t>
      </w:r>
      <w:r w:rsidRPr="00DC6D94">
        <w:rPr>
          <w:rFonts w:asciiTheme="minorHAnsi" w:hAnsiTheme="minorHAnsi" w:cstheme="minorHAnsi"/>
          <w:sz w:val="24"/>
          <w:szCs w:val="24"/>
        </w:rPr>
        <w:t xml:space="preserve">is then applied to reward or penalise the voltage response depending on whether the voltage remains within or violates the WECC boundary. Therefore, the selection and formulation of the PDFs are not arbitrary but are informed by established voltage stability assessment literature and the recognised separation of short-term and long-term post-disturbance voltage recovery behaviour. </w:t>
      </w:r>
    </w:p>
    <w:p w14:paraId="354889B1" w14:textId="28A56E0B" w:rsidR="00DD1639" w:rsidRDefault="00984B23" w:rsidP="005248E1">
      <w:pPr>
        <w:ind w:right="-23"/>
        <w:jc w:val="right"/>
        <w:rPr>
          <w:sz w:val="24"/>
          <w:szCs w:val="24"/>
        </w:rPr>
      </w:pPr>
      <m:oMath>
        <m:d>
          <m:dPr>
            <m:begChr m:val="{"/>
            <m:endChr m:val=""/>
            <m:ctrlPr>
              <w:rPr>
                <w:rFonts w:ascii="Cambria Math" w:hAnsi="Cambria Math"/>
                <w:i/>
                <w:sz w:val="24"/>
                <w:szCs w:val="24"/>
              </w:rPr>
            </m:ctrlPr>
          </m:dPr>
          <m:e>
            <m:eqArr>
              <m:eqArrPr>
                <m:ctrlPr>
                  <w:rPr>
                    <w:rFonts w:ascii="Cambria Math" w:hAnsi="Cambria Math"/>
                    <w:i/>
                    <w:sz w:val="24"/>
                    <w:szCs w:val="24"/>
                  </w:rPr>
                </m:ctrlPr>
              </m:eqArrPr>
              <m:e>
                <m:sSubSup>
                  <m:sSubSupPr>
                    <m:ctrlPr>
                      <w:rPr>
                        <w:rFonts w:ascii="Cambria Math" w:hAnsi="Cambria Math"/>
                        <w:i/>
                        <w:sz w:val="24"/>
                        <w:szCs w:val="24"/>
                      </w:rPr>
                    </m:ctrlPr>
                  </m:sSubSupPr>
                  <m:e>
                    <m:r>
                      <w:rPr>
                        <w:rFonts w:ascii="Cambria Math" w:hAnsi="Cambria Math"/>
                        <w:sz w:val="24"/>
                        <w:szCs w:val="24"/>
                      </w:rPr>
                      <m:t>μ</m:t>
                    </m:r>
                  </m:e>
                  <m:sub>
                    <m:r>
                      <w:rPr>
                        <w:rFonts w:ascii="Cambria Math" w:hAnsi="Cambria Math"/>
                        <w:sz w:val="24"/>
                        <w:szCs w:val="24"/>
                      </w:rPr>
                      <m:t>k,n</m:t>
                    </m:r>
                  </m:sub>
                  <m:sup>
                    <m:r>
                      <w:rPr>
                        <w:rFonts w:ascii="Cambria Math" w:hAnsi="Cambria Math"/>
                        <w:sz w:val="24"/>
                        <w:szCs w:val="24"/>
                      </w:rPr>
                      <m:t>ST</m:t>
                    </m:r>
                  </m:sup>
                </m:sSubSup>
                <m:r>
                  <w:rPr>
                    <w:rFonts w:ascii="Cambria Math" w:hAnsi="Cambria Math"/>
                    <w:sz w:val="24"/>
                    <w:szCs w:val="24"/>
                  </w:rPr>
                  <m:t>=</m:t>
                </m:r>
                <m:d>
                  <m:dPr>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1;                          if %V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r>
                          <w:rPr>
                            <w:rFonts w:ascii="Cambria Math" w:hAnsi="Cambria Math"/>
                            <w:sz w:val="24"/>
                            <w:szCs w:val="24"/>
                          </w:rPr>
                          <m:t xml:space="preserve">=0                    </m:t>
                        </m:r>
                      </m:e>
                      <m:e>
                        <m:r>
                          <w:rPr>
                            <w:rFonts w:ascii="Cambria Math" w:hAnsi="Cambria Math"/>
                            <w:sz w:val="24"/>
                            <w:szCs w:val="24"/>
                          </w:rPr>
                          <m:t>1-</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 xml:space="preserve"> ; if </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WEC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ST</m:t>
                                </m:r>
                              </m:sub>
                            </m:sSub>
                          </m:e>
                        </m:d>
                        <m:ctrlPr>
                          <w:rPr>
                            <w:rFonts w:ascii="Cambria Math" w:eastAsia="Cambria Math" w:hAnsi="Cambria Math" w:cs="Cambria Math"/>
                            <w:i/>
                            <w:sz w:val="24"/>
                            <w:szCs w:val="24"/>
                          </w:rPr>
                        </m:ctrlPr>
                      </m:e>
                      <m:e>
                        <m:r>
                          <w:rPr>
                            <w:rFonts w:ascii="Cambria Math" w:hAnsi="Cambria Math"/>
                            <w:sz w:val="24"/>
                            <w:szCs w:val="24"/>
                          </w:rPr>
                          <m:t xml:space="preserve">-1;                       if </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&gt;</m:t>
                        </m:r>
                        <m:d>
                          <m:dPr>
                            <m:begChr m:val="|"/>
                            <m:endChr m:val="|"/>
                            <m:ctrlPr>
                              <w:rPr>
                                <w:rFonts w:ascii="Cambria Math" w:hAnsi="Cambria Math"/>
                                <w:i/>
                                <w:sz w:val="24"/>
                                <w:szCs w:val="24"/>
                              </w:rPr>
                            </m:ctrlPr>
                          </m:dPr>
                          <m:e>
                            <m:r>
                              <w:rPr>
                                <w:rFonts w:ascii="Cambria Math" w:hAnsi="Cambria Math"/>
                                <w:sz w:val="24"/>
                                <w:szCs w:val="24"/>
                              </w:rPr>
                              <m:t>WEC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ST</m:t>
                                </m:r>
                              </m:sub>
                            </m:sSub>
                          </m:e>
                        </m:d>
                      </m:e>
                    </m:eqArr>
                    <m:r>
                      <w:rPr>
                        <w:rFonts w:ascii="Cambria Math" w:hAnsi="Cambria Math"/>
                        <w:sz w:val="24"/>
                        <w:szCs w:val="24"/>
                      </w:rPr>
                      <m:t xml:space="preserve"> </m:t>
                    </m:r>
                  </m:e>
                </m:d>
              </m:e>
              <m:e>
                <m:sSubSup>
                  <m:sSubSupPr>
                    <m:ctrlPr>
                      <w:rPr>
                        <w:rFonts w:ascii="Cambria Math" w:hAnsi="Cambria Math"/>
                        <w:i/>
                        <w:sz w:val="24"/>
                        <w:szCs w:val="24"/>
                      </w:rPr>
                    </m:ctrlPr>
                  </m:sSubSupPr>
                  <m:e>
                    <m:r>
                      <w:rPr>
                        <w:rFonts w:ascii="Cambria Math" w:hAnsi="Cambria Math"/>
                        <w:sz w:val="24"/>
                        <w:szCs w:val="24"/>
                      </w:rPr>
                      <m:t>μ</m:t>
                    </m:r>
                  </m:e>
                  <m:sub>
                    <m:r>
                      <w:rPr>
                        <w:rFonts w:ascii="Cambria Math" w:hAnsi="Cambria Math"/>
                        <w:sz w:val="24"/>
                        <w:szCs w:val="24"/>
                      </w:rPr>
                      <m:t>k,n</m:t>
                    </m:r>
                  </m:sub>
                  <m:sup>
                    <m:r>
                      <w:rPr>
                        <w:rFonts w:ascii="Cambria Math" w:hAnsi="Cambria Math"/>
                        <w:sz w:val="24"/>
                        <w:szCs w:val="24"/>
                      </w:rPr>
                      <m:t>LT</m:t>
                    </m:r>
                  </m:sup>
                </m:sSubSup>
                <m:r>
                  <w:rPr>
                    <w:rFonts w:ascii="Cambria Math" w:hAnsi="Cambria Math"/>
                    <w:sz w:val="24"/>
                    <w:szCs w:val="24"/>
                  </w:rPr>
                  <m:t>=</m:t>
                </m:r>
                <m:d>
                  <m:dPr>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1;                          if %V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r>
                          <w:rPr>
                            <w:rFonts w:ascii="Cambria Math" w:hAnsi="Cambria Math"/>
                            <w:sz w:val="24"/>
                            <w:szCs w:val="24"/>
                          </w:rPr>
                          <m:t xml:space="preserve">=0                    </m:t>
                        </m:r>
                      </m:e>
                      <m:e>
                        <m:r>
                          <w:rPr>
                            <w:rFonts w:ascii="Cambria Math" w:hAnsi="Cambria Math"/>
                            <w:sz w:val="24"/>
                            <w:szCs w:val="24"/>
                          </w:rPr>
                          <m:t>1-</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 xml:space="preserve"> ; if </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WEC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LT</m:t>
                                </m:r>
                              </m:sub>
                            </m:sSub>
                          </m:e>
                        </m:d>
                        <m:ctrlPr>
                          <w:rPr>
                            <w:rFonts w:ascii="Cambria Math" w:eastAsia="Cambria Math" w:hAnsi="Cambria Math" w:cs="Cambria Math"/>
                            <w:i/>
                            <w:sz w:val="24"/>
                            <w:szCs w:val="24"/>
                          </w:rPr>
                        </m:ctrlPr>
                      </m:e>
                      <m:e>
                        <m:r>
                          <w:rPr>
                            <w:rFonts w:ascii="Cambria Math" w:hAnsi="Cambria Math"/>
                            <w:sz w:val="24"/>
                            <w:szCs w:val="24"/>
                          </w:rPr>
                          <m:t xml:space="preserve">-1;                       if </m:t>
                        </m:r>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k,n</m:t>
                                </m:r>
                              </m:sub>
                            </m:sSub>
                          </m:e>
                        </m:d>
                        <m:r>
                          <w:rPr>
                            <w:rFonts w:ascii="Cambria Math" w:hAnsi="Cambria Math"/>
                            <w:sz w:val="24"/>
                            <w:szCs w:val="24"/>
                          </w:rPr>
                          <m:t>&gt;</m:t>
                        </m:r>
                        <m:d>
                          <m:dPr>
                            <m:begChr m:val="|"/>
                            <m:endChr m:val="|"/>
                            <m:ctrlPr>
                              <w:rPr>
                                <w:rFonts w:ascii="Cambria Math" w:hAnsi="Cambria Math"/>
                                <w:i/>
                                <w:sz w:val="24"/>
                                <w:szCs w:val="24"/>
                              </w:rPr>
                            </m:ctrlPr>
                          </m:dPr>
                          <m:e>
                            <m:r>
                              <w:rPr>
                                <w:rFonts w:ascii="Cambria Math" w:hAnsi="Cambria Math"/>
                                <w:sz w:val="24"/>
                                <w:szCs w:val="24"/>
                              </w:rPr>
                              <m:t>WEC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LT</m:t>
                                </m:r>
                              </m:sub>
                            </m:sSub>
                          </m:e>
                        </m:d>
                      </m:e>
                    </m:eqArr>
                  </m:e>
                </m:d>
                <m:r>
                  <w:rPr>
                    <w:rFonts w:ascii="Cambria Math" w:hAnsi="Cambria Math"/>
                    <w:sz w:val="24"/>
                    <w:szCs w:val="24"/>
                  </w:rPr>
                  <m:t xml:space="preserve"> </m:t>
                </m:r>
              </m:e>
            </m:eqArr>
          </m:e>
        </m:d>
      </m:oMath>
      <w:r w:rsidR="00BE57F4" w:rsidRPr="00E27D3B">
        <w:rPr>
          <w:sz w:val="24"/>
          <w:szCs w:val="24"/>
        </w:rPr>
        <w:t xml:space="preserve">                     </w:t>
      </w:r>
      <w:r w:rsidR="00BE57F4">
        <w:rPr>
          <w:sz w:val="24"/>
          <w:szCs w:val="24"/>
        </w:rPr>
        <w:t xml:space="preserve">                                                     </w:t>
      </w:r>
      <w:r w:rsidR="00BE57F4" w:rsidRPr="00E27D3B">
        <w:rPr>
          <w:sz w:val="24"/>
          <w:szCs w:val="24"/>
        </w:rPr>
        <w:t xml:space="preserve"> (</w:t>
      </w:r>
      <w:r w:rsidR="00BE57F4">
        <w:rPr>
          <w:sz w:val="24"/>
          <w:szCs w:val="24"/>
        </w:rPr>
        <w:t>6</w:t>
      </w:r>
      <w:r w:rsidR="00BE57F4" w:rsidRPr="00E27D3B">
        <w:rPr>
          <w:sz w:val="24"/>
          <w:szCs w:val="24"/>
        </w:rPr>
        <w:t>)</w:t>
      </w:r>
    </w:p>
    <w:p w14:paraId="0C00D583" w14:textId="77777777" w:rsidR="00DF50A2" w:rsidRPr="00E27D3B" w:rsidRDefault="00DF50A2" w:rsidP="005248E1">
      <w:pPr>
        <w:pStyle w:val="BodyText"/>
        <w:spacing w:after="0"/>
      </w:pPr>
      <w:r w:rsidRPr="00E27D3B">
        <w:t>As indicated in (</w:t>
      </w:r>
      <w:r>
        <w:t>6</w:t>
      </w:r>
      <w:r w:rsidRPr="00E27D3B">
        <w:t xml:space="preserve">), the post-event voltage response is sampled over a fixed interval, and the corresponding percentage voltage deviation, denoted as </w:t>
      </w:r>
      <m:oMath>
        <m:r>
          <w:rPr>
            <w:rFonts w:ascii="Cambria Math" w:hAnsi="Cambria Math"/>
          </w:rPr>
          <m:t>%V</m:t>
        </m:r>
        <m:sSub>
          <m:sSubPr>
            <m:ctrlPr>
              <w:rPr>
                <w:rFonts w:ascii="Cambria Math" w:hAnsi="Cambria Math"/>
                <w:i/>
              </w:rPr>
            </m:ctrlPr>
          </m:sSubPr>
          <m:e>
            <m:r>
              <w:rPr>
                <w:rFonts w:ascii="Cambria Math" w:hAnsi="Cambria Math"/>
              </w:rPr>
              <m:t>D</m:t>
            </m:r>
          </m:e>
          <m:sub>
            <m:r>
              <w:rPr>
                <w:rFonts w:ascii="Cambria Math" w:hAnsi="Cambria Math"/>
              </w:rPr>
              <m:t>k,n</m:t>
            </m:r>
          </m:sub>
        </m:sSub>
      </m:oMath>
      <w:r w:rsidRPr="00E27D3B">
        <w:t xml:space="preserve">, is calculated for each sample. These values are then individually evaluated against the WECC performance criteria. </w:t>
      </w:r>
    </w:p>
    <w:p w14:paraId="7A06AC5F" w14:textId="60CF9629" w:rsidR="00BE57F4" w:rsidRPr="00533B52" w:rsidRDefault="00DF50A2" w:rsidP="005248E1">
      <w:pPr>
        <w:pStyle w:val="BodyText"/>
        <w:spacing w:after="0"/>
        <w:rPr>
          <w:highlight w:val="green"/>
        </w:rPr>
      </w:pPr>
      <w:r w:rsidRPr="00E27D3B">
        <w:t xml:space="preserve">When neither short-term nor long-term voltage deviations are observed following a disturbance, the corresponding </w:t>
      </w:r>
      <m:oMath>
        <m:r>
          <w:rPr>
            <w:rFonts w:ascii="Cambria Math" w:hAnsi="Cambria Math"/>
            <w:lang w:val="en-US"/>
          </w:rPr>
          <m:t>DVR</m:t>
        </m:r>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k</m:t>
            </m:r>
          </m:sub>
        </m:sSub>
      </m:oMath>
      <w:r w:rsidRPr="00E27D3B">
        <w:t xml:space="preserve"> is assigned a full positive weighting of +1, indicating recovery to pre-fault voltage. In cases where short-term voltage deviation (STVD) and/or long-term voltage </w:t>
      </w:r>
      <w:r w:rsidRPr="00E27D3B">
        <w:lastRenderedPageBreak/>
        <w:t xml:space="preserve">deviation (LTVD) occurs but remains within the acceptable limits defined by the </w:t>
      </w:r>
      <w:r w:rsidRPr="00E27D3B">
        <w:rPr>
          <w:i/>
          <w:iCs/>
        </w:rPr>
        <w:t>WECC</w:t>
      </w:r>
      <w:r w:rsidRPr="00E27D3B">
        <w:t xml:space="preserve"> criteria, </w:t>
      </w:r>
      <m:oMath>
        <m:r>
          <w:rPr>
            <w:rFonts w:ascii="Cambria Math" w:hAnsi="Cambria Math"/>
            <w:lang w:val="en-US"/>
          </w:rPr>
          <m:t>DVR</m:t>
        </m:r>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k</m:t>
            </m:r>
          </m:sub>
        </m:sSub>
      </m:oMath>
      <w:r w:rsidRPr="00E27D3B">
        <w:t xml:space="preserve"> is still awarded a positive weighting. The magnitude of these weighting functions approaches +1 as </w:t>
      </w:r>
      <m:oMath>
        <m:r>
          <w:rPr>
            <w:rFonts w:ascii="Cambria Math" w:hAnsi="Cambria Math"/>
          </w:rPr>
          <m:t>%V</m:t>
        </m:r>
        <m:sSub>
          <m:sSubPr>
            <m:ctrlPr>
              <w:rPr>
                <w:rFonts w:ascii="Cambria Math" w:hAnsi="Cambria Math"/>
                <w:i/>
              </w:rPr>
            </m:ctrlPr>
          </m:sSubPr>
          <m:e>
            <m:r>
              <w:rPr>
                <w:rFonts w:ascii="Cambria Math" w:hAnsi="Cambria Math"/>
              </w:rPr>
              <m:t>D</m:t>
            </m:r>
          </m:e>
          <m:sub>
            <m:r>
              <w:rPr>
                <w:rFonts w:ascii="Cambria Math" w:hAnsi="Cambria Math"/>
              </w:rPr>
              <m:t>k,n</m:t>
            </m:r>
          </m:sub>
        </m:sSub>
      </m:oMath>
      <w:r w:rsidRPr="00E27D3B">
        <w:t xml:space="preserve"> tends toward zero and gradually decreases as the deviation increases, reflecting the degree of voltage deviation. Conversely, if either </w:t>
      </w:r>
      <w:r w:rsidRPr="0072580A">
        <w:t>STVD</w:t>
      </w:r>
      <w:r w:rsidRPr="00E27D3B">
        <w:t xml:space="preserve"> or </w:t>
      </w:r>
      <w:r w:rsidRPr="0072580A">
        <w:t>LTVD</w:t>
      </w:r>
      <w:r w:rsidRPr="00E27D3B">
        <w:t xml:space="preserve"> exceeds the </w:t>
      </w:r>
      <w:r w:rsidRPr="00E27D3B">
        <w:rPr>
          <w:i/>
          <w:iCs/>
        </w:rPr>
        <w:t>WECC</w:t>
      </w:r>
      <w:r w:rsidRPr="00E27D3B">
        <w:t xml:space="preserve"> stability thresholds, </w:t>
      </w:r>
      <m:oMath>
        <m:r>
          <w:rPr>
            <w:rFonts w:ascii="Cambria Math" w:hAnsi="Cambria Math"/>
            <w:szCs w:val="20"/>
            <w:lang w:val="en-US"/>
          </w:rPr>
          <m:t>DVR</m:t>
        </m:r>
        <m:sSub>
          <m:sSubPr>
            <m:ctrlPr>
              <w:rPr>
                <w:rFonts w:ascii="Cambria Math" w:hAnsi="Cambria Math"/>
                <w:i/>
                <w:iCs/>
                <w:szCs w:val="20"/>
                <w:lang w:val="en-US"/>
              </w:rPr>
            </m:ctrlPr>
          </m:sSubPr>
          <m:e>
            <m:r>
              <w:rPr>
                <w:rFonts w:ascii="Cambria Math" w:hAnsi="Cambria Math"/>
                <w:szCs w:val="20"/>
                <w:lang w:val="en-US"/>
              </w:rPr>
              <m:t>I</m:t>
            </m:r>
          </m:e>
          <m:sub>
            <m:r>
              <w:rPr>
                <w:rFonts w:ascii="Cambria Math" w:hAnsi="Cambria Math"/>
                <w:szCs w:val="20"/>
                <w:lang w:val="en-US"/>
              </w:rPr>
              <m:t>k</m:t>
            </m:r>
          </m:sub>
        </m:sSub>
      </m:oMath>
      <w:r w:rsidRPr="00E27D3B">
        <w:t xml:space="preserve"> is assigned a negative weighting of −1, indicating a violation of the voltage performance criteria. Accordingly, both the short-term and long-term voltage indices, represented as </w:t>
      </w:r>
      <m:oMath>
        <m:r>
          <m:rPr>
            <m:sty m:val="p"/>
          </m:rPr>
          <w:rPr>
            <w:rFonts w:ascii="Cambria Math" w:hAnsi="Cambria Math"/>
          </w:rPr>
          <m:t>{</m:t>
        </m:r>
        <m:sSub>
          <m:sSubPr>
            <m:ctrlPr>
              <w:rPr>
                <w:rFonts w:ascii="Cambria Math" w:hAnsi="Cambria Math"/>
                <w:iCs/>
              </w:rPr>
            </m:ctrlPr>
          </m:sSubPr>
          <m:e>
            <m:r>
              <m:rPr>
                <m:sty m:val="p"/>
              </m:rPr>
              <w:rPr>
                <w:rFonts w:ascii="Cambria Math" w:hAnsi="Cambria Math"/>
              </w:rPr>
              <m:t>STVI</m:t>
            </m:r>
          </m:e>
          <m:sub>
            <m:r>
              <m:rPr>
                <m:sty m:val="p"/>
              </m:rPr>
              <w:rPr>
                <w:rFonts w:ascii="Cambria Math" w:hAnsi="Cambria Math"/>
              </w:rPr>
              <m:t>k</m:t>
            </m:r>
          </m:sub>
        </m:sSub>
        <m:r>
          <m:rPr>
            <m:nor/>
          </m:rPr>
          <w:rPr>
            <w:iCs/>
          </w:rPr>
          <m:t>    </m:t>
        </m:r>
        <m:sSub>
          <m:sSubPr>
            <m:ctrlPr>
              <w:rPr>
                <w:rFonts w:ascii="Cambria Math" w:hAnsi="Cambria Math"/>
                <w:iCs/>
              </w:rPr>
            </m:ctrlPr>
          </m:sSubPr>
          <m:e>
            <m:r>
              <m:rPr>
                <m:sty m:val="p"/>
              </m:rPr>
              <w:rPr>
                <w:rFonts w:ascii="Cambria Math" w:hAnsi="Cambria Math"/>
              </w:rPr>
              <m:t>LTVI</m:t>
            </m:r>
          </m:e>
          <m:sub>
            <m:r>
              <m:rPr>
                <m:sty m:val="p"/>
              </m:rPr>
              <w:rPr>
                <w:rFonts w:ascii="Cambria Math" w:hAnsi="Cambria Math"/>
              </w:rPr>
              <m:t>k</m:t>
            </m:r>
          </m:sub>
        </m:sSub>
        <m:r>
          <m:rPr>
            <m:sty m:val="p"/>
          </m:rPr>
          <w:rPr>
            <w:rFonts w:ascii="Cambria Math" w:hAnsi="Cambria Math"/>
          </w:rPr>
          <m:t>}</m:t>
        </m:r>
      </m:oMath>
      <w:r w:rsidRPr="00E27D3B">
        <w:rPr>
          <w:iCs/>
        </w:rPr>
        <w:t>,</w:t>
      </w:r>
      <w:r w:rsidRPr="00E27D3B">
        <w:t xml:space="preserve"> are bounded within the interval of −1 to +1. The combination of these indicator values provides a comprehensive quantification of the dynamic voltage signature at the </w:t>
      </w:r>
      <m:oMath>
        <m:r>
          <w:rPr>
            <w:rFonts w:ascii="Cambria Math" w:hAnsi="Cambria Math"/>
          </w:rPr>
          <m:t>k</m:t>
        </m:r>
      </m:oMath>
      <w:r w:rsidRPr="00E27D3B">
        <w:t xml:space="preserve">th bus, as summarized in </w:t>
      </w:r>
      <w:r w:rsidR="00852428" w:rsidRPr="00E27D3B">
        <w:t xml:space="preserve">the </w:t>
      </w:r>
      <w:proofErr w:type="spellStart"/>
      <w:r w:rsidR="00852428" w:rsidRPr="00547C88">
        <w:t>Apx</w:t>
      </w:r>
      <w:proofErr w:type="spellEnd"/>
      <w:r w:rsidR="00BE57F4" w:rsidRPr="00547C88">
        <w:t xml:space="preserve"> Table </w:t>
      </w:r>
      <w:r w:rsidR="00D90511">
        <w:t>1</w:t>
      </w:r>
      <w:r w:rsidR="00BE57F4" w:rsidRPr="00547C88">
        <w:t xml:space="preserve"> (Refer to Appendix A.1).</w:t>
      </w:r>
    </w:p>
    <w:p w14:paraId="6D0F9EB6" w14:textId="55844337" w:rsidR="00BE57F4" w:rsidRPr="00E27D3B" w:rsidRDefault="00BE57F4" w:rsidP="00CD4F3A">
      <w:pPr>
        <w:pStyle w:val="Heading3"/>
        <w:ind w:left="1134" w:hanging="1134"/>
      </w:pPr>
      <w:r w:rsidRPr="00E27D3B">
        <w:t xml:space="preserve">Deployment of an </w:t>
      </w:r>
      <w:r w:rsidR="005248E1">
        <w:t>O</w:t>
      </w:r>
      <w:r w:rsidRPr="00E27D3B">
        <w:t xml:space="preserve">scillatory and </w:t>
      </w:r>
      <w:r w:rsidR="005248E1">
        <w:t>N</w:t>
      </w:r>
      <w:r w:rsidRPr="00E27D3B">
        <w:t xml:space="preserve">on-oscillatory </w:t>
      </w:r>
      <w:r w:rsidR="005248E1">
        <w:t>V</w:t>
      </w:r>
      <w:r w:rsidRPr="00E27D3B">
        <w:t xml:space="preserve">oltage </w:t>
      </w:r>
      <w:r w:rsidR="005248E1">
        <w:t>W</w:t>
      </w:r>
      <w:r w:rsidRPr="00E27D3B">
        <w:t xml:space="preserve">aveform </w:t>
      </w:r>
      <w:r w:rsidR="005248E1">
        <w:t>I</w:t>
      </w:r>
      <w:r w:rsidRPr="00E27D3B">
        <w:t xml:space="preserve">dentification </w:t>
      </w:r>
      <w:r w:rsidR="005248E1">
        <w:t>A</w:t>
      </w:r>
      <w:r w:rsidRPr="00E27D3B">
        <w:t>lgorithm in the Proposed DVRI</w:t>
      </w:r>
      <w:r w:rsidRPr="007E44B1">
        <w:t xml:space="preserve">   </w:t>
      </w:r>
      <w:r w:rsidRPr="00E27D3B">
        <w:t xml:space="preserve">  </w:t>
      </w:r>
    </w:p>
    <w:p w14:paraId="0B48A308" w14:textId="0C8605C4" w:rsidR="00BE57F4" w:rsidRPr="00422D4A" w:rsidRDefault="00BE57F4" w:rsidP="0008088D">
      <w:pPr>
        <w:spacing w:after="0"/>
        <w:ind w:right="-23"/>
        <w:rPr>
          <w:sz w:val="24"/>
          <w:szCs w:val="24"/>
        </w:rPr>
      </w:pPr>
      <w:r w:rsidRPr="0018143E">
        <w:rPr>
          <w:sz w:val="24"/>
          <w:szCs w:val="24"/>
        </w:rPr>
        <w:t>Though the proposed DVRI in (</w:t>
      </w:r>
      <w:r>
        <w:rPr>
          <w:sz w:val="24"/>
          <w:szCs w:val="24"/>
        </w:rPr>
        <w:t>4</w:t>
      </w:r>
      <w:r w:rsidRPr="0018143E">
        <w:rPr>
          <w:sz w:val="24"/>
          <w:szCs w:val="24"/>
        </w:rPr>
        <w:t>) is an effective and powerful indicator to quantify the recovery of the voltage waveform, it may give the same DVRI for the post-disturbance oscillatory recovery voltage waveform (</w:t>
      </w:r>
      <m:oMath>
        <m:r>
          <m:rPr>
            <m:sty m:val="p"/>
          </m:rPr>
          <w:rPr>
            <w:rFonts w:ascii="Cambria Math" w:hAnsi="Cambria Math"/>
            <w:sz w:val="24"/>
            <w:szCs w:val="24"/>
          </w:rPr>
          <m:t>ORVW</m:t>
        </m:r>
      </m:oMath>
      <w:r w:rsidRPr="0018143E">
        <w:rPr>
          <w:sz w:val="24"/>
          <w:szCs w:val="24"/>
        </w:rPr>
        <w:t>) and the non-oscillatory recovery voltage waveform (</w:t>
      </w:r>
      <m:oMath>
        <m:r>
          <m:rPr>
            <m:sty m:val="p"/>
          </m:rPr>
          <w:rPr>
            <w:rFonts w:ascii="Cambria Math" w:hAnsi="Cambria Math"/>
            <w:sz w:val="24"/>
            <w:szCs w:val="24"/>
          </w:rPr>
          <m:t>NRVW</m:t>
        </m:r>
      </m:oMath>
      <w:r w:rsidRPr="0018143E">
        <w:rPr>
          <w:sz w:val="24"/>
          <w:szCs w:val="24"/>
        </w:rPr>
        <w:t>) because it is based on the aggregation of discretised sample values of the waveform. Computed using (</w:t>
      </w:r>
      <w:r w:rsidRPr="00422D4A">
        <w:rPr>
          <w:sz w:val="24"/>
          <w:szCs w:val="24"/>
        </w:rPr>
        <w:t>4</w:t>
      </w:r>
      <w:r w:rsidRPr="0018143E">
        <w:rPr>
          <w:sz w:val="24"/>
          <w:szCs w:val="24"/>
        </w:rPr>
        <w:t>), since DVRI evaluates each sample of the waveform discretely and then aggregates the results according to (</w:t>
      </w:r>
      <w:r>
        <w:rPr>
          <w:sz w:val="24"/>
          <w:szCs w:val="24"/>
        </w:rPr>
        <w:t>5</w:t>
      </w:r>
      <w:r w:rsidRPr="0018143E">
        <w:rPr>
          <w:sz w:val="24"/>
          <w:szCs w:val="24"/>
        </w:rPr>
        <w:t xml:space="preserve">), it may not distinguish between </w:t>
      </w:r>
      <m:oMath>
        <m:r>
          <m:rPr>
            <m:sty m:val="p"/>
          </m:rPr>
          <w:rPr>
            <w:rFonts w:ascii="Cambria Math" w:hAnsi="Cambria Math"/>
            <w:sz w:val="24"/>
            <w:szCs w:val="24"/>
          </w:rPr>
          <m:t>ORVW</m:t>
        </m:r>
      </m:oMath>
      <w:r w:rsidRPr="0018143E">
        <w:rPr>
          <w:sz w:val="24"/>
          <w:szCs w:val="24"/>
        </w:rPr>
        <w:t xml:space="preserve"> and </w:t>
      </w:r>
      <m:oMath>
        <m:r>
          <m:rPr>
            <m:sty m:val="p"/>
          </m:rPr>
          <w:rPr>
            <w:rFonts w:ascii="Cambria Math" w:hAnsi="Cambria Math"/>
            <w:sz w:val="24"/>
            <w:szCs w:val="24"/>
          </w:rPr>
          <m:t>NRVW</m:t>
        </m:r>
      </m:oMath>
      <w:r w:rsidRPr="0018143E">
        <w:rPr>
          <w:sz w:val="24"/>
          <w:szCs w:val="24"/>
        </w:rPr>
        <w:t xml:space="preserve">. For example, in </w:t>
      </w:r>
      <w:r>
        <w:rPr>
          <w:sz w:val="24"/>
          <w:szCs w:val="24"/>
        </w:rPr>
        <w:fldChar w:fldCharType="begin"/>
      </w:r>
      <w:r>
        <w:rPr>
          <w:sz w:val="24"/>
          <w:szCs w:val="24"/>
        </w:rPr>
        <w:instrText xml:space="preserve"> REF _Ref230191803 \h </w:instrText>
      </w:r>
      <w:r w:rsidR="0094747A">
        <w:rPr>
          <w:sz w:val="24"/>
          <w:szCs w:val="24"/>
        </w:rPr>
        <w:instrText xml:space="preserve"> \* MERGEFORMAT </w:instrText>
      </w:r>
      <w:r>
        <w:rPr>
          <w:sz w:val="24"/>
          <w:szCs w:val="24"/>
        </w:rPr>
      </w:r>
      <w:r>
        <w:rPr>
          <w:sz w:val="24"/>
          <w:szCs w:val="24"/>
        </w:rPr>
        <w:fldChar w:fldCharType="separate"/>
      </w:r>
      <w:r w:rsidR="00753DAF" w:rsidRPr="00422D4A">
        <w:rPr>
          <w:sz w:val="24"/>
          <w:szCs w:val="24"/>
        </w:rPr>
        <w:t>Figure 36</w:t>
      </w:r>
      <w:r>
        <w:rPr>
          <w:sz w:val="24"/>
          <w:szCs w:val="24"/>
        </w:rPr>
        <w:fldChar w:fldCharType="end"/>
      </w:r>
      <w:r w:rsidRPr="0018143E">
        <w:rPr>
          <w:sz w:val="24"/>
          <w:szCs w:val="24"/>
        </w:rPr>
        <w:t>(a), the proposed STVI in (</w:t>
      </w:r>
      <w:r>
        <w:rPr>
          <w:sz w:val="24"/>
          <w:szCs w:val="24"/>
        </w:rPr>
        <w:t>5</w:t>
      </w:r>
      <w:r w:rsidRPr="0018143E">
        <w:rPr>
          <w:sz w:val="24"/>
          <w:szCs w:val="24"/>
        </w:rPr>
        <w:t xml:space="preserve">) calculates similar values (≈ -0.16) for both </w:t>
      </w:r>
      <m:oMath>
        <m:r>
          <m:rPr>
            <m:sty m:val="p"/>
          </m:rPr>
          <w:rPr>
            <w:rFonts w:ascii="Cambria Math" w:hAnsi="Cambria Math"/>
            <w:sz w:val="24"/>
            <w:szCs w:val="24"/>
          </w:rPr>
          <m:t>ORVW</m:t>
        </m:r>
      </m:oMath>
      <w:r w:rsidRPr="0018143E">
        <w:rPr>
          <w:sz w:val="24"/>
          <w:szCs w:val="24"/>
        </w:rPr>
        <w:t xml:space="preserve"> (</w:t>
      </w:r>
      <w:r w:rsidRPr="00422D4A">
        <w:rPr>
          <w:sz w:val="24"/>
          <w:szCs w:val="24"/>
        </w:rPr>
        <w:t xml:space="preserve">blue </w:t>
      </w:r>
      <w:proofErr w:type="spellStart"/>
      <w:r w:rsidRPr="00422D4A">
        <w:rPr>
          <w:sz w:val="24"/>
          <w:szCs w:val="24"/>
        </w:rPr>
        <w:t>color</w:t>
      </w:r>
      <w:proofErr w:type="spellEnd"/>
      <w:r w:rsidRPr="00422D4A">
        <w:rPr>
          <w:sz w:val="24"/>
          <w:szCs w:val="24"/>
        </w:rPr>
        <w:t xml:space="preserve">) and </w:t>
      </w:r>
      <m:oMath>
        <m:r>
          <m:rPr>
            <m:sty m:val="p"/>
          </m:rPr>
          <w:rPr>
            <w:rFonts w:ascii="Cambria Math" w:hAnsi="Cambria Math"/>
            <w:sz w:val="24"/>
            <w:szCs w:val="24"/>
          </w:rPr>
          <m:t>NRVW</m:t>
        </m:r>
      </m:oMath>
      <w:r w:rsidRPr="00422D4A">
        <w:rPr>
          <w:sz w:val="24"/>
          <w:szCs w:val="24"/>
        </w:rPr>
        <w:t xml:space="preserve"> (red color). It is worth noting that the proposed STVI in </w:t>
      </w:r>
      <w:r w:rsidRPr="0018143E">
        <w:rPr>
          <w:sz w:val="24"/>
          <w:szCs w:val="24"/>
        </w:rPr>
        <w:t>(</w:t>
      </w:r>
      <w:r>
        <w:rPr>
          <w:sz w:val="24"/>
          <w:szCs w:val="24"/>
        </w:rPr>
        <w:t>5</w:t>
      </w:r>
      <w:r w:rsidRPr="0018143E">
        <w:rPr>
          <w:sz w:val="24"/>
          <w:szCs w:val="24"/>
        </w:rPr>
        <w:t xml:space="preserve">) </w:t>
      </w:r>
      <w:r w:rsidRPr="00422D4A">
        <w:rPr>
          <w:sz w:val="24"/>
          <w:szCs w:val="24"/>
        </w:rPr>
        <w:t xml:space="preserve">quantifies both cases as unstable; however, it is unable to distinguish between </w:t>
      </w:r>
      <m:oMath>
        <m:r>
          <m:rPr>
            <m:sty m:val="p"/>
          </m:rPr>
          <w:rPr>
            <w:rFonts w:ascii="Cambria Math" w:hAnsi="Cambria Math"/>
            <w:sz w:val="24"/>
            <w:szCs w:val="24"/>
          </w:rPr>
          <m:t>ORVW</m:t>
        </m:r>
      </m:oMath>
      <w:r w:rsidRPr="00422D4A">
        <w:rPr>
          <w:sz w:val="24"/>
          <w:szCs w:val="24"/>
        </w:rPr>
        <w:t xml:space="preserve"> and </w:t>
      </w:r>
      <m:oMath>
        <m:r>
          <m:rPr>
            <m:sty m:val="p"/>
          </m:rPr>
          <w:rPr>
            <w:rFonts w:ascii="Cambria Math" w:hAnsi="Cambria Math"/>
            <w:sz w:val="24"/>
            <w:szCs w:val="24"/>
          </w:rPr>
          <m:t>NRVW</m:t>
        </m:r>
      </m:oMath>
      <w:r w:rsidRPr="00422D4A">
        <w:rPr>
          <w:sz w:val="24"/>
          <w:szCs w:val="24"/>
        </w:rPr>
        <w:t xml:space="preserve">. However, accurate discrimination between ORVW and NRVW is a critical capability of contemporary voltage stability assessment tools. To address this requirement, a statistical algorithm for distinguishing ORVW from NRVW is developed based on </w:t>
      </w:r>
      <w:r w:rsidRPr="00422D4A">
        <w:rPr>
          <w:sz w:val="24"/>
          <w:szCs w:val="24"/>
        </w:rPr>
        <w:fldChar w:fldCharType="begin"/>
      </w:r>
      <w:r w:rsidRPr="00422D4A">
        <w:rPr>
          <w:sz w:val="24"/>
          <w:szCs w:val="24"/>
        </w:rPr>
        <w:instrText xml:space="preserve"> REF _Ref230198481 \r \h </w:instrText>
      </w:r>
      <w:r w:rsidR="003F270C" w:rsidRPr="00422D4A">
        <w:rPr>
          <w:sz w:val="24"/>
          <w:szCs w:val="24"/>
        </w:rPr>
        <w:instrText xml:space="preserve"> \* MERGEFORMAT </w:instrText>
      </w:r>
      <w:r w:rsidRPr="00422D4A">
        <w:rPr>
          <w:sz w:val="24"/>
          <w:szCs w:val="24"/>
        </w:rPr>
      </w:r>
      <w:r w:rsidRPr="00422D4A">
        <w:rPr>
          <w:sz w:val="24"/>
          <w:szCs w:val="24"/>
        </w:rPr>
        <w:fldChar w:fldCharType="separate"/>
      </w:r>
      <w:r w:rsidR="0071368C" w:rsidRPr="00422D4A">
        <w:rPr>
          <w:sz w:val="24"/>
          <w:szCs w:val="24"/>
        </w:rPr>
        <w:t>[76]</w:t>
      </w:r>
      <w:r w:rsidRPr="00422D4A">
        <w:rPr>
          <w:sz w:val="24"/>
          <w:szCs w:val="24"/>
        </w:rPr>
        <w:fldChar w:fldCharType="end"/>
      </w:r>
      <w:r w:rsidRPr="00422D4A">
        <w:rPr>
          <w:sz w:val="24"/>
          <w:szCs w:val="24"/>
        </w:rPr>
        <w:t xml:space="preserve"> and integrated into the DVRI formulation presented in (4) based on the cumulative distribution function (CDF) defined in (7). </w:t>
      </w:r>
      <w:r w:rsidRPr="00547C88">
        <w:rPr>
          <w:sz w:val="24"/>
          <w:szCs w:val="24"/>
        </w:rPr>
        <w:t>Refer to section A.2 in Appendix for step-by-step explanation of deriving (7).</w:t>
      </w:r>
    </w:p>
    <w:p w14:paraId="23598128" w14:textId="17086909" w:rsidR="00422D4A" w:rsidRPr="00E27D3B" w:rsidRDefault="00984B23" w:rsidP="00CD4F3A">
      <w:pPr>
        <w:ind w:right="-22"/>
        <w:jc w:val="both"/>
        <w:rPr>
          <w:rFonts w:ascii="Cambria Math" w:hAnsi="Cambria Math"/>
          <w:iCs/>
          <w:sz w:val="24"/>
          <w:szCs w:val="24"/>
        </w:rPr>
      </w:p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NRVW: </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CDF</m:t>
                    </m:r>
                  </m:e>
                </m:nary>
                <m:r>
                  <m:rPr>
                    <m:sty m:val="p"/>
                  </m:rPr>
                  <w:rPr>
                    <w:rFonts w:ascii="Cambria Math" w:hAnsi="Cambria Math"/>
                    <w:sz w:val="24"/>
                    <w:szCs w:val="24"/>
                  </w:rPr>
                  <m:t>=</m:t>
                </m:r>
                <m:nary>
                  <m:naryPr>
                    <m:chr m:val="∑"/>
                    <m:limLoc m:val="undOvr"/>
                    <m:ctrlPr>
                      <w:rPr>
                        <w:rFonts w:ascii="Cambria Math" w:hAnsi="Cambria Math"/>
                        <w:sz w:val="24"/>
                        <w:szCs w:val="24"/>
                      </w:rPr>
                    </m:ctrlPr>
                  </m:naryPr>
                  <m:sub>
                    <m:r>
                      <w:rPr>
                        <w:rFonts w:ascii="Cambria Math" w:hAnsi="Cambria Math"/>
                        <w:sz w:val="24"/>
                        <w:szCs w:val="24"/>
                      </w:rPr>
                      <m:t>n=1</m:t>
                    </m:r>
                  </m:sub>
                  <m:sup>
                    <m:r>
                      <w:rPr>
                        <w:rFonts w:ascii="Cambria Math" w:hAnsi="Cambria Math"/>
                        <w:sz w:val="24"/>
                        <w:szCs w:val="24"/>
                      </w:rPr>
                      <m:t>T</m:t>
                    </m:r>
                  </m:sup>
                  <m:e>
                    <m:r>
                      <w:rPr>
                        <w:rFonts w:ascii="Cambria Math" w:hAnsi="Cambria Math"/>
                        <w:sz w:val="24"/>
                        <w:szCs w:val="24"/>
                      </w:rPr>
                      <m:t>CDF</m:t>
                    </m:r>
                    <m:d>
                      <m:dPr>
                        <m:begChr m:val="{"/>
                        <m:endChr m:val="}"/>
                        <m:ctrlPr>
                          <w:rPr>
                            <w:rFonts w:ascii="Cambria Math" w:hAnsi="Cambria Math"/>
                            <w:i/>
                            <w:sz w:val="24"/>
                            <w:szCs w:val="24"/>
                          </w:rPr>
                        </m:ctrlPr>
                      </m:dPr>
                      <m:e>
                        <m:r>
                          <w:rPr>
                            <w:rFonts w:ascii="Cambria Math" w:hAnsi="Cambria Math"/>
                            <w:sz w:val="24"/>
                            <w:szCs w:val="24"/>
                          </w:rPr>
                          <m:t>K</m:t>
                        </m:r>
                        <m:d>
                          <m:dPr>
                            <m:begChr m:val="["/>
                            <m:endChr m:val="]"/>
                            <m:ctrlPr>
                              <w:rPr>
                                <w:rFonts w:ascii="Cambria Math" w:hAnsi="Cambria Math"/>
                                <w:sz w:val="24"/>
                                <w:szCs w:val="24"/>
                              </w:rPr>
                            </m:ctrlPr>
                          </m:dPr>
                          <m:e>
                            <m:r>
                              <w:rPr>
                                <w:rFonts w:ascii="Cambria Math" w:hAnsi="Cambria Math"/>
                                <w:sz w:val="24"/>
                                <w:szCs w:val="24"/>
                              </w:rPr>
                              <m:t>y</m:t>
                            </m:r>
                          </m:e>
                        </m:d>
                      </m:e>
                    </m:d>
                  </m:e>
                </m:nary>
                <m:r>
                  <w:rPr>
                    <w:rFonts w:ascii="Cambria Math" w:hAnsi="Cambria Math"/>
                    <w:sz w:val="24"/>
                    <w:szCs w:val="24"/>
                  </w:rPr>
                  <m:t>=0.2894</m:t>
                </m:r>
              </m:e>
              <m:e>
                <m:r>
                  <w:rPr>
                    <w:rFonts w:ascii="Cambria Math" w:hAnsi="Cambria Math"/>
                    <w:sz w:val="24"/>
                    <w:szCs w:val="24"/>
                  </w:rPr>
                  <m:t xml:space="preserve">ORVW : </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CDF</m:t>
                    </m:r>
                  </m:e>
                </m:nary>
                <m:r>
                  <m:rPr>
                    <m:sty m:val="p"/>
                  </m:rPr>
                  <w:rPr>
                    <w:rFonts w:ascii="Cambria Math" w:hAnsi="Cambria Math"/>
                    <w:sz w:val="24"/>
                    <w:szCs w:val="24"/>
                  </w:rPr>
                  <m:t>=</m:t>
                </m:r>
                <m:nary>
                  <m:naryPr>
                    <m:chr m:val="∑"/>
                    <m:limLoc m:val="undOvr"/>
                    <m:ctrlPr>
                      <w:rPr>
                        <w:rFonts w:ascii="Cambria Math" w:hAnsi="Cambria Math"/>
                        <w:sz w:val="24"/>
                        <w:szCs w:val="24"/>
                      </w:rPr>
                    </m:ctrlPr>
                  </m:naryPr>
                  <m:sub>
                    <m:r>
                      <w:rPr>
                        <w:rFonts w:ascii="Cambria Math" w:hAnsi="Cambria Math"/>
                        <w:sz w:val="24"/>
                        <w:szCs w:val="24"/>
                      </w:rPr>
                      <m:t>n=1</m:t>
                    </m:r>
                  </m:sub>
                  <m:sup>
                    <m:r>
                      <w:rPr>
                        <w:rFonts w:ascii="Cambria Math" w:hAnsi="Cambria Math"/>
                        <w:sz w:val="24"/>
                        <w:szCs w:val="24"/>
                      </w:rPr>
                      <m:t>T</m:t>
                    </m:r>
                  </m:sup>
                  <m:e>
                    <m:r>
                      <w:rPr>
                        <w:rFonts w:ascii="Cambria Math" w:hAnsi="Cambria Math"/>
                        <w:sz w:val="24"/>
                        <w:szCs w:val="24"/>
                      </w:rPr>
                      <m:t>CDF</m:t>
                    </m:r>
                    <m:d>
                      <m:dPr>
                        <m:begChr m:val="{"/>
                        <m:endChr m:val="}"/>
                        <m:ctrlPr>
                          <w:rPr>
                            <w:rFonts w:ascii="Cambria Math" w:hAnsi="Cambria Math"/>
                            <w:i/>
                            <w:sz w:val="24"/>
                            <w:szCs w:val="24"/>
                          </w:rPr>
                        </m:ctrlPr>
                      </m:dPr>
                      <m:e>
                        <m:r>
                          <w:rPr>
                            <w:rFonts w:ascii="Cambria Math" w:hAnsi="Cambria Math"/>
                            <w:sz w:val="24"/>
                            <w:szCs w:val="24"/>
                          </w:rPr>
                          <m:t>K</m:t>
                        </m:r>
                        <m:d>
                          <m:dPr>
                            <m:begChr m:val="["/>
                            <m:endChr m:val="]"/>
                            <m:ctrlPr>
                              <w:rPr>
                                <w:rFonts w:ascii="Cambria Math" w:hAnsi="Cambria Math"/>
                                <w:sz w:val="24"/>
                                <w:szCs w:val="24"/>
                              </w:rPr>
                            </m:ctrlPr>
                          </m:dPr>
                          <m:e>
                            <m:r>
                              <w:rPr>
                                <w:rFonts w:ascii="Cambria Math" w:hAnsi="Cambria Math"/>
                                <w:sz w:val="24"/>
                                <w:szCs w:val="24"/>
                              </w:rPr>
                              <m:t>y</m:t>
                            </m:r>
                          </m:e>
                        </m:d>
                      </m:e>
                    </m:d>
                  </m:e>
                </m:nary>
                <m:r>
                  <w:rPr>
                    <w:rFonts w:ascii="Cambria Math" w:hAnsi="Cambria Math"/>
                    <w:sz w:val="24"/>
                    <w:szCs w:val="24"/>
                  </w:rPr>
                  <m:t xml:space="preserve">=158.4894 </m:t>
                </m:r>
              </m:e>
            </m:eqArr>
          </m:e>
        </m:d>
      </m:oMath>
      <w:r w:rsidR="00BE57F4" w:rsidRPr="00E27D3B">
        <w:rPr>
          <w:rFonts w:ascii="Cambria Math" w:hAnsi="Cambria Math"/>
          <w:i/>
          <w:sz w:val="20"/>
          <w:szCs w:val="20"/>
        </w:rPr>
        <w:t xml:space="preserve">                                 </w:t>
      </w:r>
      <w:r w:rsidR="00BE57F4">
        <w:rPr>
          <w:rFonts w:ascii="Cambria Math" w:hAnsi="Cambria Math"/>
          <w:i/>
          <w:sz w:val="20"/>
          <w:szCs w:val="20"/>
        </w:rPr>
        <w:t xml:space="preserve">                                                  </w:t>
      </w:r>
      <w:r w:rsidR="00BE57F4" w:rsidRPr="00E27D3B">
        <w:rPr>
          <w:rFonts w:ascii="Cambria Math" w:hAnsi="Cambria Math"/>
          <w:i/>
          <w:sz w:val="20"/>
          <w:szCs w:val="20"/>
        </w:rPr>
        <w:t xml:space="preserve">             </w:t>
      </w:r>
      <w:r w:rsidR="00BE57F4" w:rsidRPr="00E27D3B">
        <w:rPr>
          <w:rFonts w:ascii="Cambria Math" w:hAnsi="Cambria Math"/>
          <w:iCs/>
          <w:sz w:val="24"/>
          <w:szCs w:val="24"/>
        </w:rPr>
        <w:t>(</w:t>
      </w:r>
      <w:r w:rsidR="00BE57F4">
        <w:rPr>
          <w:rFonts w:ascii="Cambria Math" w:hAnsi="Cambria Math"/>
          <w:iCs/>
          <w:sz w:val="24"/>
          <w:szCs w:val="24"/>
        </w:rPr>
        <w:t>7</w:t>
      </w:r>
      <w:r w:rsidR="00BE57F4" w:rsidRPr="00E27D3B">
        <w:rPr>
          <w:rFonts w:ascii="Cambria Math" w:hAnsi="Cambria Math"/>
          <w:iCs/>
          <w:sz w:val="24"/>
          <w:szCs w:val="24"/>
        </w:rPr>
        <w:t>)</w:t>
      </w:r>
    </w:p>
    <w:p w14:paraId="0A1E3A1A" w14:textId="4DDD6685" w:rsidR="00BE57F4" w:rsidRDefault="00BE57F4" w:rsidP="0008088D">
      <w:pPr>
        <w:spacing w:after="0"/>
        <w:ind w:right="-23"/>
        <w:rPr>
          <w:rFonts w:asciiTheme="minorHAnsi" w:hAnsiTheme="minorHAnsi" w:cstheme="minorHAnsi"/>
          <w:sz w:val="24"/>
          <w:szCs w:val="24"/>
        </w:rPr>
      </w:pPr>
      <w:r w:rsidRPr="0008088D">
        <w:rPr>
          <w:rFonts w:asciiTheme="minorHAnsi" w:hAnsiTheme="minorHAnsi" w:cstheme="minorHAnsi"/>
          <w:sz w:val="24"/>
          <w:szCs w:val="24"/>
        </w:rPr>
        <w:t xml:space="preserve">It can be concluded that for a given set of waveforms, as shown in </w:t>
      </w:r>
      <w:r w:rsidRPr="0008088D">
        <w:rPr>
          <w:rFonts w:asciiTheme="minorHAnsi" w:hAnsiTheme="minorHAnsi" w:cstheme="minorHAnsi"/>
          <w:sz w:val="24"/>
          <w:szCs w:val="24"/>
        </w:rPr>
        <w:fldChar w:fldCharType="begin"/>
      </w:r>
      <w:r w:rsidRPr="0008088D">
        <w:rPr>
          <w:rFonts w:asciiTheme="minorHAnsi" w:hAnsiTheme="minorHAnsi" w:cstheme="minorHAnsi"/>
          <w:sz w:val="24"/>
          <w:szCs w:val="24"/>
        </w:rPr>
        <w:instrText xml:space="preserve"> REF _Ref230191803 \h </w:instrText>
      </w:r>
      <w:r w:rsidR="00422D4A" w:rsidRPr="0008088D">
        <w:rPr>
          <w:rFonts w:asciiTheme="minorHAnsi" w:hAnsiTheme="minorHAnsi" w:cstheme="minorHAnsi"/>
          <w:sz w:val="24"/>
          <w:szCs w:val="24"/>
        </w:rPr>
        <w:instrText xml:space="preserve"> \* MERGEFORMAT </w:instrText>
      </w:r>
      <w:r w:rsidRPr="0008088D">
        <w:rPr>
          <w:rFonts w:asciiTheme="minorHAnsi" w:hAnsiTheme="minorHAnsi" w:cstheme="minorHAnsi"/>
          <w:sz w:val="24"/>
          <w:szCs w:val="24"/>
        </w:rPr>
      </w:r>
      <w:r w:rsidRPr="0008088D">
        <w:rPr>
          <w:rFonts w:asciiTheme="minorHAnsi" w:hAnsiTheme="minorHAnsi" w:cstheme="minorHAnsi"/>
          <w:sz w:val="24"/>
          <w:szCs w:val="24"/>
        </w:rPr>
        <w:fldChar w:fldCharType="separate"/>
      </w:r>
      <w:r w:rsidR="00753DAF" w:rsidRPr="0008088D">
        <w:rPr>
          <w:rFonts w:asciiTheme="minorHAnsi" w:hAnsiTheme="minorHAnsi" w:cstheme="minorHAnsi"/>
          <w:sz w:val="24"/>
          <w:szCs w:val="24"/>
        </w:rPr>
        <w:t xml:space="preserve">Figure </w:t>
      </w:r>
      <w:r w:rsidR="00753DAF" w:rsidRPr="0008088D">
        <w:rPr>
          <w:rFonts w:asciiTheme="minorHAnsi" w:hAnsiTheme="minorHAnsi" w:cstheme="minorHAnsi"/>
          <w:noProof/>
          <w:sz w:val="24"/>
          <w:szCs w:val="24"/>
        </w:rPr>
        <w:t>36</w:t>
      </w:r>
      <w:r w:rsidRPr="0008088D">
        <w:rPr>
          <w:rFonts w:asciiTheme="minorHAnsi" w:hAnsiTheme="minorHAnsi" w:cstheme="minorHAnsi"/>
          <w:sz w:val="24"/>
          <w:szCs w:val="24"/>
        </w:rPr>
        <w:fldChar w:fldCharType="end"/>
      </w:r>
      <w:r w:rsidRPr="0008088D">
        <w:rPr>
          <w:rFonts w:asciiTheme="minorHAnsi" w:hAnsiTheme="minorHAnsi" w:cstheme="minorHAnsi"/>
          <w:sz w:val="24"/>
          <w:szCs w:val="24"/>
        </w:rPr>
        <w:t xml:space="preserve">(a), a higher </w:t>
      </w:r>
      <m:oMath>
        <m:nary>
          <m:naryPr>
            <m:chr m:val="∑"/>
            <m:limLoc m:val="undOvr"/>
            <m:subHide m:val="1"/>
            <m:supHide m:val="1"/>
            <m:ctrlPr>
              <w:rPr>
                <w:rFonts w:ascii="Cambria Math" w:hAnsi="Cambria Math" w:cstheme="minorHAnsi"/>
                <w:i/>
                <w:sz w:val="24"/>
                <w:szCs w:val="24"/>
              </w:rPr>
            </m:ctrlPr>
          </m:naryPr>
          <m:sub/>
          <m:sup/>
          <m:e>
            <m:r>
              <w:rPr>
                <w:rFonts w:ascii="Cambria Math" w:hAnsi="Cambria Math" w:cstheme="minorHAnsi"/>
                <w:sz w:val="24"/>
                <w:szCs w:val="24"/>
              </w:rPr>
              <m:t>CDF</m:t>
            </m:r>
          </m:e>
        </m:nary>
        <m:r>
          <w:rPr>
            <w:rFonts w:ascii="Cambria Math" w:hAnsi="Cambria Math" w:cstheme="minorHAnsi"/>
            <w:sz w:val="24"/>
            <w:szCs w:val="24"/>
          </w:rPr>
          <m:t xml:space="preserve"> </m:t>
        </m:r>
      </m:oMath>
      <w:r w:rsidRPr="0008088D">
        <w:rPr>
          <w:rFonts w:asciiTheme="minorHAnsi" w:hAnsiTheme="minorHAnsi" w:cstheme="minorHAnsi"/>
          <w:sz w:val="24"/>
          <w:szCs w:val="24"/>
        </w:rPr>
        <w:t xml:space="preserve">value (typically &gt;1) indicates </w:t>
      </w:r>
      <m:oMath>
        <m:r>
          <w:rPr>
            <w:rFonts w:ascii="Cambria Math" w:hAnsi="Cambria Math" w:cstheme="minorHAnsi"/>
            <w:sz w:val="24"/>
            <w:szCs w:val="24"/>
          </w:rPr>
          <m:t>ORVW</m:t>
        </m:r>
      </m:oMath>
      <w:r w:rsidRPr="0008088D">
        <w:rPr>
          <w:rFonts w:asciiTheme="minorHAnsi" w:hAnsiTheme="minorHAnsi" w:cstheme="minorHAnsi"/>
          <w:sz w:val="24"/>
          <w:szCs w:val="24"/>
        </w:rPr>
        <w:t xml:space="preserve"> (for example, in this case</w:t>
      </w:r>
      <w:r w:rsidR="005C772D" w:rsidRPr="0008088D">
        <w:rPr>
          <w:rFonts w:asciiTheme="minorHAnsi" w:hAnsiTheme="minorHAnsi" w:cstheme="minorHAnsi"/>
          <w:sz w:val="24"/>
          <w:szCs w:val="24"/>
        </w:rPr>
        <w:t>,</w:t>
      </w:r>
      <w:r w:rsidRPr="0008088D">
        <w:rPr>
          <w:rFonts w:asciiTheme="minorHAnsi" w:hAnsiTheme="minorHAnsi" w:cstheme="minorHAnsi"/>
          <w:sz w:val="24"/>
          <w:szCs w:val="24"/>
        </w:rPr>
        <w:t xml:space="preserve"> it is </w:t>
      </w:r>
      <m:oMath>
        <m:r>
          <w:rPr>
            <w:rFonts w:ascii="Cambria Math" w:hAnsi="Cambria Math" w:cstheme="minorHAnsi"/>
            <w:sz w:val="24"/>
            <w:szCs w:val="24"/>
          </w:rPr>
          <m:t>158.4894)</m:t>
        </m:r>
      </m:oMath>
      <w:r w:rsidRPr="0008088D">
        <w:rPr>
          <w:rFonts w:asciiTheme="minorHAnsi" w:hAnsiTheme="minorHAnsi" w:cstheme="minorHAnsi"/>
          <w:sz w:val="24"/>
          <w:szCs w:val="24"/>
        </w:rPr>
        <w:t xml:space="preserve">, whereas a lower value (typically &lt;1) indicates </w:t>
      </w:r>
      <m:oMath>
        <m:r>
          <w:rPr>
            <w:rFonts w:ascii="Cambria Math" w:hAnsi="Cambria Math" w:cstheme="minorHAnsi"/>
            <w:sz w:val="24"/>
            <w:szCs w:val="24"/>
          </w:rPr>
          <m:t>NRVW</m:t>
        </m:r>
      </m:oMath>
      <w:r w:rsidRPr="0008088D">
        <w:rPr>
          <w:rFonts w:asciiTheme="minorHAnsi" w:hAnsiTheme="minorHAnsi" w:cstheme="minorHAnsi"/>
          <w:sz w:val="24"/>
          <w:szCs w:val="24"/>
        </w:rPr>
        <w:t xml:space="preserve"> (for example, in this case</w:t>
      </w:r>
      <w:r w:rsidR="005C772D" w:rsidRPr="0008088D">
        <w:rPr>
          <w:rFonts w:asciiTheme="minorHAnsi" w:hAnsiTheme="minorHAnsi" w:cstheme="minorHAnsi"/>
          <w:sz w:val="24"/>
          <w:szCs w:val="24"/>
        </w:rPr>
        <w:t>,</w:t>
      </w:r>
      <w:r w:rsidRPr="0008088D">
        <w:rPr>
          <w:rFonts w:asciiTheme="minorHAnsi" w:hAnsiTheme="minorHAnsi" w:cstheme="minorHAnsi"/>
          <w:sz w:val="24"/>
          <w:szCs w:val="24"/>
        </w:rPr>
        <w:t xml:space="preserve"> it is </w:t>
      </w:r>
      <m:oMath>
        <m:r>
          <w:rPr>
            <w:rFonts w:ascii="Cambria Math" w:hAnsi="Cambria Math" w:cstheme="minorHAnsi"/>
            <w:sz w:val="24"/>
            <w:szCs w:val="24"/>
          </w:rPr>
          <m:t>0.2894</m:t>
        </m:r>
      </m:oMath>
      <w:r w:rsidRPr="0008088D">
        <w:rPr>
          <w:rFonts w:asciiTheme="minorHAnsi" w:hAnsiTheme="minorHAnsi" w:cstheme="minorHAnsi"/>
          <w:sz w:val="24"/>
          <w:szCs w:val="24"/>
        </w:rPr>
        <w:t>).</w:t>
      </w:r>
    </w:p>
    <w:p w14:paraId="683F25E1" w14:textId="77777777" w:rsidR="005102C4" w:rsidRDefault="005102C4" w:rsidP="0008088D">
      <w:pPr>
        <w:spacing w:after="0"/>
        <w:ind w:right="-23"/>
        <w:rPr>
          <w:rFonts w:asciiTheme="minorHAnsi" w:hAnsiTheme="minorHAnsi" w:cstheme="minorHAnsi"/>
          <w:sz w:val="24"/>
          <w:szCs w:val="24"/>
        </w:rPr>
      </w:pPr>
    </w:p>
    <w:p w14:paraId="796FC2CD" w14:textId="77777777" w:rsidR="005102C4" w:rsidRDefault="005102C4" w:rsidP="0008088D">
      <w:pPr>
        <w:spacing w:after="0"/>
        <w:ind w:right="-23"/>
        <w:rPr>
          <w:rFonts w:asciiTheme="minorHAnsi" w:hAnsiTheme="minorHAnsi" w:cstheme="minorHAnsi"/>
          <w:sz w:val="24"/>
          <w:szCs w:val="24"/>
        </w:rPr>
      </w:pPr>
    </w:p>
    <w:p w14:paraId="75572508" w14:textId="77777777" w:rsidR="005102C4" w:rsidRPr="0008088D" w:rsidRDefault="005102C4" w:rsidP="0008088D">
      <w:pPr>
        <w:spacing w:after="0"/>
        <w:ind w:right="-23"/>
        <w:rPr>
          <w:rFonts w:asciiTheme="minorHAnsi"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gridCol w:w="4218"/>
      </w:tblGrid>
      <w:tr w:rsidR="00BE57F4" w:rsidRPr="00E27D3B" w14:paraId="617A4C69" w14:textId="77777777" w:rsidTr="00DC6D94">
        <w:tc>
          <w:tcPr>
            <w:tcW w:w="5501" w:type="dxa"/>
          </w:tcPr>
          <w:p w14:paraId="44A7B9D5" w14:textId="523B13B9" w:rsidR="00BE57F4" w:rsidRPr="00E27D3B" w:rsidRDefault="005C772D" w:rsidP="00CD4F3A">
            <w:pPr>
              <w:ind w:right="-22"/>
              <w:jc w:val="both"/>
              <w:rPr>
                <w:sz w:val="24"/>
                <w:szCs w:val="24"/>
              </w:rPr>
            </w:pPr>
            <w:r>
              <w:rPr>
                <w:noProof/>
              </w:rPr>
              <w:lastRenderedPageBreak/>
              <mc:AlternateContent>
                <mc:Choice Requires="wps">
                  <w:drawing>
                    <wp:anchor distT="0" distB="0" distL="114300" distR="114300" simplePos="0" relativeHeight="251787264" behindDoc="0" locked="0" layoutInCell="1" allowOverlap="1" wp14:anchorId="41AD8D1C" wp14:editId="5A5CC8E4">
                      <wp:simplePos x="0" y="0"/>
                      <wp:positionH relativeFrom="column">
                        <wp:posOffset>606765</wp:posOffset>
                      </wp:positionH>
                      <wp:positionV relativeFrom="paragraph">
                        <wp:posOffset>241980</wp:posOffset>
                      </wp:positionV>
                      <wp:extent cx="260019" cy="195014"/>
                      <wp:effectExtent l="0" t="0" r="6985" b="0"/>
                      <wp:wrapNone/>
                      <wp:docPr id="68307197" name="Rectangle 62"/>
                      <wp:cNvGraphicFramePr/>
                      <a:graphic xmlns:a="http://schemas.openxmlformats.org/drawingml/2006/main">
                        <a:graphicData uri="http://schemas.microsoft.com/office/word/2010/wordprocessingShape">
                          <wps:wsp>
                            <wps:cNvSpPr/>
                            <wps:spPr>
                              <a:xfrm>
                                <a:off x="0" y="0"/>
                                <a:ext cx="260019" cy="19501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99FDE6" id="Rectangle 62" o:spid="_x0000_s1026" style="position:absolute;margin-left:47.8pt;margin-top:19.05pt;width:20.45pt;height:15.3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" fillcolor="white [3212]" stroked="f" strokeweight="2pt"/>
                  </w:pict>
                </mc:Fallback>
              </mc:AlternateContent>
            </w:r>
            <w:r w:rsidRPr="005C772D">
              <w:rPr>
                <w:noProof/>
                <w:sz w:val="22"/>
                <w:szCs w:val="22"/>
              </w:rPr>
              <w:t xml:space="preserve"> </w:t>
            </w:r>
            <w:r w:rsidRPr="005C772D">
              <w:rPr>
                <w:noProof/>
              </w:rPr>
              <w:drawing>
                <wp:inline distT="0" distB="0" distL="0" distR="0" wp14:anchorId="25041823" wp14:editId="5CD77F4A">
                  <wp:extent cx="3220085" cy="1733550"/>
                  <wp:effectExtent l="0" t="0" r="0" b="0"/>
                  <wp:docPr id="106182576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20085" cy="1733550"/>
                          </a:xfrm>
                          <a:prstGeom prst="rect">
                            <a:avLst/>
                          </a:prstGeom>
                          <a:noFill/>
                          <a:ln>
                            <a:noFill/>
                          </a:ln>
                        </pic:spPr>
                      </pic:pic>
                    </a:graphicData>
                  </a:graphic>
                </wp:inline>
              </w:drawing>
            </w:r>
          </w:p>
        </w:tc>
        <w:tc>
          <w:tcPr>
            <w:tcW w:w="4137" w:type="dxa"/>
          </w:tcPr>
          <w:p w14:paraId="7190F7AB" w14:textId="3CDAC2C4" w:rsidR="00BE57F4" w:rsidRPr="00E27D3B" w:rsidRDefault="005C772D" w:rsidP="00CD4F3A">
            <w:pPr>
              <w:ind w:right="-22"/>
              <w:jc w:val="both"/>
              <w:rPr>
                <w:sz w:val="24"/>
                <w:szCs w:val="24"/>
              </w:rPr>
            </w:pPr>
            <w:r w:rsidRPr="005C772D">
              <w:rPr>
                <w:noProof/>
                <w:sz w:val="24"/>
                <w:szCs w:val="24"/>
              </w:rPr>
              <w:drawing>
                <wp:inline distT="0" distB="0" distL="0" distR="0" wp14:anchorId="74503DB3" wp14:editId="288CCE80">
                  <wp:extent cx="2541270" cy="1705610"/>
                  <wp:effectExtent l="0" t="0" r="0" b="0"/>
                  <wp:docPr id="123081441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41270" cy="1705610"/>
                          </a:xfrm>
                          <a:prstGeom prst="rect">
                            <a:avLst/>
                          </a:prstGeom>
                          <a:noFill/>
                          <a:ln>
                            <a:noFill/>
                          </a:ln>
                        </pic:spPr>
                      </pic:pic>
                    </a:graphicData>
                  </a:graphic>
                </wp:inline>
              </w:drawing>
            </w:r>
          </w:p>
        </w:tc>
      </w:tr>
      <w:tr w:rsidR="00BE57F4" w:rsidRPr="00E27D3B" w14:paraId="6E0083DE" w14:textId="77777777" w:rsidTr="00DC6D94">
        <w:tc>
          <w:tcPr>
            <w:tcW w:w="5501" w:type="dxa"/>
          </w:tcPr>
          <w:p w14:paraId="2BD24A90" w14:textId="77777777" w:rsidR="00BE57F4" w:rsidRPr="00E27D3B" w:rsidRDefault="00BE57F4" w:rsidP="00CD4F3A">
            <w:pPr>
              <w:ind w:right="-22"/>
              <w:jc w:val="center"/>
              <w:rPr>
                <w:sz w:val="24"/>
                <w:szCs w:val="24"/>
              </w:rPr>
            </w:pPr>
            <w:r w:rsidRPr="00E27D3B">
              <w:rPr>
                <w:sz w:val="24"/>
                <w:szCs w:val="24"/>
              </w:rPr>
              <w:t>(a)</w:t>
            </w:r>
          </w:p>
        </w:tc>
        <w:tc>
          <w:tcPr>
            <w:tcW w:w="4137" w:type="dxa"/>
          </w:tcPr>
          <w:p w14:paraId="3D8337CD" w14:textId="77777777" w:rsidR="00BE57F4" w:rsidRPr="00E27D3B" w:rsidRDefault="00BE57F4" w:rsidP="00CD4F3A">
            <w:pPr>
              <w:keepNext/>
              <w:ind w:right="-22"/>
              <w:jc w:val="center"/>
              <w:rPr>
                <w:sz w:val="24"/>
                <w:szCs w:val="24"/>
              </w:rPr>
            </w:pPr>
            <w:r w:rsidRPr="00E27D3B">
              <w:rPr>
                <w:sz w:val="24"/>
                <w:szCs w:val="24"/>
              </w:rPr>
              <w:t>(b)</w:t>
            </w:r>
          </w:p>
        </w:tc>
      </w:tr>
    </w:tbl>
    <w:p w14:paraId="24CFD808" w14:textId="19BE8848" w:rsidR="00BE57F4" w:rsidRDefault="00BE57F4" w:rsidP="00CD4F3A">
      <w:pPr>
        <w:pStyle w:val="Caption"/>
        <w:spacing w:line="240" w:lineRule="auto"/>
      </w:pPr>
      <w:bookmarkStart w:id="174" w:name="_Ref230191803"/>
      <w:bookmarkStart w:id="175" w:name="_Toc224235127"/>
      <w:bookmarkStart w:id="176" w:name="_Toc230198627"/>
      <w:bookmarkStart w:id="177" w:name="_Toc233735042"/>
      <w:r w:rsidRPr="00E27D3B">
        <w:t xml:space="preserve">Figure </w:t>
      </w:r>
      <w:fldSimple w:instr=" SEQ Figure \* ARABIC ">
        <w:r w:rsidR="00A85006">
          <w:rPr>
            <w:noProof/>
          </w:rPr>
          <w:t>36</w:t>
        </w:r>
      </w:fldSimple>
      <w:bookmarkEnd w:id="174"/>
      <w:r w:rsidRPr="00E27D3B">
        <w:t xml:space="preserve">: (a) </w:t>
      </w:r>
      <w:proofErr w:type="gramStart"/>
      <w:r w:rsidRPr="00A15A20">
        <w:t>Post-disturbance</w:t>
      </w:r>
      <w:proofErr w:type="gramEnd"/>
      <w:r w:rsidRPr="00A15A20">
        <w:t xml:space="preserve"> recovery voltage waveform, and </w:t>
      </w:r>
      <w:r w:rsidRPr="00E27D3B">
        <w:t xml:space="preserve">(b) </w:t>
      </w:r>
      <w:r w:rsidRPr="00A15A20">
        <w:t>Heatmap of weighting factor showing the impact of a fault at a given location (y-axis) on different buses (x-axis).</w:t>
      </w:r>
      <w:bookmarkEnd w:id="175"/>
      <w:bookmarkEnd w:id="176"/>
      <w:bookmarkEnd w:id="177"/>
    </w:p>
    <w:p w14:paraId="549F7276" w14:textId="77777777" w:rsidR="00BE57F4" w:rsidRPr="00E27D3B" w:rsidRDefault="00BE57F4" w:rsidP="00CD4F3A">
      <w:pPr>
        <w:pStyle w:val="Heading3"/>
        <w:ind w:left="1134" w:hanging="1134"/>
      </w:pPr>
      <w:r w:rsidRPr="0018143E">
        <w:t>Mathematical Formulation of the System DVRI</w:t>
      </w:r>
      <w:r w:rsidRPr="007E44B1">
        <w:t xml:space="preserve">  </w:t>
      </w:r>
      <w:r w:rsidRPr="00E27D3B">
        <w:t xml:space="preserve">  </w:t>
      </w:r>
    </w:p>
    <w:p w14:paraId="03F7049E" w14:textId="77777777" w:rsidR="00BE57F4" w:rsidRPr="00E27D3B" w:rsidRDefault="00BE57F4" w:rsidP="00A241FE">
      <w:pPr>
        <w:spacing w:after="0"/>
        <w:rPr>
          <w:rFonts w:asciiTheme="minorHAnsi" w:eastAsia="Times New Roman" w:hAnsiTheme="minorHAnsi" w:cstheme="minorHAnsi"/>
          <w:color w:val="auto"/>
          <w:sz w:val="24"/>
          <w:szCs w:val="24"/>
          <w:lang w:val="en-US" w:eastAsia="en-US"/>
        </w:rPr>
      </w:pPr>
      <w:r w:rsidRPr="00E27D3B">
        <w:rPr>
          <w:rFonts w:asciiTheme="minorHAnsi" w:eastAsia="Times New Roman" w:hAnsiTheme="minorHAnsi" w:cstheme="minorHAnsi"/>
          <w:color w:val="auto"/>
          <w:sz w:val="24"/>
          <w:szCs w:val="24"/>
          <w:lang w:val="en-US" w:eastAsia="en-US"/>
        </w:rPr>
        <w:t>Although the proposed DVRI effectively quantifies post-disturbance voltage recovery at an individual bus, it does not capture the overall voltage signature at the system level. In practical power systems, a voltage dip originates at the faulted bus and propagates throughout the network, with its spatial impact governed by the electrical distances between buses. To account for both the faulted bus and its propagation effects across the network, a system-level DVRI (</w:t>
      </w:r>
      <w:proofErr w:type="spellStart"/>
      <w:r w:rsidRPr="00E27D3B">
        <w:rPr>
          <w:rFonts w:asciiTheme="minorHAnsi" w:eastAsia="Times New Roman" w:hAnsiTheme="minorHAnsi" w:cstheme="minorHAnsi"/>
          <w:color w:val="auto"/>
          <w:sz w:val="24"/>
          <w:szCs w:val="24"/>
          <w:lang w:val="en-US" w:eastAsia="en-US"/>
        </w:rPr>
        <w:t>sysDVRI</w:t>
      </w:r>
      <w:proofErr w:type="spellEnd"/>
      <w:r w:rsidRPr="00E27D3B">
        <w:rPr>
          <w:rFonts w:asciiTheme="minorHAnsi" w:eastAsia="Times New Roman" w:hAnsiTheme="minorHAnsi" w:cstheme="minorHAnsi"/>
          <w:color w:val="auto"/>
          <w:sz w:val="24"/>
          <w:szCs w:val="24"/>
          <w:lang w:val="en-US" w:eastAsia="en-US"/>
        </w:rPr>
        <w:t>) is introduced to represent the aggregated influence of a disturbance on system-wide voltage performance.</w:t>
      </w:r>
    </w:p>
    <w:p w14:paraId="3678DC85" w14:textId="314E4305" w:rsidR="00BE57F4" w:rsidRPr="00E27D3B" w:rsidRDefault="00BE57F4" w:rsidP="00A241FE">
      <w:pPr>
        <w:spacing w:after="0"/>
        <w:rPr>
          <w:rFonts w:asciiTheme="minorHAnsi" w:eastAsia="Times New Roman" w:hAnsiTheme="minorHAnsi" w:cstheme="minorHAnsi"/>
          <w:color w:val="auto"/>
          <w:sz w:val="24"/>
          <w:szCs w:val="24"/>
          <w:lang w:val="en-US" w:eastAsia="en-US"/>
        </w:rPr>
      </w:pPr>
      <w:r w:rsidRPr="00E27D3B">
        <w:rPr>
          <w:rFonts w:asciiTheme="minorHAnsi" w:eastAsia="Times New Roman" w:hAnsiTheme="minorHAnsi" w:cstheme="minorHAnsi"/>
          <w:color w:val="auto"/>
          <w:sz w:val="24"/>
          <w:szCs w:val="24"/>
          <w:lang w:val="en-US" w:eastAsia="en-US"/>
        </w:rPr>
        <w:t xml:space="preserve">The voltage variation at bus </w:t>
      </w:r>
      <m:oMath>
        <m:r>
          <w:rPr>
            <w:rFonts w:ascii="Cambria Math" w:eastAsia="Times New Roman" w:hAnsi="Cambria Math" w:cstheme="minorHAnsi"/>
            <w:color w:val="auto"/>
            <w:sz w:val="24"/>
            <w:szCs w:val="24"/>
            <w:lang w:val="en-US" w:eastAsia="en-US"/>
          </w:rPr>
          <m:t>l</m:t>
        </m:r>
      </m:oMath>
      <w:r w:rsidRPr="00E27D3B">
        <w:rPr>
          <w:rFonts w:asciiTheme="minorHAnsi" w:eastAsia="Times New Roman" w:hAnsiTheme="minorHAnsi" w:cstheme="minorHAnsi"/>
          <w:color w:val="auto"/>
          <w:sz w:val="24"/>
          <w:szCs w:val="24"/>
          <w:lang w:val="en-US" w:eastAsia="en-US"/>
        </w:rPr>
        <w:t xml:space="preserve">, denoted by </w:t>
      </w:r>
      <m:oMath>
        <m:r>
          <m:rPr>
            <m:sty m:val="p"/>
          </m:rPr>
          <w:rPr>
            <w:rFonts w:ascii="Cambria Math" w:eastAsia="Times New Roman" w:hAnsi="Cambria Math" w:cstheme="minorHAnsi"/>
            <w:color w:val="auto"/>
            <w:sz w:val="24"/>
            <w:szCs w:val="24"/>
            <w:lang w:val="en-US" w:eastAsia="en-US"/>
          </w:rPr>
          <m:t>Δ</m:t>
        </m:r>
        <m:sSub>
          <m:sSubPr>
            <m:ctrlPr>
              <w:rPr>
                <w:rFonts w:ascii="Cambria Math" w:eastAsia="Times New Roman" w:hAnsi="Cambria Math" w:cstheme="minorHAnsi"/>
                <w:color w:val="auto"/>
                <w:sz w:val="24"/>
                <w:szCs w:val="24"/>
                <w:lang w:val="en-US" w:eastAsia="en-US"/>
              </w:rPr>
            </m:ctrlPr>
          </m:sSubPr>
          <m:e>
            <m:r>
              <w:rPr>
                <w:rFonts w:ascii="Cambria Math" w:eastAsia="Times New Roman" w:hAnsi="Cambria Math" w:cstheme="minorHAnsi"/>
                <w:color w:val="auto"/>
                <w:sz w:val="24"/>
                <w:szCs w:val="24"/>
                <w:lang w:val="en-US" w:eastAsia="en-US"/>
              </w:rPr>
              <m:t>V</m:t>
            </m:r>
          </m:e>
          <m:sub>
            <m:r>
              <w:rPr>
                <w:rFonts w:ascii="Cambria Math" w:eastAsia="Times New Roman" w:hAnsi="Cambria Math" w:cstheme="minorHAnsi"/>
                <w:color w:val="auto"/>
                <w:sz w:val="24"/>
                <w:szCs w:val="24"/>
                <w:lang w:val="en-US" w:eastAsia="en-US"/>
              </w:rPr>
              <m:t>D,l</m:t>
            </m:r>
          </m:sub>
        </m:sSub>
      </m:oMath>
      <w:r w:rsidRPr="00E27D3B">
        <w:rPr>
          <w:rFonts w:asciiTheme="minorHAnsi" w:eastAsia="Times New Roman" w:hAnsiTheme="minorHAnsi" w:cstheme="minorHAnsi"/>
          <w:color w:val="auto"/>
          <w:sz w:val="24"/>
          <w:szCs w:val="24"/>
          <w:lang w:val="en-US" w:eastAsia="en-US"/>
        </w:rPr>
        <w:t xml:space="preserve">, due to a fault current injected at the bus </w:t>
      </w:r>
      <m:oMath>
        <m:r>
          <w:rPr>
            <w:rFonts w:ascii="Cambria Math" w:eastAsia="Times New Roman" w:hAnsi="Cambria Math" w:cstheme="minorHAnsi"/>
            <w:color w:val="auto"/>
            <w:sz w:val="24"/>
            <w:szCs w:val="24"/>
            <w:lang w:val="en-US" w:eastAsia="en-US"/>
          </w:rPr>
          <m:t>k</m:t>
        </m:r>
      </m:oMath>
      <w:r w:rsidRPr="00E27D3B">
        <w:rPr>
          <w:rFonts w:asciiTheme="minorHAnsi" w:eastAsia="Times New Roman" w:hAnsiTheme="minorHAnsi" w:cstheme="minorHAnsi"/>
          <w:color w:val="auto"/>
          <w:sz w:val="24"/>
          <w:szCs w:val="24"/>
          <w:lang w:val="en-US" w:eastAsia="en-US"/>
        </w:rPr>
        <w:t>, can be evaluated using symmetrical fault analysis, as expressed in (</w:t>
      </w:r>
      <w:r>
        <w:rPr>
          <w:rFonts w:asciiTheme="minorHAnsi" w:eastAsia="Times New Roman" w:hAnsiTheme="minorHAnsi" w:cstheme="minorHAnsi"/>
          <w:color w:val="auto"/>
          <w:sz w:val="24"/>
          <w:szCs w:val="24"/>
          <w:lang w:val="en-US" w:eastAsia="en-US"/>
        </w:rPr>
        <w:t>8</w:t>
      </w:r>
      <w:r w:rsidRPr="00E27D3B">
        <w:rPr>
          <w:rFonts w:asciiTheme="minorHAnsi" w:eastAsia="Times New Roman" w:hAnsiTheme="minorHAnsi" w:cstheme="minorHAnsi"/>
          <w:color w:val="auto"/>
          <w:sz w:val="24"/>
          <w:szCs w:val="24"/>
          <w:lang w:val="en-US" w:eastAsia="en-US"/>
        </w:rPr>
        <w:t xml:space="preserve">) </w:t>
      </w:r>
      <w:r>
        <w:rPr>
          <w:rFonts w:asciiTheme="minorHAnsi" w:eastAsia="Times New Roman" w:hAnsiTheme="minorHAnsi" w:cstheme="minorHAnsi"/>
          <w:color w:val="auto"/>
          <w:sz w:val="24"/>
          <w:szCs w:val="24"/>
          <w:lang w:val="en-US" w:eastAsia="en-US"/>
        </w:rPr>
        <w:fldChar w:fldCharType="begin"/>
      </w:r>
      <w:r>
        <w:rPr>
          <w:rFonts w:asciiTheme="minorHAnsi" w:eastAsia="Times New Roman" w:hAnsiTheme="minorHAnsi" w:cstheme="minorHAnsi"/>
          <w:color w:val="auto"/>
          <w:sz w:val="24"/>
          <w:szCs w:val="24"/>
          <w:lang w:val="en-US" w:eastAsia="en-US"/>
        </w:rPr>
        <w:instrText xml:space="preserve"> REF _Ref230197946 \r \h </w:instrText>
      </w:r>
      <w:r w:rsidR="006867A3">
        <w:rPr>
          <w:rFonts w:asciiTheme="minorHAnsi" w:eastAsia="Times New Roman" w:hAnsiTheme="minorHAnsi" w:cstheme="minorHAnsi"/>
          <w:color w:val="auto"/>
          <w:sz w:val="24"/>
          <w:szCs w:val="24"/>
          <w:lang w:val="en-US" w:eastAsia="en-US"/>
        </w:rPr>
        <w:instrText xml:space="preserve"> \* MERGEFORMAT </w:instrText>
      </w:r>
      <w:r>
        <w:rPr>
          <w:rFonts w:asciiTheme="minorHAnsi" w:eastAsia="Times New Roman" w:hAnsiTheme="minorHAnsi" w:cstheme="minorHAnsi"/>
          <w:color w:val="auto"/>
          <w:sz w:val="24"/>
          <w:szCs w:val="24"/>
          <w:lang w:val="en-US" w:eastAsia="en-US"/>
        </w:rPr>
      </w:r>
      <w:r>
        <w:rPr>
          <w:rFonts w:asciiTheme="minorHAnsi" w:eastAsia="Times New Roman" w:hAnsiTheme="minorHAnsi" w:cstheme="minorHAnsi"/>
          <w:color w:val="auto"/>
          <w:sz w:val="24"/>
          <w:szCs w:val="24"/>
          <w:lang w:val="en-US" w:eastAsia="en-US"/>
        </w:rPr>
        <w:fldChar w:fldCharType="separate"/>
      </w:r>
      <w:r w:rsidR="00852428">
        <w:rPr>
          <w:rFonts w:asciiTheme="minorHAnsi" w:eastAsia="Times New Roman" w:hAnsiTheme="minorHAnsi" w:cstheme="minorHAnsi"/>
          <w:color w:val="auto"/>
          <w:sz w:val="24"/>
          <w:szCs w:val="24"/>
          <w:lang w:val="en-US" w:eastAsia="en-US"/>
        </w:rPr>
        <w:t>[74]</w:t>
      </w:r>
      <w:r>
        <w:rPr>
          <w:rFonts w:asciiTheme="minorHAnsi" w:eastAsia="Times New Roman" w:hAnsiTheme="minorHAnsi" w:cstheme="minorHAnsi"/>
          <w:color w:val="auto"/>
          <w:sz w:val="24"/>
          <w:szCs w:val="24"/>
          <w:lang w:val="en-US" w:eastAsia="en-US"/>
        </w:rPr>
        <w:fldChar w:fldCharType="end"/>
      </w:r>
      <w:r w:rsidRPr="00E27D3B">
        <w:rPr>
          <w:rFonts w:asciiTheme="minorHAnsi" w:eastAsia="Times New Roman" w:hAnsiTheme="minorHAnsi" w:cstheme="minorHAnsi"/>
          <w:color w:val="auto"/>
          <w:sz w:val="24"/>
          <w:szCs w:val="24"/>
          <w:lang w:val="en-US" w:eastAsia="en-US"/>
        </w:rPr>
        <w:t>:</w:t>
      </w:r>
    </w:p>
    <w:p w14:paraId="55B099DB" w14:textId="5B7104D3" w:rsidR="00BE57F4" w:rsidRPr="00E27D3B" w:rsidRDefault="00BE57F4" w:rsidP="005C772D">
      <w:pPr>
        <w:spacing w:after="80"/>
        <w:ind w:right="-23"/>
        <w:jc w:val="right"/>
        <w:rPr>
          <w:sz w:val="24"/>
          <w:szCs w:val="24"/>
        </w:rPr>
      </w:pPr>
      <m:oMath>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k,n=0</m:t>
            </m:r>
          </m:sub>
        </m:sSub>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k,l</m:t>
                    </m:r>
                  </m:sub>
                </m:sSub>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k,k</m:t>
                    </m:r>
                  </m:sub>
                </m:sSub>
              </m:den>
            </m:f>
          </m:e>
        </m:d>
      </m:oMath>
      <w:r w:rsidRPr="00E27D3B">
        <w:rPr>
          <w:sz w:val="24"/>
          <w:szCs w:val="24"/>
        </w:rPr>
        <w:t xml:space="preserve">                                                                                                                              (</w:t>
      </w:r>
      <w:r>
        <w:rPr>
          <w:sz w:val="24"/>
          <w:szCs w:val="24"/>
        </w:rPr>
        <w:t>8</w:t>
      </w:r>
      <w:r w:rsidRPr="00E27D3B">
        <w:rPr>
          <w:sz w:val="24"/>
          <w:szCs w:val="24"/>
        </w:rPr>
        <w:t>)</w:t>
      </w:r>
    </w:p>
    <w:p w14:paraId="730B4198" w14:textId="77777777" w:rsidR="00BE57F4" w:rsidRPr="00E27D3B" w:rsidRDefault="00BE57F4" w:rsidP="00A241FE">
      <w:pPr>
        <w:spacing w:after="0"/>
        <w:ind w:right="-23"/>
        <w:rPr>
          <w:sz w:val="24"/>
          <w:szCs w:val="24"/>
        </w:rPr>
      </w:pPr>
      <w:r w:rsidRPr="00E27D3B">
        <w:rPr>
          <w:sz w:val="24"/>
          <w:szCs w:val="24"/>
        </w:rPr>
        <w:t xml:space="preserve">where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k,k</m:t>
            </m:r>
          </m:sub>
        </m:sSub>
      </m:oMath>
      <w:r w:rsidRPr="00E27D3B">
        <w:rPr>
          <w:sz w:val="24"/>
          <w:szCs w:val="24"/>
        </w:rPr>
        <w:t xml:space="preserve"> represents the self-impedance at the faulted bus </w:t>
      </w:r>
      <m:oMath>
        <m:r>
          <w:rPr>
            <w:rFonts w:ascii="Cambria Math" w:hAnsi="Cambria Math"/>
            <w:sz w:val="24"/>
            <w:szCs w:val="24"/>
          </w:rPr>
          <m:t>k</m:t>
        </m:r>
      </m:oMath>
      <w:r w:rsidRPr="00E27D3B">
        <w:rPr>
          <w:sz w:val="24"/>
          <w:szCs w:val="24"/>
        </w:rPr>
        <w:t xml:space="preserve">, while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k,l</m:t>
            </m:r>
          </m:sub>
        </m:sSub>
      </m:oMath>
      <w:r w:rsidRPr="00E27D3B">
        <w:rPr>
          <w:sz w:val="24"/>
          <w:szCs w:val="24"/>
        </w:rPr>
        <w:t xml:space="preserve">denotes the mutual impedance between buses </w:t>
      </w:r>
      <m:oMath>
        <m:r>
          <w:rPr>
            <w:rFonts w:ascii="Cambria Math" w:hAnsi="Cambria Math"/>
            <w:sz w:val="24"/>
            <w:szCs w:val="24"/>
          </w:rPr>
          <m:t>k</m:t>
        </m:r>
      </m:oMath>
      <w:r w:rsidRPr="00E27D3B">
        <w:rPr>
          <w:sz w:val="24"/>
          <w:szCs w:val="24"/>
        </w:rPr>
        <w:t xml:space="preserve">and </w:t>
      </w:r>
      <m:oMath>
        <m:r>
          <w:rPr>
            <w:rFonts w:ascii="Cambria Math" w:hAnsi="Cambria Math"/>
            <w:sz w:val="24"/>
            <w:szCs w:val="24"/>
          </w:rPr>
          <m:t>l</m:t>
        </m:r>
      </m:oMath>
      <w:r w:rsidRPr="00E27D3B">
        <w:rPr>
          <w:sz w:val="24"/>
          <w:szCs w:val="24"/>
        </w:rPr>
        <w:t>. By normalizing (</w:t>
      </w:r>
      <w:r>
        <w:rPr>
          <w:sz w:val="24"/>
          <w:szCs w:val="24"/>
        </w:rPr>
        <w:t>8</w:t>
      </w:r>
      <w:r w:rsidRPr="00E27D3B">
        <w:rPr>
          <w:sz w:val="24"/>
          <w:szCs w:val="24"/>
        </w:rPr>
        <w:t xml:space="preserve">) with respect to the pre-fault voltage at bus </w:t>
      </w:r>
      <m:oMath>
        <m:r>
          <w:rPr>
            <w:rFonts w:ascii="Cambria Math" w:hAnsi="Cambria Math"/>
            <w:sz w:val="24"/>
            <w:szCs w:val="24"/>
          </w:rPr>
          <m:t>l</m:t>
        </m:r>
      </m:oMath>
      <w:r w:rsidRPr="00E27D3B">
        <w:rPr>
          <w:sz w:val="24"/>
          <w:szCs w:val="24"/>
        </w:rPr>
        <w:t xml:space="preserve">, the formulation can be extended to a system-wide context to quantify the impact of a fault at the bus </w:t>
      </w:r>
      <m:oMath>
        <m:r>
          <w:rPr>
            <w:rFonts w:ascii="Cambria Math" w:hAnsi="Cambria Math"/>
            <w:sz w:val="24"/>
            <w:szCs w:val="24"/>
          </w:rPr>
          <m:t>k</m:t>
        </m:r>
      </m:oMath>
      <w:r w:rsidRPr="00E27D3B">
        <w:rPr>
          <w:sz w:val="24"/>
          <w:szCs w:val="24"/>
        </w:rPr>
        <w:t xml:space="preserve"> on other buses. This influence is expressed through the weighting factor </w:t>
      </w:r>
      <m:oMath>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k,l</m:t>
            </m:r>
          </m:sub>
        </m:sSub>
      </m:oMath>
      <w:r w:rsidRPr="00E27D3B">
        <w:rPr>
          <w:sz w:val="24"/>
          <w:szCs w:val="24"/>
        </w:rPr>
        <w:t>, as derived below:</w:t>
      </w:r>
    </w:p>
    <w:p w14:paraId="11E058A9" w14:textId="2A1ABDC8" w:rsidR="00BE57F4" w:rsidRPr="00E27D3B" w:rsidRDefault="00984B23" w:rsidP="005C772D">
      <w:pPr>
        <w:ind w:right="-22"/>
        <w:jc w:val="right"/>
        <w:rPr>
          <w:sz w:val="24"/>
          <w:szCs w:val="24"/>
        </w:rPr>
      </w:pP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k,l</m:t>
            </m:r>
          </m:sub>
        </m:sSub>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l</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l,n=0</m:t>
                    </m:r>
                  </m:sub>
                </m:sSub>
              </m:den>
            </m:f>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k,n=0</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l,n=0</m:t>
                </m:r>
              </m:sub>
            </m:sSub>
          </m:den>
        </m:f>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k,l</m:t>
                    </m:r>
                  </m:sub>
                </m:sSub>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k,k</m:t>
                    </m:r>
                  </m:sub>
                </m:sSub>
              </m:den>
            </m:f>
          </m:e>
        </m:d>
      </m:oMath>
      <w:r w:rsidR="00BE57F4" w:rsidRPr="00E27D3B">
        <w:rPr>
          <w:sz w:val="24"/>
          <w:szCs w:val="24"/>
        </w:rPr>
        <w:t xml:space="preserve">                                                                                                                </w:t>
      </w:r>
      <w:r w:rsidR="00BE57F4">
        <w:rPr>
          <w:sz w:val="24"/>
          <w:szCs w:val="24"/>
        </w:rPr>
        <w:t xml:space="preserve"> </w:t>
      </w:r>
      <w:r w:rsidR="00BE57F4" w:rsidRPr="00E27D3B">
        <w:rPr>
          <w:sz w:val="24"/>
          <w:szCs w:val="24"/>
        </w:rPr>
        <w:t xml:space="preserve">   (</w:t>
      </w:r>
      <w:r w:rsidR="00BE57F4">
        <w:rPr>
          <w:sz w:val="24"/>
          <w:szCs w:val="24"/>
        </w:rPr>
        <w:t>9</w:t>
      </w:r>
      <w:r w:rsidR="00BE57F4" w:rsidRPr="00E27D3B">
        <w:rPr>
          <w:sz w:val="24"/>
          <w:szCs w:val="24"/>
        </w:rPr>
        <w:t>)</w:t>
      </w:r>
    </w:p>
    <w:p w14:paraId="7091F093" w14:textId="15331290" w:rsidR="00BE57F4" w:rsidRPr="00E27D3B" w:rsidRDefault="00BE57F4" w:rsidP="008A56E9">
      <w:pPr>
        <w:spacing w:after="0"/>
        <w:ind w:right="-23"/>
        <w:rPr>
          <w:szCs w:val="20"/>
        </w:rPr>
      </w:pPr>
      <w:r>
        <w:rPr>
          <w:sz w:val="24"/>
          <w:szCs w:val="24"/>
        </w:rPr>
        <w:fldChar w:fldCharType="begin"/>
      </w:r>
      <w:r>
        <w:rPr>
          <w:sz w:val="24"/>
          <w:szCs w:val="24"/>
        </w:rPr>
        <w:instrText xml:space="preserve"> REF _Ref230191803 \h </w:instrText>
      </w:r>
      <w:r w:rsidR="006867A3">
        <w:rPr>
          <w:sz w:val="24"/>
          <w:szCs w:val="24"/>
        </w:rPr>
        <w:instrText xml:space="preserve"> \* MERGEFORMAT </w:instrText>
      </w:r>
      <w:r>
        <w:rPr>
          <w:sz w:val="24"/>
          <w:szCs w:val="24"/>
        </w:rPr>
      </w:r>
      <w:r>
        <w:rPr>
          <w:sz w:val="24"/>
          <w:szCs w:val="24"/>
        </w:rPr>
        <w:fldChar w:fldCharType="separate"/>
      </w:r>
      <w:r w:rsidR="00753DAF" w:rsidRPr="00E27D3B">
        <w:t xml:space="preserve">Figure </w:t>
      </w:r>
      <w:r w:rsidR="00753DAF">
        <w:rPr>
          <w:noProof/>
        </w:rPr>
        <w:t>36</w:t>
      </w:r>
      <w:r>
        <w:rPr>
          <w:sz w:val="24"/>
          <w:szCs w:val="24"/>
        </w:rPr>
        <w:fldChar w:fldCharType="end"/>
      </w:r>
      <w:r w:rsidRPr="00E27D3B">
        <w:rPr>
          <w:sz w:val="24"/>
          <w:szCs w:val="24"/>
        </w:rPr>
        <w:t>(b), derived from (</w:t>
      </w:r>
      <w:r>
        <w:rPr>
          <w:sz w:val="24"/>
          <w:szCs w:val="24"/>
        </w:rPr>
        <w:t>9</w:t>
      </w:r>
      <w:r w:rsidRPr="00E27D3B">
        <w:rPr>
          <w:sz w:val="24"/>
          <w:szCs w:val="24"/>
        </w:rPr>
        <w:t>), presents the weighting factors in a heatmap format to illustrate the influence of a fault at a given location (y-axis) on different buses (x-axis). For example, when a fault occurs at Bus 507, the buses most affected are Buses 505, 506, and 508, while the remaining buses experience relatively minor effects. By incorporating the weighting factor (</w:t>
      </w:r>
      <w:r>
        <w:rPr>
          <w:sz w:val="24"/>
          <w:szCs w:val="24"/>
        </w:rPr>
        <w:t>9</w:t>
      </w:r>
      <w:r w:rsidRPr="00E27D3B">
        <w:rPr>
          <w:sz w:val="24"/>
          <w:szCs w:val="24"/>
        </w:rPr>
        <w:t xml:space="preserve">) into </w:t>
      </w:r>
      <w:r w:rsidRPr="00E27D3B">
        <w:rPr>
          <w:i/>
          <w:iCs/>
          <w:sz w:val="24"/>
          <w:szCs w:val="24"/>
        </w:rPr>
        <w:t xml:space="preserve">DVRI </w:t>
      </w:r>
      <w:r w:rsidRPr="00E27D3B">
        <w:rPr>
          <w:sz w:val="24"/>
          <w:szCs w:val="24"/>
        </w:rPr>
        <w:t>(</w:t>
      </w:r>
      <w:r>
        <w:rPr>
          <w:sz w:val="24"/>
          <w:szCs w:val="24"/>
        </w:rPr>
        <w:t>4</w:t>
      </w:r>
      <w:r w:rsidRPr="00E27D3B">
        <w:rPr>
          <w:sz w:val="24"/>
          <w:szCs w:val="24"/>
        </w:rPr>
        <w:t>)</w:t>
      </w:r>
      <w:r w:rsidRPr="00E27D3B">
        <w:rPr>
          <w:i/>
          <w:iCs/>
          <w:sz w:val="24"/>
          <w:szCs w:val="24"/>
        </w:rPr>
        <w:t xml:space="preserve">, </w:t>
      </w:r>
      <w:r w:rsidRPr="00E27D3B">
        <w:rPr>
          <w:sz w:val="24"/>
          <w:szCs w:val="24"/>
        </w:rPr>
        <w:t xml:space="preserve">the proposed </w:t>
      </w:r>
      <w:proofErr w:type="spellStart"/>
      <w:r w:rsidRPr="00E27D3B">
        <w:rPr>
          <w:i/>
          <w:iCs/>
          <w:sz w:val="24"/>
          <w:szCs w:val="24"/>
        </w:rPr>
        <w:t>sysDVRI</w:t>
      </w:r>
      <w:proofErr w:type="spellEnd"/>
      <w:r w:rsidRPr="00E27D3B">
        <w:rPr>
          <w:i/>
          <w:iCs/>
          <w:sz w:val="24"/>
          <w:szCs w:val="24"/>
        </w:rPr>
        <w:t xml:space="preserve"> </w:t>
      </w:r>
      <w:r w:rsidRPr="00E27D3B">
        <w:rPr>
          <w:sz w:val="24"/>
          <w:szCs w:val="24"/>
        </w:rPr>
        <w:t>in vector form,</w:t>
      </w:r>
      <w:r w:rsidRPr="00E27D3B">
        <w:rPr>
          <w:i/>
          <w:iCs/>
          <w:sz w:val="24"/>
          <w:szCs w:val="24"/>
        </w:rPr>
        <w:t xml:space="preserve"> </w:t>
      </w:r>
      <w:r w:rsidRPr="00E27D3B">
        <w:rPr>
          <w:sz w:val="24"/>
          <w:szCs w:val="24"/>
        </w:rPr>
        <w:t xml:space="preserve">corresponding to a fault at </w:t>
      </w:r>
      <w:r w:rsidRPr="00E27D3B">
        <w:rPr>
          <w:i/>
          <w:iCs/>
          <w:sz w:val="24"/>
          <w:szCs w:val="24"/>
        </w:rPr>
        <w:t>k</w:t>
      </w:r>
      <w:r w:rsidRPr="00E27D3B">
        <w:rPr>
          <w:i/>
          <w:iCs/>
          <w:sz w:val="24"/>
          <w:szCs w:val="24"/>
          <w:vertAlign w:val="superscript"/>
        </w:rPr>
        <w:t>th</w:t>
      </w:r>
      <w:r w:rsidRPr="00E27D3B">
        <w:rPr>
          <w:i/>
          <w:iCs/>
          <w:sz w:val="24"/>
          <w:szCs w:val="24"/>
        </w:rPr>
        <w:t xml:space="preserve"> </w:t>
      </w:r>
      <w:r w:rsidRPr="00E27D3B">
        <w:rPr>
          <w:sz w:val="24"/>
          <w:szCs w:val="24"/>
        </w:rPr>
        <w:t>bus, can be written as:</w:t>
      </w:r>
    </w:p>
    <w:p w14:paraId="5A624A6B" w14:textId="53E3735A" w:rsidR="00BE57F4" w:rsidRPr="00E27D3B" w:rsidRDefault="00984B23" w:rsidP="008A56E9">
      <w:pPr>
        <w:ind w:right="-23"/>
        <w:jc w:val="right"/>
        <w:rPr>
          <w:sz w:val="24"/>
          <w:szCs w:val="24"/>
          <w:lang w:val="en-US"/>
        </w:rPr>
      </w:pPr>
      <m:oMath>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DVRI</m:t>
            </m:r>
          </m:e>
        </m:sPre>
        <m:r>
          <m:rPr>
            <m:sty m:val="p"/>
          </m:rPr>
          <w:rPr>
            <w:rFonts w:ascii="Cambria Math"/>
            <w:sz w:val="24"/>
            <w:szCs w:val="24"/>
            <w:lang w:val="en-US"/>
          </w:rPr>
          <m:t>={</m:t>
        </m:r>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STVI</m:t>
            </m:r>
          </m:e>
        </m:sPre>
        <m:r>
          <m:rPr>
            <m:sty m:val="p"/>
          </m:rPr>
          <w:rPr>
            <w:rFonts w:ascii="Cambria Math" w:hAnsi="Cambria Math"/>
            <w:sz w:val="24"/>
            <w:szCs w:val="24"/>
          </w:rPr>
          <m:t xml:space="preserve">    </m:t>
        </m:r>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LTVI</m:t>
            </m:r>
          </m:e>
        </m:sPre>
        <m:r>
          <m:rPr>
            <m:sty m:val="p"/>
          </m:rPr>
          <w:rPr>
            <w:rFonts w:ascii="Cambria Math"/>
            <w:sz w:val="24"/>
            <w:szCs w:val="24"/>
            <w:lang w:val="en-US"/>
          </w:rPr>
          <m:t>}</m:t>
        </m:r>
      </m:oMath>
      <w:r w:rsidR="00BE57F4" w:rsidRPr="00E27D3B">
        <w:rPr>
          <w:sz w:val="24"/>
          <w:szCs w:val="24"/>
          <w:lang w:val="en-US"/>
        </w:rPr>
        <w:t xml:space="preserve">                                                                         </w:t>
      </w:r>
      <w:r w:rsidR="00BE57F4" w:rsidRPr="00E27D3B">
        <w:rPr>
          <w:sz w:val="24"/>
          <w:szCs w:val="24"/>
        </w:rPr>
        <w:t xml:space="preserve">                             </w:t>
      </w:r>
      <w:r w:rsidR="00BE57F4">
        <w:rPr>
          <w:sz w:val="24"/>
          <w:szCs w:val="24"/>
        </w:rPr>
        <w:t xml:space="preserve">  </w:t>
      </w:r>
      <w:r w:rsidR="00BE57F4" w:rsidRPr="00E27D3B">
        <w:rPr>
          <w:sz w:val="24"/>
          <w:szCs w:val="24"/>
          <w:lang w:val="en-US"/>
        </w:rPr>
        <w:t xml:space="preserve">  (</w:t>
      </w:r>
      <w:r w:rsidR="00BE57F4">
        <w:rPr>
          <w:sz w:val="24"/>
          <w:szCs w:val="24"/>
          <w:lang w:val="en-US"/>
        </w:rPr>
        <w:t>10</w:t>
      </w:r>
      <w:r w:rsidR="00BE57F4" w:rsidRPr="00E27D3B">
        <w:rPr>
          <w:sz w:val="24"/>
          <w:szCs w:val="24"/>
          <w:lang w:val="en-US"/>
        </w:rPr>
        <w:t xml:space="preserve">)  </w:t>
      </w:r>
    </w:p>
    <w:p w14:paraId="07CDC34A" w14:textId="77777777" w:rsidR="00BE57F4" w:rsidRPr="00E27D3B" w:rsidRDefault="00BE57F4" w:rsidP="00CD4F3A">
      <w:pPr>
        <w:ind w:right="-22"/>
        <w:jc w:val="both"/>
        <w:rPr>
          <w:sz w:val="24"/>
          <w:szCs w:val="24"/>
          <w:lang w:val="en-US"/>
        </w:rPr>
      </w:pPr>
      <w:proofErr w:type="gramStart"/>
      <w:r w:rsidRPr="00E27D3B">
        <w:rPr>
          <w:sz w:val="24"/>
          <w:szCs w:val="24"/>
          <w:lang w:val="en-US"/>
        </w:rPr>
        <w:t>where</w:t>
      </w:r>
      <w:proofErr w:type="gramEnd"/>
      <w:r w:rsidRPr="00E27D3B">
        <w:rPr>
          <w:sz w:val="24"/>
          <w:szCs w:val="24"/>
          <w:lang w:val="en-US"/>
        </w:rPr>
        <w:t xml:space="preserve"> </w:t>
      </w:r>
    </w:p>
    <w:p w14:paraId="7BC9AE3E" w14:textId="1DF9C1C5" w:rsidR="00BE57F4" w:rsidRPr="00E27D3B" w:rsidRDefault="00984B23" w:rsidP="005C772D">
      <w:pPr>
        <w:ind w:right="-23"/>
        <w:jc w:val="right"/>
        <w:rPr>
          <w:sz w:val="24"/>
          <w:szCs w:val="24"/>
        </w:rPr>
      </w:pPr>
      <m:oMath>
        <m:d>
          <m:dPr>
            <m:begChr m:val="{"/>
            <m:endChr m:val=""/>
            <m:ctrlPr>
              <w:rPr>
                <w:rFonts w:ascii="Cambria Math" w:hAnsi="Cambria Math"/>
                <w:sz w:val="24"/>
                <w:szCs w:val="24"/>
                <w:lang w:val="en-US"/>
              </w:rPr>
            </m:ctrlPr>
          </m:dPr>
          <m:e>
            <m:eqArr>
              <m:eqArrPr>
                <m:ctrlPr>
                  <w:rPr>
                    <w:rFonts w:ascii="Cambria Math" w:hAnsi="Cambria Math"/>
                    <w:i/>
                    <w:sz w:val="24"/>
                    <w:szCs w:val="24"/>
                    <w:lang w:val="en-US"/>
                  </w:rPr>
                </m:ctrlPr>
              </m:eqArrPr>
              <m:e>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STVI</m:t>
                    </m:r>
                  </m:e>
                </m:sPre>
                <m:r>
                  <m:rPr>
                    <m:sty m:val="p"/>
                  </m:rP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d>
                          <m:dPr>
                            <m:begChr m:val=""/>
                            <m:endChr m:val="}"/>
                            <m:ctrlPr>
                              <w:rPr>
                                <w:rFonts w:ascii="Cambria Math" w:hAnsi="Cambria Math"/>
                                <w:i/>
                                <w:sz w:val="24"/>
                                <w:szCs w:val="24"/>
                              </w:rPr>
                            </m:ctrlPr>
                          </m:dPr>
                          <m:e>
                            <m:eqArr>
                              <m:eqArrPr>
                                <m:ctrlPr>
                                  <w:rPr>
                                    <w:rFonts w:ascii="Cambria Math" w:hAnsi="Cambria Math"/>
                                    <w:i/>
                                    <w:sz w:val="24"/>
                                    <w:szCs w:val="24"/>
                                  </w:rPr>
                                </m:ctrlPr>
                              </m:eqArrPr>
                              <m:e>
                                <m:sSub>
                                  <m:sSubPr>
                                    <m:ctrlPr>
                                      <w:rPr>
                                        <w:rFonts w:ascii="Cambria Math" w:hAnsi="Cambria Math"/>
                                        <w:i/>
                                        <w:iCs/>
                                        <w:sz w:val="24"/>
                                        <w:szCs w:val="24"/>
                                      </w:rPr>
                                    </m:ctrlPr>
                                  </m:sSubPr>
                                  <m:e>
                                    <m:r>
                                      <w:rPr>
                                        <w:rFonts w:ascii="Cambria Math" w:hAnsi="Cambria Math"/>
                                        <w:sz w:val="24"/>
                                        <w:szCs w:val="24"/>
                                      </w:rPr>
                                      <m:t>STVI</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hAnsi="Cambria Math"/>
                                            <w:i/>
                                            <w:sz w:val="24"/>
                                            <w:szCs w:val="24"/>
                                          </w:rPr>
                                        </m:ctrlPr>
                                      </m:naryPr>
                                      <m:sub>
                                        <m:r>
                                          <w:rPr>
                                            <w:rFonts w:ascii="Cambria Math" w:hAnsi="Cambria Math"/>
                                            <w:sz w:val="24"/>
                                            <w:szCs w:val="24"/>
                                          </w:rPr>
                                          <m:t>n=l,≠k</m:t>
                                        </m:r>
                                      </m:sub>
                                      <m:sup>
                                        <m:r>
                                          <w:rPr>
                                            <w:rFonts w:ascii="Cambria Math" w:hAnsi="Cambria Math"/>
                                            <w:sz w:val="24"/>
                                            <w:szCs w:val="24"/>
                                          </w:rPr>
                                          <m:t>N</m:t>
                                        </m:r>
                                      </m:sup>
                                      <m:e>
                                        <m:sSub>
                                          <m:sSubPr>
                                            <m:ctrlPr>
                                              <w:rPr>
                                                <w:rFonts w:ascii="Cambria Math" w:hAnsi="Cambria Math"/>
                                                <w:sz w:val="24"/>
                                                <w:szCs w:val="24"/>
                                              </w:rPr>
                                            </m:ctrlPr>
                                          </m:sSubPr>
                                          <m:e>
                                            <m:d>
                                              <m:dPr>
                                                <m:ctrlPr>
                                                  <w:rPr>
                                                    <w:rFonts w:ascii="Cambria Math" w:hAnsi="Cambria Math"/>
                                                    <w:sz w:val="24"/>
                                                    <w:szCs w:val="24"/>
                                                  </w:rPr>
                                                </m:ctrlPr>
                                              </m:dPr>
                                              <m:e>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k,l</m:t>
                                                    </m:r>
                                                  </m:sub>
                                                </m:sSub>
                                              </m:e>
                                            </m:d>
                                            <m:r>
                                              <m:rPr>
                                                <m:sty m:val="p"/>
                                              </m:rPr>
                                              <w:rPr>
                                                <w:rFonts w:ascii="Cambria Math" w:hAnsi="Cambria Math"/>
                                                <w:sz w:val="24"/>
                                                <w:szCs w:val="24"/>
                                              </w:rPr>
                                              <m:t>STVI</m:t>
                                            </m:r>
                                          </m:e>
                                          <m:sub>
                                            <m:r>
                                              <m:rPr>
                                                <m:sty m:val="p"/>
                                              </m:rPr>
                                              <w:rPr>
                                                <w:rFonts w:ascii="Cambria Math" w:hAnsi="Cambria Math"/>
                                                <w:sz w:val="24"/>
                                                <w:szCs w:val="24"/>
                                              </w:rPr>
                                              <m:t>k,</m:t>
                                            </m:r>
                                            <m:r>
                                              <w:rPr>
                                                <w:rFonts w:ascii="Cambria Math" w:hAnsi="Cambria Math"/>
                                                <w:sz w:val="24"/>
                                                <w:szCs w:val="24"/>
                                              </w:rPr>
                                              <m:t>l</m:t>
                                            </m:r>
                                          </m:sub>
                                        </m:sSub>
                                      </m:e>
                                    </m:nary>
                                  </m:num>
                                  <m:den>
                                    <m:nary>
                                      <m:naryPr>
                                        <m:chr m:val="∑"/>
                                        <m:limLoc m:val="undOvr"/>
                                        <m:ctrlPr>
                                          <w:rPr>
                                            <w:rFonts w:ascii="Cambria Math" w:hAnsi="Cambria Math"/>
                                            <w:i/>
                                            <w:sz w:val="24"/>
                                            <w:szCs w:val="24"/>
                                          </w:rPr>
                                        </m:ctrlPr>
                                      </m:naryPr>
                                      <m:sub>
                                        <m:r>
                                          <w:rPr>
                                            <w:rFonts w:ascii="Cambria Math" w:hAnsi="Cambria Math"/>
                                            <w:sz w:val="24"/>
                                            <w:szCs w:val="24"/>
                                          </w:rPr>
                                          <m:t>n=l,≠k</m:t>
                                        </m:r>
                                      </m:sub>
                                      <m:sup>
                                        <m:r>
                                          <w:rPr>
                                            <w:rFonts w:ascii="Cambria Math" w:hAnsi="Cambria Math"/>
                                            <w:sz w:val="24"/>
                                            <w:szCs w:val="24"/>
                                          </w:rPr>
                                          <m:t>N</m:t>
                                        </m:r>
                                      </m:sup>
                                      <m:e>
                                        <m:d>
                                          <m:dPr>
                                            <m:begChr m:val="["/>
                                            <m:endChr m:val="]"/>
                                            <m:ctrlPr>
                                              <w:rPr>
                                                <w:rFonts w:ascii="Cambria Math" w:hAnsi="Cambria Math"/>
                                                <w:sz w:val="24"/>
                                                <w:szCs w:val="24"/>
                                              </w:rPr>
                                            </m:ctrlPr>
                                          </m:dPr>
                                          <m:e>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k,l</m:t>
                                                </m:r>
                                              </m:sub>
                                            </m:sSub>
                                            <m:ctrlPr>
                                              <w:rPr>
                                                <w:rFonts w:ascii="Cambria Math" w:hAnsi="Cambria Math"/>
                                                <w:i/>
                                                <w:sz w:val="24"/>
                                                <w:szCs w:val="24"/>
                                              </w:rPr>
                                            </m:ctrlPr>
                                          </m:e>
                                        </m:d>
                                      </m:e>
                                    </m:nary>
                                  </m:den>
                                </m:f>
                                <m:r>
                                  <w:rPr>
                                    <w:rFonts w:ascii="Cambria Math" w:hAnsi="Cambria Math"/>
                                    <w:sz w:val="24"/>
                                    <w:szCs w:val="24"/>
                                  </w:rPr>
                                  <m:t xml:space="preserve">  </m:t>
                                </m:r>
                              </m:e>
                              <m:e>
                                <m:r>
                                  <w:rPr>
                                    <w:rFonts w:ascii="Cambria Math" w:hAnsi="Cambria Math"/>
                                    <w:sz w:val="24"/>
                                    <w:szCs w:val="24"/>
                                  </w:rPr>
                                  <m:t xml:space="preserve">   if  </m:t>
                                </m:r>
                                <m:sSub>
                                  <m:sSubPr>
                                    <m:ctrlPr>
                                      <w:rPr>
                                        <w:rFonts w:ascii="Cambria Math" w:hAnsi="Cambria Math"/>
                                        <w:i/>
                                        <w:iCs/>
                                        <w:sz w:val="24"/>
                                        <w:szCs w:val="24"/>
                                      </w:rPr>
                                    </m:ctrlPr>
                                  </m:sSubPr>
                                  <m:e>
                                    <m:r>
                                      <w:rPr>
                                        <w:rFonts w:ascii="Cambria Math" w:hAnsi="Cambria Math"/>
                                        <w:sz w:val="24"/>
                                        <w:szCs w:val="24"/>
                                      </w:rPr>
                                      <m:t>STVI</m:t>
                                    </m:r>
                                  </m:e>
                                  <m:sub>
                                    <m:r>
                                      <w:rPr>
                                        <w:rFonts w:ascii="Cambria Math" w:hAnsi="Cambria Math"/>
                                        <w:sz w:val="24"/>
                                        <w:szCs w:val="24"/>
                                      </w:rPr>
                                      <m:t>k</m:t>
                                    </m:r>
                                  </m:sub>
                                </m:sSub>
                                <m:r>
                                  <w:rPr>
                                    <w:rFonts w:ascii="Cambria Math" w:hAnsi="Cambria Math"/>
                                    <w:sz w:val="24"/>
                                    <w:szCs w:val="24"/>
                                  </w:rPr>
                                  <m:t>≥0 &amp;and ∑CD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&lt;1</m:t>
                                </m:r>
                              </m:e>
                            </m:eqArr>
                          </m:e>
                        </m:d>
                      </m:e>
                      <m:e>
                        <m:d>
                          <m:dPr>
                            <m:begChr m:val=""/>
                            <m:endChr m:val="}"/>
                            <m:ctrlPr>
                              <w:rPr>
                                <w:rFonts w:ascii="Cambria Math" w:hAnsi="Cambria Math"/>
                                <w:i/>
                                <w:sz w:val="24"/>
                                <w:szCs w:val="24"/>
                              </w:rPr>
                            </m:ctrlPr>
                          </m:dPr>
                          <m:e>
                            <m:eqArr>
                              <m:eqArrPr>
                                <m:ctrlPr>
                                  <w:rPr>
                                    <w:rFonts w:ascii="Cambria Math" w:hAnsi="Cambria Math"/>
                                    <w:sz w:val="24"/>
                                    <w:szCs w:val="24"/>
                                  </w:rPr>
                                </m:ctrlPr>
                              </m:eqArrPr>
                              <m:e>
                                <m:r>
                                  <m:rPr>
                                    <m:sty m:val="p"/>
                                  </m:rPr>
                                  <w:rPr>
                                    <w:rFonts w:ascii="Cambria Math" w:hAnsi="Cambria Math"/>
                                    <w:sz w:val="24"/>
                                    <w:szCs w:val="24"/>
                                  </w:rPr>
                                  <m:t xml:space="preserve">-1                                                         </m:t>
                                </m:r>
                              </m:e>
                              <m:e>
                                <m:r>
                                  <m:rPr>
                                    <m:sty m:val="p"/>
                                  </m:rPr>
                                  <w:rPr>
                                    <w:rFonts w:ascii="Cambria Math" w:hAnsi="Cambria Math"/>
                                    <w:sz w:val="24"/>
                                    <w:szCs w:val="24"/>
                                  </w:rPr>
                                  <m:t xml:space="preserve"> i</m:t>
                                </m:r>
                                <m:r>
                                  <w:rPr>
                                    <w:rFonts w:ascii="Cambria Math" w:hAnsi="Cambria Math"/>
                                    <w:sz w:val="24"/>
                                    <w:szCs w:val="24"/>
                                  </w:rPr>
                                  <m:t xml:space="preserve">f  </m:t>
                                </m:r>
                                <m:sSub>
                                  <m:sSubPr>
                                    <m:ctrlPr>
                                      <w:rPr>
                                        <w:rFonts w:ascii="Cambria Math" w:hAnsi="Cambria Math"/>
                                        <w:i/>
                                        <w:iCs/>
                                        <w:sz w:val="24"/>
                                        <w:szCs w:val="24"/>
                                      </w:rPr>
                                    </m:ctrlPr>
                                  </m:sSubPr>
                                  <m:e>
                                    <m:r>
                                      <w:rPr>
                                        <w:rFonts w:ascii="Cambria Math" w:hAnsi="Cambria Math"/>
                                        <w:sz w:val="24"/>
                                        <w:szCs w:val="24"/>
                                      </w:rPr>
                                      <m:t>STVI</m:t>
                                    </m:r>
                                  </m:e>
                                  <m:sub>
                                    <m:r>
                                      <w:rPr>
                                        <w:rFonts w:ascii="Cambria Math" w:hAnsi="Cambria Math"/>
                                        <w:sz w:val="24"/>
                                        <w:szCs w:val="24"/>
                                      </w:rPr>
                                      <m:t>k</m:t>
                                    </m:r>
                                  </m:sub>
                                </m:sSub>
                                <m:r>
                                  <w:rPr>
                                    <w:rFonts w:ascii="Cambria Math" w:hAnsi="Cambria Math"/>
                                    <w:sz w:val="24"/>
                                    <w:szCs w:val="24"/>
                                  </w:rPr>
                                  <m:t>&lt;0 &amp;and ∑CD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 xml:space="preserve"> ≥1</m:t>
                                </m:r>
                              </m:e>
                            </m:eqArr>
                          </m:e>
                        </m:d>
                      </m:e>
                    </m:eqArr>
                  </m:e>
                </m:d>
                <m:ctrlPr>
                  <w:rPr>
                    <w:rFonts w:ascii="Cambria Math" w:hAnsi="Cambria Math"/>
                    <w:i/>
                    <w:sz w:val="24"/>
                    <w:szCs w:val="24"/>
                  </w:rPr>
                </m:ctrlPr>
              </m:e>
              <m:e>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LTVI</m:t>
                    </m:r>
                  </m:e>
                </m:sPre>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d>
                          <m:dPr>
                            <m:begChr m:val=""/>
                            <m:endChr m:val="}"/>
                            <m:ctrlPr>
                              <w:rPr>
                                <w:rFonts w:ascii="Cambria Math" w:hAnsi="Cambria Math"/>
                                <w:i/>
                                <w:sz w:val="24"/>
                                <w:szCs w:val="24"/>
                              </w:rPr>
                            </m:ctrlPr>
                          </m:dPr>
                          <m:e>
                            <m:eqArr>
                              <m:eqArrPr>
                                <m:ctrlPr>
                                  <w:rPr>
                                    <w:rFonts w:ascii="Cambria Math" w:hAnsi="Cambria Math"/>
                                    <w:i/>
                                    <w:sz w:val="24"/>
                                    <w:szCs w:val="24"/>
                                  </w:rPr>
                                </m:ctrlPr>
                              </m:eqArrPr>
                              <m:e>
                                <m:sSub>
                                  <m:sSubPr>
                                    <m:ctrlPr>
                                      <w:rPr>
                                        <w:rFonts w:ascii="Cambria Math" w:hAnsi="Cambria Math"/>
                                        <w:i/>
                                        <w:iCs/>
                                        <w:sz w:val="24"/>
                                        <w:szCs w:val="24"/>
                                      </w:rPr>
                                    </m:ctrlPr>
                                  </m:sSubPr>
                                  <m:e>
                                    <m:r>
                                      <w:rPr>
                                        <w:rFonts w:ascii="Cambria Math" w:hAnsi="Cambria Math"/>
                                        <w:sz w:val="24"/>
                                        <w:szCs w:val="24"/>
                                      </w:rPr>
                                      <m:t>LTVI</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hAnsi="Cambria Math"/>
                                            <w:i/>
                                            <w:sz w:val="24"/>
                                            <w:szCs w:val="24"/>
                                          </w:rPr>
                                        </m:ctrlPr>
                                      </m:naryPr>
                                      <m:sub>
                                        <m:r>
                                          <w:rPr>
                                            <w:rFonts w:ascii="Cambria Math" w:hAnsi="Cambria Math"/>
                                            <w:sz w:val="24"/>
                                            <w:szCs w:val="24"/>
                                          </w:rPr>
                                          <m:t>n=l,≠k</m:t>
                                        </m:r>
                                      </m:sub>
                                      <m:sup>
                                        <m:r>
                                          <w:rPr>
                                            <w:rFonts w:ascii="Cambria Math" w:hAnsi="Cambria Math"/>
                                            <w:sz w:val="24"/>
                                            <w:szCs w:val="24"/>
                                          </w:rPr>
                                          <m:t>N</m:t>
                                        </m:r>
                                      </m:sup>
                                      <m:e>
                                        <m:sSub>
                                          <m:sSubPr>
                                            <m:ctrlPr>
                                              <w:rPr>
                                                <w:rFonts w:ascii="Cambria Math" w:hAnsi="Cambria Math"/>
                                                <w:sz w:val="24"/>
                                                <w:szCs w:val="24"/>
                                              </w:rPr>
                                            </m:ctrlPr>
                                          </m:sSubPr>
                                          <m:e>
                                            <m:d>
                                              <m:dPr>
                                                <m:ctrlPr>
                                                  <w:rPr>
                                                    <w:rFonts w:ascii="Cambria Math" w:hAnsi="Cambria Math"/>
                                                    <w:sz w:val="24"/>
                                                    <w:szCs w:val="24"/>
                                                  </w:rPr>
                                                </m:ctrlPr>
                                              </m:dPr>
                                              <m:e>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k,l</m:t>
                                                    </m:r>
                                                  </m:sub>
                                                </m:sSub>
                                              </m:e>
                                            </m:d>
                                            <m:r>
                                              <w:rPr>
                                                <w:rFonts w:ascii="Cambria Math" w:hAnsi="Cambria Math"/>
                                                <w:sz w:val="24"/>
                                                <w:szCs w:val="24"/>
                                              </w:rPr>
                                              <m:t>LTVI</m:t>
                                            </m:r>
                                          </m:e>
                                          <m:sub>
                                            <m:r>
                                              <w:rPr>
                                                <w:rFonts w:ascii="Cambria Math" w:hAnsi="Cambria Math"/>
                                                <w:sz w:val="24"/>
                                                <w:szCs w:val="24"/>
                                              </w:rPr>
                                              <m:t>k</m:t>
                                            </m:r>
                                            <m:r>
                                              <m:rPr>
                                                <m:sty m:val="p"/>
                                              </m:rPr>
                                              <w:rPr>
                                                <w:rFonts w:ascii="Cambria Math" w:hAnsi="Cambria Math"/>
                                                <w:sz w:val="24"/>
                                                <w:szCs w:val="24"/>
                                              </w:rPr>
                                              <m:t>,</m:t>
                                            </m:r>
                                            <m:r>
                                              <w:rPr>
                                                <w:rFonts w:ascii="Cambria Math" w:hAnsi="Cambria Math"/>
                                                <w:sz w:val="24"/>
                                                <w:szCs w:val="24"/>
                                              </w:rPr>
                                              <m:t>l</m:t>
                                            </m:r>
                                          </m:sub>
                                        </m:sSub>
                                      </m:e>
                                    </m:nary>
                                  </m:num>
                                  <m:den>
                                    <m:nary>
                                      <m:naryPr>
                                        <m:chr m:val="∑"/>
                                        <m:limLoc m:val="undOvr"/>
                                        <m:ctrlPr>
                                          <w:rPr>
                                            <w:rFonts w:ascii="Cambria Math" w:hAnsi="Cambria Math"/>
                                            <w:i/>
                                            <w:sz w:val="24"/>
                                            <w:szCs w:val="24"/>
                                          </w:rPr>
                                        </m:ctrlPr>
                                      </m:naryPr>
                                      <m:sub>
                                        <m:r>
                                          <w:rPr>
                                            <w:rFonts w:ascii="Cambria Math" w:hAnsi="Cambria Math"/>
                                            <w:sz w:val="24"/>
                                            <w:szCs w:val="24"/>
                                          </w:rPr>
                                          <m:t>n=l,≠k</m:t>
                                        </m:r>
                                      </m:sub>
                                      <m:sup>
                                        <m:r>
                                          <w:rPr>
                                            <w:rFonts w:ascii="Cambria Math" w:hAnsi="Cambria Math"/>
                                            <w:sz w:val="24"/>
                                            <w:szCs w:val="24"/>
                                          </w:rPr>
                                          <m:t>N</m:t>
                                        </m:r>
                                      </m:sup>
                                      <m:e>
                                        <m:d>
                                          <m:dPr>
                                            <m:begChr m:val="["/>
                                            <m:endChr m:val="]"/>
                                            <m:ctrlPr>
                                              <w:rPr>
                                                <w:rFonts w:ascii="Cambria Math" w:hAnsi="Cambria Math"/>
                                                <w:sz w:val="24"/>
                                                <w:szCs w:val="24"/>
                                              </w:rPr>
                                            </m:ctrlPr>
                                          </m:dPr>
                                          <m:e>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k,l</m:t>
                                                </m:r>
                                              </m:sub>
                                            </m:sSub>
                                            <m:ctrlPr>
                                              <w:rPr>
                                                <w:rFonts w:ascii="Cambria Math" w:hAnsi="Cambria Math"/>
                                                <w:i/>
                                                <w:sz w:val="24"/>
                                                <w:szCs w:val="24"/>
                                              </w:rPr>
                                            </m:ctrlPr>
                                          </m:e>
                                        </m:d>
                                      </m:e>
                                    </m:nary>
                                  </m:den>
                                </m:f>
                              </m:e>
                              <m:e>
                                <m:r>
                                  <w:rPr>
                                    <w:rFonts w:ascii="Cambria Math" w:hAnsi="Cambria Math"/>
                                    <w:sz w:val="24"/>
                                    <w:szCs w:val="24"/>
                                  </w:rPr>
                                  <m:t xml:space="preserve">if  </m:t>
                                </m:r>
                                <m:sSub>
                                  <m:sSubPr>
                                    <m:ctrlPr>
                                      <w:rPr>
                                        <w:rFonts w:ascii="Cambria Math" w:hAnsi="Cambria Math"/>
                                        <w:i/>
                                        <w:iCs/>
                                        <w:sz w:val="24"/>
                                        <w:szCs w:val="24"/>
                                      </w:rPr>
                                    </m:ctrlPr>
                                  </m:sSubPr>
                                  <m:e>
                                    <m:r>
                                      <w:rPr>
                                        <w:rFonts w:ascii="Cambria Math" w:hAnsi="Cambria Math"/>
                                        <w:sz w:val="24"/>
                                        <w:szCs w:val="24"/>
                                      </w:rPr>
                                      <m:t>LTVI</m:t>
                                    </m:r>
                                  </m:e>
                                  <m:sub>
                                    <m:r>
                                      <w:rPr>
                                        <w:rFonts w:ascii="Cambria Math" w:hAnsi="Cambria Math"/>
                                        <w:sz w:val="24"/>
                                        <w:szCs w:val="24"/>
                                      </w:rPr>
                                      <m:t>k</m:t>
                                    </m:r>
                                  </m:sub>
                                </m:sSub>
                                <m:r>
                                  <w:rPr>
                                    <w:rFonts w:ascii="Cambria Math" w:hAnsi="Cambria Math"/>
                                    <w:sz w:val="24"/>
                                    <w:szCs w:val="24"/>
                                  </w:rPr>
                                  <m:t>≥0 and ∑CD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&lt;1</m:t>
                                </m:r>
                              </m:e>
                            </m:eqArr>
                          </m:e>
                        </m:d>
                      </m:e>
                      <m:e>
                        <m:d>
                          <m:dPr>
                            <m:begChr m:val=""/>
                            <m:endChr m:val="}"/>
                            <m:ctrlPr>
                              <w:rPr>
                                <w:rFonts w:ascii="Cambria Math" w:hAnsi="Cambria Math"/>
                                <w:i/>
                                <w:sz w:val="24"/>
                                <w:szCs w:val="24"/>
                              </w:rPr>
                            </m:ctrlPr>
                          </m:dPr>
                          <m:e>
                            <m:eqArr>
                              <m:eqArrPr>
                                <m:ctrlPr>
                                  <w:rPr>
                                    <w:rFonts w:ascii="Cambria Math" w:hAnsi="Cambria Math"/>
                                    <w:sz w:val="24"/>
                                    <w:szCs w:val="24"/>
                                  </w:rPr>
                                </m:ctrlPr>
                              </m:eqArrPr>
                              <m:e>
                                <m:r>
                                  <m:rPr>
                                    <m:sty m:val="p"/>
                                  </m:rPr>
                                  <w:rPr>
                                    <w:rFonts w:ascii="Cambria Math" w:hAnsi="Cambria Math"/>
                                    <w:sz w:val="24"/>
                                    <w:szCs w:val="24"/>
                                  </w:rPr>
                                  <m:t xml:space="preserve">-1                                                                </m:t>
                                </m:r>
                                <m:ctrlPr>
                                  <w:rPr>
                                    <w:rFonts w:ascii="Cambria Math" w:hAnsi="Cambria Math"/>
                                    <w:i/>
                                    <w:sz w:val="24"/>
                                    <w:szCs w:val="24"/>
                                  </w:rPr>
                                </m:ctrlPr>
                              </m:e>
                              <m:e>
                                <m:r>
                                  <w:rPr>
                                    <w:rFonts w:ascii="Cambria Math" w:hAnsi="Cambria Math"/>
                                    <w:sz w:val="24"/>
                                    <w:szCs w:val="24"/>
                                  </w:rPr>
                                  <m:t xml:space="preserve">if  </m:t>
                                </m:r>
                                <m:sSub>
                                  <m:sSubPr>
                                    <m:ctrlPr>
                                      <w:rPr>
                                        <w:rFonts w:ascii="Cambria Math" w:hAnsi="Cambria Math"/>
                                        <w:i/>
                                        <w:iCs/>
                                        <w:sz w:val="24"/>
                                        <w:szCs w:val="24"/>
                                      </w:rPr>
                                    </m:ctrlPr>
                                  </m:sSubPr>
                                  <m:e>
                                    <m:r>
                                      <w:rPr>
                                        <w:rFonts w:ascii="Cambria Math" w:hAnsi="Cambria Math"/>
                                        <w:sz w:val="24"/>
                                        <w:szCs w:val="24"/>
                                      </w:rPr>
                                      <m:t>LTVI</m:t>
                                    </m:r>
                                  </m:e>
                                  <m:sub>
                                    <m:r>
                                      <w:rPr>
                                        <w:rFonts w:ascii="Cambria Math" w:hAnsi="Cambria Math"/>
                                        <w:sz w:val="24"/>
                                        <w:szCs w:val="24"/>
                                      </w:rPr>
                                      <m:t>k</m:t>
                                    </m:r>
                                  </m:sub>
                                </m:sSub>
                                <m:r>
                                  <w:rPr>
                                    <w:rFonts w:ascii="Cambria Math" w:hAnsi="Cambria Math"/>
                                    <w:sz w:val="24"/>
                                    <w:szCs w:val="24"/>
                                  </w:rPr>
                                  <m:t xml:space="preserve"> &lt;0 and ∑CD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 xml:space="preserve"> ≥1</m:t>
                                </m:r>
                                <m:ctrlPr>
                                  <w:rPr>
                                    <w:rFonts w:ascii="Cambria Math" w:hAnsi="Cambria Math"/>
                                    <w:i/>
                                    <w:sz w:val="24"/>
                                    <w:szCs w:val="24"/>
                                  </w:rPr>
                                </m:ctrlPr>
                              </m:e>
                            </m:eqArr>
                          </m:e>
                        </m:d>
                      </m:e>
                    </m:eqArr>
                  </m:e>
                </m:d>
                <m:ctrlPr>
                  <w:rPr>
                    <w:rFonts w:ascii="Cambria Math" w:eastAsia="Cambria Math" w:hAnsi="Cambria Math" w:cs="Cambria Math"/>
                    <w:i/>
                    <w:sz w:val="24"/>
                    <w:szCs w:val="24"/>
                  </w:rPr>
                </m:ctrlPr>
              </m:e>
              <m:e>
                <m:r>
                  <w:rPr>
                    <w:rFonts w:ascii="Cambria Math" w:hAnsi="Cambria Math"/>
                    <w:sz w:val="24"/>
                    <w:szCs w:val="24"/>
                  </w:rPr>
                  <m:t xml:space="preserve">    </m:t>
                </m:r>
                <m:ctrlPr>
                  <w:rPr>
                    <w:rFonts w:ascii="Cambria Math" w:hAnsi="Cambria Math"/>
                    <w:i/>
                    <w:sz w:val="24"/>
                    <w:szCs w:val="24"/>
                  </w:rPr>
                </m:ctrlPr>
              </m:e>
            </m:eqArr>
          </m:e>
        </m:d>
      </m:oMath>
      <w:r w:rsidR="00BE57F4" w:rsidRPr="00E27D3B">
        <w:rPr>
          <w:sz w:val="24"/>
          <w:szCs w:val="24"/>
          <w:lang w:val="en-US"/>
        </w:rPr>
        <w:t xml:space="preserve">                             </w:t>
      </w:r>
      <w:r w:rsidR="00BE57F4">
        <w:rPr>
          <w:sz w:val="24"/>
          <w:szCs w:val="24"/>
          <w:lang w:val="en-US"/>
        </w:rPr>
        <w:t xml:space="preserve"> </w:t>
      </w:r>
      <w:r w:rsidR="00BE57F4" w:rsidRPr="00E27D3B">
        <w:rPr>
          <w:sz w:val="24"/>
          <w:szCs w:val="24"/>
          <w:lang w:val="en-US"/>
        </w:rPr>
        <w:t xml:space="preserve">      </w:t>
      </w:r>
      <w:r w:rsidR="00BE57F4" w:rsidRPr="00E27D3B">
        <w:rPr>
          <w:sz w:val="24"/>
          <w:szCs w:val="24"/>
        </w:rPr>
        <w:t xml:space="preserve">                            </w:t>
      </w:r>
      <w:r w:rsidR="00BE57F4" w:rsidRPr="00E27D3B">
        <w:rPr>
          <w:sz w:val="24"/>
          <w:szCs w:val="24"/>
          <w:lang w:val="en-US"/>
        </w:rPr>
        <w:t xml:space="preserve"> (</w:t>
      </w:r>
      <w:r w:rsidR="00BE57F4">
        <w:rPr>
          <w:sz w:val="24"/>
          <w:szCs w:val="24"/>
          <w:lang w:val="en-US"/>
        </w:rPr>
        <w:t>11</w:t>
      </w:r>
      <w:r w:rsidR="00BE57F4" w:rsidRPr="00E27D3B">
        <w:rPr>
          <w:sz w:val="24"/>
          <w:szCs w:val="24"/>
          <w:lang w:val="en-US"/>
        </w:rPr>
        <w:t xml:space="preserve">)  </w:t>
      </w:r>
    </w:p>
    <w:p w14:paraId="2A384F74" w14:textId="2B11A4A6" w:rsidR="00BE57F4" w:rsidRPr="00DC6D94" w:rsidRDefault="00BE57F4" w:rsidP="00A241FE">
      <w:pPr>
        <w:spacing w:after="0"/>
        <w:rPr>
          <w:sz w:val="24"/>
          <w:szCs w:val="24"/>
        </w:rPr>
      </w:pPr>
      <w:r w:rsidRPr="00E27D3B">
        <w:rPr>
          <w:sz w:val="24"/>
          <w:szCs w:val="24"/>
        </w:rPr>
        <w:t xml:space="preserve">The range of </w:t>
      </w:r>
      <m:oMath>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STVI</m:t>
            </m:r>
          </m:e>
        </m:sPre>
        <m:r>
          <m:rPr>
            <m:sty m:val="p"/>
          </m:rPr>
          <w:rPr>
            <w:rFonts w:ascii="Cambria Math" w:hAnsi="Cambria Math"/>
            <w:sz w:val="24"/>
            <w:szCs w:val="24"/>
          </w:rPr>
          <m:t xml:space="preserve"> and   </m:t>
        </m:r>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LTVI</m:t>
            </m:r>
          </m:e>
        </m:sPre>
      </m:oMath>
      <w:r w:rsidRPr="00E27D3B">
        <w:rPr>
          <w:sz w:val="24"/>
          <w:szCs w:val="24"/>
        </w:rPr>
        <w:t xml:space="preserve"> is also from (+1) to (-1), and a higher positive </w:t>
      </w:r>
      <m:oMath>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DVRI</m:t>
            </m:r>
          </m:e>
        </m:sPre>
      </m:oMath>
      <w:r w:rsidRPr="00E27D3B">
        <w:rPr>
          <w:sz w:val="24"/>
          <w:szCs w:val="24"/>
        </w:rPr>
        <w:t xml:space="preserve"> reflects better system-level voltage </w:t>
      </w:r>
      <w:r w:rsidRPr="00547C88">
        <w:rPr>
          <w:sz w:val="24"/>
          <w:szCs w:val="24"/>
        </w:rPr>
        <w:t xml:space="preserve">performance. </w:t>
      </w:r>
      <w:proofErr w:type="spellStart"/>
      <w:r w:rsidRPr="00547C88">
        <w:rPr>
          <w:sz w:val="24"/>
          <w:szCs w:val="24"/>
        </w:rPr>
        <w:t>Apx</w:t>
      </w:r>
      <w:proofErr w:type="spellEnd"/>
      <w:r w:rsidRPr="00547C88">
        <w:rPr>
          <w:sz w:val="24"/>
          <w:szCs w:val="24"/>
        </w:rPr>
        <w:t xml:space="preserve"> Table 1 in </w:t>
      </w:r>
      <w:r w:rsidRPr="00547C88">
        <w:rPr>
          <w:color w:val="auto"/>
          <w:sz w:val="24"/>
          <w:szCs w:val="24"/>
        </w:rPr>
        <w:t xml:space="preserve">Appendix A.1 </w:t>
      </w:r>
      <w:r w:rsidRPr="00547C88">
        <w:rPr>
          <w:sz w:val="24"/>
          <w:szCs w:val="24"/>
        </w:rPr>
        <w:t xml:space="preserve">is also applicable to </w:t>
      </w:r>
      <m:oMath>
        <m:sPre>
          <m:sPrePr>
            <m:ctrlPr>
              <w:rPr>
                <w:rFonts w:ascii="Cambria Math" w:hAnsi="Cambria Math"/>
                <w:sz w:val="24"/>
                <w:szCs w:val="24"/>
                <w:lang w:val="en-US"/>
              </w:rPr>
            </m:ctrlPr>
          </m:sPrePr>
          <m:sub>
            <m:r>
              <m:rPr>
                <m:sty m:val="p"/>
              </m:rPr>
              <w:rPr>
                <w:rFonts w:ascii="Cambria Math" w:hAnsi="Cambria Math"/>
                <w:sz w:val="24"/>
                <w:szCs w:val="24"/>
                <w:lang w:val="en-US"/>
              </w:rPr>
              <m:t>sys</m:t>
            </m:r>
          </m:sub>
          <m:sup>
            <m:r>
              <w:rPr>
                <w:rFonts w:ascii="Cambria Math" w:hAnsi="Cambria Math"/>
                <w:sz w:val="24"/>
                <w:szCs w:val="24"/>
                <w:lang w:val="en-US"/>
              </w:rPr>
              <m:t>k</m:t>
            </m:r>
          </m:sup>
          <m:e>
            <m:r>
              <w:rPr>
                <w:rFonts w:ascii="Cambria Math" w:hAnsi="Cambria Math"/>
                <w:sz w:val="24"/>
                <w:szCs w:val="24"/>
              </w:rPr>
              <m:t>DVRI</m:t>
            </m:r>
          </m:e>
        </m:sPre>
      </m:oMath>
      <w:r w:rsidRPr="00547C88">
        <w:rPr>
          <w:sz w:val="24"/>
          <w:szCs w:val="24"/>
        </w:rPr>
        <w:t>.</w:t>
      </w:r>
      <w:r w:rsidR="00DC6D94">
        <w:rPr>
          <w:sz w:val="24"/>
          <w:szCs w:val="24"/>
        </w:rPr>
        <w:t xml:space="preserve">  </w:t>
      </w:r>
      <w:r w:rsidRPr="00547C88">
        <w:rPr>
          <w:color w:val="auto"/>
          <w:sz w:val="24"/>
          <w:szCs w:val="24"/>
        </w:rPr>
        <w:fldChar w:fldCharType="begin"/>
      </w:r>
      <w:r w:rsidRPr="00547C88">
        <w:rPr>
          <w:color w:val="auto"/>
          <w:sz w:val="24"/>
          <w:szCs w:val="24"/>
        </w:rPr>
        <w:instrText xml:space="preserve"> REF _Ref230191848 \h </w:instrText>
      </w:r>
      <w:r w:rsidR="00806B60" w:rsidRPr="00547C88">
        <w:rPr>
          <w:color w:val="auto"/>
          <w:sz w:val="24"/>
          <w:szCs w:val="24"/>
        </w:rPr>
        <w:instrText xml:space="preserve"> \* MERGEFORMAT </w:instrText>
      </w:r>
      <w:r w:rsidRPr="00547C88">
        <w:rPr>
          <w:color w:val="auto"/>
          <w:sz w:val="24"/>
          <w:szCs w:val="24"/>
        </w:rPr>
      </w:r>
      <w:r w:rsidRPr="00547C88">
        <w:rPr>
          <w:color w:val="auto"/>
          <w:sz w:val="24"/>
          <w:szCs w:val="24"/>
        </w:rPr>
        <w:fldChar w:fldCharType="separate"/>
      </w:r>
      <w:r w:rsidR="00753DAF" w:rsidRPr="00547C88">
        <w:t xml:space="preserve">Figure </w:t>
      </w:r>
      <w:r w:rsidR="00753DAF" w:rsidRPr="00547C88">
        <w:rPr>
          <w:noProof/>
        </w:rPr>
        <w:t>37</w:t>
      </w:r>
      <w:r w:rsidRPr="00547C88">
        <w:rPr>
          <w:color w:val="auto"/>
          <w:sz w:val="24"/>
          <w:szCs w:val="24"/>
        </w:rPr>
        <w:fldChar w:fldCharType="end"/>
      </w:r>
      <w:r w:rsidRPr="00547C88">
        <w:rPr>
          <w:color w:val="auto"/>
          <w:sz w:val="24"/>
          <w:szCs w:val="24"/>
        </w:rPr>
        <w:t xml:space="preserve"> illustrates the entire process. </w:t>
      </w:r>
      <w:r w:rsidRPr="00547C88">
        <w:rPr>
          <w:sz w:val="24"/>
          <w:szCs w:val="24"/>
        </w:rPr>
        <w:t xml:space="preserve">The </w:t>
      </w:r>
      <w:r w:rsidRPr="00547C88">
        <w:rPr>
          <w:color w:val="auto"/>
          <w:sz w:val="24"/>
          <w:szCs w:val="24"/>
        </w:rPr>
        <w:t xml:space="preserve">pseudocode in </w:t>
      </w:r>
      <w:proofErr w:type="spellStart"/>
      <w:r w:rsidRPr="00547C88">
        <w:rPr>
          <w:color w:val="auto"/>
          <w:sz w:val="24"/>
          <w:szCs w:val="24"/>
        </w:rPr>
        <w:t>Apx</w:t>
      </w:r>
      <w:proofErr w:type="spellEnd"/>
      <w:r w:rsidRPr="00547C88">
        <w:rPr>
          <w:color w:val="auto"/>
          <w:sz w:val="24"/>
          <w:szCs w:val="24"/>
        </w:rPr>
        <w:t xml:space="preserve"> Table 2 </w:t>
      </w:r>
      <w:r w:rsidRPr="00547C88">
        <w:rPr>
          <w:sz w:val="24"/>
          <w:szCs w:val="24"/>
        </w:rPr>
        <w:t xml:space="preserve">in </w:t>
      </w:r>
      <w:r w:rsidRPr="00547C88">
        <w:rPr>
          <w:color w:val="auto"/>
          <w:sz w:val="24"/>
          <w:szCs w:val="24"/>
        </w:rPr>
        <w:t xml:space="preserve">Appendix A.1 outlines the steps of </w:t>
      </w:r>
      <m:oMath>
        <m:sPre>
          <m:sPrePr>
            <m:ctrlPr>
              <w:rPr>
                <w:rFonts w:ascii="Cambria Math" w:hAnsi="Cambria Math"/>
                <w:color w:val="auto"/>
                <w:sz w:val="24"/>
                <w:szCs w:val="24"/>
                <w:lang w:val="en-US"/>
              </w:rPr>
            </m:ctrlPr>
          </m:sPrePr>
          <m:sub>
            <m:r>
              <m:rPr>
                <m:sty m:val="p"/>
              </m:rPr>
              <w:rPr>
                <w:rFonts w:ascii="Cambria Math" w:hAnsi="Cambria Math"/>
                <w:color w:val="auto"/>
                <w:sz w:val="24"/>
                <w:szCs w:val="24"/>
                <w:lang w:val="en-US"/>
              </w:rPr>
              <m:t>sys</m:t>
            </m:r>
          </m:sub>
          <m:sup>
            <m:r>
              <w:rPr>
                <w:rFonts w:ascii="Cambria Math" w:hAnsi="Cambria Math"/>
                <w:color w:val="auto"/>
                <w:sz w:val="24"/>
                <w:szCs w:val="24"/>
                <w:lang w:val="en-US"/>
              </w:rPr>
              <m:t>k</m:t>
            </m:r>
          </m:sup>
          <m:e>
            <m:r>
              <w:rPr>
                <w:rFonts w:ascii="Cambria Math" w:hAnsi="Cambria Math"/>
                <w:color w:val="auto"/>
                <w:sz w:val="24"/>
                <w:szCs w:val="24"/>
              </w:rPr>
              <m:t>DVRI</m:t>
            </m:r>
          </m:e>
        </m:sPre>
      </m:oMath>
      <w:r w:rsidRPr="00547C88">
        <w:rPr>
          <w:color w:val="auto"/>
          <w:sz w:val="24"/>
          <w:szCs w:val="24"/>
        </w:rPr>
        <w:t xml:space="preserve"> calculation</w:t>
      </w:r>
      <w:r w:rsidR="0082058C">
        <w:rPr>
          <w:color w:val="auto"/>
          <w:sz w:val="24"/>
          <w:szCs w:val="24"/>
        </w:rPr>
        <w:t xml:space="preserve"> process</w:t>
      </w:r>
      <w:r w:rsidRPr="00547C88">
        <w:rPr>
          <w:color w:val="auto"/>
          <w:sz w:val="24"/>
          <w:szCs w:val="24"/>
        </w:rPr>
        <w:t>.</w:t>
      </w:r>
    </w:p>
    <w:p w14:paraId="4D4CE504" w14:textId="16C2572B" w:rsidR="00BE57F4" w:rsidRPr="00E27D3B" w:rsidRDefault="004953CE" w:rsidP="00CD4F3A">
      <w:pPr>
        <w:keepNext/>
        <w:spacing w:before="100" w:beforeAutospacing="1" w:after="100" w:afterAutospacing="1"/>
        <w:jc w:val="both"/>
      </w:pPr>
      <w:r w:rsidRPr="004953CE">
        <w:rPr>
          <w:noProof/>
        </w:rPr>
        <w:drawing>
          <wp:inline distT="0" distB="0" distL="0" distR="0" wp14:anchorId="264865D0" wp14:editId="19AFC11A">
            <wp:extent cx="6055835" cy="4067175"/>
            <wp:effectExtent l="0" t="0" r="2540" b="0"/>
            <wp:docPr id="67775707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67941" cy="4075306"/>
                    </a:xfrm>
                    <a:prstGeom prst="rect">
                      <a:avLst/>
                    </a:prstGeom>
                    <a:noFill/>
                    <a:ln>
                      <a:noFill/>
                    </a:ln>
                  </pic:spPr>
                </pic:pic>
              </a:graphicData>
            </a:graphic>
          </wp:inline>
        </w:drawing>
      </w:r>
    </w:p>
    <w:p w14:paraId="715253D3" w14:textId="0EBBA21F" w:rsidR="00DC6D94" w:rsidRPr="00DC6D94" w:rsidRDefault="00BE57F4" w:rsidP="00A241FE">
      <w:pPr>
        <w:pStyle w:val="Caption"/>
        <w:spacing w:line="240" w:lineRule="auto"/>
        <w:jc w:val="both"/>
      </w:pPr>
      <w:bookmarkStart w:id="178" w:name="_Ref230191848"/>
      <w:bookmarkStart w:id="179" w:name="_Toc224235128"/>
      <w:bookmarkStart w:id="180" w:name="_Toc230198628"/>
      <w:bookmarkStart w:id="181" w:name="_Toc233735043"/>
      <w:r w:rsidRPr="00547C88">
        <w:t xml:space="preserve">Figure </w:t>
      </w:r>
      <w:fldSimple w:instr=" SEQ Figure \* ARABIC ">
        <w:r w:rsidR="00A85006" w:rsidRPr="00547C88">
          <w:rPr>
            <w:noProof/>
          </w:rPr>
          <w:t>37</w:t>
        </w:r>
      </w:fldSimple>
      <w:bookmarkEnd w:id="178"/>
      <w:r w:rsidRPr="00547C88">
        <w:t>: Flowchart of proposed system-level DVRI (</w:t>
      </w:r>
      <w:proofErr w:type="spellStart"/>
      <w:r w:rsidRPr="00547C88">
        <w:t>sysDVRI</w:t>
      </w:r>
      <w:proofErr w:type="spellEnd"/>
      <w:r w:rsidRPr="00547C88">
        <w:t>) with an accompanying algorithm to classify oscillatory and non-oscillatory voltage response waveforms for the quantification of LDVS.</w:t>
      </w:r>
      <w:bookmarkEnd w:id="179"/>
      <w:bookmarkEnd w:id="180"/>
      <w:bookmarkEnd w:id="181"/>
    </w:p>
    <w:p w14:paraId="40CDF3C9" w14:textId="6BAF5298" w:rsidR="00BE57F4" w:rsidRPr="00E27D3B" w:rsidRDefault="00BE57F4" w:rsidP="00CD4F3A">
      <w:pPr>
        <w:pStyle w:val="Heading3"/>
        <w:ind w:left="1134" w:hanging="1134"/>
      </w:pPr>
      <w:r>
        <w:t xml:space="preserve">Performance Analysis of the </w:t>
      </w:r>
      <w:r w:rsidR="002012E6">
        <w:t>P</w:t>
      </w:r>
      <w:r>
        <w:t xml:space="preserve">roposed </w:t>
      </w:r>
      <w:r w:rsidRPr="00E27D3B">
        <w:t xml:space="preserve">DVRI and </w:t>
      </w:r>
      <w:proofErr w:type="spellStart"/>
      <w:r w:rsidRPr="00E27D3B">
        <w:t>sysDVRI</w:t>
      </w:r>
      <w:proofErr w:type="spellEnd"/>
      <w:r w:rsidRPr="00E27D3B">
        <w:t xml:space="preserve"> </w:t>
      </w:r>
      <w:r w:rsidR="006F7817">
        <w:t>I</w:t>
      </w:r>
      <w:r w:rsidRPr="00E27D3B">
        <w:t>ndices</w:t>
      </w:r>
    </w:p>
    <w:p w14:paraId="380E4FF8" w14:textId="7B6BFE02" w:rsidR="00BE57F4" w:rsidRPr="00CB39CF" w:rsidRDefault="00BE57F4" w:rsidP="002012E6">
      <w:pPr>
        <w:pStyle w:val="BodyText"/>
        <w:spacing w:after="0"/>
        <w:rPr>
          <w:rFonts w:asciiTheme="minorHAnsi" w:hAnsiTheme="minorHAnsi" w:cstheme="minorHAnsi"/>
        </w:rPr>
      </w:pPr>
      <w:r w:rsidRPr="00CB39CF">
        <w:rPr>
          <w:rFonts w:asciiTheme="minorHAnsi" w:hAnsiTheme="minorHAnsi" w:cstheme="minorHAnsi"/>
          <w:szCs w:val="20"/>
        </w:rPr>
        <w:t xml:space="preserve">The South Australian power network (area-5), shown in </w:t>
      </w:r>
      <w:r>
        <w:rPr>
          <w:rFonts w:asciiTheme="minorHAnsi" w:hAnsiTheme="minorHAnsi" w:cstheme="minorHAnsi"/>
          <w:szCs w:val="20"/>
        </w:rPr>
        <w:fldChar w:fldCharType="begin"/>
      </w:r>
      <w:r>
        <w:rPr>
          <w:rFonts w:asciiTheme="minorHAnsi" w:hAnsiTheme="minorHAnsi" w:cstheme="minorHAnsi"/>
          <w:szCs w:val="20"/>
        </w:rPr>
        <w:instrText xml:space="preserve"> REF _Ref230191749 \h </w:instrText>
      </w:r>
      <w:r w:rsidR="0061029E">
        <w:rPr>
          <w:rFonts w:asciiTheme="minorHAnsi" w:hAnsiTheme="minorHAnsi" w:cstheme="minorHAnsi"/>
          <w:szCs w:val="20"/>
        </w:rPr>
        <w:instrText xml:space="preserve"> \* MERGEFORMAT </w:instrText>
      </w:r>
      <w:r>
        <w:rPr>
          <w:rFonts w:asciiTheme="minorHAnsi" w:hAnsiTheme="minorHAnsi" w:cstheme="minorHAnsi"/>
          <w:szCs w:val="20"/>
        </w:rPr>
      </w:r>
      <w:r>
        <w:rPr>
          <w:rFonts w:asciiTheme="minorHAnsi" w:hAnsiTheme="minorHAnsi" w:cstheme="minorHAnsi"/>
          <w:szCs w:val="20"/>
        </w:rPr>
        <w:fldChar w:fldCharType="separate"/>
      </w:r>
      <w:r w:rsidR="00753DAF" w:rsidRPr="00E27D3B">
        <w:t xml:space="preserve">Figure </w:t>
      </w:r>
      <w:r w:rsidR="00753DAF">
        <w:rPr>
          <w:noProof/>
        </w:rPr>
        <w:t>35</w:t>
      </w:r>
      <w:r>
        <w:rPr>
          <w:rFonts w:asciiTheme="minorHAnsi" w:hAnsiTheme="minorHAnsi" w:cstheme="minorHAnsi"/>
          <w:szCs w:val="20"/>
        </w:rPr>
        <w:fldChar w:fldCharType="end"/>
      </w:r>
      <w:r w:rsidRPr="00CB39CF">
        <w:rPr>
          <w:rFonts w:asciiTheme="minorHAnsi" w:hAnsiTheme="minorHAnsi" w:cstheme="minorHAnsi"/>
          <w:szCs w:val="20"/>
        </w:rPr>
        <w:t xml:space="preserve">, is used as the test case in this study. </w:t>
      </w:r>
      <w:r w:rsidRPr="00CB39CF">
        <w:rPr>
          <w:rFonts w:asciiTheme="minorHAnsi" w:hAnsiTheme="minorHAnsi" w:cstheme="minorHAnsi"/>
        </w:rPr>
        <w:t xml:space="preserve">During each simulation case listed below, a fault is applied to the target bus at 1 s and cleared after 60 </w:t>
      </w:r>
      <w:proofErr w:type="spellStart"/>
      <w:r w:rsidRPr="00CB39CF">
        <w:rPr>
          <w:rFonts w:asciiTheme="minorHAnsi" w:hAnsiTheme="minorHAnsi" w:cstheme="minorHAnsi"/>
        </w:rPr>
        <w:t>ms</w:t>
      </w:r>
      <w:proofErr w:type="spellEnd"/>
      <w:r w:rsidRPr="00CB39CF">
        <w:rPr>
          <w:rFonts w:asciiTheme="minorHAnsi" w:hAnsiTheme="minorHAnsi" w:cstheme="minorHAnsi"/>
        </w:rPr>
        <w:t xml:space="preserve">, while the short-term voltage response is recorded over the following 3 s </w:t>
      </w:r>
      <w:r>
        <w:rPr>
          <w:rFonts w:asciiTheme="minorHAnsi" w:hAnsiTheme="minorHAnsi" w:cstheme="minorHAnsi"/>
        </w:rPr>
        <w:fldChar w:fldCharType="begin"/>
      </w:r>
      <w:r>
        <w:rPr>
          <w:rFonts w:asciiTheme="minorHAnsi" w:hAnsiTheme="minorHAnsi" w:cstheme="minorHAnsi"/>
        </w:rPr>
        <w:instrText xml:space="preserve"> REF _Ref230197252 \r \h </w:instrText>
      </w:r>
      <w:r w:rsidR="0061029E">
        <w:rPr>
          <w:rFonts w:asciiTheme="minorHAnsi" w:hAnsiTheme="minorHAnsi" w:cstheme="minorHAnsi"/>
        </w:rPr>
        <w:instrText xml:space="preserve"> \* MERGEFORMAT </w:instrText>
      </w:r>
      <w:r>
        <w:rPr>
          <w:rFonts w:asciiTheme="minorHAnsi" w:hAnsiTheme="minorHAnsi" w:cstheme="minorHAnsi"/>
        </w:rPr>
      </w:r>
      <w:r>
        <w:rPr>
          <w:rFonts w:asciiTheme="minorHAnsi" w:hAnsiTheme="minorHAnsi" w:cstheme="minorHAnsi"/>
        </w:rPr>
        <w:fldChar w:fldCharType="separate"/>
      </w:r>
      <w:r w:rsidR="005D1C47">
        <w:rPr>
          <w:rFonts w:asciiTheme="minorHAnsi" w:hAnsiTheme="minorHAnsi" w:cstheme="minorHAnsi"/>
        </w:rPr>
        <w:t>[58]</w:t>
      </w:r>
      <w:r>
        <w:rPr>
          <w:rFonts w:asciiTheme="minorHAnsi" w:hAnsiTheme="minorHAnsi" w:cstheme="minorHAnsi"/>
        </w:rPr>
        <w:fldChar w:fldCharType="end"/>
      </w:r>
      <w:r w:rsidRPr="00CB39CF">
        <w:rPr>
          <w:rFonts w:asciiTheme="minorHAnsi" w:hAnsiTheme="minorHAnsi" w:cstheme="minorHAnsi"/>
        </w:rPr>
        <w:t xml:space="preserve">. </w:t>
      </w:r>
      <w:r w:rsidRPr="00CB39CF">
        <w:rPr>
          <w:rFonts w:asciiTheme="minorHAnsi" w:hAnsiTheme="minorHAnsi" w:cstheme="minorHAnsi"/>
        </w:rPr>
        <w:lastRenderedPageBreak/>
        <w:t xml:space="preserve">The simulation continues for an additional 3 s to capture LTVS </w:t>
      </w:r>
      <w:r>
        <w:rPr>
          <w:rFonts w:asciiTheme="minorHAnsi" w:hAnsiTheme="minorHAnsi" w:cstheme="minorHAnsi"/>
        </w:rPr>
        <w:fldChar w:fldCharType="begin"/>
      </w:r>
      <w:r>
        <w:rPr>
          <w:rFonts w:asciiTheme="minorHAnsi" w:hAnsiTheme="minorHAnsi" w:cstheme="minorHAnsi"/>
        </w:rPr>
        <w:instrText xml:space="preserve"> REF _Ref230197252 \r \h </w:instrText>
      </w:r>
      <w:r w:rsidR="0061029E">
        <w:rPr>
          <w:rFonts w:asciiTheme="minorHAnsi" w:hAnsiTheme="minorHAnsi" w:cstheme="minorHAnsi"/>
        </w:rPr>
        <w:instrText xml:space="preserve"> \* MERGEFORMAT </w:instrText>
      </w:r>
      <w:r>
        <w:rPr>
          <w:rFonts w:asciiTheme="minorHAnsi" w:hAnsiTheme="minorHAnsi" w:cstheme="minorHAnsi"/>
        </w:rPr>
      </w:r>
      <w:r>
        <w:rPr>
          <w:rFonts w:asciiTheme="minorHAnsi" w:hAnsiTheme="minorHAnsi" w:cstheme="minorHAnsi"/>
        </w:rPr>
        <w:fldChar w:fldCharType="separate"/>
      </w:r>
      <w:r w:rsidR="005D1C47">
        <w:rPr>
          <w:rFonts w:asciiTheme="minorHAnsi" w:hAnsiTheme="minorHAnsi" w:cstheme="minorHAnsi"/>
        </w:rPr>
        <w:t>[58]</w:t>
      </w:r>
      <w:r>
        <w:rPr>
          <w:rFonts w:asciiTheme="minorHAnsi" w:hAnsiTheme="minorHAnsi" w:cstheme="minorHAnsi"/>
        </w:rPr>
        <w:fldChar w:fldCharType="end"/>
      </w:r>
      <w:r w:rsidRPr="00CB39CF">
        <w:rPr>
          <w:rFonts w:asciiTheme="minorHAnsi" w:hAnsiTheme="minorHAnsi" w:cstheme="minorHAnsi"/>
        </w:rPr>
        <w:t xml:space="preserve">. Voltage boundaries are defined according to the WECC criterion, with ±20% for STVS and ±10% for LTVS  </w:t>
      </w:r>
      <w:r>
        <w:rPr>
          <w:rFonts w:asciiTheme="minorHAnsi" w:hAnsiTheme="minorHAnsi" w:cstheme="minorHAnsi"/>
        </w:rPr>
        <w:fldChar w:fldCharType="begin"/>
      </w:r>
      <w:r>
        <w:rPr>
          <w:rFonts w:asciiTheme="minorHAnsi" w:hAnsiTheme="minorHAnsi" w:cstheme="minorHAnsi"/>
        </w:rPr>
        <w:instrText xml:space="preserve"> REF _Ref230197252 \r \h </w:instrText>
      </w:r>
      <w:r w:rsidR="0061029E">
        <w:rPr>
          <w:rFonts w:asciiTheme="minorHAnsi" w:hAnsiTheme="minorHAnsi" w:cstheme="minorHAnsi"/>
        </w:rPr>
        <w:instrText xml:space="preserve"> \* MERGEFORMAT </w:instrText>
      </w:r>
      <w:r>
        <w:rPr>
          <w:rFonts w:asciiTheme="minorHAnsi" w:hAnsiTheme="minorHAnsi" w:cstheme="minorHAnsi"/>
        </w:rPr>
      </w:r>
      <w:r>
        <w:rPr>
          <w:rFonts w:asciiTheme="minorHAnsi" w:hAnsiTheme="minorHAnsi" w:cstheme="minorHAnsi"/>
        </w:rPr>
        <w:fldChar w:fldCharType="separate"/>
      </w:r>
      <w:r w:rsidR="005D1C47">
        <w:rPr>
          <w:rFonts w:asciiTheme="minorHAnsi" w:hAnsiTheme="minorHAnsi" w:cstheme="minorHAnsi"/>
        </w:rPr>
        <w:t>[58]</w:t>
      </w:r>
      <w:r>
        <w:rPr>
          <w:rFonts w:asciiTheme="minorHAnsi" w:hAnsiTheme="minorHAnsi" w:cstheme="minorHAnsi"/>
        </w:rPr>
        <w:fldChar w:fldCharType="end"/>
      </w:r>
      <w:r w:rsidRPr="00CB39CF">
        <w:rPr>
          <w:rFonts w:asciiTheme="minorHAnsi" w:hAnsiTheme="minorHAnsi" w:cstheme="minorHAnsi"/>
        </w:rPr>
        <w:t>.</w:t>
      </w:r>
    </w:p>
    <w:p w14:paraId="181EB0CB" w14:textId="0DD9C386" w:rsidR="00BE57F4" w:rsidRPr="00E27D3B" w:rsidRDefault="00BE57F4" w:rsidP="002012E6">
      <w:pPr>
        <w:pStyle w:val="ListNumber"/>
        <w:numPr>
          <w:ilvl w:val="0"/>
          <w:numId w:val="0"/>
        </w:numPr>
        <w:tabs>
          <w:tab w:val="clear" w:pos="397"/>
          <w:tab w:val="left" w:pos="0"/>
        </w:tabs>
        <w:spacing w:after="0"/>
        <w:rPr>
          <w:rFonts w:asciiTheme="minorHAnsi" w:hAnsiTheme="minorHAnsi" w:cstheme="minorBidi"/>
        </w:rPr>
      </w:pPr>
      <w:r w:rsidRPr="60762895">
        <w:rPr>
          <w:rFonts w:asciiTheme="minorHAnsi" w:hAnsiTheme="minorHAnsi" w:cstheme="minorBidi"/>
        </w:rPr>
        <w:t xml:space="preserve">Area 5 test system has experienced increasing renewable penetration, including rooftop PV and utility-scale wind and PV plants. To reflect a realistic high-renewable scenario, the test system is modified as reported in </w:t>
      </w:r>
      <w:r>
        <w:rPr>
          <w:rFonts w:asciiTheme="minorHAnsi" w:hAnsiTheme="minorHAnsi" w:cstheme="minorBidi"/>
        </w:rPr>
        <w:fldChar w:fldCharType="begin"/>
      </w:r>
      <w:r>
        <w:rPr>
          <w:rFonts w:asciiTheme="minorHAnsi" w:hAnsiTheme="minorHAnsi" w:cstheme="minorBidi"/>
        </w:rPr>
        <w:instrText xml:space="preserve"> REF _Ref230197801 \r \h </w:instrText>
      </w:r>
      <w:r w:rsidR="0061029E">
        <w:rPr>
          <w:rFonts w:asciiTheme="minorHAnsi" w:hAnsiTheme="minorHAnsi" w:cstheme="minorBidi"/>
        </w:rPr>
        <w:instrText xml:space="preserve"> \* MERGEFORMAT </w:instrText>
      </w:r>
      <w:r>
        <w:rPr>
          <w:rFonts w:asciiTheme="minorHAnsi" w:hAnsiTheme="minorHAnsi" w:cstheme="minorBidi"/>
        </w:rPr>
      </w:r>
      <w:r>
        <w:rPr>
          <w:rFonts w:asciiTheme="minorHAnsi" w:hAnsiTheme="minorHAnsi" w:cstheme="minorBidi"/>
        </w:rPr>
        <w:fldChar w:fldCharType="separate"/>
      </w:r>
      <w:r w:rsidR="005D1C47">
        <w:rPr>
          <w:rFonts w:asciiTheme="minorHAnsi" w:hAnsiTheme="minorHAnsi" w:cstheme="minorBidi"/>
        </w:rPr>
        <w:t>[71]</w:t>
      </w:r>
      <w:r>
        <w:rPr>
          <w:rFonts w:asciiTheme="minorHAnsi" w:hAnsiTheme="minorHAnsi" w:cstheme="minorBidi"/>
        </w:rPr>
        <w:fldChar w:fldCharType="end"/>
      </w:r>
      <w:r w:rsidRPr="60762895">
        <w:rPr>
          <w:rFonts w:asciiTheme="minorHAnsi" w:hAnsiTheme="minorHAnsi" w:cstheme="minorBidi"/>
        </w:rPr>
        <w:t xml:space="preserve">, with renewable generators progressively integrated at Buses 501–503, as summarized in </w:t>
      </w:r>
      <w:r>
        <w:rPr>
          <w:rFonts w:asciiTheme="minorHAnsi" w:hAnsiTheme="minorHAnsi" w:cstheme="minorBidi"/>
        </w:rPr>
        <w:fldChar w:fldCharType="begin"/>
      </w:r>
      <w:r>
        <w:rPr>
          <w:rFonts w:asciiTheme="minorHAnsi" w:hAnsiTheme="minorHAnsi" w:cstheme="minorBidi"/>
        </w:rPr>
        <w:instrText xml:space="preserve"> REF _Ref230193783 \h </w:instrText>
      </w:r>
      <w:r w:rsidR="0061029E">
        <w:rPr>
          <w:rFonts w:asciiTheme="minorHAnsi" w:hAnsiTheme="minorHAnsi" w:cstheme="minorBidi"/>
        </w:rPr>
        <w:instrText xml:space="preserve"> \* MERGEFORMAT </w:instrText>
      </w:r>
      <w:r>
        <w:rPr>
          <w:rFonts w:asciiTheme="minorHAnsi" w:hAnsiTheme="minorHAnsi" w:cstheme="minorBidi"/>
        </w:rPr>
      </w:r>
      <w:r>
        <w:rPr>
          <w:rFonts w:asciiTheme="minorHAnsi" w:hAnsiTheme="minorHAnsi" w:cstheme="minorBidi"/>
        </w:rPr>
        <w:fldChar w:fldCharType="separate"/>
      </w:r>
      <w:r w:rsidR="005D1C47" w:rsidRPr="00E27D3B">
        <w:t xml:space="preserve">Table </w:t>
      </w:r>
      <w:r w:rsidR="005D1C47">
        <w:rPr>
          <w:noProof/>
        </w:rPr>
        <w:t>9</w:t>
      </w:r>
      <w:r>
        <w:rPr>
          <w:rFonts w:asciiTheme="minorHAnsi" w:hAnsiTheme="minorHAnsi" w:cstheme="minorBidi"/>
        </w:rPr>
        <w:fldChar w:fldCharType="end"/>
      </w:r>
      <w:r w:rsidRPr="60762895">
        <w:rPr>
          <w:rFonts w:asciiTheme="minorHAnsi" w:hAnsiTheme="minorHAnsi" w:cstheme="minorBidi"/>
        </w:rPr>
        <w:t>. System loading is kept at original levels to avoid the requirement for additional generation and transmission reinforcement.</w:t>
      </w:r>
    </w:p>
    <w:p w14:paraId="6C710B19" w14:textId="0023CFE7" w:rsidR="00BE57F4" w:rsidRPr="00E27D3B" w:rsidRDefault="00BE57F4" w:rsidP="00CD4F3A">
      <w:pPr>
        <w:pStyle w:val="Caption"/>
        <w:spacing w:line="240" w:lineRule="auto"/>
        <w:jc w:val="both"/>
      </w:pPr>
      <w:bookmarkStart w:id="182" w:name="_Ref230193783"/>
      <w:bookmarkStart w:id="183" w:name="_Toc230198671"/>
      <w:bookmarkStart w:id="184" w:name="_Toc233735303"/>
      <w:r w:rsidRPr="00E27D3B">
        <w:t xml:space="preserve">Table </w:t>
      </w:r>
      <w:fldSimple w:instr=" SEQ Table \* ARABIC ">
        <w:r w:rsidR="00753DAF">
          <w:rPr>
            <w:noProof/>
          </w:rPr>
          <w:t>9</w:t>
        </w:r>
      </w:fldSimple>
      <w:bookmarkEnd w:id="182"/>
      <w:r w:rsidRPr="00E27D3B">
        <w:t>: Generation cases for evaluating via comprehensive time-domain simulations implemented in the PSS®E simulation environment.</w:t>
      </w:r>
      <w:bookmarkEnd w:id="183"/>
      <w:bookmarkEnd w:id="184"/>
    </w:p>
    <w:tbl>
      <w:tblPr>
        <w:tblStyle w:val="TableCSIRO"/>
        <w:tblW w:w="7654" w:type="dxa"/>
        <w:jc w:val="center"/>
        <w:tblInd w:w="0" w:type="dxa"/>
        <w:tblLook w:val="00A0" w:firstRow="1" w:lastRow="0" w:firstColumn="1" w:lastColumn="0" w:noHBand="0" w:noVBand="0"/>
      </w:tblPr>
      <w:tblGrid>
        <w:gridCol w:w="992"/>
        <w:gridCol w:w="1701"/>
        <w:gridCol w:w="1702"/>
        <w:gridCol w:w="1702"/>
        <w:gridCol w:w="1557"/>
      </w:tblGrid>
      <w:tr w:rsidR="00BE57F4" w:rsidRPr="00E27D3B" w14:paraId="090463B1" w14:textId="77777777" w:rsidTr="00023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pct"/>
          </w:tcPr>
          <w:p w14:paraId="47C3B67E" w14:textId="77777777" w:rsidR="00BE57F4" w:rsidRPr="00E27D3B" w:rsidRDefault="00BE57F4" w:rsidP="00CD4F3A">
            <w:pPr>
              <w:pStyle w:val="ColumnHeading"/>
              <w:spacing w:line="240" w:lineRule="auto"/>
              <w:jc w:val="both"/>
            </w:pPr>
            <w:r w:rsidRPr="00E27D3B">
              <w:rPr>
                <w:szCs w:val="16"/>
              </w:rPr>
              <w:t xml:space="preserve">Gen. Case </w:t>
            </w:r>
          </w:p>
        </w:tc>
        <w:tc>
          <w:tcPr>
            <w:tcW w:w="1111" w:type="pct"/>
          </w:tcPr>
          <w:p w14:paraId="3A3CD5B8" w14:textId="77777777" w:rsidR="00BE57F4" w:rsidRPr="00E27D3B"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pPr>
            <w:r w:rsidRPr="00E27D3B">
              <w:rPr>
                <w:szCs w:val="16"/>
              </w:rPr>
              <w:t>Generator at B#501</w:t>
            </w:r>
          </w:p>
        </w:tc>
        <w:tc>
          <w:tcPr>
            <w:tcW w:w="1112" w:type="pct"/>
          </w:tcPr>
          <w:p w14:paraId="4ADFB46E" w14:textId="77777777" w:rsidR="00BE57F4" w:rsidRPr="00E27D3B"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pPr>
            <w:r w:rsidRPr="00E27D3B">
              <w:rPr>
                <w:szCs w:val="16"/>
              </w:rPr>
              <w:t>Generator at B#502</w:t>
            </w:r>
          </w:p>
        </w:tc>
        <w:tc>
          <w:tcPr>
            <w:tcW w:w="1112" w:type="pct"/>
          </w:tcPr>
          <w:p w14:paraId="0319CFD5" w14:textId="77777777" w:rsidR="00BE57F4" w:rsidRPr="00E27D3B"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pPr>
            <w:r w:rsidRPr="00E27D3B">
              <w:rPr>
                <w:szCs w:val="16"/>
              </w:rPr>
              <w:t>Generator at B#503</w:t>
            </w:r>
          </w:p>
        </w:tc>
        <w:tc>
          <w:tcPr>
            <w:tcW w:w="1017" w:type="pct"/>
          </w:tcPr>
          <w:p w14:paraId="1046D920" w14:textId="77777777" w:rsidR="00BE57F4" w:rsidRPr="00E27D3B" w:rsidRDefault="00BE57F4" w:rsidP="00CD4F3A">
            <w:pPr>
              <w:pStyle w:val="ColumnHeading"/>
              <w:spacing w:line="240" w:lineRule="auto"/>
              <w:jc w:val="both"/>
              <w:cnfStyle w:val="100000000000" w:firstRow="1" w:lastRow="0" w:firstColumn="0" w:lastColumn="0" w:oddVBand="0" w:evenVBand="0" w:oddHBand="0" w:evenHBand="0" w:firstRowFirstColumn="0" w:firstRowLastColumn="0" w:lastRowFirstColumn="0" w:lastRowLastColumn="0"/>
              <w:rPr>
                <w:szCs w:val="16"/>
              </w:rPr>
            </w:pPr>
            <w:r w:rsidRPr="00E27D3B">
              <w:rPr>
                <w:szCs w:val="16"/>
              </w:rPr>
              <w:t>% of Renewable</w:t>
            </w:r>
          </w:p>
        </w:tc>
      </w:tr>
      <w:tr w:rsidR="00BE57F4" w:rsidRPr="00E27D3B" w14:paraId="3CDB2515" w14:textId="77777777" w:rsidTr="00023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pct"/>
          </w:tcPr>
          <w:p w14:paraId="08713739" w14:textId="77777777" w:rsidR="00BE57F4" w:rsidRPr="00E27D3B" w:rsidRDefault="00BE57F4" w:rsidP="00CD4F3A">
            <w:pPr>
              <w:pStyle w:val="TableText"/>
              <w:jc w:val="both"/>
              <w:rPr>
                <w:b w:val="0"/>
                <w:bCs w:val="0"/>
                <w:lang w:val="en-US"/>
              </w:rPr>
            </w:pPr>
            <w:r w:rsidRPr="00E27D3B">
              <w:rPr>
                <w:sz w:val="16"/>
                <w:szCs w:val="16"/>
              </w:rPr>
              <w:t>Gen. Case-1</w:t>
            </w:r>
          </w:p>
        </w:tc>
        <w:tc>
          <w:tcPr>
            <w:tcW w:w="1111" w:type="pct"/>
          </w:tcPr>
          <w:p w14:paraId="7A6048D7"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SG</w:t>
            </w:r>
          </w:p>
        </w:tc>
        <w:tc>
          <w:tcPr>
            <w:tcW w:w="1112" w:type="pct"/>
          </w:tcPr>
          <w:p w14:paraId="5AD756B7"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SG</w:t>
            </w:r>
          </w:p>
        </w:tc>
        <w:tc>
          <w:tcPr>
            <w:tcW w:w="1112" w:type="pct"/>
          </w:tcPr>
          <w:p w14:paraId="12269901"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SG</w:t>
            </w:r>
          </w:p>
        </w:tc>
        <w:tc>
          <w:tcPr>
            <w:tcW w:w="1017" w:type="pct"/>
          </w:tcPr>
          <w:p w14:paraId="6DC86BC4"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0%</w:t>
            </w:r>
          </w:p>
        </w:tc>
      </w:tr>
      <w:tr w:rsidR="00BE57F4" w:rsidRPr="00E27D3B" w14:paraId="413F98FE" w14:textId="77777777" w:rsidTr="0002386E">
        <w:trPr>
          <w:jc w:val="center"/>
        </w:trPr>
        <w:tc>
          <w:tcPr>
            <w:cnfStyle w:val="001000000000" w:firstRow="0" w:lastRow="0" w:firstColumn="1" w:lastColumn="0" w:oddVBand="0" w:evenVBand="0" w:oddHBand="0" w:evenHBand="0" w:firstRowFirstColumn="0" w:firstRowLastColumn="0" w:lastRowFirstColumn="0" w:lastRowLastColumn="0"/>
            <w:tcW w:w="648" w:type="pct"/>
          </w:tcPr>
          <w:p w14:paraId="3E2A593E" w14:textId="77777777" w:rsidR="00BE57F4" w:rsidRPr="00E27D3B" w:rsidRDefault="00BE57F4" w:rsidP="00CD4F3A">
            <w:pPr>
              <w:pStyle w:val="TableText"/>
              <w:jc w:val="both"/>
              <w:rPr>
                <w:b w:val="0"/>
                <w:bCs w:val="0"/>
              </w:rPr>
            </w:pPr>
            <w:r w:rsidRPr="00E27D3B">
              <w:rPr>
                <w:sz w:val="16"/>
                <w:szCs w:val="16"/>
              </w:rPr>
              <w:t>Gen. Case-2</w:t>
            </w:r>
          </w:p>
        </w:tc>
        <w:tc>
          <w:tcPr>
            <w:tcW w:w="1111" w:type="pct"/>
          </w:tcPr>
          <w:p w14:paraId="79AE655A"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RG</w:t>
            </w:r>
          </w:p>
        </w:tc>
        <w:tc>
          <w:tcPr>
            <w:tcW w:w="1112" w:type="pct"/>
          </w:tcPr>
          <w:p w14:paraId="327338FD"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SG</w:t>
            </w:r>
          </w:p>
        </w:tc>
        <w:tc>
          <w:tcPr>
            <w:tcW w:w="1112" w:type="pct"/>
          </w:tcPr>
          <w:p w14:paraId="095E0F2A"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SG</w:t>
            </w:r>
          </w:p>
        </w:tc>
        <w:tc>
          <w:tcPr>
            <w:tcW w:w="1017" w:type="pct"/>
          </w:tcPr>
          <w:p w14:paraId="78787C25"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25%</w:t>
            </w:r>
          </w:p>
        </w:tc>
      </w:tr>
      <w:tr w:rsidR="00BE57F4" w:rsidRPr="00E27D3B" w14:paraId="6AD3AD0B" w14:textId="77777777" w:rsidTr="00023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pct"/>
          </w:tcPr>
          <w:p w14:paraId="3FDD245C" w14:textId="77777777" w:rsidR="00BE57F4" w:rsidRPr="00E27D3B" w:rsidRDefault="00BE57F4" w:rsidP="00CD4F3A">
            <w:pPr>
              <w:pStyle w:val="TableText"/>
              <w:jc w:val="both"/>
              <w:rPr>
                <w:b w:val="0"/>
                <w:bCs w:val="0"/>
              </w:rPr>
            </w:pPr>
            <w:r w:rsidRPr="00E27D3B">
              <w:rPr>
                <w:sz w:val="16"/>
                <w:szCs w:val="16"/>
              </w:rPr>
              <w:t>Gen. Case-3</w:t>
            </w:r>
          </w:p>
        </w:tc>
        <w:tc>
          <w:tcPr>
            <w:tcW w:w="1111" w:type="pct"/>
          </w:tcPr>
          <w:p w14:paraId="21C8C054"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RG</w:t>
            </w:r>
          </w:p>
        </w:tc>
        <w:tc>
          <w:tcPr>
            <w:tcW w:w="1112" w:type="pct"/>
          </w:tcPr>
          <w:p w14:paraId="2D87275D"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RG</w:t>
            </w:r>
          </w:p>
        </w:tc>
        <w:tc>
          <w:tcPr>
            <w:tcW w:w="1112" w:type="pct"/>
          </w:tcPr>
          <w:p w14:paraId="34FDF440"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SG</w:t>
            </w:r>
          </w:p>
        </w:tc>
        <w:tc>
          <w:tcPr>
            <w:tcW w:w="1017" w:type="pct"/>
          </w:tcPr>
          <w:p w14:paraId="0D901072"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60%</w:t>
            </w:r>
          </w:p>
        </w:tc>
      </w:tr>
      <w:tr w:rsidR="00BE57F4" w:rsidRPr="00E27D3B" w14:paraId="0098F76F" w14:textId="77777777" w:rsidTr="0002386E">
        <w:trPr>
          <w:jc w:val="center"/>
        </w:trPr>
        <w:tc>
          <w:tcPr>
            <w:cnfStyle w:val="001000000000" w:firstRow="0" w:lastRow="0" w:firstColumn="1" w:lastColumn="0" w:oddVBand="0" w:evenVBand="0" w:oddHBand="0" w:evenHBand="0" w:firstRowFirstColumn="0" w:firstRowLastColumn="0" w:lastRowFirstColumn="0" w:lastRowLastColumn="0"/>
            <w:tcW w:w="648" w:type="pct"/>
          </w:tcPr>
          <w:p w14:paraId="55A271B6" w14:textId="77777777" w:rsidR="00BE57F4" w:rsidRPr="00E27D3B" w:rsidRDefault="00BE57F4" w:rsidP="00CD4F3A">
            <w:pPr>
              <w:pStyle w:val="TableText"/>
              <w:jc w:val="both"/>
              <w:rPr>
                <w:b w:val="0"/>
                <w:bCs w:val="0"/>
              </w:rPr>
            </w:pPr>
            <w:r w:rsidRPr="00E27D3B">
              <w:rPr>
                <w:sz w:val="16"/>
                <w:szCs w:val="16"/>
              </w:rPr>
              <w:t>Gen. Case-4</w:t>
            </w:r>
          </w:p>
        </w:tc>
        <w:tc>
          <w:tcPr>
            <w:tcW w:w="1111" w:type="pct"/>
          </w:tcPr>
          <w:p w14:paraId="53F1308D"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RG</w:t>
            </w:r>
          </w:p>
        </w:tc>
        <w:tc>
          <w:tcPr>
            <w:tcW w:w="1112" w:type="pct"/>
          </w:tcPr>
          <w:p w14:paraId="66E07E77"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RG</w:t>
            </w:r>
          </w:p>
        </w:tc>
        <w:tc>
          <w:tcPr>
            <w:tcW w:w="1112" w:type="pct"/>
          </w:tcPr>
          <w:p w14:paraId="4D6094FD"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RG</w:t>
            </w:r>
          </w:p>
        </w:tc>
        <w:tc>
          <w:tcPr>
            <w:tcW w:w="1017" w:type="pct"/>
          </w:tcPr>
          <w:p w14:paraId="0D408E1F"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sz w:val="16"/>
                <w:szCs w:val="16"/>
              </w:rPr>
              <w:t>100%</w:t>
            </w:r>
          </w:p>
        </w:tc>
      </w:tr>
    </w:tbl>
    <w:p w14:paraId="07590B55" w14:textId="21F41CB3" w:rsidR="00BE57F4" w:rsidRDefault="00BE57F4" w:rsidP="002012E6">
      <w:pPr>
        <w:pStyle w:val="BodyText"/>
        <w:spacing w:after="0"/>
      </w:pPr>
      <w:r w:rsidRPr="60762895">
        <w:t xml:space="preserve">To capture realistic load characteristics, composite load component fractions based on AEMO’s summer and winter evening peak data </w:t>
      </w:r>
      <w:r>
        <w:rPr>
          <w:szCs w:val="20"/>
        </w:rPr>
        <w:fldChar w:fldCharType="begin"/>
      </w:r>
      <w:r>
        <w:instrText xml:space="preserve"> REF _Ref230197881 \r \h </w:instrText>
      </w:r>
      <w:r w:rsidR="00CE5FD7">
        <w:rPr>
          <w:szCs w:val="20"/>
        </w:rPr>
        <w:instrText xml:space="preserve"> \* MERGEFORMAT </w:instrText>
      </w:r>
      <w:r>
        <w:rPr>
          <w:szCs w:val="20"/>
        </w:rPr>
      </w:r>
      <w:r>
        <w:rPr>
          <w:szCs w:val="20"/>
        </w:rPr>
        <w:fldChar w:fldCharType="separate"/>
      </w:r>
      <w:r w:rsidR="005D1C47">
        <w:t>[73]</w:t>
      </w:r>
      <w:r>
        <w:rPr>
          <w:szCs w:val="20"/>
        </w:rPr>
        <w:fldChar w:fldCharType="end"/>
      </w:r>
      <w:r w:rsidRPr="60762895">
        <w:t xml:space="preserve"> for Area 5 were adopted. The corresponding load fractions are presented in </w:t>
      </w:r>
      <w:r>
        <w:fldChar w:fldCharType="begin"/>
      </w:r>
      <w:r>
        <w:instrText xml:space="preserve"> REF _Ref230193797 \h </w:instrText>
      </w:r>
      <w:r w:rsidR="00CE5FD7">
        <w:instrText xml:space="preserve"> \* MERGEFORMAT </w:instrText>
      </w:r>
      <w:r>
        <w:fldChar w:fldCharType="separate"/>
      </w:r>
      <w:r w:rsidR="005D1C47" w:rsidRPr="00E27D3B">
        <w:t xml:space="preserve">Table </w:t>
      </w:r>
      <w:r w:rsidR="005D1C47">
        <w:rPr>
          <w:noProof/>
        </w:rPr>
        <w:t>10</w:t>
      </w:r>
      <w:r>
        <w:fldChar w:fldCharType="end"/>
      </w:r>
      <w:r w:rsidRPr="60762895">
        <w:t>.</w:t>
      </w:r>
    </w:p>
    <w:p w14:paraId="7E148395" w14:textId="2FD2C4A8" w:rsidR="00BE57F4" w:rsidRPr="00E27D3B" w:rsidRDefault="00BE57F4" w:rsidP="00CD4F3A">
      <w:pPr>
        <w:pStyle w:val="Caption"/>
        <w:spacing w:line="240" w:lineRule="auto"/>
        <w:jc w:val="both"/>
      </w:pPr>
      <w:bookmarkStart w:id="185" w:name="_Ref230193797"/>
      <w:bookmarkStart w:id="186" w:name="_Toc230198672"/>
      <w:bookmarkStart w:id="187" w:name="_Toc233735304"/>
      <w:r w:rsidRPr="00E27D3B">
        <w:t xml:space="preserve">Table </w:t>
      </w:r>
      <w:fldSimple w:instr=" SEQ Table \* ARABIC ">
        <w:r w:rsidR="00753DAF">
          <w:rPr>
            <w:noProof/>
          </w:rPr>
          <w:t>10</w:t>
        </w:r>
      </w:fldSimple>
      <w:bookmarkEnd w:id="185"/>
      <w:r w:rsidRPr="00E27D3B">
        <w:t>: Composite load component fractions for Area 5 corresponding to summer and winter evening peak conditions.</w:t>
      </w:r>
      <w:bookmarkEnd w:id="186"/>
      <w:bookmarkEnd w:id="187"/>
    </w:p>
    <w:tbl>
      <w:tblPr>
        <w:tblStyle w:val="TableCSIRO"/>
        <w:tblW w:w="9090" w:type="dxa"/>
        <w:jc w:val="center"/>
        <w:tblInd w:w="0" w:type="dxa"/>
        <w:tblLook w:val="00A0" w:firstRow="1" w:lastRow="0" w:firstColumn="1" w:lastColumn="0" w:noHBand="0" w:noVBand="0"/>
      </w:tblPr>
      <w:tblGrid>
        <w:gridCol w:w="892"/>
        <w:gridCol w:w="813"/>
        <w:gridCol w:w="851"/>
        <w:gridCol w:w="851"/>
        <w:gridCol w:w="851"/>
        <w:gridCol w:w="1558"/>
        <w:gridCol w:w="1418"/>
        <w:gridCol w:w="1856"/>
      </w:tblGrid>
      <w:tr w:rsidR="00BE57F4" w:rsidRPr="00E27D3B" w14:paraId="3E81C50E" w14:textId="77777777" w:rsidTr="00023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1" w:type="pct"/>
          </w:tcPr>
          <w:p w14:paraId="7408F050" w14:textId="77777777" w:rsidR="00BE57F4" w:rsidRPr="00E27D3B" w:rsidRDefault="00BE57F4" w:rsidP="00CD4F3A">
            <w:pPr>
              <w:pStyle w:val="ColumnHeading"/>
              <w:spacing w:before="0" w:line="240" w:lineRule="auto"/>
              <w:jc w:val="both"/>
              <w:rPr>
                <w:szCs w:val="16"/>
              </w:rPr>
            </w:pPr>
            <w:r w:rsidRPr="00E27D3B">
              <w:rPr>
                <w:caps w:val="0"/>
                <w:szCs w:val="16"/>
              </w:rPr>
              <w:t xml:space="preserve"> SESSION </w:t>
            </w:r>
          </w:p>
        </w:tc>
        <w:tc>
          <w:tcPr>
            <w:tcW w:w="447" w:type="pct"/>
          </w:tcPr>
          <w:p w14:paraId="15F814FE" w14:textId="77777777" w:rsidR="00BE57F4" w:rsidRPr="00E27D3B" w:rsidRDefault="00BE57F4" w:rsidP="00CD4F3A">
            <w:pPr>
              <w:pStyle w:val="ColumnHeading"/>
              <w:spacing w:before="0" w:line="240" w:lineRule="auto"/>
              <w:jc w:val="both"/>
              <w:cnfStyle w:val="100000000000" w:firstRow="1" w:lastRow="0" w:firstColumn="0" w:lastColumn="0" w:oddVBand="0" w:evenVBand="0" w:oddHBand="0" w:evenHBand="0" w:firstRowFirstColumn="0" w:firstRowLastColumn="0" w:lastRowFirstColumn="0" w:lastRowLastColumn="0"/>
              <w:rPr>
                <w:szCs w:val="16"/>
              </w:rPr>
            </w:pPr>
            <w:r w:rsidRPr="00E27D3B">
              <w:rPr>
                <w:caps w:val="0"/>
                <w:szCs w:val="16"/>
              </w:rPr>
              <w:t>MOTOR A</w:t>
            </w:r>
          </w:p>
        </w:tc>
        <w:tc>
          <w:tcPr>
            <w:tcW w:w="468" w:type="pct"/>
          </w:tcPr>
          <w:p w14:paraId="694A0559" w14:textId="77777777" w:rsidR="00BE57F4" w:rsidRPr="00E27D3B" w:rsidRDefault="00BE57F4" w:rsidP="00CD4F3A">
            <w:pPr>
              <w:pStyle w:val="ColumnHeading"/>
              <w:spacing w:before="0" w:line="240" w:lineRule="auto"/>
              <w:jc w:val="both"/>
              <w:cnfStyle w:val="100000000000" w:firstRow="1" w:lastRow="0" w:firstColumn="0" w:lastColumn="0" w:oddVBand="0" w:evenVBand="0" w:oddHBand="0" w:evenHBand="0" w:firstRowFirstColumn="0" w:firstRowLastColumn="0" w:lastRowFirstColumn="0" w:lastRowLastColumn="0"/>
              <w:rPr>
                <w:szCs w:val="16"/>
              </w:rPr>
            </w:pPr>
            <w:r w:rsidRPr="00E27D3B">
              <w:rPr>
                <w:caps w:val="0"/>
                <w:szCs w:val="16"/>
              </w:rPr>
              <w:t>MOTOR B</w:t>
            </w:r>
          </w:p>
        </w:tc>
        <w:tc>
          <w:tcPr>
            <w:tcW w:w="468" w:type="pct"/>
          </w:tcPr>
          <w:p w14:paraId="57BC268F" w14:textId="77777777" w:rsidR="00BE57F4" w:rsidRPr="00E27D3B" w:rsidRDefault="00BE57F4" w:rsidP="00CD4F3A">
            <w:pPr>
              <w:pStyle w:val="ColumnHeading"/>
              <w:spacing w:before="0" w:line="240" w:lineRule="auto"/>
              <w:jc w:val="both"/>
              <w:cnfStyle w:val="100000000000" w:firstRow="1" w:lastRow="0" w:firstColumn="0" w:lastColumn="0" w:oddVBand="0" w:evenVBand="0" w:oddHBand="0" w:evenHBand="0" w:firstRowFirstColumn="0" w:firstRowLastColumn="0" w:lastRowFirstColumn="0" w:lastRowLastColumn="0"/>
              <w:rPr>
                <w:szCs w:val="16"/>
              </w:rPr>
            </w:pPr>
            <w:r w:rsidRPr="00E27D3B">
              <w:rPr>
                <w:caps w:val="0"/>
                <w:szCs w:val="16"/>
              </w:rPr>
              <w:t>MOTOR C</w:t>
            </w:r>
          </w:p>
        </w:tc>
        <w:tc>
          <w:tcPr>
            <w:tcW w:w="468" w:type="pct"/>
          </w:tcPr>
          <w:p w14:paraId="6820261F" w14:textId="77777777" w:rsidR="00BE57F4" w:rsidRPr="00E27D3B" w:rsidRDefault="00BE57F4" w:rsidP="00CD4F3A">
            <w:pPr>
              <w:pStyle w:val="ColumnHeading"/>
              <w:spacing w:before="0" w:line="240" w:lineRule="auto"/>
              <w:jc w:val="both"/>
              <w:cnfStyle w:val="100000000000" w:firstRow="1" w:lastRow="0" w:firstColumn="0" w:lastColumn="0" w:oddVBand="0" w:evenVBand="0" w:oddHBand="0" w:evenHBand="0" w:firstRowFirstColumn="0" w:firstRowLastColumn="0" w:lastRowFirstColumn="0" w:lastRowLastColumn="0"/>
              <w:rPr>
                <w:szCs w:val="16"/>
              </w:rPr>
            </w:pPr>
            <w:r w:rsidRPr="00E27D3B">
              <w:rPr>
                <w:caps w:val="0"/>
                <w:szCs w:val="16"/>
              </w:rPr>
              <w:t>MOTOR D</w:t>
            </w:r>
          </w:p>
        </w:tc>
        <w:tc>
          <w:tcPr>
            <w:tcW w:w="857" w:type="pct"/>
          </w:tcPr>
          <w:p w14:paraId="34635BDD" w14:textId="77777777" w:rsidR="00BE57F4" w:rsidRPr="00E27D3B" w:rsidRDefault="00BE57F4" w:rsidP="00CD4F3A">
            <w:pPr>
              <w:ind w:right="-22"/>
              <w:jc w:val="both"/>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E27D3B">
              <w:rPr>
                <w:b w:val="0"/>
                <w:color w:val="FFFFFF" w:themeColor="background1"/>
                <w:sz w:val="16"/>
                <w:szCs w:val="16"/>
              </w:rPr>
              <w:t>ELECTRONIC LOAD</w:t>
            </w:r>
          </w:p>
        </w:tc>
        <w:tc>
          <w:tcPr>
            <w:tcW w:w="780" w:type="pct"/>
          </w:tcPr>
          <w:p w14:paraId="62C7F6A3" w14:textId="77777777" w:rsidR="00BE57F4" w:rsidRPr="00E27D3B" w:rsidRDefault="00BE57F4" w:rsidP="00CD4F3A">
            <w:pPr>
              <w:ind w:right="-22"/>
              <w:jc w:val="both"/>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E27D3B">
              <w:rPr>
                <w:b w:val="0"/>
                <w:color w:val="FFFFFF" w:themeColor="background1"/>
                <w:sz w:val="16"/>
                <w:szCs w:val="16"/>
              </w:rPr>
              <w:t xml:space="preserve">CONST. </w:t>
            </w:r>
            <w:r w:rsidRPr="00E27D3B">
              <w:rPr>
                <w:b w:val="0"/>
                <w:caps/>
                <w:color w:val="FFFFFF" w:themeColor="background1"/>
                <w:sz w:val="16"/>
                <w:szCs w:val="16"/>
              </w:rPr>
              <w:t>CURRENT</w:t>
            </w:r>
          </w:p>
        </w:tc>
        <w:tc>
          <w:tcPr>
            <w:tcW w:w="1022" w:type="pct"/>
          </w:tcPr>
          <w:p w14:paraId="2C4DC4C0" w14:textId="77777777" w:rsidR="00BE57F4" w:rsidRPr="00E27D3B" w:rsidRDefault="00BE57F4" w:rsidP="00CD4F3A">
            <w:pPr>
              <w:ind w:right="-22"/>
              <w:jc w:val="both"/>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sidRPr="00E27D3B">
              <w:rPr>
                <w:b w:val="0"/>
                <w:bCs w:val="0"/>
                <w:color w:val="FFFFFF" w:themeColor="background1"/>
                <w:sz w:val="16"/>
                <w:szCs w:val="16"/>
              </w:rPr>
              <w:t>CONSTANT IMPEDANCE</w:t>
            </w:r>
          </w:p>
        </w:tc>
      </w:tr>
      <w:tr w:rsidR="00BE57F4" w:rsidRPr="00E27D3B" w14:paraId="77329F75" w14:textId="77777777" w:rsidTr="00023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1" w:type="pct"/>
          </w:tcPr>
          <w:p w14:paraId="1371729F" w14:textId="77777777" w:rsidR="00BE57F4" w:rsidRPr="00E27D3B" w:rsidRDefault="00BE57F4" w:rsidP="00CD4F3A">
            <w:pPr>
              <w:pStyle w:val="TableText"/>
              <w:jc w:val="both"/>
              <w:rPr>
                <w:b w:val="0"/>
                <w:bCs w:val="0"/>
                <w:lang w:val="en-US"/>
              </w:rPr>
            </w:pPr>
            <w:r w:rsidRPr="00E27D3B">
              <w:rPr>
                <w:sz w:val="16"/>
                <w:szCs w:val="16"/>
              </w:rPr>
              <w:t>Summer</w:t>
            </w:r>
          </w:p>
        </w:tc>
        <w:tc>
          <w:tcPr>
            <w:tcW w:w="447" w:type="pct"/>
          </w:tcPr>
          <w:p w14:paraId="0246EAA6"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9%</w:t>
            </w:r>
          </w:p>
        </w:tc>
        <w:tc>
          <w:tcPr>
            <w:tcW w:w="468" w:type="pct"/>
          </w:tcPr>
          <w:p w14:paraId="75A48E36"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13%</w:t>
            </w:r>
          </w:p>
        </w:tc>
        <w:tc>
          <w:tcPr>
            <w:tcW w:w="468" w:type="pct"/>
          </w:tcPr>
          <w:p w14:paraId="44F09864"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11%</w:t>
            </w:r>
          </w:p>
        </w:tc>
        <w:tc>
          <w:tcPr>
            <w:tcW w:w="468" w:type="pct"/>
          </w:tcPr>
          <w:p w14:paraId="5D131EF3"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pPr>
            <w:r w:rsidRPr="00E27D3B">
              <w:rPr>
                <w:sz w:val="16"/>
                <w:szCs w:val="16"/>
              </w:rPr>
              <w:t>5%</w:t>
            </w:r>
          </w:p>
        </w:tc>
        <w:tc>
          <w:tcPr>
            <w:tcW w:w="857" w:type="pct"/>
          </w:tcPr>
          <w:p w14:paraId="41973C53"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sz w:val="16"/>
                <w:szCs w:val="16"/>
              </w:rPr>
              <w:t>35%</w:t>
            </w:r>
          </w:p>
        </w:tc>
        <w:tc>
          <w:tcPr>
            <w:tcW w:w="780" w:type="pct"/>
          </w:tcPr>
          <w:p w14:paraId="61F21324"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sz w:val="16"/>
                <w:szCs w:val="16"/>
              </w:rPr>
              <w:t>7%</w:t>
            </w:r>
          </w:p>
        </w:tc>
        <w:tc>
          <w:tcPr>
            <w:tcW w:w="1022" w:type="pct"/>
          </w:tcPr>
          <w:p w14:paraId="1ED547DD"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sz w:val="16"/>
                <w:szCs w:val="16"/>
              </w:rPr>
              <w:t>20%</w:t>
            </w:r>
          </w:p>
        </w:tc>
      </w:tr>
      <w:tr w:rsidR="00BE57F4" w:rsidRPr="00E27D3B" w14:paraId="44A68302" w14:textId="77777777" w:rsidTr="0002386E">
        <w:trPr>
          <w:jc w:val="center"/>
        </w:trPr>
        <w:tc>
          <w:tcPr>
            <w:cnfStyle w:val="001000000000" w:firstRow="0" w:lastRow="0" w:firstColumn="1" w:lastColumn="0" w:oddVBand="0" w:evenVBand="0" w:oddHBand="0" w:evenHBand="0" w:firstRowFirstColumn="0" w:firstRowLastColumn="0" w:lastRowFirstColumn="0" w:lastRowLastColumn="0"/>
            <w:tcW w:w="491" w:type="pct"/>
          </w:tcPr>
          <w:p w14:paraId="6C1C31DB" w14:textId="77777777" w:rsidR="00BE57F4" w:rsidRPr="00E27D3B" w:rsidRDefault="00BE57F4" w:rsidP="00CD4F3A">
            <w:pPr>
              <w:pStyle w:val="TableText"/>
              <w:jc w:val="both"/>
              <w:rPr>
                <w:b w:val="0"/>
                <w:bCs w:val="0"/>
              </w:rPr>
            </w:pPr>
            <w:r w:rsidRPr="00E27D3B">
              <w:rPr>
                <w:sz w:val="16"/>
                <w:szCs w:val="16"/>
              </w:rPr>
              <w:t>Winter</w:t>
            </w:r>
          </w:p>
        </w:tc>
        <w:tc>
          <w:tcPr>
            <w:tcW w:w="447" w:type="pct"/>
          </w:tcPr>
          <w:p w14:paraId="10B17D32"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rStyle w:val="fontstyle01"/>
                <w:sz w:val="16"/>
                <w:szCs w:val="16"/>
              </w:rPr>
              <w:t>5%</w:t>
            </w:r>
          </w:p>
        </w:tc>
        <w:tc>
          <w:tcPr>
            <w:tcW w:w="468" w:type="pct"/>
          </w:tcPr>
          <w:p w14:paraId="041CAA87"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rStyle w:val="fontstyle01"/>
                <w:sz w:val="16"/>
                <w:szCs w:val="16"/>
              </w:rPr>
              <w:t>12%</w:t>
            </w:r>
          </w:p>
        </w:tc>
        <w:tc>
          <w:tcPr>
            <w:tcW w:w="468" w:type="pct"/>
          </w:tcPr>
          <w:p w14:paraId="5AC6BBD5"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rStyle w:val="fontstyle01"/>
                <w:sz w:val="16"/>
                <w:szCs w:val="16"/>
              </w:rPr>
              <w:t>11%</w:t>
            </w:r>
          </w:p>
        </w:tc>
        <w:tc>
          <w:tcPr>
            <w:tcW w:w="468" w:type="pct"/>
          </w:tcPr>
          <w:p w14:paraId="1520BC77"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pPr>
            <w:r w:rsidRPr="00E27D3B">
              <w:rPr>
                <w:rStyle w:val="fontstyle01"/>
                <w:sz w:val="16"/>
                <w:szCs w:val="16"/>
              </w:rPr>
              <w:t>6%</w:t>
            </w:r>
          </w:p>
        </w:tc>
        <w:tc>
          <w:tcPr>
            <w:tcW w:w="857" w:type="pct"/>
          </w:tcPr>
          <w:p w14:paraId="23EACBCB"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 w:val="16"/>
                <w:szCs w:val="16"/>
              </w:rPr>
            </w:pPr>
            <w:r w:rsidRPr="00E27D3B">
              <w:rPr>
                <w:rStyle w:val="fontstyle01"/>
                <w:sz w:val="16"/>
                <w:szCs w:val="16"/>
              </w:rPr>
              <w:t>26%</w:t>
            </w:r>
          </w:p>
        </w:tc>
        <w:tc>
          <w:tcPr>
            <w:tcW w:w="780" w:type="pct"/>
          </w:tcPr>
          <w:p w14:paraId="0198E4D2"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sz w:val="16"/>
                <w:szCs w:val="16"/>
              </w:rPr>
            </w:pPr>
            <w:r w:rsidRPr="00E27D3B">
              <w:rPr>
                <w:rStyle w:val="fontstyle01"/>
                <w:sz w:val="16"/>
                <w:szCs w:val="16"/>
              </w:rPr>
              <w:t>8%</w:t>
            </w:r>
          </w:p>
        </w:tc>
        <w:tc>
          <w:tcPr>
            <w:tcW w:w="1022" w:type="pct"/>
          </w:tcPr>
          <w:p w14:paraId="618EF6FF" w14:textId="77777777" w:rsidR="00BE57F4" w:rsidRPr="00E27D3B"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Style w:val="fontstyle01"/>
                <w:sz w:val="16"/>
                <w:szCs w:val="16"/>
              </w:rPr>
            </w:pPr>
            <w:r w:rsidRPr="00E27D3B">
              <w:rPr>
                <w:rStyle w:val="fontstyle01"/>
                <w:sz w:val="16"/>
                <w:szCs w:val="16"/>
              </w:rPr>
              <w:t>32%</w:t>
            </w:r>
          </w:p>
        </w:tc>
      </w:tr>
    </w:tbl>
    <w:p w14:paraId="42FCB805" w14:textId="7F88AB5E" w:rsidR="00BE57F4" w:rsidRPr="00E27D3B" w:rsidRDefault="00BE57F4" w:rsidP="002012E6">
      <w:pPr>
        <w:pStyle w:val="BodyText"/>
        <w:spacing w:after="0"/>
      </w:pPr>
      <w:r w:rsidRPr="00E27D3B">
        <w:rPr>
          <w:szCs w:val="20"/>
        </w:rPr>
        <w:t xml:space="preserve">To study the influence of load characteristics on renewable generation, Gen. Case-2 from </w:t>
      </w:r>
      <w:r>
        <w:rPr>
          <w:szCs w:val="20"/>
        </w:rPr>
        <w:fldChar w:fldCharType="begin"/>
      </w:r>
      <w:r>
        <w:rPr>
          <w:szCs w:val="20"/>
        </w:rPr>
        <w:instrText xml:space="preserve"> REF _Ref230193783 \h </w:instrText>
      </w:r>
      <w:r w:rsidR="009B2BB6">
        <w:rPr>
          <w:szCs w:val="20"/>
        </w:rPr>
        <w:instrText xml:space="preserve"> \* MERGEFORMAT </w:instrText>
      </w:r>
      <w:r>
        <w:rPr>
          <w:szCs w:val="20"/>
        </w:rPr>
      </w:r>
      <w:r>
        <w:rPr>
          <w:szCs w:val="20"/>
        </w:rPr>
        <w:fldChar w:fldCharType="separate"/>
      </w:r>
      <w:r w:rsidR="00753DAF" w:rsidRPr="00E27D3B">
        <w:t xml:space="preserve">Table </w:t>
      </w:r>
      <w:r w:rsidR="00753DAF">
        <w:rPr>
          <w:noProof/>
        </w:rPr>
        <w:t>9</w:t>
      </w:r>
      <w:r>
        <w:rPr>
          <w:szCs w:val="20"/>
        </w:rPr>
        <w:fldChar w:fldCharType="end"/>
      </w:r>
      <w:r w:rsidRPr="00E27D3B">
        <w:rPr>
          <w:szCs w:val="20"/>
        </w:rPr>
        <w:t xml:space="preserve"> is selected, and the different load compositions are specified in </w:t>
      </w:r>
      <w:r>
        <w:rPr>
          <w:szCs w:val="20"/>
        </w:rPr>
        <w:fldChar w:fldCharType="begin"/>
      </w:r>
      <w:r>
        <w:rPr>
          <w:szCs w:val="20"/>
        </w:rPr>
        <w:instrText xml:space="preserve"> REF _Ref230193844 \h </w:instrText>
      </w:r>
      <w:r w:rsidR="009B2BB6">
        <w:rPr>
          <w:szCs w:val="20"/>
        </w:rPr>
        <w:instrText xml:space="preserve"> \* MERGEFORMAT </w:instrText>
      </w:r>
      <w:r>
        <w:rPr>
          <w:szCs w:val="20"/>
        </w:rPr>
      </w:r>
      <w:r>
        <w:rPr>
          <w:szCs w:val="20"/>
        </w:rPr>
        <w:fldChar w:fldCharType="separate"/>
      </w:r>
      <w:r w:rsidR="00753DAF" w:rsidRPr="00E27D3B">
        <w:t xml:space="preserve">Table </w:t>
      </w:r>
      <w:r w:rsidR="00753DAF">
        <w:rPr>
          <w:noProof/>
        </w:rPr>
        <w:t>11</w:t>
      </w:r>
      <w:r>
        <w:rPr>
          <w:szCs w:val="20"/>
        </w:rPr>
        <w:fldChar w:fldCharType="end"/>
      </w:r>
      <w:r w:rsidRPr="00E27D3B">
        <w:rPr>
          <w:szCs w:val="20"/>
        </w:rPr>
        <w:t>.</w:t>
      </w:r>
    </w:p>
    <w:p w14:paraId="6A0DD4CF" w14:textId="0F76F132" w:rsidR="00BE57F4" w:rsidRPr="00E27D3B" w:rsidRDefault="00BE57F4" w:rsidP="00CD4F3A">
      <w:pPr>
        <w:pStyle w:val="Caption"/>
        <w:spacing w:line="240" w:lineRule="auto"/>
        <w:jc w:val="both"/>
      </w:pPr>
      <w:bookmarkStart w:id="188" w:name="_Ref230193844"/>
      <w:bookmarkStart w:id="189" w:name="_Toc230198673"/>
      <w:bookmarkStart w:id="190" w:name="_Toc233735305"/>
      <w:r w:rsidRPr="00E27D3B">
        <w:t xml:space="preserve">Table </w:t>
      </w:r>
      <w:fldSimple w:instr=" SEQ Table \* ARABIC ">
        <w:r w:rsidR="00753DAF">
          <w:rPr>
            <w:noProof/>
          </w:rPr>
          <w:t>11</w:t>
        </w:r>
      </w:fldSimple>
      <w:bookmarkEnd w:id="188"/>
      <w:r w:rsidRPr="00E27D3B">
        <w:t>: Load cases for evaluating via comprehensive time-domain simulations implemented in the PSS®E simulation environment.</w:t>
      </w:r>
      <w:bookmarkEnd w:id="189"/>
      <w:bookmarkEnd w:id="190"/>
    </w:p>
    <w:tbl>
      <w:tblPr>
        <w:tblStyle w:val="TableCSIRO"/>
        <w:tblW w:w="4255" w:type="dxa"/>
        <w:jc w:val="center"/>
        <w:tblInd w:w="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6"/>
        <w:gridCol w:w="992"/>
        <w:gridCol w:w="1133"/>
        <w:gridCol w:w="1134"/>
      </w:tblGrid>
      <w:tr w:rsidR="00BE57F4" w:rsidRPr="00E27D3B" w14:paraId="2CC4545C"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pct"/>
          </w:tcPr>
          <w:p w14:paraId="2FAA0881" w14:textId="77777777" w:rsidR="00BE57F4" w:rsidRPr="00E27D3B" w:rsidRDefault="00BE57F4" w:rsidP="00CD4F3A">
            <w:pPr>
              <w:ind w:right="-22"/>
              <w:jc w:val="both"/>
              <w:rPr>
                <w:color w:val="FFFFFF" w:themeColor="background1"/>
                <w:sz w:val="16"/>
                <w:szCs w:val="16"/>
              </w:rPr>
            </w:pPr>
            <w:r w:rsidRPr="00E27D3B">
              <w:rPr>
                <w:color w:val="FFFFFF" w:themeColor="background1"/>
                <w:sz w:val="16"/>
                <w:szCs w:val="16"/>
              </w:rPr>
              <w:t xml:space="preserve">LOAD </w:t>
            </w:r>
            <w:r w:rsidRPr="00E27D3B">
              <w:rPr>
                <w:caps/>
                <w:color w:val="FFFFFF" w:themeColor="background1"/>
                <w:sz w:val="16"/>
                <w:szCs w:val="16"/>
              </w:rPr>
              <w:t xml:space="preserve">CASES </w:t>
            </w:r>
          </w:p>
        </w:tc>
        <w:tc>
          <w:tcPr>
            <w:tcW w:w="1166" w:type="pct"/>
          </w:tcPr>
          <w:p w14:paraId="291507A5" w14:textId="77777777" w:rsidR="00BE57F4" w:rsidRPr="00E27D3B" w:rsidRDefault="00BE57F4" w:rsidP="00CD4F3A">
            <w:pPr>
              <w:ind w:right="-22"/>
              <w:jc w:val="both"/>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E27D3B">
              <w:rPr>
                <w:color w:val="FFFFFF" w:themeColor="background1"/>
                <w:sz w:val="16"/>
                <w:szCs w:val="16"/>
              </w:rPr>
              <w:t>LOAD</w:t>
            </w:r>
            <w:r w:rsidRPr="00E27D3B">
              <w:rPr>
                <w:caps/>
                <w:color w:val="FFFFFF" w:themeColor="background1"/>
                <w:sz w:val="16"/>
                <w:szCs w:val="16"/>
              </w:rPr>
              <w:t>CASE 1</w:t>
            </w:r>
          </w:p>
        </w:tc>
        <w:tc>
          <w:tcPr>
            <w:tcW w:w="1331" w:type="pct"/>
          </w:tcPr>
          <w:p w14:paraId="26D3030F" w14:textId="77777777" w:rsidR="00BE57F4" w:rsidRPr="00E27D3B" w:rsidRDefault="00BE57F4" w:rsidP="00CD4F3A">
            <w:pPr>
              <w:pStyle w:val="ColumnHeading"/>
              <w:spacing w:before="0" w:line="240" w:lineRule="auto"/>
              <w:jc w:val="both"/>
              <w:cnfStyle w:val="100000000000" w:firstRow="1" w:lastRow="0" w:firstColumn="0" w:lastColumn="0" w:oddVBand="0" w:evenVBand="0" w:oddHBand="0" w:evenHBand="0" w:firstRowFirstColumn="0" w:firstRowLastColumn="0" w:lastRowFirstColumn="0" w:lastRowLastColumn="0"/>
              <w:rPr>
                <w:b/>
                <w:color w:val="FFFFFF" w:themeColor="background1"/>
                <w:szCs w:val="16"/>
              </w:rPr>
            </w:pPr>
            <w:r w:rsidRPr="00E27D3B">
              <w:rPr>
                <w:b/>
                <w:caps w:val="0"/>
                <w:color w:val="FFFFFF" w:themeColor="background1"/>
                <w:szCs w:val="16"/>
              </w:rPr>
              <w:t>LOAD CASE 2</w:t>
            </w:r>
          </w:p>
        </w:tc>
        <w:tc>
          <w:tcPr>
            <w:tcW w:w="1333" w:type="pct"/>
          </w:tcPr>
          <w:p w14:paraId="0829202F" w14:textId="77777777" w:rsidR="00BE57F4" w:rsidRPr="00E27D3B" w:rsidRDefault="00BE57F4" w:rsidP="00CD4F3A">
            <w:pPr>
              <w:ind w:right="-22"/>
              <w:jc w:val="both"/>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E27D3B">
              <w:rPr>
                <w:color w:val="FFFFFF" w:themeColor="background1"/>
                <w:sz w:val="16"/>
                <w:szCs w:val="16"/>
              </w:rPr>
              <w:t xml:space="preserve">LOAD </w:t>
            </w:r>
            <w:r w:rsidRPr="00E27D3B">
              <w:rPr>
                <w:caps/>
                <w:color w:val="FFFFFF" w:themeColor="background1"/>
                <w:sz w:val="16"/>
                <w:szCs w:val="16"/>
              </w:rPr>
              <w:t>CASE 3</w:t>
            </w:r>
          </w:p>
        </w:tc>
      </w:tr>
      <w:tr w:rsidR="00BE57F4" w:rsidRPr="00E27D3B" w14:paraId="228BF69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pct"/>
          </w:tcPr>
          <w:p w14:paraId="02E52A7D" w14:textId="77777777" w:rsidR="00BE57F4" w:rsidRPr="00E27D3B" w:rsidRDefault="00BE57F4" w:rsidP="00CD4F3A">
            <w:pPr>
              <w:pStyle w:val="TableText"/>
              <w:jc w:val="both"/>
              <w:rPr>
                <w:b w:val="0"/>
                <w:bCs w:val="0"/>
                <w:sz w:val="16"/>
                <w:szCs w:val="16"/>
                <w:lang w:val="en-US"/>
              </w:rPr>
            </w:pPr>
            <w:r w:rsidRPr="00E27D3B">
              <w:rPr>
                <w:sz w:val="16"/>
                <w:szCs w:val="16"/>
              </w:rPr>
              <w:t>Load Types</w:t>
            </w:r>
          </w:p>
        </w:tc>
        <w:tc>
          <w:tcPr>
            <w:tcW w:w="1166" w:type="pct"/>
          </w:tcPr>
          <w:p w14:paraId="2C9BA174"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rStyle w:val="fontstyle01"/>
                <w:sz w:val="16"/>
                <w:szCs w:val="16"/>
              </w:rPr>
              <w:t>100% Static</w:t>
            </w:r>
          </w:p>
        </w:tc>
        <w:tc>
          <w:tcPr>
            <w:tcW w:w="1331" w:type="pct"/>
          </w:tcPr>
          <w:p w14:paraId="698DA0C7"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sz w:val="16"/>
                <w:szCs w:val="16"/>
              </w:rPr>
              <w:t>Summer</w:t>
            </w:r>
          </w:p>
        </w:tc>
        <w:tc>
          <w:tcPr>
            <w:tcW w:w="1333" w:type="pct"/>
          </w:tcPr>
          <w:p w14:paraId="795DE7A1" w14:textId="77777777" w:rsidR="00BE57F4" w:rsidRPr="00E27D3B"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sz w:val="16"/>
                <w:szCs w:val="16"/>
              </w:rPr>
            </w:pPr>
            <w:r w:rsidRPr="00E27D3B">
              <w:rPr>
                <w:sz w:val="16"/>
                <w:szCs w:val="16"/>
              </w:rPr>
              <w:t>Winter</w:t>
            </w:r>
          </w:p>
        </w:tc>
      </w:tr>
    </w:tbl>
    <w:p w14:paraId="6E7EBB84" w14:textId="7618BE53" w:rsidR="00BE57F4" w:rsidRPr="001F7622" w:rsidRDefault="00BE57F4" w:rsidP="002012E6">
      <w:pPr>
        <w:pStyle w:val="BodyText"/>
        <w:spacing w:after="0"/>
        <w:rPr>
          <w:rFonts w:eastAsia="Times New Roman" w:cs="Calibri"/>
          <w:color w:val="auto"/>
          <w:szCs w:val="24"/>
        </w:rPr>
      </w:pPr>
      <w:r w:rsidRPr="001F7622">
        <w:rPr>
          <w:rFonts w:eastAsia="Times New Roman" w:cs="Calibri"/>
          <w:b/>
          <w:bCs/>
          <w:i/>
          <w:iCs/>
          <w:color w:val="auto"/>
          <w:szCs w:val="24"/>
        </w:rPr>
        <w:t>Post-Recovery Voltage Performance Analysis through local DVRI</w:t>
      </w:r>
      <w:r w:rsidRPr="00E27D3B">
        <w:rPr>
          <w:rFonts w:eastAsia="Times New Roman" w:cs="Calibri"/>
          <w:color w:val="auto"/>
          <w:szCs w:val="24"/>
        </w:rPr>
        <w:t>: </w:t>
      </w:r>
      <w:r w:rsidRPr="001F7622">
        <w:rPr>
          <w:rFonts w:eastAsia="Times New Roman" w:cs="Calibri"/>
          <w:color w:val="auto"/>
          <w:szCs w:val="24"/>
        </w:rPr>
        <w:t xml:space="preserve">To evaluate the local voltage dynamic signature in Area 5 under various generation and load scenarios (as listed in </w:t>
      </w:r>
      <w:r>
        <w:rPr>
          <w:rFonts w:eastAsia="Times New Roman" w:cs="Calibri"/>
          <w:color w:val="auto"/>
          <w:szCs w:val="24"/>
        </w:rPr>
        <w:fldChar w:fldCharType="begin"/>
      </w:r>
      <w:r>
        <w:rPr>
          <w:rFonts w:eastAsia="Times New Roman" w:cs="Calibri"/>
          <w:color w:val="auto"/>
          <w:szCs w:val="24"/>
        </w:rPr>
        <w:instrText xml:space="preserve"> REF _Ref230193783 \h </w:instrText>
      </w:r>
      <w:r w:rsidR="009B2BB6">
        <w:rPr>
          <w:rFonts w:eastAsia="Times New Roman" w:cs="Calibri"/>
          <w:color w:val="auto"/>
          <w:szCs w:val="24"/>
        </w:rPr>
        <w:instrText xml:space="preserve"> \* MERGEFORMAT </w:instrText>
      </w:r>
      <w:r>
        <w:rPr>
          <w:rFonts w:eastAsia="Times New Roman" w:cs="Calibri"/>
          <w:color w:val="auto"/>
          <w:szCs w:val="24"/>
        </w:rPr>
      </w:r>
      <w:r>
        <w:rPr>
          <w:rFonts w:eastAsia="Times New Roman" w:cs="Calibri"/>
          <w:color w:val="auto"/>
          <w:szCs w:val="24"/>
        </w:rPr>
        <w:fldChar w:fldCharType="separate"/>
      </w:r>
      <w:r w:rsidR="00753DAF" w:rsidRPr="00E27D3B">
        <w:t xml:space="preserve">Table </w:t>
      </w:r>
      <w:r w:rsidR="00753DAF">
        <w:rPr>
          <w:noProof/>
        </w:rPr>
        <w:t>9</w:t>
      </w:r>
      <w:r>
        <w:rPr>
          <w:rFonts w:eastAsia="Times New Roman" w:cs="Calibri"/>
          <w:color w:val="auto"/>
          <w:szCs w:val="24"/>
        </w:rPr>
        <w:fldChar w:fldCharType="end"/>
      </w:r>
      <w:r w:rsidRPr="001F7622">
        <w:rPr>
          <w:rFonts w:eastAsia="Times New Roman" w:cs="Calibri"/>
          <w:color w:val="auto"/>
          <w:szCs w:val="24"/>
        </w:rPr>
        <w:t xml:space="preserve"> and </w:t>
      </w:r>
      <w:r>
        <w:rPr>
          <w:rFonts w:eastAsia="Times New Roman" w:cs="Calibri"/>
          <w:color w:val="auto"/>
          <w:szCs w:val="24"/>
        </w:rPr>
        <w:fldChar w:fldCharType="begin"/>
      </w:r>
      <w:r>
        <w:rPr>
          <w:rFonts w:eastAsia="Times New Roman" w:cs="Calibri"/>
          <w:color w:val="auto"/>
          <w:szCs w:val="24"/>
        </w:rPr>
        <w:instrText xml:space="preserve"> REF _Ref230193844 \h </w:instrText>
      </w:r>
      <w:r w:rsidR="009B2BB6">
        <w:rPr>
          <w:rFonts w:eastAsia="Times New Roman" w:cs="Calibri"/>
          <w:color w:val="auto"/>
          <w:szCs w:val="24"/>
        </w:rPr>
        <w:instrText xml:space="preserve"> \* MERGEFORMAT </w:instrText>
      </w:r>
      <w:r>
        <w:rPr>
          <w:rFonts w:eastAsia="Times New Roman" w:cs="Calibri"/>
          <w:color w:val="auto"/>
          <w:szCs w:val="24"/>
        </w:rPr>
      </w:r>
      <w:r>
        <w:rPr>
          <w:rFonts w:eastAsia="Times New Roman" w:cs="Calibri"/>
          <w:color w:val="auto"/>
          <w:szCs w:val="24"/>
        </w:rPr>
        <w:fldChar w:fldCharType="separate"/>
      </w:r>
      <w:r w:rsidR="00753DAF" w:rsidRPr="00E27D3B">
        <w:t xml:space="preserve">Table </w:t>
      </w:r>
      <w:r w:rsidR="00753DAF">
        <w:rPr>
          <w:noProof/>
        </w:rPr>
        <w:t>11</w:t>
      </w:r>
      <w:r>
        <w:rPr>
          <w:rFonts w:eastAsia="Times New Roman" w:cs="Calibri"/>
          <w:color w:val="auto"/>
          <w:szCs w:val="24"/>
        </w:rPr>
        <w:fldChar w:fldCharType="end"/>
      </w:r>
      <w:r w:rsidRPr="001F7622">
        <w:rPr>
          <w:rFonts w:eastAsia="Times New Roman" w:cs="Calibri"/>
          <w:color w:val="auto"/>
          <w:szCs w:val="24"/>
        </w:rPr>
        <w:t>), a three-phase fault is applied to a representative load bus, such as Bus 507. The post-disturbance voltage recovery at all buses is analysed using the proposed local DVRI.</w:t>
      </w:r>
    </w:p>
    <w:p w14:paraId="2724CEC5" w14:textId="362E8B77" w:rsidR="00BE57F4" w:rsidRPr="002012E6" w:rsidRDefault="00BE57F4" w:rsidP="002012E6">
      <w:pPr>
        <w:pStyle w:val="BodyText"/>
        <w:spacing w:after="0"/>
        <w:rPr>
          <w:rFonts w:eastAsia="Times New Roman" w:cs="Calibri"/>
          <w:color w:val="auto"/>
          <w:szCs w:val="24"/>
        </w:rPr>
      </w:pPr>
      <w:r>
        <w:rPr>
          <w:rFonts w:eastAsia="Times New Roman" w:cs="Calibri"/>
          <w:color w:val="auto"/>
          <w:szCs w:val="24"/>
        </w:rPr>
        <w:fldChar w:fldCharType="begin"/>
      </w:r>
      <w:r>
        <w:rPr>
          <w:rFonts w:eastAsia="Times New Roman" w:cs="Calibri"/>
          <w:color w:val="auto"/>
          <w:szCs w:val="24"/>
        </w:rPr>
        <w:instrText xml:space="preserve"> REF _Ref230191888 \h </w:instrText>
      </w:r>
      <w:r w:rsidR="009B2BB6">
        <w:rPr>
          <w:rFonts w:eastAsia="Times New Roman" w:cs="Calibri"/>
          <w:color w:val="auto"/>
          <w:szCs w:val="24"/>
        </w:rPr>
        <w:instrText xml:space="preserve"> \* MERGEFORMAT </w:instrText>
      </w:r>
      <w:r>
        <w:rPr>
          <w:rFonts w:eastAsia="Times New Roman" w:cs="Calibri"/>
          <w:color w:val="auto"/>
          <w:szCs w:val="24"/>
        </w:rPr>
      </w:r>
      <w:r>
        <w:rPr>
          <w:rFonts w:eastAsia="Times New Roman" w:cs="Calibri"/>
          <w:color w:val="auto"/>
          <w:szCs w:val="24"/>
        </w:rPr>
        <w:fldChar w:fldCharType="separate"/>
      </w:r>
      <w:r w:rsidR="00753DAF" w:rsidRPr="00E27D3B">
        <w:t xml:space="preserve">Figure </w:t>
      </w:r>
      <w:r w:rsidR="00753DAF">
        <w:rPr>
          <w:noProof/>
        </w:rPr>
        <w:t>38</w:t>
      </w:r>
      <w:r>
        <w:rPr>
          <w:rFonts w:eastAsia="Times New Roman" w:cs="Calibri"/>
          <w:color w:val="auto"/>
          <w:szCs w:val="24"/>
        </w:rPr>
        <w:fldChar w:fldCharType="end"/>
      </w:r>
      <w:r>
        <w:rPr>
          <w:rFonts w:eastAsia="Times New Roman" w:cs="Calibri"/>
          <w:color w:val="auto"/>
          <w:szCs w:val="24"/>
        </w:rPr>
        <w:t xml:space="preserve"> </w:t>
      </w:r>
      <w:r w:rsidRPr="001F7622">
        <w:rPr>
          <w:rFonts w:eastAsia="Times New Roman" w:cs="Calibri"/>
          <w:color w:val="auto"/>
          <w:szCs w:val="24"/>
        </w:rPr>
        <w:t>illustrates the voltage responses at Bus 507 after the fault for different combinations of generation and load configurations. This analysis provides insight into the dynamic voltage stability signature of bus 507 when subjected to the fault.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12"/>
      </w:tblGrid>
      <w:tr w:rsidR="00BE57F4" w:rsidRPr="00E27D3B" w14:paraId="277F93E2" w14:textId="77777777" w:rsidTr="0002386E">
        <w:tc>
          <w:tcPr>
            <w:tcW w:w="4826" w:type="dxa"/>
          </w:tcPr>
          <w:p w14:paraId="4A1D2359" w14:textId="7D3E6149" w:rsidR="00BE57F4" w:rsidRPr="00E27D3B" w:rsidRDefault="00DF1FB6" w:rsidP="00CD4F3A">
            <w:pPr>
              <w:ind w:right="-22"/>
              <w:jc w:val="both"/>
              <w:rPr>
                <w:sz w:val="24"/>
                <w:szCs w:val="24"/>
              </w:rPr>
            </w:pPr>
            <w:r w:rsidRPr="00DF1FB6">
              <w:rPr>
                <w:noProof/>
                <w:sz w:val="24"/>
                <w:szCs w:val="24"/>
              </w:rPr>
              <w:lastRenderedPageBreak/>
              <w:drawing>
                <wp:inline distT="0" distB="0" distL="0" distR="0" wp14:anchorId="735043F8" wp14:editId="56BBC9ED">
                  <wp:extent cx="3028950" cy="1552575"/>
                  <wp:effectExtent l="0" t="0" r="0" b="0"/>
                  <wp:docPr id="116476312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28950" cy="1552575"/>
                          </a:xfrm>
                          <a:prstGeom prst="rect">
                            <a:avLst/>
                          </a:prstGeom>
                          <a:noFill/>
                          <a:ln>
                            <a:noFill/>
                          </a:ln>
                        </pic:spPr>
                      </pic:pic>
                    </a:graphicData>
                  </a:graphic>
                </wp:inline>
              </w:drawing>
            </w:r>
          </w:p>
        </w:tc>
        <w:tc>
          <w:tcPr>
            <w:tcW w:w="4812" w:type="dxa"/>
          </w:tcPr>
          <w:p w14:paraId="5AE1E79F" w14:textId="4B8BD129" w:rsidR="00BE57F4" w:rsidRPr="00E27D3B" w:rsidRDefault="00DF1FB6" w:rsidP="00CD4F3A">
            <w:pPr>
              <w:ind w:right="-22"/>
              <w:jc w:val="both"/>
              <w:rPr>
                <w:sz w:val="24"/>
                <w:szCs w:val="24"/>
              </w:rPr>
            </w:pPr>
            <w:r w:rsidRPr="00DF1FB6">
              <w:rPr>
                <w:noProof/>
                <w:sz w:val="24"/>
                <w:szCs w:val="24"/>
              </w:rPr>
              <w:drawing>
                <wp:inline distT="0" distB="0" distL="0" distR="0" wp14:anchorId="72F49FAB" wp14:editId="5DB38896">
                  <wp:extent cx="3019425" cy="1628775"/>
                  <wp:effectExtent l="0" t="0" r="0" b="0"/>
                  <wp:docPr id="69799655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19425" cy="1628775"/>
                          </a:xfrm>
                          <a:prstGeom prst="rect">
                            <a:avLst/>
                          </a:prstGeom>
                          <a:noFill/>
                          <a:ln>
                            <a:noFill/>
                          </a:ln>
                        </pic:spPr>
                      </pic:pic>
                    </a:graphicData>
                  </a:graphic>
                </wp:inline>
              </w:drawing>
            </w:r>
          </w:p>
        </w:tc>
      </w:tr>
      <w:tr w:rsidR="00BE57F4" w:rsidRPr="00E27D3B" w14:paraId="7A09C9D5" w14:textId="77777777" w:rsidTr="0002386E">
        <w:tc>
          <w:tcPr>
            <w:tcW w:w="4826" w:type="dxa"/>
          </w:tcPr>
          <w:p w14:paraId="645905C3" w14:textId="77777777" w:rsidR="00BE57F4" w:rsidRPr="00E27D3B" w:rsidRDefault="00BE57F4" w:rsidP="00CD4F3A">
            <w:pPr>
              <w:ind w:right="-22"/>
              <w:jc w:val="center"/>
              <w:rPr>
                <w:sz w:val="24"/>
                <w:szCs w:val="24"/>
              </w:rPr>
            </w:pPr>
            <w:r w:rsidRPr="00E27D3B">
              <w:rPr>
                <w:sz w:val="24"/>
                <w:szCs w:val="24"/>
              </w:rPr>
              <w:t>(a)</w:t>
            </w:r>
          </w:p>
        </w:tc>
        <w:tc>
          <w:tcPr>
            <w:tcW w:w="4812" w:type="dxa"/>
          </w:tcPr>
          <w:p w14:paraId="463F00AD" w14:textId="77777777" w:rsidR="00BE57F4" w:rsidRPr="00E27D3B" w:rsidRDefault="00BE57F4" w:rsidP="00CD4F3A">
            <w:pPr>
              <w:keepNext/>
              <w:ind w:right="-22"/>
              <w:jc w:val="center"/>
              <w:rPr>
                <w:sz w:val="24"/>
                <w:szCs w:val="24"/>
              </w:rPr>
            </w:pPr>
            <w:r w:rsidRPr="00E27D3B">
              <w:rPr>
                <w:sz w:val="24"/>
                <w:szCs w:val="24"/>
              </w:rPr>
              <w:t>(b)</w:t>
            </w:r>
          </w:p>
        </w:tc>
      </w:tr>
    </w:tbl>
    <w:p w14:paraId="6490DA2D" w14:textId="2F78348E" w:rsidR="00BE57F4" w:rsidRPr="00E27D3B" w:rsidRDefault="00BE57F4" w:rsidP="00CD4F3A">
      <w:pPr>
        <w:pStyle w:val="Caption"/>
        <w:spacing w:line="240" w:lineRule="auto"/>
        <w:jc w:val="both"/>
        <w:rPr>
          <w:sz w:val="24"/>
          <w:szCs w:val="24"/>
        </w:rPr>
      </w:pPr>
      <w:bookmarkStart w:id="191" w:name="_Ref230191888"/>
      <w:bookmarkStart w:id="192" w:name="_Toc224235129"/>
      <w:bookmarkStart w:id="193" w:name="_Toc230198629"/>
      <w:bookmarkStart w:id="194" w:name="_Toc233735044"/>
      <w:r w:rsidRPr="00E27D3B">
        <w:t xml:space="preserve">Figure </w:t>
      </w:r>
      <w:fldSimple w:instr=" SEQ Figure \* ARABIC ">
        <w:r w:rsidR="00A85006">
          <w:rPr>
            <w:noProof/>
          </w:rPr>
          <w:t>38</w:t>
        </w:r>
      </w:fldSimple>
      <w:bookmarkEnd w:id="191"/>
      <w:r w:rsidRPr="00E27D3B">
        <w:t>: Post-disturbance voltage waveforms for a fault at bus 507: (a) Gen. Cases and (b) Load Cases.</w:t>
      </w:r>
      <w:bookmarkEnd w:id="192"/>
      <w:bookmarkEnd w:id="193"/>
      <w:bookmarkEnd w:id="194"/>
    </w:p>
    <w:p w14:paraId="240EDC79" w14:textId="26A7ED21" w:rsidR="00BE57F4" w:rsidRPr="00E27D3B" w:rsidRDefault="00BE57F4" w:rsidP="004423A7">
      <w:pPr>
        <w:pStyle w:val="ListNumber"/>
        <w:numPr>
          <w:ilvl w:val="0"/>
          <w:numId w:val="0"/>
        </w:numPr>
        <w:tabs>
          <w:tab w:val="clear" w:pos="397"/>
          <w:tab w:val="left" w:pos="0"/>
        </w:tabs>
        <w:spacing w:after="0"/>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_Ref230191888 \h </w:instrText>
      </w:r>
      <w:r w:rsidR="009B2BB6">
        <w:rPr>
          <w:rFonts w:asciiTheme="minorHAnsi" w:hAnsiTheme="minorHAnsi" w:cstheme="minorHAnsi"/>
          <w:szCs w:val="20"/>
        </w:rPr>
        <w:instrText xml:space="preserve"> \* MERGEFORMAT </w:instrText>
      </w:r>
      <w:r>
        <w:rPr>
          <w:rFonts w:asciiTheme="minorHAnsi" w:hAnsiTheme="minorHAnsi" w:cstheme="minorHAnsi"/>
          <w:szCs w:val="20"/>
        </w:rPr>
      </w:r>
      <w:r>
        <w:rPr>
          <w:rFonts w:asciiTheme="minorHAnsi" w:hAnsiTheme="minorHAnsi" w:cstheme="minorHAnsi"/>
          <w:szCs w:val="20"/>
        </w:rPr>
        <w:fldChar w:fldCharType="separate"/>
      </w:r>
      <w:r w:rsidR="00753DAF" w:rsidRPr="00E27D3B">
        <w:t xml:space="preserve">Figure </w:t>
      </w:r>
      <w:r w:rsidR="00753DAF">
        <w:rPr>
          <w:noProof/>
        </w:rPr>
        <w:t>38</w:t>
      </w:r>
      <w:r>
        <w:rPr>
          <w:rFonts w:asciiTheme="minorHAnsi" w:hAnsiTheme="minorHAnsi" w:cstheme="minorHAnsi"/>
          <w:szCs w:val="20"/>
        </w:rPr>
        <w:fldChar w:fldCharType="end"/>
      </w:r>
      <w:r w:rsidRPr="00E27D3B">
        <w:rPr>
          <w:rFonts w:asciiTheme="minorHAnsi" w:hAnsiTheme="minorHAnsi" w:cstheme="minorHAnsi"/>
          <w:szCs w:val="20"/>
        </w:rPr>
        <w:t xml:space="preserve">(a) shows that as renewable generation penetration increases, the voltage at bus 507 exhibits greater variability and slower post-fault recovery, indicating a deterioration in system voltage performance. </w:t>
      </w:r>
      <w:r>
        <w:rPr>
          <w:rFonts w:asciiTheme="minorHAnsi" w:hAnsiTheme="minorHAnsi" w:cstheme="minorHAnsi"/>
          <w:szCs w:val="20"/>
        </w:rPr>
        <w:fldChar w:fldCharType="begin"/>
      </w:r>
      <w:r>
        <w:rPr>
          <w:rFonts w:asciiTheme="minorHAnsi" w:hAnsiTheme="minorHAnsi" w:cstheme="minorHAnsi"/>
          <w:szCs w:val="20"/>
        </w:rPr>
        <w:instrText xml:space="preserve"> REF _Ref230191888 \h </w:instrText>
      </w:r>
      <w:r w:rsidR="009B2BB6">
        <w:rPr>
          <w:rFonts w:asciiTheme="minorHAnsi" w:hAnsiTheme="minorHAnsi" w:cstheme="minorHAnsi"/>
          <w:szCs w:val="20"/>
        </w:rPr>
        <w:instrText xml:space="preserve"> \* MERGEFORMAT </w:instrText>
      </w:r>
      <w:r>
        <w:rPr>
          <w:rFonts w:asciiTheme="minorHAnsi" w:hAnsiTheme="minorHAnsi" w:cstheme="minorHAnsi"/>
          <w:szCs w:val="20"/>
        </w:rPr>
      </w:r>
      <w:r>
        <w:rPr>
          <w:rFonts w:asciiTheme="minorHAnsi" w:hAnsiTheme="minorHAnsi" w:cstheme="minorHAnsi"/>
          <w:szCs w:val="20"/>
        </w:rPr>
        <w:fldChar w:fldCharType="separate"/>
      </w:r>
      <w:r w:rsidR="00753DAF" w:rsidRPr="00E27D3B">
        <w:t xml:space="preserve">Figure </w:t>
      </w:r>
      <w:r w:rsidR="00753DAF">
        <w:rPr>
          <w:noProof/>
        </w:rPr>
        <w:t>38</w:t>
      </w:r>
      <w:r>
        <w:rPr>
          <w:rFonts w:asciiTheme="minorHAnsi" w:hAnsiTheme="minorHAnsi" w:cstheme="minorHAnsi"/>
          <w:szCs w:val="20"/>
        </w:rPr>
        <w:fldChar w:fldCharType="end"/>
      </w:r>
      <w:r w:rsidRPr="00E27D3B">
        <w:rPr>
          <w:rFonts w:asciiTheme="minorHAnsi" w:hAnsiTheme="minorHAnsi" w:cstheme="minorHAnsi"/>
          <w:szCs w:val="20"/>
        </w:rPr>
        <w:t>(b) illustrates the influence of increased load dynamics on voltage stability at Bus 507. It is observed that the system is highly sensitive to the dynamic composition of the load at the faulted bus. Higher proportions of dynamic loads negatively impact both short-term and long-term voltage stability during post-fault recovery. This impact can cause induction motors (Motors A, B, C, and D) to stall. This stalling may trigger subsequent local disturbances, potentially escalating into system-wide voltage instability.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E57F4" w:rsidRPr="00E27D3B" w14:paraId="22B92004" w14:textId="77777777" w:rsidTr="0002386E">
        <w:tc>
          <w:tcPr>
            <w:tcW w:w="4819" w:type="dxa"/>
          </w:tcPr>
          <w:p w14:paraId="692CC58D" w14:textId="2795FC71" w:rsidR="00BE57F4" w:rsidRPr="00E27D3B" w:rsidRDefault="00DF1FB6" w:rsidP="00CD4F3A">
            <w:pPr>
              <w:ind w:right="-22"/>
              <w:jc w:val="both"/>
              <w:rPr>
                <w:sz w:val="24"/>
                <w:szCs w:val="24"/>
              </w:rPr>
            </w:pPr>
            <w:r w:rsidRPr="00DF1FB6">
              <w:rPr>
                <w:noProof/>
                <w:sz w:val="24"/>
                <w:szCs w:val="24"/>
              </w:rPr>
              <w:drawing>
                <wp:inline distT="0" distB="0" distL="0" distR="0" wp14:anchorId="50FE1021" wp14:editId="7A303CB6">
                  <wp:extent cx="2971800" cy="1362075"/>
                  <wp:effectExtent l="0" t="0" r="0" b="0"/>
                  <wp:docPr id="112770474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971800" cy="1362075"/>
                          </a:xfrm>
                          <a:prstGeom prst="rect">
                            <a:avLst/>
                          </a:prstGeom>
                          <a:noFill/>
                          <a:ln>
                            <a:noFill/>
                          </a:ln>
                        </pic:spPr>
                      </pic:pic>
                    </a:graphicData>
                  </a:graphic>
                </wp:inline>
              </w:drawing>
            </w:r>
          </w:p>
        </w:tc>
        <w:tc>
          <w:tcPr>
            <w:tcW w:w="4819" w:type="dxa"/>
          </w:tcPr>
          <w:p w14:paraId="75A3A9E1" w14:textId="4D4E8575" w:rsidR="00BE57F4" w:rsidRPr="00E27D3B" w:rsidRDefault="00DF1FB6" w:rsidP="00CD4F3A">
            <w:pPr>
              <w:ind w:right="-22"/>
              <w:jc w:val="both"/>
              <w:rPr>
                <w:sz w:val="24"/>
                <w:szCs w:val="24"/>
              </w:rPr>
            </w:pPr>
            <w:r w:rsidRPr="00DF1FB6">
              <w:rPr>
                <w:noProof/>
                <w:sz w:val="24"/>
                <w:szCs w:val="24"/>
              </w:rPr>
              <w:drawing>
                <wp:inline distT="0" distB="0" distL="0" distR="0" wp14:anchorId="726F79DB" wp14:editId="3102A3B1">
                  <wp:extent cx="3067050" cy="1257300"/>
                  <wp:effectExtent l="0" t="0" r="0" b="0"/>
                  <wp:docPr id="145250225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67050" cy="1257300"/>
                          </a:xfrm>
                          <a:prstGeom prst="rect">
                            <a:avLst/>
                          </a:prstGeom>
                          <a:noFill/>
                          <a:ln>
                            <a:noFill/>
                          </a:ln>
                        </pic:spPr>
                      </pic:pic>
                    </a:graphicData>
                  </a:graphic>
                </wp:inline>
              </w:drawing>
            </w:r>
          </w:p>
        </w:tc>
      </w:tr>
      <w:tr w:rsidR="00BE57F4" w:rsidRPr="00E27D3B" w14:paraId="5042EC9F" w14:textId="77777777" w:rsidTr="0002386E">
        <w:tc>
          <w:tcPr>
            <w:tcW w:w="4819" w:type="dxa"/>
          </w:tcPr>
          <w:p w14:paraId="330DF5EC" w14:textId="77777777" w:rsidR="00BE57F4" w:rsidRPr="00E27D3B" w:rsidRDefault="00BE57F4" w:rsidP="00CD4F3A">
            <w:pPr>
              <w:ind w:right="-22"/>
              <w:jc w:val="center"/>
              <w:rPr>
                <w:sz w:val="24"/>
                <w:szCs w:val="24"/>
              </w:rPr>
            </w:pPr>
            <w:r w:rsidRPr="00E27D3B">
              <w:rPr>
                <w:sz w:val="24"/>
                <w:szCs w:val="24"/>
              </w:rPr>
              <w:t>(a)</w:t>
            </w:r>
          </w:p>
        </w:tc>
        <w:tc>
          <w:tcPr>
            <w:tcW w:w="4819" w:type="dxa"/>
          </w:tcPr>
          <w:p w14:paraId="39A0289D" w14:textId="77777777" w:rsidR="00BE57F4" w:rsidRPr="00E27D3B" w:rsidRDefault="00BE57F4" w:rsidP="00CD4F3A">
            <w:pPr>
              <w:keepNext/>
              <w:ind w:right="-22"/>
              <w:jc w:val="center"/>
              <w:rPr>
                <w:sz w:val="24"/>
                <w:szCs w:val="24"/>
              </w:rPr>
            </w:pPr>
            <w:r w:rsidRPr="00E27D3B">
              <w:rPr>
                <w:sz w:val="24"/>
                <w:szCs w:val="24"/>
              </w:rPr>
              <w:t>(b)</w:t>
            </w:r>
          </w:p>
        </w:tc>
      </w:tr>
      <w:tr w:rsidR="00BE57F4" w:rsidRPr="00E27D3B" w14:paraId="42F2721D" w14:textId="77777777" w:rsidTr="0002386E">
        <w:tc>
          <w:tcPr>
            <w:tcW w:w="4819" w:type="dxa"/>
          </w:tcPr>
          <w:p w14:paraId="327C6495" w14:textId="22AFC967" w:rsidR="00BE57F4" w:rsidRPr="00E27D3B" w:rsidRDefault="00DF1FB6" w:rsidP="00CD4F3A">
            <w:pPr>
              <w:ind w:right="-22"/>
              <w:jc w:val="both"/>
              <w:rPr>
                <w:sz w:val="24"/>
                <w:szCs w:val="24"/>
              </w:rPr>
            </w:pPr>
            <w:r w:rsidRPr="00DF1FB6">
              <w:rPr>
                <w:noProof/>
                <w:sz w:val="24"/>
                <w:szCs w:val="24"/>
              </w:rPr>
              <w:drawing>
                <wp:inline distT="0" distB="0" distL="0" distR="0" wp14:anchorId="5E82CA70" wp14:editId="75F06717">
                  <wp:extent cx="3067050" cy="1285875"/>
                  <wp:effectExtent l="0" t="0" r="0" b="9525"/>
                  <wp:docPr id="34454704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67050" cy="1285875"/>
                          </a:xfrm>
                          <a:prstGeom prst="rect">
                            <a:avLst/>
                          </a:prstGeom>
                          <a:noFill/>
                          <a:ln>
                            <a:noFill/>
                          </a:ln>
                        </pic:spPr>
                      </pic:pic>
                    </a:graphicData>
                  </a:graphic>
                </wp:inline>
              </w:drawing>
            </w:r>
          </w:p>
        </w:tc>
        <w:tc>
          <w:tcPr>
            <w:tcW w:w="4819" w:type="dxa"/>
          </w:tcPr>
          <w:p w14:paraId="692B7348" w14:textId="2FDDD44F" w:rsidR="00BE57F4" w:rsidRPr="00E27D3B" w:rsidRDefault="00DF1FB6" w:rsidP="00CD4F3A">
            <w:pPr>
              <w:keepNext/>
              <w:ind w:right="-22"/>
              <w:jc w:val="both"/>
              <w:rPr>
                <w:sz w:val="24"/>
                <w:szCs w:val="24"/>
              </w:rPr>
            </w:pPr>
            <w:r w:rsidRPr="00DF1FB6">
              <w:rPr>
                <w:noProof/>
                <w:sz w:val="24"/>
                <w:szCs w:val="24"/>
              </w:rPr>
              <w:drawing>
                <wp:inline distT="0" distB="0" distL="0" distR="0" wp14:anchorId="4A66B70C" wp14:editId="2D584F10">
                  <wp:extent cx="2924175" cy="1285875"/>
                  <wp:effectExtent l="0" t="0" r="9525" b="9525"/>
                  <wp:docPr id="99662519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4175" cy="1285875"/>
                          </a:xfrm>
                          <a:prstGeom prst="rect">
                            <a:avLst/>
                          </a:prstGeom>
                          <a:noFill/>
                          <a:ln>
                            <a:noFill/>
                          </a:ln>
                        </pic:spPr>
                      </pic:pic>
                    </a:graphicData>
                  </a:graphic>
                </wp:inline>
              </w:drawing>
            </w:r>
          </w:p>
        </w:tc>
      </w:tr>
      <w:tr w:rsidR="00BE57F4" w:rsidRPr="00E27D3B" w14:paraId="65FF4DD7" w14:textId="77777777" w:rsidTr="0002386E">
        <w:tc>
          <w:tcPr>
            <w:tcW w:w="4819" w:type="dxa"/>
          </w:tcPr>
          <w:p w14:paraId="6A109E05" w14:textId="77777777" w:rsidR="00BE57F4" w:rsidRPr="00E27D3B" w:rsidRDefault="00BE57F4" w:rsidP="00CD4F3A">
            <w:pPr>
              <w:ind w:right="-22"/>
              <w:jc w:val="center"/>
              <w:rPr>
                <w:sz w:val="24"/>
                <w:szCs w:val="24"/>
              </w:rPr>
            </w:pPr>
            <w:r w:rsidRPr="00E27D3B">
              <w:rPr>
                <w:sz w:val="24"/>
                <w:szCs w:val="24"/>
              </w:rPr>
              <w:t>(c)</w:t>
            </w:r>
          </w:p>
        </w:tc>
        <w:tc>
          <w:tcPr>
            <w:tcW w:w="4819" w:type="dxa"/>
          </w:tcPr>
          <w:p w14:paraId="1A8B1DB4" w14:textId="77777777" w:rsidR="00BE57F4" w:rsidRPr="00E27D3B" w:rsidRDefault="00BE57F4" w:rsidP="00CD4F3A">
            <w:pPr>
              <w:keepNext/>
              <w:ind w:right="-22"/>
              <w:jc w:val="center"/>
              <w:rPr>
                <w:sz w:val="24"/>
                <w:szCs w:val="24"/>
              </w:rPr>
            </w:pPr>
            <w:r w:rsidRPr="00E27D3B">
              <w:rPr>
                <w:sz w:val="24"/>
                <w:szCs w:val="24"/>
              </w:rPr>
              <w:t>(d)</w:t>
            </w:r>
          </w:p>
        </w:tc>
      </w:tr>
    </w:tbl>
    <w:p w14:paraId="0E5A2DF0" w14:textId="51B1CFB0" w:rsidR="00BE57F4" w:rsidRPr="00E27D3B" w:rsidRDefault="00BE57F4" w:rsidP="00CD4F3A">
      <w:pPr>
        <w:pStyle w:val="Caption"/>
        <w:spacing w:line="240" w:lineRule="auto"/>
        <w:jc w:val="both"/>
      </w:pPr>
      <w:bookmarkStart w:id="195" w:name="_Ref230191959"/>
      <w:bookmarkStart w:id="196" w:name="_Toc224235130"/>
      <w:bookmarkStart w:id="197" w:name="_Toc230198630"/>
      <w:bookmarkStart w:id="198" w:name="_Toc233735045"/>
      <w:r w:rsidRPr="00E27D3B">
        <w:t xml:space="preserve">Figure </w:t>
      </w:r>
      <w:fldSimple w:instr=" SEQ Figure \* ARABIC ">
        <w:r w:rsidR="00A85006">
          <w:rPr>
            <w:noProof/>
          </w:rPr>
          <w:t>39</w:t>
        </w:r>
      </w:fldSimple>
      <w:bookmarkEnd w:id="195"/>
      <w:r w:rsidRPr="00E27D3B">
        <w:t>: The impact of fault at bus 507 on other buses for (a) Gen. Case 1, (b) Gen. Case 2, (c) Gen. Case 3, and (d) Gen. Case 4.</w:t>
      </w:r>
      <w:bookmarkEnd w:id="196"/>
      <w:bookmarkEnd w:id="197"/>
      <w:bookmarkEnd w:id="198"/>
    </w:p>
    <w:p w14:paraId="34A11B31" w14:textId="29D122F3" w:rsidR="00BE57F4" w:rsidRPr="00FE77CF" w:rsidRDefault="00BE57F4" w:rsidP="004423A7">
      <w:pPr>
        <w:pStyle w:val="ListNumber"/>
        <w:numPr>
          <w:ilvl w:val="0"/>
          <w:numId w:val="0"/>
        </w:numPr>
        <w:tabs>
          <w:tab w:val="clear" w:pos="397"/>
          <w:tab w:val="left" w:pos="0"/>
        </w:tabs>
        <w:spacing w:after="0"/>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_Ref230191959 \h </w:instrText>
      </w:r>
      <w:r w:rsidR="009B2BB6">
        <w:rPr>
          <w:rFonts w:asciiTheme="minorHAnsi" w:hAnsiTheme="minorHAnsi" w:cstheme="minorHAnsi"/>
          <w:szCs w:val="20"/>
        </w:rPr>
        <w:instrText xml:space="preserve"> \* MERGEFORMAT </w:instrText>
      </w:r>
      <w:r>
        <w:rPr>
          <w:rFonts w:asciiTheme="minorHAnsi" w:hAnsiTheme="minorHAnsi" w:cstheme="minorHAnsi"/>
          <w:szCs w:val="20"/>
        </w:rPr>
      </w:r>
      <w:r>
        <w:rPr>
          <w:rFonts w:asciiTheme="minorHAnsi" w:hAnsiTheme="minorHAnsi" w:cstheme="minorHAnsi"/>
          <w:szCs w:val="20"/>
        </w:rPr>
        <w:fldChar w:fldCharType="separate"/>
      </w:r>
      <w:r w:rsidR="00753DAF" w:rsidRPr="00E27D3B">
        <w:t xml:space="preserve">Figure </w:t>
      </w:r>
      <w:r w:rsidR="00753DAF">
        <w:rPr>
          <w:noProof/>
        </w:rPr>
        <w:t>39</w:t>
      </w:r>
      <w:r>
        <w:rPr>
          <w:rFonts w:asciiTheme="minorHAnsi" w:hAnsiTheme="minorHAnsi" w:cstheme="minorHAnsi"/>
          <w:szCs w:val="20"/>
        </w:rPr>
        <w:fldChar w:fldCharType="end"/>
      </w:r>
      <w:r w:rsidRPr="00E27D3B">
        <w:rPr>
          <w:rFonts w:asciiTheme="minorHAnsi" w:hAnsiTheme="minorHAnsi" w:cstheme="minorHAnsi"/>
          <w:szCs w:val="20"/>
        </w:rPr>
        <w:t xml:space="preserve">(a)–(d) and </w:t>
      </w:r>
      <w:r>
        <w:rPr>
          <w:rFonts w:asciiTheme="minorHAnsi" w:hAnsiTheme="minorHAnsi" w:cstheme="minorHAnsi"/>
          <w:szCs w:val="20"/>
        </w:rPr>
        <w:fldChar w:fldCharType="begin"/>
      </w:r>
      <w:r>
        <w:rPr>
          <w:rFonts w:asciiTheme="minorHAnsi" w:hAnsiTheme="minorHAnsi" w:cstheme="minorHAnsi"/>
          <w:szCs w:val="20"/>
        </w:rPr>
        <w:instrText xml:space="preserve"> REF _Ref230191968 \h </w:instrText>
      </w:r>
      <w:r w:rsidR="009B2BB6">
        <w:rPr>
          <w:rFonts w:asciiTheme="minorHAnsi" w:hAnsiTheme="minorHAnsi" w:cstheme="minorHAnsi"/>
          <w:szCs w:val="20"/>
        </w:rPr>
        <w:instrText xml:space="preserve"> \* MERGEFORMAT </w:instrText>
      </w:r>
      <w:r>
        <w:rPr>
          <w:rFonts w:asciiTheme="minorHAnsi" w:hAnsiTheme="minorHAnsi" w:cstheme="minorHAnsi"/>
          <w:szCs w:val="20"/>
        </w:rPr>
      </w:r>
      <w:r>
        <w:rPr>
          <w:rFonts w:asciiTheme="minorHAnsi" w:hAnsiTheme="minorHAnsi" w:cstheme="minorHAnsi"/>
          <w:szCs w:val="20"/>
        </w:rPr>
        <w:fldChar w:fldCharType="separate"/>
      </w:r>
      <w:r w:rsidR="00753DAF" w:rsidRPr="00E27D3B">
        <w:t xml:space="preserve">Figure </w:t>
      </w:r>
      <w:r w:rsidR="00753DAF">
        <w:rPr>
          <w:noProof/>
        </w:rPr>
        <w:t>40</w:t>
      </w:r>
      <w:r>
        <w:rPr>
          <w:rFonts w:asciiTheme="minorHAnsi" w:hAnsiTheme="minorHAnsi" w:cstheme="minorHAnsi"/>
          <w:szCs w:val="20"/>
        </w:rPr>
        <w:fldChar w:fldCharType="end"/>
      </w:r>
      <w:r w:rsidRPr="00E27D3B">
        <w:rPr>
          <w:rFonts w:asciiTheme="minorHAnsi" w:hAnsiTheme="minorHAnsi" w:cstheme="minorHAnsi"/>
          <w:szCs w:val="20"/>
        </w:rPr>
        <w:t>(a)–(c) show the impact of a fault at bus 507 on the other buses for the Gen. Case 1 to Gen. Case 4 and load case-1 to load case 3,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90"/>
      </w:tblGrid>
      <w:tr w:rsidR="00BE57F4" w:rsidRPr="00E27D3B" w14:paraId="30E77D97" w14:textId="77777777" w:rsidTr="0002386E">
        <w:tc>
          <w:tcPr>
            <w:tcW w:w="4844" w:type="dxa"/>
          </w:tcPr>
          <w:p w14:paraId="239CF9D3" w14:textId="4723FEE2" w:rsidR="00BE57F4" w:rsidRPr="00E27D3B" w:rsidRDefault="0089726F" w:rsidP="00CD4F3A">
            <w:pPr>
              <w:ind w:right="-22"/>
              <w:jc w:val="both"/>
              <w:rPr>
                <w:sz w:val="24"/>
                <w:szCs w:val="24"/>
              </w:rPr>
            </w:pPr>
            <w:r w:rsidRPr="0089726F">
              <w:rPr>
                <w:noProof/>
                <w:sz w:val="24"/>
                <w:szCs w:val="24"/>
              </w:rPr>
              <w:lastRenderedPageBreak/>
              <w:drawing>
                <wp:inline distT="0" distB="0" distL="0" distR="0" wp14:anchorId="64B0B1A9" wp14:editId="4E26F223">
                  <wp:extent cx="3067050" cy="1295400"/>
                  <wp:effectExtent l="0" t="0" r="0" b="0"/>
                  <wp:docPr id="147325949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67050" cy="1295400"/>
                          </a:xfrm>
                          <a:prstGeom prst="rect">
                            <a:avLst/>
                          </a:prstGeom>
                          <a:noFill/>
                          <a:ln>
                            <a:noFill/>
                          </a:ln>
                        </pic:spPr>
                      </pic:pic>
                    </a:graphicData>
                  </a:graphic>
                </wp:inline>
              </w:drawing>
            </w:r>
          </w:p>
        </w:tc>
        <w:tc>
          <w:tcPr>
            <w:tcW w:w="4794" w:type="dxa"/>
          </w:tcPr>
          <w:p w14:paraId="5828D104" w14:textId="686B56DB" w:rsidR="00BE57F4" w:rsidRPr="00E27D3B" w:rsidRDefault="0089726F" w:rsidP="00CD4F3A">
            <w:pPr>
              <w:ind w:right="-22"/>
              <w:jc w:val="both"/>
              <w:rPr>
                <w:sz w:val="24"/>
                <w:szCs w:val="24"/>
              </w:rPr>
            </w:pPr>
            <w:r w:rsidRPr="0089726F">
              <w:rPr>
                <w:noProof/>
                <w:sz w:val="24"/>
                <w:szCs w:val="24"/>
              </w:rPr>
              <w:drawing>
                <wp:inline distT="0" distB="0" distL="0" distR="0" wp14:anchorId="6EAC433B" wp14:editId="0BC38FAB">
                  <wp:extent cx="3028950" cy="1276350"/>
                  <wp:effectExtent l="0" t="0" r="0" b="0"/>
                  <wp:docPr id="204804870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28950" cy="1276350"/>
                          </a:xfrm>
                          <a:prstGeom prst="rect">
                            <a:avLst/>
                          </a:prstGeom>
                          <a:noFill/>
                          <a:ln>
                            <a:noFill/>
                          </a:ln>
                        </pic:spPr>
                      </pic:pic>
                    </a:graphicData>
                  </a:graphic>
                </wp:inline>
              </w:drawing>
            </w:r>
          </w:p>
        </w:tc>
      </w:tr>
      <w:tr w:rsidR="00BE57F4" w:rsidRPr="00E27D3B" w14:paraId="794C3458" w14:textId="77777777" w:rsidTr="0002386E">
        <w:tc>
          <w:tcPr>
            <w:tcW w:w="4844" w:type="dxa"/>
          </w:tcPr>
          <w:p w14:paraId="3BC9DC5A" w14:textId="77777777" w:rsidR="00BE57F4" w:rsidRPr="00E27D3B" w:rsidRDefault="00BE57F4" w:rsidP="00CD4F3A">
            <w:pPr>
              <w:ind w:right="-22"/>
              <w:jc w:val="center"/>
              <w:rPr>
                <w:sz w:val="24"/>
                <w:szCs w:val="24"/>
              </w:rPr>
            </w:pPr>
            <w:r w:rsidRPr="00E27D3B">
              <w:rPr>
                <w:sz w:val="24"/>
                <w:szCs w:val="24"/>
              </w:rPr>
              <w:t>(a)</w:t>
            </w:r>
          </w:p>
        </w:tc>
        <w:tc>
          <w:tcPr>
            <w:tcW w:w="4794" w:type="dxa"/>
          </w:tcPr>
          <w:p w14:paraId="4A174202" w14:textId="77777777" w:rsidR="00BE57F4" w:rsidRPr="00E27D3B" w:rsidRDefault="00BE57F4" w:rsidP="00CD4F3A">
            <w:pPr>
              <w:keepNext/>
              <w:ind w:right="-22"/>
              <w:jc w:val="center"/>
              <w:rPr>
                <w:sz w:val="24"/>
                <w:szCs w:val="24"/>
              </w:rPr>
            </w:pPr>
            <w:r w:rsidRPr="00E27D3B">
              <w:rPr>
                <w:sz w:val="24"/>
                <w:szCs w:val="24"/>
              </w:rPr>
              <w:t>(b)</w:t>
            </w:r>
          </w:p>
        </w:tc>
      </w:tr>
      <w:tr w:rsidR="00BE57F4" w:rsidRPr="00E27D3B" w14:paraId="20715F02" w14:textId="77777777" w:rsidTr="0002386E">
        <w:tc>
          <w:tcPr>
            <w:tcW w:w="9638" w:type="dxa"/>
            <w:gridSpan w:val="2"/>
          </w:tcPr>
          <w:p w14:paraId="7B810A34" w14:textId="317FB590" w:rsidR="00BE57F4" w:rsidRPr="00E27D3B" w:rsidRDefault="0089726F" w:rsidP="00CD4F3A">
            <w:pPr>
              <w:keepNext/>
              <w:ind w:right="-22"/>
              <w:jc w:val="center"/>
              <w:rPr>
                <w:sz w:val="24"/>
                <w:szCs w:val="24"/>
              </w:rPr>
            </w:pPr>
            <w:r w:rsidRPr="0089726F">
              <w:rPr>
                <w:noProof/>
                <w:sz w:val="24"/>
                <w:szCs w:val="24"/>
              </w:rPr>
              <w:drawing>
                <wp:inline distT="0" distB="0" distL="0" distR="0" wp14:anchorId="24C7632F" wp14:editId="2FD24A78">
                  <wp:extent cx="3067050" cy="1276350"/>
                  <wp:effectExtent l="0" t="0" r="0" b="0"/>
                  <wp:docPr id="146106009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67050" cy="1276350"/>
                          </a:xfrm>
                          <a:prstGeom prst="rect">
                            <a:avLst/>
                          </a:prstGeom>
                          <a:noFill/>
                          <a:ln>
                            <a:noFill/>
                          </a:ln>
                        </pic:spPr>
                      </pic:pic>
                    </a:graphicData>
                  </a:graphic>
                </wp:inline>
              </w:drawing>
            </w:r>
          </w:p>
        </w:tc>
      </w:tr>
      <w:tr w:rsidR="00BE57F4" w:rsidRPr="00E27D3B" w14:paraId="6DA30924" w14:textId="77777777" w:rsidTr="0002386E">
        <w:tc>
          <w:tcPr>
            <w:tcW w:w="9638" w:type="dxa"/>
            <w:gridSpan w:val="2"/>
          </w:tcPr>
          <w:p w14:paraId="38569BC8" w14:textId="77777777" w:rsidR="00BE57F4" w:rsidRPr="00E27D3B" w:rsidRDefault="00BE57F4" w:rsidP="00CD4F3A">
            <w:pPr>
              <w:keepNext/>
              <w:ind w:right="-22"/>
              <w:jc w:val="center"/>
              <w:rPr>
                <w:sz w:val="24"/>
                <w:szCs w:val="24"/>
              </w:rPr>
            </w:pPr>
            <w:r w:rsidRPr="00E27D3B">
              <w:rPr>
                <w:sz w:val="24"/>
                <w:szCs w:val="24"/>
              </w:rPr>
              <w:t>(c)</w:t>
            </w:r>
          </w:p>
        </w:tc>
      </w:tr>
    </w:tbl>
    <w:p w14:paraId="22A2A0D7" w14:textId="567582CC" w:rsidR="00BE57F4" w:rsidRPr="00E27D3B" w:rsidRDefault="00BE57F4" w:rsidP="00CD4F3A">
      <w:pPr>
        <w:pStyle w:val="Caption"/>
        <w:spacing w:line="240" w:lineRule="auto"/>
        <w:jc w:val="both"/>
      </w:pPr>
      <w:bookmarkStart w:id="199" w:name="_Ref230191968"/>
      <w:bookmarkStart w:id="200" w:name="_Toc224235131"/>
      <w:bookmarkStart w:id="201" w:name="_Toc230198631"/>
      <w:bookmarkStart w:id="202" w:name="_Toc233735046"/>
      <w:r w:rsidRPr="00E27D3B">
        <w:t xml:space="preserve">Figure </w:t>
      </w:r>
      <w:fldSimple w:instr=" SEQ Figure \* ARABIC ">
        <w:r w:rsidR="00A85006">
          <w:rPr>
            <w:noProof/>
          </w:rPr>
          <w:t>40</w:t>
        </w:r>
      </w:fldSimple>
      <w:bookmarkEnd w:id="199"/>
      <w:r w:rsidRPr="00E27D3B">
        <w:t xml:space="preserve">: </w:t>
      </w:r>
      <w:r w:rsidR="00905EC2">
        <w:t>I</w:t>
      </w:r>
      <w:r w:rsidRPr="00E27D3B">
        <w:t>mpact of fault at bus 507 on other buses for (a) Load Case 1, (b) Load Case 2, and (c) Load Case 3.</w:t>
      </w:r>
      <w:bookmarkEnd w:id="200"/>
      <w:bookmarkEnd w:id="201"/>
      <w:bookmarkEnd w:id="202"/>
    </w:p>
    <w:p w14:paraId="54012E32" w14:textId="6A82DA77" w:rsidR="00BE57F4" w:rsidRPr="00E27D3B" w:rsidRDefault="00BE57F4" w:rsidP="00905EC2">
      <w:pPr>
        <w:pStyle w:val="BodyText"/>
        <w:spacing w:after="0"/>
      </w:pPr>
      <w:r>
        <w:fldChar w:fldCharType="begin"/>
      </w:r>
      <w:r>
        <w:instrText xml:space="preserve"> REF _Ref230191959 \h </w:instrText>
      </w:r>
      <w:r w:rsidR="009B2BB6">
        <w:instrText xml:space="preserve"> \* MERGEFORMAT </w:instrText>
      </w:r>
      <w:r>
        <w:fldChar w:fldCharType="separate"/>
      </w:r>
      <w:r w:rsidR="00753DAF" w:rsidRPr="00E27D3B">
        <w:t xml:space="preserve">Figure </w:t>
      </w:r>
      <w:r w:rsidR="00753DAF">
        <w:rPr>
          <w:noProof/>
        </w:rPr>
        <w:t>39</w:t>
      </w:r>
      <w:r>
        <w:fldChar w:fldCharType="end"/>
      </w:r>
      <w:r w:rsidRPr="00E27D3B">
        <w:t xml:space="preserve"> and </w:t>
      </w:r>
      <w:r>
        <w:fldChar w:fldCharType="begin"/>
      </w:r>
      <w:r>
        <w:instrText xml:space="preserve"> REF _Ref230191968 \h </w:instrText>
      </w:r>
      <w:r w:rsidR="009B2BB6">
        <w:instrText xml:space="preserve"> \* MERGEFORMAT </w:instrText>
      </w:r>
      <w:r>
        <w:fldChar w:fldCharType="separate"/>
      </w:r>
      <w:r w:rsidR="00753DAF" w:rsidRPr="00E27D3B">
        <w:t xml:space="preserve">Figure </w:t>
      </w:r>
      <w:r w:rsidR="00753DAF">
        <w:rPr>
          <w:noProof/>
        </w:rPr>
        <w:t>40</w:t>
      </w:r>
      <w:r>
        <w:fldChar w:fldCharType="end"/>
      </w:r>
      <w:r w:rsidRPr="00E27D3B">
        <w:t xml:space="preserve"> indicate that certain load and generator buses, such as Buses 505, 506, and 508, exhibit high sensitivity to a fault at Bus 507, while other buses experience comparatively minor effects. This sensitivity is largely governed by the electrical distance between the faulted bus and each healthy bus, which will be examined in detail in a later section. Overall, the system voltages display increased variability and slower recovery as the penetration levels of renewable generation and dynamic loads rise.</w:t>
      </w:r>
    </w:p>
    <w:p w14:paraId="4C56290D" w14:textId="21A0F20C" w:rsidR="00BE57F4" w:rsidRPr="00E27D3B" w:rsidRDefault="00BE57F4" w:rsidP="00905EC2">
      <w:pPr>
        <w:pStyle w:val="BodyText"/>
        <w:spacing w:after="0"/>
        <w:rPr>
          <w:szCs w:val="20"/>
        </w:rPr>
      </w:pPr>
      <w:r>
        <w:rPr>
          <w:szCs w:val="20"/>
        </w:rPr>
        <w:fldChar w:fldCharType="begin"/>
      </w:r>
      <w:r>
        <w:rPr>
          <w:szCs w:val="20"/>
        </w:rPr>
        <w:instrText xml:space="preserve"> REF _Ref230192015 \h </w:instrText>
      </w:r>
      <w:r w:rsidR="009B2BB6">
        <w:rPr>
          <w:szCs w:val="20"/>
        </w:rPr>
        <w:instrText xml:space="preserve"> \* MERGEFORMAT </w:instrText>
      </w:r>
      <w:r>
        <w:rPr>
          <w:szCs w:val="20"/>
        </w:rPr>
      </w:r>
      <w:r>
        <w:rPr>
          <w:szCs w:val="20"/>
        </w:rPr>
        <w:fldChar w:fldCharType="separate"/>
      </w:r>
      <w:r w:rsidR="00753DAF" w:rsidRPr="00E27D3B">
        <w:t xml:space="preserve">Figure </w:t>
      </w:r>
      <w:r w:rsidR="00753DAF">
        <w:rPr>
          <w:noProof/>
        </w:rPr>
        <w:t>41</w:t>
      </w:r>
      <w:r>
        <w:rPr>
          <w:szCs w:val="20"/>
        </w:rPr>
        <w:fldChar w:fldCharType="end"/>
      </w:r>
      <w:r>
        <w:rPr>
          <w:szCs w:val="20"/>
        </w:rPr>
        <w:t xml:space="preserve"> </w:t>
      </w:r>
      <w:r w:rsidRPr="00E27D3B">
        <w:rPr>
          <w:szCs w:val="20"/>
        </w:rPr>
        <w:t xml:space="preserve">presents the bus voltage signature quantified using the proposed </w:t>
      </w:r>
      <w:r w:rsidRPr="00E27D3B">
        <w:rPr>
          <w:i/>
          <w:iCs/>
          <w:szCs w:val="20"/>
        </w:rPr>
        <w:t>DVRI</w:t>
      </w:r>
      <w:r w:rsidRPr="00E27D3B">
        <w:rPr>
          <w:szCs w:val="20"/>
        </w:rPr>
        <w:t xml:space="preserve"> for varying levels of renewable generation (Gen. Case 1 to Gen. Case 4). </w:t>
      </w:r>
      <w:r>
        <w:rPr>
          <w:szCs w:val="20"/>
        </w:rPr>
        <w:fldChar w:fldCharType="begin"/>
      </w:r>
      <w:r>
        <w:rPr>
          <w:szCs w:val="20"/>
        </w:rPr>
        <w:instrText xml:space="preserve"> REF _Ref230192015 \h </w:instrText>
      </w:r>
      <w:r w:rsidR="009B2BB6">
        <w:rPr>
          <w:szCs w:val="20"/>
        </w:rPr>
        <w:instrText xml:space="preserve"> \* MERGEFORMAT </w:instrText>
      </w:r>
      <w:r>
        <w:rPr>
          <w:szCs w:val="20"/>
        </w:rPr>
      </w:r>
      <w:r>
        <w:rPr>
          <w:szCs w:val="20"/>
        </w:rPr>
        <w:fldChar w:fldCharType="separate"/>
      </w:r>
      <w:r w:rsidR="00753DAF" w:rsidRPr="00E27D3B">
        <w:t xml:space="preserve">Figure </w:t>
      </w:r>
      <w:r w:rsidR="00753DAF">
        <w:rPr>
          <w:noProof/>
        </w:rPr>
        <w:t>41</w:t>
      </w:r>
      <w:r>
        <w:rPr>
          <w:szCs w:val="20"/>
        </w:rPr>
        <w:fldChar w:fldCharType="end"/>
      </w:r>
      <w:r w:rsidRPr="00E27D3B">
        <w:rPr>
          <w:szCs w:val="20"/>
        </w:rPr>
        <w:t xml:space="preserve">(a) shows STVI and </w:t>
      </w:r>
      <w:r>
        <w:rPr>
          <w:szCs w:val="20"/>
        </w:rPr>
        <w:fldChar w:fldCharType="begin"/>
      </w:r>
      <w:r>
        <w:rPr>
          <w:szCs w:val="20"/>
        </w:rPr>
        <w:instrText xml:space="preserve"> REF _Ref230192015 \h </w:instrText>
      </w:r>
      <w:r w:rsidR="009B2BB6">
        <w:rPr>
          <w:szCs w:val="20"/>
        </w:rPr>
        <w:instrText xml:space="preserve"> \* MERGEFORMAT </w:instrText>
      </w:r>
      <w:r>
        <w:rPr>
          <w:szCs w:val="20"/>
        </w:rPr>
      </w:r>
      <w:r>
        <w:rPr>
          <w:szCs w:val="20"/>
        </w:rPr>
        <w:fldChar w:fldCharType="separate"/>
      </w:r>
      <w:r w:rsidR="00753DAF" w:rsidRPr="00E27D3B">
        <w:t xml:space="preserve">Figure </w:t>
      </w:r>
      <w:r w:rsidR="00753DAF">
        <w:rPr>
          <w:noProof/>
        </w:rPr>
        <w:t>41</w:t>
      </w:r>
      <w:r>
        <w:rPr>
          <w:szCs w:val="20"/>
        </w:rPr>
        <w:fldChar w:fldCharType="end"/>
      </w:r>
      <w:r w:rsidRPr="00E27D3B">
        <w:rPr>
          <w:szCs w:val="20"/>
        </w:rPr>
        <w:t>(b) illustrates LTVI. Overall, the results exhibit a declining trend, indicating that higher renewable penetration leads to greater voltage fluctuations and reduced voltage recovery performance.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713"/>
      </w:tblGrid>
      <w:tr w:rsidR="00BE57F4" w:rsidRPr="00E27D3B" w14:paraId="4C3C62D1" w14:textId="77777777" w:rsidTr="0002386E">
        <w:tc>
          <w:tcPr>
            <w:tcW w:w="4925" w:type="dxa"/>
          </w:tcPr>
          <w:p w14:paraId="2071BF5A" w14:textId="73FC94FE" w:rsidR="00BE57F4" w:rsidRPr="00E27D3B" w:rsidRDefault="0089726F" w:rsidP="00CD4F3A">
            <w:pPr>
              <w:ind w:right="-22"/>
              <w:jc w:val="both"/>
              <w:rPr>
                <w:sz w:val="24"/>
                <w:szCs w:val="24"/>
              </w:rPr>
            </w:pPr>
            <w:r w:rsidRPr="0089726F">
              <w:rPr>
                <w:noProof/>
                <w:sz w:val="24"/>
                <w:szCs w:val="24"/>
              </w:rPr>
              <w:drawing>
                <wp:inline distT="0" distB="0" distL="0" distR="0" wp14:anchorId="4179AD8D" wp14:editId="778350B7">
                  <wp:extent cx="2806700" cy="1237737"/>
                  <wp:effectExtent l="0" t="0" r="0" b="0"/>
                  <wp:docPr id="209935510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14306" cy="1241091"/>
                          </a:xfrm>
                          <a:prstGeom prst="rect">
                            <a:avLst/>
                          </a:prstGeom>
                          <a:noFill/>
                          <a:ln>
                            <a:noFill/>
                          </a:ln>
                        </pic:spPr>
                      </pic:pic>
                    </a:graphicData>
                  </a:graphic>
                </wp:inline>
              </w:drawing>
            </w:r>
          </w:p>
        </w:tc>
        <w:tc>
          <w:tcPr>
            <w:tcW w:w="4713" w:type="dxa"/>
          </w:tcPr>
          <w:p w14:paraId="46C69B30" w14:textId="77931976" w:rsidR="00BE57F4" w:rsidRPr="00E27D3B" w:rsidRDefault="0089726F" w:rsidP="00CD4F3A">
            <w:pPr>
              <w:ind w:right="-22"/>
              <w:jc w:val="both"/>
              <w:rPr>
                <w:sz w:val="24"/>
                <w:szCs w:val="24"/>
              </w:rPr>
            </w:pPr>
            <w:r w:rsidRPr="0089726F">
              <w:rPr>
                <w:noProof/>
                <w:sz w:val="24"/>
                <w:szCs w:val="24"/>
              </w:rPr>
              <w:drawing>
                <wp:inline distT="0" distB="0" distL="0" distR="0" wp14:anchorId="0177962E" wp14:editId="332FF4E3">
                  <wp:extent cx="2797175" cy="1257362"/>
                  <wp:effectExtent l="0" t="0" r="0" b="0"/>
                  <wp:docPr id="30901782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803507" cy="1260208"/>
                          </a:xfrm>
                          <a:prstGeom prst="rect">
                            <a:avLst/>
                          </a:prstGeom>
                          <a:noFill/>
                          <a:ln>
                            <a:noFill/>
                          </a:ln>
                        </pic:spPr>
                      </pic:pic>
                    </a:graphicData>
                  </a:graphic>
                </wp:inline>
              </w:drawing>
            </w:r>
          </w:p>
        </w:tc>
      </w:tr>
      <w:tr w:rsidR="00BE57F4" w:rsidRPr="00E27D3B" w14:paraId="2E632E1B" w14:textId="77777777" w:rsidTr="0002386E">
        <w:tc>
          <w:tcPr>
            <w:tcW w:w="4925" w:type="dxa"/>
          </w:tcPr>
          <w:p w14:paraId="43A7D8B9" w14:textId="77777777" w:rsidR="00BE57F4" w:rsidRPr="00E27D3B" w:rsidRDefault="00BE57F4" w:rsidP="00CD4F3A">
            <w:pPr>
              <w:ind w:right="-22"/>
              <w:jc w:val="center"/>
              <w:rPr>
                <w:sz w:val="24"/>
                <w:szCs w:val="24"/>
              </w:rPr>
            </w:pPr>
            <w:r w:rsidRPr="00E27D3B">
              <w:rPr>
                <w:sz w:val="24"/>
                <w:szCs w:val="24"/>
              </w:rPr>
              <w:t>(a)</w:t>
            </w:r>
          </w:p>
        </w:tc>
        <w:tc>
          <w:tcPr>
            <w:tcW w:w="4713" w:type="dxa"/>
          </w:tcPr>
          <w:p w14:paraId="19320129" w14:textId="77777777" w:rsidR="00BE57F4" w:rsidRPr="00E27D3B" w:rsidRDefault="00BE57F4" w:rsidP="00CD4F3A">
            <w:pPr>
              <w:keepNext/>
              <w:ind w:right="-22"/>
              <w:jc w:val="center"/>
              <w:rPr>
                <w:sz w:val="24"/>
                <w:szCs w:val="24"/>
              </w:rPr>
            </w:pPr>
            <w:r w:rsidRPr="00E27D3B">
              <w:rPr>
                <w:sz w:val="24"/>
                <w:szCs w:val="24"/>
              </w:rPr>
              <w:t>(b)</w:t>
            </w:r>
          </w:p>
        </w:tc>
      </w:tr>
    </w:tbl>
    <w:p w14:paraId="2DEC7BBB" w14:textId="41C33180" w:rsidR="00BE57F4" w:rsidRPr="00E27D3B" w:rsidRDefault="00BE57F4" w:rsidP="00CD4F3A">
      <w:pPr>
        <w:pStyle w:val="Caption"/>
        <w:spacing w:line="240" w:lineRule="auto"/>
        <w:jc w:val="both"/>
        <w:rPr>
          <w:b w:val="0"/>
          <w:bCs w:val="0"/>
          <w:color w:val="auto"/>
          <w:sz w:val="24"/>
          <w:szCs w:val="24"/>
        </w:rPr>
      </w:pPr>
      <w:bookmarkStart w:id="203" w:name="_Ref230192015"/>
      <w:bookmarkStart w:id="204" w:name="_Toc224235132"/>
      <w:bookmarkStart w:id="205" w:name="_Toc230198632"/>
      <w:bookmarkStart w:id="206" w:name="_Toc233735047"/>
      <w:r w:rsidRPr="00E27D3B">
        <w:t xml:space="preserve">Figure </w:t>
      </w:r>
      <w:fldSimple w:instr=" SEQ Figure \* ARABIC ">
        <w:r w:rsidR="00A85006">
          <w:rPr>
            <w:noProof/>
          </w:rPr>
          <w:t>41</w:t>
        </w:r>
      </w:fldSimple>
      <w:bookmarkEnd w:id="203"/>
      <w:r w:rsidRPr="00E27D3B">
        <w:t xml:space="preserve">: </w:t>
      </w:r>
      <w:r w:rsidRPr="006D6A1A">
        <w:t>Quantification of bus voltage signatures through the proposed DVRI under different renewable generation percentages (a) STVI, and (b) LTVI.</w:t>
      </w:r>
      <w:bookmarkEnd w:id="204"/>
      <w:bookmarkEnd w:id="205"/>
      <w:bookmarkEnd w:id="206"/>
    </w:p>
    <w:p w14:paraId="71321AC9" w14:textId="2DCD5C0E" w:rsidR="00BE57F4" w:rsidRPr="006818A4" w:rsidRDefault="00BE57F4" w:rsidP="006818A4">
      <w:pPr>
        <w:pStyle w:val="BodyText"/>
        <w:spacing w:after="0"/>
        <w:rPr>
          <w:b/>
          <w:bCs/>
        </w:rPr>
      </w:pPr>
      <w:r w:rsidRPr="00E27D3B">
        <w:rPr>
          <w:color w:val="auto"/>
          <w:szCs w:val="24"/>
        </w:rPr>
        <w:t xml:space="preserve">Similarly, </w:t>
      </w:r>
      <w:r>
        <w:rPr>
          <w:color w:val="auto"/>
          <w:szCs w:val="24"/>
        </w:rPr>
        <w:fldChar w:fldCharType="begin"/>
      </w:r>
      <w:r>
        <w:rPr>
          <w:color w:val="auto"/>
          <w:szCs w:val="24"/>
        </w:rPr>
        <w:instrText xml:space="preserve"> REF _Ref230192054 \h  \* MERGEFORMAT </w:instrText>
      </w:r>
      <w:r>
        <w:rPr>
          <w:color w:val="auto"/>
          <w:szCs w:val="24"/>
        </w:rPr>
      </w:r>
      <w:r>
        <w:rPr>
          <w:color w:val="auto"/>
          <w:szCs w:val="24"/>
        </w:rPr>
        <w:fldChar w:fldCharType="separate"/>
      </w:r>
      <w:r w:rsidR="00753DAF" w:rsidRPr="00E27D3B">
        <w:t xml:space="preserve">Figure </w:t>
      </w:r>
      <w:r w:rsidR="00753DAF">
        <w:rPr>
          <w:noProof/>
        </w:rPr>
        <w:t>42</w:t>
      </w:r>
      <w:r>
        <w:rPr>
          <w:color w:val="auto"/>
          <w:szCs w:val="24"/>
        </w:rPr>
        <w:fldChar w:fldCharType="end"/>
      </w:r>
      <w:r w:rsidRPr="00E27D3B">
        <w:rPr>
          <w:color w:val="auto"/>
          <w:szCs w:val="24"/>
        </w:rPr>
        <w:t xml:space="preserve"> shows the bus voltage recovery performance evaluated using the proposed </w:t>
      </w:r>
      <w:r w:rsidRPr="00E27D3B">
        <w:rPr>
          <w:i/>
          <w:iCs/>
          <w:color w:val="auto"/>
          <w:szCs w:val="24"/>
        </w:rPr>
        <w:t>DVRI</w:t>
      </w:r>
      <w:r w:rsidRPr="00E27D3B">
        <w:rPr>
          <w:color w:val="auto"/>
          <w:szCs w:val="24"/>
        </w:rPr>
        <w:t xml:space="preserve"> for varying proportions of dynamic loads (Load Case 1 to Load Case 3). </w:t>
      </w:r>
      <w:r>
        <w:rPr>
          <w:color w:val="auto"/>
          <w:szCs w:val="24"/>
        </w:rPr>
        <w:fldChar w:fldCharType="begin"/>
      </w:r>
      <w:r>
        <w:rPr>
          <w:color w:val="auto"/>
          <w:szCs w:val="24"/>
        </w:rPr>
        <w:instrText xml:space="preserve"> REF _Ref230192054 \h  \* MERGEFORMAT </w:instrText>
      </w:r>
      <w:r>
        <w:rPr>
          <w:color w:val="auto"/>
          <w:szCs w:val="24"/>
        </w:rPr>
      </w:r>
      <w:r>
        <w:rPr>
          <w:color w:val="auto"/>
          <w:szCs w:val="24"/>
        </w:rPr>
        <w:fldChar w:fldCharType="separate"/>
      </w:r>
      <w:r w:rsidR="00753DAF" w:rsidRPr="00E27D3B">
        <w:t xml:space="preserve">Figure </w:t>
      </w:r>
      <w:r w:rsidR="00753DAF">
        <w:rPr>
          <w:noProof/>
        </w:rPr>
        <w:t>42</w:t>
      </w:r>
      <w:r>
        <w:rPr>
          <w:color w:val="auto"/>
          <w:szCs w:val="24"/>
        </w:rPr>
        <w:fldChar w:fldCharType="end"/>
      </w:r>
      <w:r w:rsidRPr="00E27D3B">
        <w:rPr>
          <w:color w:val="auto"/>
          <w:szCs w:val="24"/>
        </w:rPr>
        <w:t xml:space="preserve">(a) corresponds to STVI, while </w:t>
      </w:r>
      <w:r>
        <w:rPr>
          <w:color w:val="auto"/>
          <w:szCs w:val="24"/>
        </w:rPr>
        <w:fldChar w:fldCharType="begin"/>
      </w:r>
      <w:r>
        <w:rPr>
          <w:color w:val="auto"/>
          <w:szCs w:val="24"/>
        </w:rPr>
        <w:instrText xml:space="preserve"> REF _Ref230192054 \h  \* MERGEFORMAT </w:instrText>
      </w:r>
      <w:r>
        <w:rPr>
          <w:color w:val="auto"/>
          <w:szCs w:val="24"/>
        </w:rPr>
      </w:r>
      <w:r>
        <w:rPr>
          <w:color w:val="auto"/>
          <w:szCs w:val="24"/>
        </w:rPr>
        <w:fldChar w:fldCharType="separate"/>
      </w:r>
      <w:r w:rsidR="00753DAF" w:rsidRPr="00E27D3B">
        <w:t xml:space="preserve">Figure </w:t>
      </w:r>
      <w:r w:rsidR="00753DAF">
        <w:rPr>
          <w:noProof/>
        </w:rPr>
        <w:t>42</w:t>
      </w:r>
      <w:r>
        <w:rPr>
          <w:color w:val="auto"/>
          <w:szCs w:val="24"/>
        </w:rPr>
        <w:fldChar w:fldCharType="end"/>
      </w:r>
      <w:r w:rsidRPr="00E27D3B">
        <w:rPr>
          <w:color w:val="auto"/>
          <w:szCs w:val="24"/>
        </w:rPr>
        <w:t>(b) represents LTVI.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840"/>
      </w:tblGrid>
      <w:tr w:rsidR="00BE57F4" w:rsidRPr="00E27D3B" w14:paraId="1A645F49" w14:textId="77777777" w:rsidTr="0002386E">
        <w:tc>
          <w:tcPr>
            <w:tcW w:w="4798" w:type="dxa"/>
          </w:tcPr>
          <w:p w14:paraId="2A3A7F77" w14:textId="513E17A1" w:rsidR="00BE57F4" w:rsidRPr="00E27D3B" w:rsidRDefault="0089726F" w:rsidP="00CD4F3A">
            <w:pPr>
              <w:ind w:right="-22"/>
              <w:jc w:val="both"/>
              <w:rPr>
                <w:sz w:val="24"/>
                <w:szCs w:val="24"/>
              </w:rPr>
            </w:pPr>
            <w:r w:rsidRPr="0089726F">
              <w:rPr>
                <w:noProof/>
                <w:sz w:val="24"/>
                <w:szCs w:val="24"/>
              </w:rPr>
              <w:lastRenderedPageBreak/>
              <w:drawing>
                <wp:inline distT="0" distB="0" distL="0" distR="0" wp14:anchorId="42E4E5A0" wp14:editId="0DC1B447">
                  <wp:extent cx="2644775" cy="1267464"/>
                  <wp:effectExtent l="0" t="0" r="0" b="0"/>
                  <wp:docPr id="159486278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48644" cy="1269318"/>
                          </a:xfrm>
                          <a:prstGeom prst="rect">
                            <a:avLst/>
                          </a:prstGeom>
                          <a:noFill/>
                          <a:ln>
                            <a:noFill/>
                          </a:ln>
                        </pic:spPr>
                      </pic:pic>
                    </a:graphicData>
                  </a:graphic>
                </wp:inline>
              </w:drawing>
            </w:r>
          </w:p>
        </w:tc>
        <w:tc>
          <w:tcPr>
            <w:tcW w:w="4840" w:type="dxa"/>
          </w:tcPr>
          <w:p w14:paraId="2138C82E" w14:textId="56BCA028" w:rsidR="00BE57F4" w:rsidRPr="00E27D3B" w:rsidRDefault="0089726F" w:rsidP="00CD4F3A">
            <w:pPr>
              <w:ind w:right="-22"/>
              <w:jc w:val="both"/>
              <w:rPr>
                <w:sz w:val="24"/>
                <w:szCs w:val="24"/>
              </w:rPr>
            </w:pPr>
            <w:r w:rsidRPr="0089726F">
              <w:rPr>
                <w:noProof/>
                <w:sz w:val="24"/>
                <w:szCs w:val="24"/>
              </w:rPr>
              <w:drawing>
                <wp:inline distT="0" distB="0" distL="0" distR="0" wp14:anchorId="1BB87145" wp14:editId="6FE74E9C">
                  <wp:extent cx="2736850" cy="1273155"/>
                  <wp:effectExtent l="0" t="0" r="0" b="0"/>
                  <wp:docPr id="156931266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50546" cy="1279526"/>
                          </a:xfrm>
                          <a:prstGeom prst="rect">
                            <a:avLst/>
                          </a:prstGeom>
                          <a:noFill/>
                          <a:ln>
                            <a:noFill/>
                          </a:ln>
                        </pic:spPr>
                      </pic:pic>
                    </a:graphicData>
                  </a:graphic>
                </wp:inline>
              </w:drawing>
            </w:r>
          </w:p>
        </w:tc>
      </w:tr>
      <w:tr w:rsidR="00BE57F4" w:rsidRPr="00E27D3B" w14:paraId="2C8E00B0" w14:textId="77777777" w:rsidTr="0002386E">
        <w:tc>
          <w:tcPr>
            <w:tcW w:w="4798" w:type="dxa"/>
          </w:tcPr>
          <w:p w14:paraId="17A82D71" w14:textId="77777777" w:rsidR="00BE57F4" w:rsidRPr="00E27D3B" w:rsidRDefault="00BE57F4" w:rsidP="00CD4F3A">
            <w:pPr>
              <w:ind w:right="-22"/>
              <w:jc w:val="center"/>
              <w:rPr>
                <w:sz w:val="24"/>
                <w:szCs w:val="24"/>
              </w:rPr>
            </w:pPr>
            <w:r w:rsidRPr="00E27D3B">
              <w:rPr>
                <w:sz w:val="24"/>
                <w:szCs w:val="24"/>
              </w:rPr>
              <w:t>(a)</w:t>
            </w:r>
          </w:p>
        </w:tc>
        <w:tc>
          <w:tcPr>
            <w:tcW w:w="4840" w:type="dxa"/>
          </w:tcPr>
          <w:p w14:paraId="29E40B30" w14:textId="77777777" w:rsidR="00BE57F4" w:rsidRPr="00E27D3B" w:rsidRDefault="00BE57F4" w:rsidP="00CD4F3A">
            <w:pPr>
              <w:keepNext/>
              <w:ind w:right="-22"/>
              <w:jc w:val="center"/>
              <w:rPr>
                <w:sz w:val="24"/>
                <w:szCs w:val="24"/>
              </w:rPr>
            </w:pPr>
            <w:r w:rsidRPr="00E27D3B">
              <w:rPr>
                <w:sz w:val="24"/>
                <w:szCs w:val="24"/>
              </w:rPr>
              <w:t>(b)</w:t>
            </w:r>
          </w:p>
        </w:tc>
      </w:tr>
    </w:tbl>
    <w:p w14:paraId="5EBD2804" w14:textId="5B89316F" w:rsidR="00BE57F4" w:rsidRPr="00E27D3B" w:rsidRDefault="00BE57F4" w:rsidP="00CD4F3A">
      <w:pPr>
        <w:pStyle w:val="Caption"/>
        <w:spacing w:line="240" w:lineRule="auto"/>
        <w:jc w:val="both"/>
      </w:pPr>
      <w:bookmarkStart w:id="207" w:name="_Ref230192054"/>
      <w:bookmarkStart w:id="208" w:name="_Toc224235133"/>
      <w:bookmarkStart w:id="209" w:name="_Toc230198633"/>
      <w:bookmarkStart w:id="210" w:name="_Toc233735048"/>
      <w:r w:rsidRPr="00E27D3B">
        <w:t xml:space="preserve">Figure </w:t>
      </w:r>
      <w:fldSimple w:instr=" SEQ Figure \* ARABIC ">
        <w:r w:rsidR="00A85006">
          <w:rPr>
            <w:noProof/>
          </w:rPr>
          <w:t>42</w:t>
        </w:r>
      </w:fldSimple>
      <w:bookmarkEnd w:id="207"/>
      <w:r w:rsidRPr="00E27D3B">
        <w:t xml:space="preserve">: </w:t>
      </w:r>
      <w:r w:rsidRPr="006D6A1A">
        <w:t>Quantification of bus voltage signatures through the proposed DVRI under different load dynamics percentages (a) STVI, and (b) LTVI.</w:t>
      </w:r>
      <w:bookmarkEnd w:id="208"/>
      <w:bookmarkEnd w:id="209"/>
      <w:bookmarkEnd w:id="210"/>
    </w:p>
    <w:p w14:paraId="19B5179E" w14:textId="6D978239" w:rsidR="00BE57F4" w:rsidRPr="00E27D3B" w:rsidRDefault="00BE57F4" w:rsidP="006818A4">
      <w:pPr>
        <w:spacing w:after="0"/>
        <w:ind w:right="-22"/>
        <w:rPr>
          <w:sz w:val="24"/>
          <w:szCs w:val="24"/>
        </w:rPr>
      </w:pPr>
      <w:r>
        <w:rPr>
          <w:sz w:val="24"/>
          <w:szCs w:val="24"/>
        </w:rPr>
        <w:fldChar w:fldCharType="begin"/>
      </w:r>
      <w:r>
        <w:rPr>
          <w:sz w:val="24"/>
          <w:szCs w:val="24"/>
        </w:rPr>
        <w:instrText xml:space="preserve"> REF _Ref230192015 \h </w:instrText>
      </w:r>
      <w:r w:rsidR="009B2BB6">
        <w:rPr>
          <w:sz w:val="24"/>
          <w:szCs w:val="24"/>
        </w:rPr>
        <w:instrText xml:space="preserve"> \* MERGEFORMAT </w:instrText>
      </w:r>
      <w:r>
        <w:rPr>
          <w:sz w:val="24"/>
          <w:szCs w:val="24"/>
        </w:rPr>
      </w:r>
      <w:r>
        <w:rPr>
          <w:sz w:val="24"/>
          <w:szCs w:val="24"/>
        </w:rPr>
        <w:fldChar w:fldCharType="separate"/>
      </w:r>
      <w:r w:rsidR="00753DAF" w:rsidRPr="00E27D3B">
        <w:t xml:space="preserve">Figure </w:t>
      </w:r>
      <w:r w:rsidR="00753DAF">
        <w:rPr>
          <w:noProof/>
        </w:rPr>
        <w:t>41</w:t>
      </w:r>
      <w:r>
        <w:rPr>
          <w:sz w:val="24"/>
          <w:szCs w:val="24"/>
        </w:rPr>
        <w:fldChar w:fldCharType="end"/>
      </w:r>
      <w:r w:rsidRPr="00E27D3B">
        <w:rPr>
          <w:sz w:val="24"/>
          <w:szCs w:val="24"/>
        </w:rPr>
        <w:t xml:space="preserve"> and </w:t>
      </w:r>
      <w:r>
        <w:rPr>
          <w:sz w:val="24"/>
          <w:szCs w:val="24"/>
        </w:rPr>
        <w:fldChar w:fldCharType="begin"/>
      </w:r>
      <w:r>
        <w:rPr>
          <w:sz w:val="24"/>
          <w:szCs w:val="24"/>
        </w:rPr>
        <w:instrText xml:space="preserve"> REF _Ref230192054 \h </w:instrText>
      </w:r>
      <w:r w:rsidR="009B2BB6">
        <w:rPr>
          <w:sz w:val="24"/>
          <w:szCs w:val="24"/>
        </w:rPr>
        <w:instrText xml:space="preserve"> \* MERGEFORMAT </w:instrText>
      </w:r>
      <w:r>
        <w:rPr>
          <w:sz w:val="24"/>
          <w:szCs w:val="24"/>
        </w:rPr>
      </w:r>
      <w:r>
        <w:rPr>
          <w:sz w:val="24"/>
          <w:szCs w:val="24"/>
        </w:rPr>
        <w:fldChar w:fldCharType="separate"/>
      </w:r>
      <w:r w:rsidR="00753DAF" w:rsidRPr="00E27D3B">
        <w:t xml:space="preserve">Figure </w:t>
      </w:r>
      <w:r w:rsidR="00753DAF">
        <w:rPr>
          <w:noProof/>
        </w:rPr>
        <w:t>42</w:t>
      </w:r>
      <w:r>
        <w:rPr>
          <w:sz w:val="24"/>
          <w:szCs w:val="24"/>
        </w:rPr>
        <w:fldChar w:fldCharType="end"/>
      </w:r>
      <w:r w:rsidRPr="00E27D3B">
        <w:rPr>
          <w:sz w:val="24"/>
          <w:szCs w:val="24"/>
        </w:rPr>
        <w:t xml:space="preserve"> show the deterioration of dynamic voltage performance at higher renewable generation and dynamic load penetration levels, and this deterioration was successfully quantified using the developed </w:t>
      </w:r>
      <w:r w:rsidRPr="60762895">
        <w:rPr>
          <w:i/>
          <w:iCs/>
          <w:sz w:val="24"/>
          <w:szCs w:val="24"/>
        </w:rPr>
        <w:t>DVRI</w:t>
      </w:r>
      <w:r w:rsidRPr="00E27D3B">
        <w:rPr>
          <w:sz w:val="24"/>
          <w:szCs w:val="24"/>
        </w:rPr>
        <w:t xml:space="preserve">. </w:t>
      </w:r>
    </w:p>
    <w:p w14:paraId="6A61946E" w14:textId="57DF7AFC" w:rsidR="00BE57F4" w:rsidRPr="00E27D3B" w:rsidRDefault="00BE57F4" w:rsidP="006818A4">
      <w:pPr>
        <w:pStyle w:val="BodyText"/>
        <w:spacing w:after="0"/>
      </w:pPr>
      <w:r w:rsidRPr="00E27D3B">
        <w:t xml:space="preserve">To capture the detailed voltage signature for the study cases, such as varying load dynamics, the local dynamic voltage signature for all buses has been determined using the values of </w:t>
      </w:r>
      <m:oMath>
        <m:d>
          <m:dPr>
            <m:begChr m:val="{"/>
            <m:endChr m:val="}"/>
            <m:ctrlPr>
              <w:rPr>
                <w:rFonts w:ascii="Cambria Math" w:hAnsi="Cambria Math"/>
              </w:rPr>
            </m:ctrlPr>
          </m:dPr>
          <m:e>
            <m:sSub>
              <m:sSubPr>
                <m:ctrlPr>
                  <w:rPr>
                    <w:rFonts w:ascii="Cambria Math" w:hAnsi="Cambria Math"/>
                    <w:i/>
                  </w:rPr>
                </m:ctrlPr>
              </m:sSubPr>
              <m:e>
                <m:r>
                  <w:rPr>
                    <w:rFonts w:ascii="Cambria Math" w:hAnsi="Cambria Math"/>
                  </w:rPr>
                  <m:t>STVI</m:t>
                </m:r>
              </m:e>
              <m:sub>
                <m:r>
                  <w:rPr>
                    <w:rFonts w:ascii="Cambria Math" w:hAnsi="Cambria Math"/>
                  </w:rPr>
                  <m:t>k</m:t>
                </m:r>
              </m:sub>
            </m:sSub>
            <m:r>
              <m:rPr>
                <m:nor/>
              </m:rPr>
              <m:t>    </m:t>
            </m:r>
            <m:sSub>
              <m:sSubPr>
                <m:ctrlPr>
                  <w:rPr>
                    <w:rFonts w:ascii="Cambria Math" w:hAnsi="Cambria Math"/>
                  </w:rPr>
                </m:ctrlPr>
              </m:sSubPr>
              <m:e>
                <m:r>
                  <w:rPr>
                    <w:rFonts w:ascii="Cambria Math" w:hAnsi="Cambria Math"/>
                  </w:rPr>
                  <m:t>LTVI</m:t>
                </m:r>
              </m:e>
              <m:sub>
                <m:r>
                  <w:rPr>
                    <w:rFonts w:ascii="Cambria Math" w:hAnsi="Cambria Math"/>
                  </w:rPr>
                  <m:t>k</m:t>
                </m:r>
              </m:sub>
            </m:sSub>
          </m:e>
        </m:d>
      </m:oMath>
      <w:r w:rsidRPr="00E27D3B">
        <w:t xml:space="preserve">. These results are summarized in </w:t>
      </w:r>
      <w:r>
        <w:fldChar w:fldCharType="begin"/>
      </w:r>
      <w:r>
        <w:instrText xml:space="preserve"> REF _Ref230193893 \h </w:instrText>
      </w:r>
      <w:r w:rsidR="009B2BB6">
        <w:instrText xml:space="preserve"> \* MERGEFORMAT </w:instrText>
      </w:r>
      <w:r>
        <w:fldChar w:fldCharType="separate"/>
      </w:r>
      <w:r w:rsidR="00753DAF" w:rsidRPr="00E27D3B">
        <w:t xml:space="preserve">Table </w:t>
      </w:r>
      <w:r w:rsidR="00753DAF">
        <w:rPr>
          <w:noProof/>
        </w:rPr>
        <w:t>12</w:t>
      </w:r>
      <w:r>
        <w:fldChar w:fldCharType="end"/>
      </w:r>
      <w:r w:rsidRPr="00E27D3B">
        <w:t>.</w:t>
      </w:r>
      <w:r w:rsidRPr="00E27D3B">
        <w:rPr>
          <w:szCs w:val="20"/>
        </w:rPr>
        <w:t xml:space="preserve"> </w:t>
      </w:r>
      <w:r>
        <w:rPr>
          <w:szCs w:val="20"/>
        </w:rPr>
        <w:fldChar w:fldCharType="begin"/>
      </w:r>
      <w:r>
        <w:rPr>
          <w:szCs w:val="20"/>
        </w:rPr>
        <w:instrText xml:space="preserve"> REF _Ref230193893 \h </w:instrText>
      </w:r>
      <w:r w:rsidR="009B2BB6">
        <w:rPr>
          <w:szCs w:val="20"/>
        </w:rPr>
        <w:instrText xml:space="preserve"> \* MERGEFORMAT </w:instrText>
      </w:r>
      <w:r>
        <w:rPr>
          <w:szCs w:val="20"/>
        </w:rPr>
      </w:r>
      <w:r>
        <w:rPr>
          <w:szCs w:val="20"/>
        </w:rPr>
        <w:fldChar w:fldCharType="separate"/>
      </w:r>
      <w:r w:rsidR="00753DAF" w:rsidRPr="00E27D3B">
        <w:t xml:space="preserve">Table </w:t>
      </w:r>
      <w:r w:rsidR="00753DAF">
        <w:rPr>
          <w:noProof/>
        </w:rPr>
        <w:t>12</w:t>
      </w:r>
      <w:r>
        <w:rPr>
          <w:szCs w:val="20"/>
        </w:rPr>
        <w:fldChar w:fldCharType="end"/>
      </w:r>
      <w:r w:rsidRPr="00E27D3B">
        <w:rPr>
          <w:szCs w:val="20"/>
        </w:rPr>
        <w:t xml:space="preserve"> emphasizes the necessity of evaluating STVS and LTVS together. It shows that a fault at bus 507 can result in certain buses remaining STVS while exhibiting long-term voltage unstable (LTVU) or vice-versa, particularly under summer and winter load conditions.</w:t>
      </w:r>
      <w:r w:rsidRPr="00E27D3B">
        <w:t xml:space="preserve"> </w:t>
      </w:r>
    </w:p>
    <w:p w14:paraId="3C8828B6" w14:textId="07F6BEAF" w:rsidR="00BE57F4" w:rsidRPr="00E27D3B" w:rsidRDefault="00BE57F4" w:rsidP="00CD4F3A">
      <w:pPr>
        <w:pStyle w:val="Caption"/>
        <w:spacing w:line="240" w:lineRule="auto"/>
        <w:jc w:val="both"/>
      </w:pPr>
      <w:bookmarkStart w:id="211" w:name="_Ref230193893"/>
      <w:bookmarkStart w:id="212" w:name="_Toc230198674"/>
      <w:bookmarkStart w:id="213" w:name="_Toc233735306"/>
      <w:r w:rsidRPr="00E27D3B">
        <w:t xml:space="preserve">Table </w:t>
      </w:r>
      <w:fldSimple w:instr=" SEQ Table \* ARABIC ">
        <w:r w:rsidR="00753DAF">
          <w:rPr>
            <w:noProof/>
          </w:rPr>
          <w:t>12</w:t>
        </w:r>
      </w:fldSimple>
      <w:bookmarkEnd w:id="211"/>
      <w:r w:rsidRPr="00E27D3B">
        <w:t>: The local dynamic voltage signature for all buses of the test system.</w:t>
      </w:r>
      <w:bookmarkEnd w:id="212"/>
      <w:bookmarkEnd w:id="213"/>
    </w:p>
    <w:tbl>
      <w:tblPr>
        <w:tblStyle w:val="TableGrid10"/>
        <w:tblW w:w="0" w:type="auto"/>
        <w:tblLayout w:type="fixed"/>
        <w:tblLook w:val="04A0" w:firstRow="1" w:lastRow="0" w:firstColumn="1" w:lastColumn="0" w:noHBand="0" w:noVBand="1"/>
      </w:tblPr>
      <w:tblGrid>
        <w:gridCol w:w="779"/>
        <w:gridCol w:w="925"/>
        <w:gridCol w:w="931"/>
        <w:gridCol w:w="933"/>
        <w:gridCol w:w="933"/>
        <w:gridCol w:w="918"/>
        <w:gridCol w:w="918"/>
        <w:gridCol w:w="1083"/>
        <w:gridCol w:w="1110"/>
        <w:gridCol w:w="1108"/>
      </w:tblGrid>
      <w:tr w:rsidR="00BE57F4" w:rsidRPr="00E27D3B" w14:paraId="1AB67C01" w14:textId="77777777" w:rsidTr="00DC6D94">
        <w:tc>
          <w:tcPr>
            <w:tcW w:w="779" w:type="dxa"/>
            <w:vMerge w:val="restart"/>
            <w:shd w:val="clear" w:color="auto" w:fill="000000" w:themeFill="text1"/>
            <w:tcMar>
              <w:left w:w="170" w:type="dxa"/>
              <w:right w:w="170" w:type="dxa"/>
            </w:tcMar>
          </w:tcPr>
          <w:p w14:paraId="4E8EA568" w14:textId="77777777" w:rsidR="00BE57F4" w:rsidRPr="00E27D3B" w:rsidRDefault="00BE57F4" w:rsidP="00DC6D94">
            <w:pPr>
              <w:pStyle w:val="ColumnHeading"/>
              <w:spacing w:before="0" w:line="240" w:lineRule="auto"/>
              <w:jc w:val="both"/>
              <w:rPr>
                <w:rFonts w:cstheme="minorHAnsi"/>
                <w:color w:val="auto"/>
                <w:szCs w:val="16"/>
              </w:rPr>
            </w:pPr>
          </w:p>
          <w:p w14:paraId="516C7812" w14:textId="77777777" w:rsidR="00BE57F4" w:rsidRPr="00E27D3B" w:rsidRDefault="00BE57F4" w:rsidP="00DC6D94">
            <w:pPr>
              <w:ind w:right="-22"/>
              <w:rPr>
                <w:rFonts w:cstheme="minorHAnsi"/>
                <w:color w:val="auto"/>
                <w:sz w:val="16"/>
                <w:szCs w:val="16"/>
              </w:rPr>
            </w:pPr>
            <w:r w:rsidRPr="00E27D3B">
              <w:rPr>
                <w:rFonts w:cstheme="minorHAnsi"/>
                <w:color w:val="auto"/>
                <w:sz w:val="16"/>
                <w:szCs w:val="16"/>
              </w:rPr>
              <w:t>Buses</w:t>
            </w:r>
          </w:p>
        </w:tc>
        <w:tc>
          <w:tcPr>
            <w:tcW w:w="2789" w:type="dxa"/>
            <w:gridSpan w:val="3"/>
            <w:shd w:val="clear" w:color="auto" w:fill="000000" w:themeFill="text1"/>
            <w:tcMar>
              <w:left w:w="170" w:type="dxa"/>
              <w:right w:w="170" w:type="dxa"/>
            </w:tcMar>
          </w:tcPr>
          <w:p w14:paraId="49473CF4" w14:textId="77777777" w:rsidR="00BE57F4" w:rsidRPr="00E27D3B" w:rsidRDefault="00BE57F4" w:rsidP="00DC6D94">
            <w:pPr>
              <w:ind w:left="426" w:right="-22"/>
              <w:rPr>
                <w:rFonts w:cstheme="minorHAnsi"/>
                <w:color w:val="auto"/>
                <w:sz w:val="16"/>
                <w:szCs w:val="16"/>
              </w:rPr>
            </w:pPr>
            <w:r w:rsidRPr="00E27D3B">
              <w:rPr>
                <w:rFonts w:cstheme="minorHAnsi"/>
                <w:color w:val="auto"/>
                <w:sz w:val="16"/>
                <w:szCs w:val="16"/>
              </w:rPr>
              <w:t>STVI</w:t>
            </w:r>
          </w:p>
        </w:tc>
        <w:tc>
          <w:tcPr>
            <w:tcW w:w="2769" w:type="dxa"/>
            <w:gridSpan w:val="3"/>
            <w:shd w:val="clear" w:color="auto" w:fill="000000" w:themeFill="text1"/>
            <w:tcMar>
              <w:left w:w="170" w:type="dxa"/>
              <w:right w:w="170" w:type="dxa"/>
            </w:tcMar>
          </w:tcPr>
          <w:p w14:paraId="4CFA447E" w14:textId="77777777" w:rsidR="00BE57F4" w:rsidRPr="00E27D3B" w:rsidRDefault="00BE57F4" w:rsidP="00DC6D94">
            <w:pPr>
              <w:ind w:left="426" w:right="-22"/>
              <w:rPr>
                <w:rFonts w:cstheme="minorHAnsi"/>
                <w:color w:val="auto"/>
                <w:sz w:val="16"/>
                <w:szCs w:val="16"/>
              </w:rPr>
            </w:pPr>
            <w:r w:rsidRPr="00E27D3B">
              <w:rPr>
                <w:rFonts w:cstheme="minorHAnsi"/>
                <w:color w:val="auto"/>
                <w:sz w:val="16"/>
                <w:szCs w:val="16"/>
              </w:rPr>
              <w:t>LTVI</w:t>
            </w:r>
          </w:p>
        </w:tc>
        <w:tc>
          <w:tcPr>
            <w:tcW w:w="3301" w:type="dxa"/>
            <w:gridSpan w:val="3"/>
            <w:shd w:val="clear" w:color="auto" w:fill="000000" w:themeFill="text1"/>
            <w:tcMar>
              <w:left w:w="170" w:type="dxa"/>
              <w:right w:w="170" w:type="dxa"/>
            </w:tcMar>
          </w:tcPr>
          <w:p w14:paraId="3822662C" w14:textId="77777777" w:rsidR="00BE57F4" w:rsidRPr="00E27D3B" w:rsidRDefault="00BE57F4" w:rsidP="00DC6D94">
            <w:pPr>
              <w:ind w:left="426" w:right="-22"/>
              <w:rPr>
                <w:rFonts w:cstheme="minorHAnsi"/>
                <w:color w:val="auto"/>
                <w:sz w:val="16"/>
                <w:szCs w:val="16"/>
              </w:rPr>
            </w:pPr>
            <w:r w:rsidRPr="00E27D3B">
              <w:rPr>
                <w:rFonts w:cstheme="minorHAnsi"/>
                <w:color w:val="auto"/>
                <w:sz w:val="16"/>
                <w:szCs w:val="16"/>
              </w:rPr>
              <w:t>Comments</w:t>
            </w:r>
          </w:p>
        </w:tc>
      </w:tr>
      <w:tr w:rsidR="00BE57F4" w:rsidRPr="00E27D3B" w14:paraId="71ECD2AA" w14:textId="77777777" w:rsidTr="00DC6D94">
        <w:tc>
          <w:tcPr>
            <w:tcW w:w="779" w:type="dxa"/>
            <w:vMerge/>
            <w:shd w:val="clear" w:color="auto" w:fill="000000" w:themeFill="text1"/>
            <w:tcMar>
              <w:left w:w="170" w:type="dxa"/>
              <w:right w:w="170" w:type="dxa"/>
            </w:tcMar>
          </w:tcPr>
          <w:p w14:paraId="65BFF9EB" w14:textId="77777777" w:rsidR="00BE57F4" w:rsidRPr="00E27D3B" w:rsidRDefault="00BE57F4" w:rsidP="00DC6D94">
            <w:pPr>
              <w:ind w:right="-22"/>
              <w:rPr>
                <w:rFonts w:cstheme="minorHAnsi"/>
                <w:color w:val="auto"/>
                <w:sz w:val="16"/>
                <w:szCs w:val="16"/>
              </w:rPr>
            </w:pPr>
          </w:p>
        </w:tc>
        <w:tc>
          <w:tcPr>
            <w:tcW w:w="925" w:type="dxa"/>
            <w:shd w:val="clear" w:color="auto" w:fill="000000" w:themeFill="text1"/>
            <w:tcMar>
              <w:left w:w="170" w:type="dxa"/>
              <w:right w:w="170" w:type="dxa"/>
            </w:tcMar>
          </w:tcPr>
          <w:p w14:paraId="10E3981F"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1</w:t>
            </w:r>
          </w:p>
        </w:tc>
        <w:tc>
          <w:tcPr>
            <w:tcW w:w="931" w:type="dxa"/>
            <w:shd w:val="clear" w:color="auto" w:fill="000000" w:themeFill="text1"/>
            <w:tcMar>
              <w:left w:w="170" w:type="dxa"/>
              <w:right w:w="170" w:type="dxa"/>
            </w:tcMar>
          </w:tcPr>
          <w:p w14:paraId="064F9862"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2</w:t>
            </w:r>
          </w:p>
        </w:tc>
        <w:tc>
          <w:tcPr>
            <w:tcW w:w="933" w:type="dxa"/>
            <w:shd w:val="clear" w:color="auto" w:fill="000000" w:themeFill="text1"/>
            <w:tcMar>
              <w:left w:w="170" w:type="dxa"/>
              <w:right w:w="170" w:type="dxa"/>
            </w:tcMar>
          </w:tcPr>
          <w:p w14:paraId="3695A724"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3</w:t>
            </w:r>
          </w:p>
        </w:tc>
        <w:tc>
          <w:tcPr>
            <w:tcW w:w="933" w:type="dxa"/>
            <w:shd w:val="clear" w:color="auto" w:fill="000000" w:themeFill="text1"/>
            <w:tcMar>
              <w:left w:w="170" w:type="dxa"/>
              <w:right w:w="170" w:type="dxa"/>
            </w:tcMar>
          </w:tcPr>
          <w:p w14:paraId="2639EB1E"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1</w:t>
            </w:r>
          </w:p>
        </w:tc>
        <w:tc>
          <w:tcPr>
            <w:tcW w:w="918" w:type="dxa"/>
            <w:shd w:val="clear" w:color="auto" w:fill="000000" w:themeFill="text1"/>
            <w:tcMar>
              <w:left w:w="170" w:type="dxa"/>
              <w:right w:w="170" w:type="dxa"/>
            </w:tcMar>
          </w:tcPr>
          <w:p w14:paraId="16FDABFA"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2</w:t>
            </w:r>
          </w:p>
        </w:tc>
        <w:tc>
          <w:tcPr>
            <w:tcW w:w="918" w:type="dxa"/>
            <w:shd w:val="clear" w:color="auto" w:fill="000000" w:themeFill="text1"/>
            <w:tcMar>
              <w:left w:w="170" w:type="dxa"/>
              <w:right w:w="170" w:type="dxa"/>
            </w:tcMar>
          </w:tcPr>
          <w:p w14:paraId="1CBB53A3" w14:textId="77777777" w:rsidR="00BE57F4" w:rsidRPr="00E27D3B" w:rsidRDefault="00BE57F4" w:rsidP="00DC6D94">
            <w:pPr>
              <w:ind w:left="-154" w:right="-107"/>
              <w:rPr>
                <w:rFonts w:cstheme="minorHAnsi"/>
                <w:color w:val="auto"/>
                <w:sz w:val="16"/>
                <w:szCs w:val="16"/>
              </w:rPr>
            </w:pPr>
            <w:r w:rsidRPr="00E27D3B">
              <w:rPr>
                <w:rFonts w:cstheme="minorHAnsi"/>
                <w:color w:val="auto"/>
                <w:sz w:val="16"/>
                <w:szCs w:val="16"/>
              </w:rPr>
              <w:t>Load Case 3</w:t>
            </w:r>
          </w:p>
        </w:tc>
        <w:tc>
          <w:tcPr>
            <w:tcW w:w="1083" w:type="dxa"/>
            <w:shd w:val="clear" w:color="auto" w:fill="000000" w:themeFill="text1"/>
            <w:tcMar>
              <w:left w:w="170" w:type="dxa"/>
              <w:right w:w="170" w:type="dxa"/>
            </w:tcMar>
          </w:tcPr>
          <w:p w14:paraId="5984686F" w14:textId="77777777" w:rsidR="00BE57F4" w:rsidRPr="00E27D3B" w:rsidRDefault="00BE57F4" w:rsidP="00DC6D94">
            <w:pPr>
              <w:ind w:left="-110" w:right="-22"/>
              <w:rPr>
                <w:rFonts w:cstheme="minorHAnsi"/>
                <w:color w:val="auto"/>
                <w:sz w:val="16"/>
                <w:szCs w:val="16"/>
              </w:rPr>
            </w:pPr>
            <w:r w:rsidRPr="00E27D3B">
              <w:rPr>
                <w:rFonts w:cstheme="minorHAnsi"/>
                <w:color w:val="auto"/>
                <w:sz w:val="16"/>
                <w:szCs w:val="16"/>
              </w:rPr>
              <w:t>Load Case 1</w:t>
            </w:r>
          </w:p>
        </w:tc>
        <w:tc>
          <w:tcPr>
            <w:tcW w:w="1110" w:type="dxa"/>
            <w:shd w:val="clear" w:color="auto" w:fill="000000" w:themeFill="text1"/>
            <w:tcMar>
              <w:left w:w="170" w:type="dxa"/>
              <w:right w:w="170" w:type="dxa"/>
            </w:tcMar>
          </w:tcPr>
          <w:p w14:paraId="47A74A75" w14:textId="77777777" w:rsidR="00BE57F4" w:rsidRPr="00E27D3B" w:rsidRDefault="00BE57F4" w:rsidP="00DC6D94">
            <w:pPr>
              <w:ind w:left="-110" w:right="-22"/>
              <w:rPr>
                <w:rFonts w:cstheme="minorHAnsi"/>
                <w:color w:val="auto"/>
                <w:sz w:val="16"/>
                <w:szCs w:val="16"/>
              </w:rPr>
            </w:pPr>
            <w:r w:rsidRPr="00E27D3B">
              <w:rPr>
                <w:rFonts w:cstheme="minorHAnsi"/>
                <w:color w:val="auto"/>
                <w:sz w:val="16"/>
                <w:szCs w:val="16"/>
              </w:rPr>
              <w:t>Load Case 2</w:t>
            </w:r>
          </w:p>
        </w:tc>
        <w:tc>
          <w:tcPr>
            <w:tcW w:w="1108" w:type="dxa"/>
            <w:shd w:val="clear" w:color="auto" w:fill="000000" w:themeFill="text1"/>
            <w:tcMar>
              <w:left w:w="170" w:type="dxa"/>
              <w:right w:w="170" w:type="dxa"/>
            </w:tcMar>
          </w:tcPr>
          <w:p w14:paraId="77E04610" w14:textId="77777777" w:rsidR="00BE57F4" w:rsidRPr="00E27D3B" w:rsidRDefault="00BE57F4" w:rsidP="00DC6D94">
            <w:pPr>
              <w:ind w:left="-110" w:right="-22"/>
              <w:rPr>
                <w:rFonts w:cstheme="minorHAnsi"/>
                <w:color w:val="auto"/>
                <w:sz w:val="16"/>
                <w:szCs w:val="16"/>
              </w:rPr>
            </w:pPr>
            <w:r w:rsidRPr="00E27D3B">
              <w:rPr>
                <w:rFonts w:cstheme="minorHAnsi"/>
                <w:color w:val="auto"/>
                <w:sz w:val="16"/>
                <w:szCs w:val="16"/>
              </w:rPr>
              <w:t>Load Case 3</w:t>
            </w:r>
          </w:p>
        </w:tc>
      </w:tr>
      <w:tr w:rsidR="00BE57F4" w:rsidRPr="00E27D3B" w14:paraId="037471B4" w14:textId="77777777" w:rsidTr="00DC6D94">
        <w:tc>
          <w:tcPr>
            <w:tcW w:w="779" w:type="dxa"/>
            <w:tcMar>
              <w:left w:w="170" w:type="dxa"/>
              <w:right w:w="170" w:type="dxa"/>
            </w:tcMar>
          </w:tcPr>
          <w:p w14:paraId="255AB188" w14:textId="77777777" w:rsidR="00BE57F4" w:rsidRPr="00E27D3B" w:rsidRDefault="00BE57F4" w:rsidP="00DC6D94">
            <w:pPr>
              <w:ind w:right="-22"/>
              <w:rPr>
                <w:rFonts w:cstheme="minorHAnsi"/>
                <w:sz w:val="16"/>
                <w:szCs w:val="16"/>
              </w:rPr>
            </w:pPr>
            <w:r w:rsidRPr="00E27D3B">
              <w:rPr>
                <w:rFonts w:cstheme="minorHAnsi"/>
                <w:sz w:val="16"/>
                <w:szCs w:val="16"/>
              </w:rPr>
              <w:t>B#315</w:t>
            </w:r>
          </w:p>
        </w:tc>
        <w:tc>
          <w:tcPr>
            <w:tcW w:w="925" w:type="dxa"/>
            <w:tcMar>
              <w:left w:w="170" w:type="dxa"/>
              <w:right w:w="170" w:type="dxa"/>
            </w:tcMar>
          </w:tcPr>
          <w:p w14:paraId="235965EE" w14:textId="77777777" w:rsidR="00BE57F4" w:rsidRPr="00E27D3B" w:rsidRDefault="00BE57F4" w:rsidP="00DC6D94">
            <w:pPr>
              <w:ind w:left="-154" w:right="-107"/>
              <w:rPr>
                <w:rFonts w:cstheme="minorHAnsi"/>
                <w:sz w:val="16"/>
                <w:szCs w:val="16"/>
              </w:rPr>
            </w:pPr>
            <w:r w:rsidRPr="00E27D3B">
              <w:rPr>
                <w:rFonts w:cstheme="minorHAnsi"/>
                <w:sz w:val="16"/>
                <w:szCs w:val="16"/>
              </w:rPr>
              <w:t>0.884</w:t>
            </w:r>
          </w:p>
        </w:tc>
        <w:tc>
          <w:tcPr>
            <w:tcW w:w="931" w:type="dxa"/>
            <w:tcMar>
              <w:left w:w="170" w:type="dxa"/>
              <w:right w:w="170" w:type="dxa"/>
            </w:tcMar>
          </w:tcPr>
          <w:p w14:paraId="37A825CA" w14:textId="77777777" w:rsidR="00BE57F4" w:rsidRPr="00E27D3B" w:rsidRDefault="00BE57F4" w:rsidP="00DC6D94">
            <w:pPr>
              <w:ind w:right="-22"/>
              <w:rPr>
                <w:rFonts w:cstheme="minorHAnsi"/>
                <w:sz w:val="16"/>
                <w:szCs w:val="16"/>
              </w:rPr>
            </w:pPr>
            <w:r w:rsidRPr="00E27D3B">
              <w:rPr>
                <w:rFonts w:cstheme="minorHAnsi"/>
                <w:sz w:val="16"/>
                <w:szCs w:val="16"/>
              </w:rPr>
              <w:t>-.055</w:t>
            </w:r>
          </w:p>
        </w:tc>
        <w:tc>
          <w:tcPr>
            <w:tcW w:w="933" w:type="dxa"/>
            <w:tcMar>
              <w:left w:w="170" w:type="dxa"/>
              <w:right w:w="170" w:type="dxa"/>
            </w:tcMar>
          </w:tcPr>
          <w:p w14:paraId="48BE976A" w14:textId="77777777" w:rsidR="00BE57F4" w:rsidRPr="00E27D3B" w:rsidRDefault="00BE57F4" w:rsidP="00DC6D94">
            <w:pPr>
              <w:ind w:right="-22"/>
              <w:rPr>
                <w:rFonts w:cstheme="minorHAnsi"/>
                <w:sz w:val="16"/>
                <w:szCs w:val="16"/>
              </w:rPr>
            </w:pPr>
            <w:r w:rsidRPr="00E27D3B">
              <w:rPr>
                <w:rFonts w:cstheme="minorHAnsi"/>
                <w:sz w:val="16"/>
                <w:szCs w:val="16"/>
              </w:rPr>
              <w:t>0.160</w:t>
            </w:r>
          </w:p>
        </w:tc>
        <w:tc>
          <w:tcPr>
            <w:tcW w:w="933" w:type="dxa"/>
            <w:tcMar>
              <w:left w:w="170" w:type="dxa"/>
              <w:right w:w="170" w:type="dxa"/>
            </w:tcMar>
          </w:tcPr>
          <w:p w14:paraId="52C39FF6" w14:textId="77777777" w:rsidR="00BE57F4" w:rsidRPr="00E27D3B" w:rsidRDefault="00BE57F4" w:rsidP="00DC6D94">
            <w:pPr>
              <w:ind w:right="-22"/>
              <w:rPr>
                <w:rFonts w:cstheme="minorHAnsi"/>
                <w:sz w:val="16"/>
                <w:szCs w:val="16"/>
              </w:rPr>
            </w:pPr>
            <w:r w:rsidRPr="00E27D3B">
              <w:rPr>
                <w:rFonts w:cstheme="minorHAnsi"/>
                <w:sz w:val="16"/>
                <w:szCs w:val="16"/>
              </w:rPr>
              <w:t>0.974</w:t>
            </w:r>
          </w:p>
        </w:tc>
        <w:tc>
          <w:tcPr>
            <w:tcW w:w="918" w:type="dxa"/>
            <w:tcMar>
              <w:left w:w="170" w:type="dxa"/>
              <w:right w:w="170" w:type="dxa"/>
            </w:tcMar>
          </w:tcPr>
          <w:p w14:paraId="35DC9422" w14:textId="77777777" w:rsidR="00BE57F4" w:rsidRPr="00E27D3B" w:rsidRDefault="00BE57F4" w:rsidP="00DC6D94">
            <w:pPr>
              <w:ind w:right="-22"/>
              <w:rPr>
                <w:rFonts w:cstheme="minorHAnsi"/>
                <w:sz w:val="16"/>
                <w:szCs w:val="16"/>
              </w:rPr>
            </w:pPr>
            <w:r w:rsidRPr="00E27D3B">
              <w:rPr>
                <w:rFonts w:cstheme="minorHAnsi"/>
                <w:sz w:val="16"/>
                <w:szCs w:val="16"/>
              </w:rPr>
              <w:t>-.666</w:t>
            </w:r>
          </w:p>
        </w:tc>
        <w:tc>
          <w:tcPr>
            <w:tcW w:w="918" w:type="dxa"/>
            <w:tcMar>
              <w:left w:w="170" w:type="dxa"/>
              <w:right w:w="170" w:type="dxa"/>
            </w:tcMar>
          </w:tcPr>
          <w:p w14:paraId="6A2BA82D" w14:textId="77777777" w:rsidR="00BE57F4" w:rsidRPr="00E27D3B" w:rsidRDefault="00BE57F4" w:rsidP="00DC6D94">
            <w:pPr>
              <w:ind w:right="-22"/>
              <w:rPr>
                <w:rFonts w:cstheme="minorHAnsi"/>
                <w:sz w:val="16"/>
                <w:szCs w:val="16"/>
              </w:rPr>
            </w:pPr>
            <w:r w:rsidRPr="00E27D3B">
              <w:rPr>
                <w:rFonts w:cstheme="minorHAnsi"/>
                <w:sz w:val="16"/>
                <w:szCs w:val="16"/>
              </w:rPr>
              <w:t>-.855</w:t>
            </w:r>
          </w:p>
        </w:tc>
        <w:tc>
          <w:tcPr>
            <w:tcW w:w="1083" w:type="dxa"/>
            <w:tcMar>
              <w:left w:w="170" w:type="dxa"/>
              <w:right w:w="170" w:type="dxa"/>
            </w:tcMar>
          </w:tcPr>
          <w:p w14:paraId="27DFBFA9"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4DC86CCB" w14:textId="77777777" w:rsidR="00BE57F4" w:rsidRPr="00E27D3B" w:rsidRDefault="00BE57F4" w:rsidP="00DC6D94">
            <w:pPr>
              <w:ind w:right="-22"/>
              <w:rPr>
                <w:rFonts w:cstheme="minorHAnsi"/>
                <w:sz w:val="16"/>
                <w:szCs w:val="16"/>
              </w:rPr>
            </w:pPr>
            <w:r w:rsidRPr="00E27D3B">
              <w:rPr>
                <w:rFonts w:cstheme="minorHAnsi"/>
                <w:sz w:val="16"/>
                <w:szCs w:val="16"/>
              </w:rPr>
              <w:t>STVU, and LTVU</w:t>
            </w:r>
          </w:p>
        </w:tc>
        <w:tc>
          <w:tcPr>
            <w:tcW w:w="1108" w:type="dxa"/>
            <w:tcMar>
              <w:left w:w="170" w:type="dxa"/>
              <w:right w:w="170" w:type="dxa"/>
            </w:tcMar>
          </w:tcPr>
          <w:p w14:paraId="1D027CA4"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11497958" w14:textId="77777777" w:rsidTr="00DC6D94">
        <w:tc>
          <w:tcPr>
            <w:tcW w:w="779" w:type="dxa"/>
            <w:tcMar>
              <w:left w:w="170" w:type="dxa"/>
              <w:right w:w="170" w:type="dxa"/>
            </w:tcMar>
          </w:tcPr>
          <w:p w14:paraId="253ABCDE" w14:textId="77777777" w:rsidR="00BE57F4" w:rsidRPr="00E27D3B" w:rsidRDefault="00BE57F4" w:rsidP="00DC6D94">
            <w:pPr>
              <w:ind w:right="-22"/>
              <w:rPr>
                <w:rFonts w:cstheme="minorHAnsi"/>
                <w:sz w:val="16"/>
                <w:szCs w:val="16"/>
              </w:rPr>
            </w:pPr>
            <w:r w:rsidRPr="00E27D3B">
              <w:rPr>
                <w:rFonts w:cstheme="minorHAnsi"/>
                <w:sz w:val="16"/>
                <w:szCs w:val="16"/>
              </w:rPr>
              <w:t>B#501</w:t>
            </w:r>
          </w:p>
        </w:tc>
        <w:tc>
          <w:tcPr>
            <w:tcW w:w="925" w:type="dxa"/>
            <w:tcMar>
              <w:left w:w="170" w:type="dxa"/>
              <w:right w:w="170" w:type="dxa"/>
            </w:tcMar>
          </w:tcPr>
          <w:p w14:paraId="596C4625" w14:textId="77777777" w:rsidR="00BE57F4" w:rsidRPr="00E27D3B" w:rsidRDefault="00BE57F4" w:rsidP="00DC6D94">
            <w:pPr>
              <w:ind w:left="-154" w:right="-107"/>
              <w:rPr>
                <w:rFonts w:cstheme="minorHAnsi"/>
                <w:sz w:val="16"/>
                <w:szCs w:val="16"/>
              </w:rPr>
            </w:pPr>
            <w:r w:rsidRPr="00E27D3B">
              <w:rPr>
                <w:rFonts w:cstheme="minorHAnsi"/>
                <w:sz w:val="16"/>
                <w:szCs w:val="16"/>
              </w:rPr>
              <w:t>0.884</w:t>
            </w:r>
          </w:p>
        </w:tc>
        <w:tc>
          <w:tcPr>
            <w:tcW w:w="931" w:type="dxa"/>
            <w:tcMar>
              <w:left w:w="170" w:type="dxa"/>
              <w:right w:w="170" w:type="dxa"/>
            </w:tcMar>
          </w:tcPr>
          <w:p w14:paraId="29CBEDCF" w14:textId="77777777" w:rsidR="00BE57F4" w:rsidRPr="00E27D3B" w:rsidRDefault="00BE57F4" w:rsidP="00DC6D94">
            <w:pPr>
              <w:ind w:left="-154" w:right="-107"/>
              <w:rPr>
                <w:rFonts w:cstheme="minorHAnsi"/>
                <w:sz w:val="16"/>
                <w:szCs w:val="16"/>
              </w:rPr>
            </w:pPr>
            <w:r w:rsidRPr="00E27D3B">
              <w:rPr>
                <w:rFonts w:cstheme="minorHAnsi"/>
                <w:sz w:val="16"/>
                <w:szCs w:val="16"/>
              </w:rPr>
              <w:t>-.550</w:t>
            </w:r>
          </w:p>
        </w:tc>
        <w:tc>
          <w:tcPr>
            <w:tcW w:w="933" w:type="dxa"/>
            <w:tcMar>
              <w:left w:w="170" w:type="dxa"/>
              <w:right w:w="170" w:type="dxa"/>
            </w:tcMar>
          </w:tcPr>
          <w:p w14:paraId="0F6ED50D" w14:textId="77777777" w:rsidR="00BE57F4" w:rsidRPr="00E27D3B" w:rsidRDefault="00BE57F4" w:rsidP="00DC6D94">
            <w:pPr>
              <w:ind w:right="-22"/>
              <w:rPr>
                <w:rFonts w:cstheme="minorHAnsi"/>
                <w:sz w:val="16"/>
                <w:szCs w:val="16"/>
              </w:rPr>
            </w:pPr>
            <w:r w:rsidRPr="00E27D3B">
              <w:rPr>
                <w:rFonts w:cstheme="minorHAnsi"/>
                <w:sz w:val="16"/>
                <w:szCs w:val="16"/>
              </w:rPr>
              <w:t>0.160</w:t>
            </w:r>
          </w:p>
        </w:tc>
        <w:tc>
          <w:tcPr>
            <w:tcW w:w="933" w:type="dxa"/>
            <w:tcMar>
              <w:left w:w="170" w:type="dxa"/>
              <w:right w:w="170" w:type="dxa"/>
            </w:tcMar>
          </w:tcPr>
          <w:p w14:paraId="29F005B4" w14:textId="77777777" w:rsidR="00BE57F4" w:rsidRPr="00E27D3B" w:rsidRDefault="00BE57F4" w:rsidP="00DC6D94">
            <w:pPr>
              <w:ind w:right="-22"/>
              <w:rPr>
                <w:rFonts w:cstheme="minorHAnsi"/>
                <w:sz w:val="16"/>
                <w:szCs w:val="16"/>
              </w:rPr>
            </w:pPr>
            <w:r w:rsidRPr="00E27D3B">
              <w:rPr>
                <w:rFonts w:cstheme="minorHAnsi"/>
                <w:sz w:val="16"/>
                <w:szCs w:val="16"/>
              </w:rPr>
              <w:t>0.974</w:t>
            </w:r>
          </w:p>
        </w:tc>
        <w:tc>
          <w:tcPr>
            <w:tcW w:w="918" w:type="dxa"/>
            <w:tcMar>
              <w:left w:w="170" w:type="dxa"/>
              <w:right w:w="170" w:type="dxa"/>
            </w:tcMar>
          </w:tcPr>
          <w:p w14:paraId="781783C8" w14:textId="77777777" w:rsidR="00BE57F4" w:rsidRPr="00E27D3B" w:rsidRDefault="00BE57F4" w:rsidP="00DC6D94">
            <w:pPr>
              <w:ind w:right="-22"/>
              <w:rPr>
                <w:rFonts w:cstheme="minorHAnsi"/>
                <w:sz w:val="16"/>
                <w:szCs w:val="16"/>
              </w:rPr>
            </w:pPr>
            <w:r w:rsidRPr="00E27D3B">
              <w:rPr>
                <w:rFonts w:cstheme="minorHAnsi"/>
                <w:sz w:val="16"/>
                <w:szCs w:val="16"/>
              </w:rPr>
              <w:t>-.665</w:t>
            </w:r>
          </w:p>
        </w:tc>
        <w:tc>
          <w:tcPr>
            <w:tcW w:w="918" w:type="dxa"/>
            <w:tcMar>
              <w:left w:w="170" w:type="dxa"/>
              <w:right w:w="170" w:type="dxa"/>
            </w:tcMar>
          </w:tcPr>
          <w:p w14:paraId="3927951B" w14:textId="77777777" w:rsidR="00BE57F4" w:rsidRPr="00E27D3B" w:rsidRDefault="00BE57F4" w:rsidP="00DC6D94">
            <w:pPr>
              <w:ind w:right="-22"/>
              <w:rPr>
                <w:rFonts w:cstheme="minorHAnsi"/>
                <w:sz w:val="16"/>
                <w:szCs w:val="16"/>
              </w:rPr>
            </w:pPr>
            <w:r w:rsidRPr="00E27D3B">
              <w:rPr>
                <w:rFonts w:cstheme="minorHAnsi"/>
                <w:sz w:val="16"/>
                <w:szCs w:val="16"/>
              </w:rPr>
              <w:t>-.855</w:t>
            </w:r>
          </w:p>
        </w:tc>
        <w:tc>
          <w:tcPr>
            <w:tcW w:w="1083" w:type="dxa"/>
            <w:tcMar>
              <w:left w:w="170" w:type="dxa"/>
              <w:right w:w="170" w:type="dxa"/>
            </w:tcMar>
          </w:tcPr>
          <w:p w14:paraId="3E8FF39E"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3381C0D4" w14:textId="77777777" w:rsidR="00BE57F4" w:rsidRPr="00E27D3B" w:rsidRDefault="00BE57F4" w:rsidP="00DC6D94">
            <w:pPr>
              <w:ind w:right="-22"/>
              <w:rPr>
                <w:rFonts w:cstheme="minorHAnsi"/>
                <w:sz w:val="16"/>
                <w:szCs w:val="16"/>
              </w:rPr>
            </w:pPr>
            <w:r w:rsidRPr="00E27D3B">
              <w:rPr>
                <w:rFonts w:cstheme="minorHAnsi"/>
                <w:sz w:val="16"/>
                <w:szCs w:val="16"/>
              </w:rPr>
              <w:t>STVU, and LTVU</w:t>
            </w:r>
          </w:p>
        </w:tc>
        <w:tc>
          <w:tcPr>
            <w:tcW w:w="1108" w:type="dxa"/>
            <w:tcMar>
              <w:left w:w="170" w:type="dxa"/>
              <w:right w:w="170" w:type="dxa"/>
            </w:tcMar>
          </w:tcPr>
          <w:p w14:paraId="13CF42FC"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0FD2BDBF" w14:textId="77777777" w:rsidTr="00DC6D94">
        <w:tc>
          <w:tcPr>
            <w:tcW w:w="779" w:type="dxa"/>
            <w:tcMar>
              <w:left w:w="170" w:type="dxa"/>
              <w:right w:w="170" w:type="dxa"/>
            </w:tcMar>
          </w:tcPr>
          <w:p w14:paraId="4AC0D67F" w14:textId="77777777" w:rsidR="00BE57F4" w:rsidRPr="00E27D3B" w:rsidRDefault="00BE57F4" w:rsidP="00DC6D94">
            <w:pPr>
              <w:ind w:right="-22"/>
              <w:rPr>
                <w:rFonts w:cstheme="minorHAnsi"/>
                <w:sz w:val="16"/>
                <w:szCs w:val="16"/>
              </w:rPr>
            </w:pPr>
            <w:r w:rsidRPr="00E27D3B">
              <w:rPr>
                <w:rFonts w:cstheme="minorHAnsi"/>
                <w:sz w:val="16"/>
                <w:szCs w:val="16"/>
              </w:rPr>
              <w:t>B#502</w:t>
            </w:r>
          </w:p>
        </w:tc>
        <w:tc>
          <w:tcPr>
            <w:tcW w:w="925" w:type="dxa"/>
            <w:tcMar>
              <w:left w:w="170" w:type="dxa"/>
              <w:right w:w="170" w:type="dxa"/>
            </w:tcMar>
          </w:tcPr>
          <w:p w14:paraId="62F1A272" w14:textId="77777777" w:rsidR="00BE57F4" w:rsidRPr="00E27D3B" w:rsidRDefault="00BE57F4" w:rsidP="00DC6D94">
            <w:pPr>
              <w:ind w:left="-154" w:right="-107"/>
              <w:rPr>
                <w:rFonts w:cstheme="minorHAnsi"/>
                <w:sz w:val="16"/>
                <w:szCs w:val="16"/>
              </w:rPr>
            </w:pPr>
            <w:r w:rsidRPr="00E27D3B">
              <w:rPr>
                <w:rFonts w:cstheme="minorHAnsi"/>
                <w:sz w:val="16"/>
                <w:szCs w:val="16"/>
              </w:rPr>
              <w:t>0.939</w:t>
            </w:r>
          </w:p>
        </w:tc>
        <w:tc>
          <w:tcPr>
            <w:tcW w:w="931" w:type="dxa"/>
            <w:tcMar>
              <w:left w:w="170" w:type="dxa"/>
              <w:right w:w="170" w:type="dxa"/>
            </w:tcMar>
          </w:tcPr>
          <w:p w14:paraId="6AF1E739" w14:textId="77777777" w:rsidR="00BE57F4" w:rsidRPr="00E27D3B" w:rsidRDefault="00BE57F4" w:rsidP="00DC6D94">
            <w:pPr>
              <w:ind w:right="-22"/>
              <w:rPr>
                <w:rFonts w:cstheme="minorHAnsi"/>
                <w:sz w:val="16"/>
                <w:szCs w:val="16"/>
              </w:rPr>
            </w:pPr>
            <w:r w:rsidRPr="00E27D3B">
              <w:rPr>
                <w:rFonts w:cstheme="minorHAnsi"/>
                <w:sz w:val="16"/>
                <w:szCs w:val="16"/>
              </w:rPr>
              <w:t>0.510</w:t>
            </w:r>
          </w:p>
        </w:tc>
        <w:tc>
          <w:tcPr>
            <w:tcW w:w="933" w:type="dxa"/>
            <w:tcMar>
              <w:left w:w="170" w:type="dxa"/>
              <w:right w:w="170" w:type="dxa"/>
            </w:tcMar>
          </w:tcPr>
          <w:p w14:paraId="5D40608E" w14:textId="77777777" w:rsidR="00BE57F4" w:rsidRPr="00E27D3B" w:rsidRDefault="00BE57F4" w:rsidP="00DC6D94">
            <w:pPr>
              <w:ind w:right="-22"/>
              <w:rPr>
                <w:rFonts w:cstheme="minorHAnsi"/>
                <w:sz w:val="16"/>
                <w:szCs w:val="16"/>
              </w:rPr>
            </w:pPr>
            <w:r w:rsidRPr="00E27D3B">
              <w:rPr>
                <w:rFonts w:cstheme="minorHAnsi"/>
                <w:sz w:val="16"/>
                <w:szCs w:val="16"/>
              </w:rPr>
              <w:t>0.517</w:t>
            </w:r>
          </w:p>
        </w:tc>
        <w:tc>
          <w:tcPr>
            <w:tcW w:w="933" w:type="dxa"/>
            <w:tcMar>
              <w:left w:w="170" w:type="dxa"/>
              <w:right w:w="170" w:type="dxa"/>
            </w:tcMar>
          </w:tcPr>
          <w:p w14:paraId="09C50254" w14:textId="77777777" w:rsidR="00BE57F4" w:rsidRPr="00E27D3B" w:rsidRDefault="00BE57F4" w:rsidP="00DC6D94">
            <w:pPr>
              <w:ind w:right="-22"/>
              <w:rPr>
                <w:rFonts w:cstheme="minorHAnsi"/>
                <w:sz w:val="16"/>
                <w:szCs w:val="16"/>
              </w:rPr>
            </w:pPr>
            <w:r w:rsidRPr="00E27D3B">
              <w:rPr>
                <w:rFonts w:cstheme="minorHAnsi"/>
                <w:sz w:val="16"/>
                <w:szCs w:val="16"/>
              </w:rPr>
              <w:t>0.930</w:t>
            </w:r>
          </w:p>
        </w:tc>
        <w:tc>
          <w:tcPr>
            <w:tcW w:w="918" w:type="dxa"/>
            <w:tcMar>
              <w:left w:w="170" w:type="dxa"/>
              <w:right w:w="170" w:type="dxa"/>
            </w:tcMar>
          </w:tcPr>
          <w:p w14:paraId="65F702B7" w14:textId="77777777" w:rsidR="00BE57F4" w:rsidRPr="00E27D3B" w:rsidRDefault="00BE57F4" w:rsidP="00DC6D94">
            <w:pPr>
              <w:ind w:right="-22"/>
              <w:rPr>
                <w:rFonts w:cstheme="minorHAnsi"/>
                <w:sz w:val="16"/>
                <w:szCs w:val="16"/>
              </w:rPr>
            </w:pPr>
            <w:r w:rsidRPr="00E27D3B">
              <w:rPr>
                <w:rFonts w:cstheme="minorHAnsi"/>
                <w:sz w:val="16"/>
                <w:szCs w:val="16"/>
              </w:rPr>
              <w:t>-.357</w:t>
            </w:r>
          </w:p>
        </w:tc>
        <w:tc>
          <w:tcPr>
            <w:tcW w:w="918" w:type="dxa"/>
            <w:tcMar>
              <w:left w:w="170" w:type="dxa"/>
              <w:right w:w="170" w:type="dxa"/>
            </w:tcMar>
          </w:tcPr>
          <w:p w14:paraId="50301B25" w14:textId="77777777" w:rsidR="00BE57F4" w:rsidRPr="00E27D3B" w:rsidRDefault="00BE57F4" w:rsidP="00DC6D94">
            <w:pPr>
              <w:ind w:right="-22"/>
              <w:rPr>
                <w:rFonts w:cstheme="minorHAnsi"/>
                <w:sz w:val="16"/>
                <w:szCs w:val="16"/>
              </w:rPr>
            </w:pPr>
            <w:r w:rsidRPr="00E27D3B">
              <w:rPr>
                <w:rFonts w:cstheme="minorHAnsi"/>
                <w:sz w:val="16"/>
                <w:szCs w:val="16"/>
              </w:rPr>
              <w:t>-.786</w:t>
            </w:r>
          </w:p>
        </w:tc>
        <w:tc>
          <w:tcPr>
            <w:tcW w:w="1083" w:type="dxa"/>
            <w:tcMar>
              <w:left w:w="170" w:type="dxa"/>
              <w:right w:w="170" w:type="dxa"/>
            </w:tcMar>
          </w:tcPr>
          <w:p w14:paraId="608E2D29"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49676C1D"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1FAB75CB"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51281EA5" w14:textId="77777777" w:rsidTr="00DC6D94">
        <w:tc>
          <w:tcPr>
            <w:tcW w:w="779" w:type="dxa"/>
            <w:tcMar>
              <w:left w:w="170" w:type="dxa"/>
              <w:right w:w="170" w:type="dxa"/>
            </w:tcMar>
          </w:tcPr>
          <w:p w14:paraId="22C6096D" w14:textId="77777777" w:rsidR="00BE57F4" w:rsidRPr="00E27D3B" w:rsidRDefault="00BE57F4" w:rsidP="00DC6D94">
            <w:pPr>
              <w:ind w:right="-22"/>
              <w:rPr>
                <w:rFonts w:cstheme="minorHAnsi"/>
                <w:sz w:val="16"/>
                <w:szCs w:val="16"/>
              </w:rPr>
            </w:pPr>
            <w:r w:rsidRPr="00E27D3B">
              <w:rPr>
                <w:rFonts w:cstheme="minorHAnsi"/>
                <w:sz w:val="16"/>
                <w:szCs w:val="16"/>
              </w:rPr>
              <w:t>B#503</w:t>
            </w:r>
          </w:p>
        </w:tc>
        <w:tc>
          <w:tcPr>
            <w:tcW w:w="925" w:type="dxa"/>
            <w:tcMar>
              <w:left w:w="170" w:type="dxa"/>
              <w:right w:w="170" w:type="dxa"/>
            </w:tcMar>
          </w:tcPr>
          <w:p w14:paraId="2264678D" w14:textId="77777777" w:rsidR="00BE57F4" w:rsidRPr="00E27D3B" w:rsidRDefault="00BE57F4" w:rsidP="00DC6D94">
            <w:pPr>
              <w:ind w:left="-154" w:right="-107"/>
              <w:rPr>
                <w:rFonts w:cstheme="minorHAnsi"/>
                <w:sz w:val="16"/>
                <w:szCs w:val="16"/>
              </w:rPr>
            </w:pPr>
            <w:r w:rsidRPr="00E27D3B">
              <w:rPr>
                <w:rFonts w:cstheme="minorHAnsi"/>
                <w:sz w:val="16"/>
                <w:szCs w:val="16"/>
              </w:rPr>
              <w:t>0.883</w:t>
            </w:r>
          </w:p>
        </w:tc>
        <w:tc>
          <w:tcPr>
            <w:tcW w:w="931" w:type="dxa"/>
            <w:tcMar>
              <w:left w:w="170" w:type="dxa"/>
              <w:right w:w="170" w:type="dxa"/>
            </w:tcMar>
          </w:tcPr>
          <w:p w14:paraId="00E5549C" w14:textId="77777777" w:rsidR="00BE57F4" w:rsidRPr="00E27D3B" w:rsidRDefault="00BE57F4" w:rsidP="00DC6D94">
            <w:pPr>
              <w:ind w:right="-22"/>
              <w:rPr>
                <w:rFonts w:cstheme="minorHAnsi"/>
                <w:sz w:val="16"/>
                <w:szCs w:val="16"/>
              </w:rPr>
            </w:pPr>
            <w:r w:rsidRPr="00E27D3B">
              <w:rPr>
                <w:rFonts w:cstheme="minorHAnsi"/>
                <w:sz w:val="16"/>
                <w:szCs w:val="16"/>
              </w:rPr>
              <w:t>-.112</w:t>
            </w:r>
          </w:p>
        </w:tc>
        <w:tc>
          <w:tcPr>
            <w:tcW w:w="933" w:type="dxa"/>
            <w:tcMar>
              <w:left w:w="170" w:type="dxa"/>
              <w:right w:w="170" w:type="dxa"/>
            </w:tcMar>
          </w:tcPr>
          <w:p w14:paraId="78EB839D" w14:textId="77777777" w:rsidR="00BE57F4" w:rsidRPr="00E27D3B" w:rsidRDefault="00BE57F4" w:rsidP="00DC6D94">
            <w:pPr>
              <w:ind w:right="-22"/>
              <w:rPr>
                <w:rFonts w:cstheme="minorHAnsi"/>
                <w:sz w:val="16"/>
                <w:szCs w:val="16"/>
              </w:rPr>
            </w:pPr>
            <w:r w:rsidRPr="00E27D3B">
              <w:rPr>
                <w:rFonts w:cstheme="minorHAnsi"/>
                <w:sz w:val="16"/>
                <w:szCs w:val="16"/>
              </w:rPr>
              <w:t>-.002</w:t>
            </w:r>
          </w:p>
        </w:tc>
        <w:tc>
          <w:tcPr>
            <w:tcW w:w="933" w:type="dxa"/>
            <w:tcMar>
              <w:left w:w="170" w:type="dxa"/>
              <w:right w:w="170" w:type="dxa"/>
            </w:tcMar>
          </w:tcPr>
          <w:p w14:paraId="7E251EE9" w14:textId="77777777" w:rsidR="00BE57F4" w:rsidRPr="00E27D3B" w:rsidRDefault="00BE57F4" w:rsidP="00DC6D94">
            <w:pPr>
              <w:ind w:right="-22"/>
              <w:rPr>
                <w:rFonts w:cstheme="minorHAnsi"/>
                <w:sz w:val="16"/>
                <w:szCs w:val="16"/>
              </w:rPr>
            </w:pPr>
            <w:r w:rsidRPr="00E27D3B">
              <w:rPr>
                <w:rFonts w:cstheme="minorHAnsi"/>
                <w:sz w:val="16"/>
                <w:szCs w:val="16"/>
              </w:rPr>
              <w:t>0.975</w:t>
            </w:r>
          </w:p>
        </w:tc>
        <w:tc>
          <w:tcPr>
            <w:tcW w:w="918" w:type="dxa"/>
            <w:tcMar>
              <w:left w:w="170" w:type="dxa"/>
              <w:right w:w="170" w:type="dxa"/>
            </w:tcMar>
          </w:tcPr>
          <w:p w14:paraId="711FC634" w14:textId="77777777" w:rsidR="00BE57F4" w:rsidRPr="00E27D3B" w:rsidRDefault="00BE57F4" w:rsidP="00DC6D94">
            <w:pPr>
              <w:ind w:right="-22"/>
              <w:rPr>
                <w:rFonts w:cstheme="minorHAnsi"/>
                <w:sz w:val="16"/>
                <w:szCs w:val="16"/>
              </w:rPr>
            </w:pPr>
            <w:r w:rsidRPr="00E27D3B">
              <w:rPr>
                <w:rFonts w:cstheme="minorHAnsi"/>
                <w:sz w:val="16"/>
                <w:szCs w:val="16"/>
              </w:rPr>
              <w:t>-.645</w:t>
            </w:r>
          </w:p>
        </w:tc>
        <w:tc>
          <w:tcPr>
            <w:tcW w:w="918" w:type="dxa"/>
            <w:tcMar>
              <w:left w:w="170" w:type="dxa"/>
              <w:right w:w="170" w:type="dxa"/>
            </w:tcMar>
          </w:tcPr>
          <w:p w14:paraId="6B03B8F1" w14:textId="77777777" w:rsidR="00BE57F4" w:rsidRPr="00E27D3B" w:rsidRDefault="00BE57F4" w:rsidP="00DC6D94">
            <w:pPr>
              <w:ind w:right="-22"/>
              <w:rPr>
                <w:rFonts w:cstheme="minorHAnsi"/>
                <w:sz w:val="16"/>
                <w:szCs w:val="16"/>
              </w:rPr>
            </w:pPr>
            <w:r w:rsidRPr="00E27D3B">
              <w:rPr>
                <w:rFonts w:cstheme="minorHAnsi"/>
                <w:sz w:val="16"/>
                <w:szCs w:val="16"/>
              </w:rPr>
              <w:t>-.316</w:t>
            </w:r>
          </w:p>
        </w:tc>
        <w:tc>
          <w:tcPr>
            <w:tcW w:w="1083" w:type="dxa"/>
            <w:tcMar>
              <w:left w:w="170" w:type="dxa"/>
              <w:right w:w="170" w:type="dxa"/>
            </w:tcMar>
          </w:tcPr>
          <w:p w14:paraId="08DADFBA"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4FC5A4E2" w14:textId="77777777" w:rsidR="00BE57F4" w:rsidRPr="00E27D3B" w:rsidRDefault="00BE57F4" w:rsidP="00DC6D94">
            <w:pPr>
              <w:ind w:right="-22"/>
              <w:rPr>
                <w:rFonts w:cstheme="minorHAnsi"/>
                <w:sz w:val="16"/>
                <w:szCs w:val="16"/>
              </w:rPr>
            </w:pPr>
            <w:r w:rsidRPr="00E27D3B">
              <w:rPr>
                <w:rFonts w:cstheme="minorHAnsi"/>
                <w:sz w:val="16"/>
                <w:szCs w:val="16"/>
              </w:rPr>
              <w:t>STVU, and LTVU</w:t>
            </w:r>
          </w:p>
        </w:tc>
        <w:tc>
          <w:tcPr>
            <w:tcW w:w="1108" w:type="dxa"/>
            <w:tcMar>
              <w:left w:w="170" w:type="dxa"/>
              <w:right w:w="170" w:type="dxa"/>
            </w:tcMar>
          </w:tcPr>
          <w:p w14:paraId="6C53426C" w14:textId="77777777" w:rsidR="00BE57F4" w:rsidRPr="00E27D3B" w:rsidRDefault="00BE57F4" w:rsidP="00DC6D94">
            <w:pPr>
              <w:ind w:right="-22"/>
              <w:rPr>
                <w:rFonts w:cstheme="minorHAnsi"/>
                <w:sz w:val="16"/>
                <w:szCs w:val="16"/>
              </w:rPr>
            </w:pPr>
            <w:r w:rsidRPr="00E27D3B">
              <w:rPr>
                <w:rFonts w:cstheme="minorHAnsi"/>
                <w:sz w:val="16"/>
                <w:szCs w:val="16"/>
              </w:rPr>
              <w:t>STVU, and LTVU</w:t>
            </w:r>
          </w:p>
        </w:tc>
      </w:tr>
      <w:tr w:rsidR="00BE57F4" w:rsidRPr="00E27D3B" w14:paraId="0D36BBDC" w14:textId="77777777" w:rsidTr="00DC6D94">
        <w:tc>
          <w:tcPr>
            <w:tcW w:w="779" w:type="dxa"/>
            <w:tcMar>
              <w:left w:w="170" w:type="dxa"/>
              <w:right w:w="170" w:type="dxa"/>
            </w:tcMar>
          </w:tcPr>
          <w:p w14:paraId="0B2C9210" w14:textId="77777777" w:rsidR="00BE57F4" w:rsidRPr="00E27D3B" w:rsidRDefault="00BE57F4" w:rsidP="00DC6D94">
            <w:pPr>
              <w:ind w:right="-22"/>
              <w:rPr>
                <w:rFonts w:cstheme="minorHAnsi"/>
                <w:sz w:val="16"/>
                <w:szCs w:val="16"/>
              </w:rPr>
            </w:pPr>
            <w:r w:rsidRPr="00E27D3B">
              <w:rPr>
                <w:rFonts w:cstheme="minorHAnsi"/>
                <w:sz w:val="16"/>
                <w:szCs w:val="16"/>
              </w:rPr>
              <w:t>B#504</w:t>
            </w:r>
          </w:p>
        </w:tc>
        <w:tc>
          <w:tcPr>
            <w:tcW w:w="925" w:type="dxa"/>
            <w:tcMar>
              <w:left w:w="170" w:type="dxa"/>
              <w:right w:w="170" w:type="dxa"/>
            </w:tcMar>
          </w:tcPr>
          <w:p w14:paraId="47EC156D" w14:textId="77777777" w:rsidR="00BE57F4" w:rsidRPr="00E27D3B" w:rsidRDefault="00BE57F4" w:rsidP="00DC6D94">
            <w:pPr>
              <w:ind w:left="-12" w:right="-107"/>
              <w:rPr>
                <w:rFonts w:cstheme="minorHAnsi"/>
                <w:sz w:val="16"/>
                <w:szCs w:val="16"/>
              </w:rPr>
            </w:pPr>
            <w:r w:rsidRPr="00E27D3B">
              <w:rPr>
                <w:rFonts w:cstheme="minorHAnsi"/>
                <w:sz w:val="16"/>
                <w:szCs w:val="16"/>
              </w:rPr>
              <w:t>0.921</w:t>
            </w:r>
          </w:p>
        </w:tc>
        <w:tc>
          <w:tcPr>
            <w:tcW w:w="931" w:type="dxa"/>
            <w:tcMar>
              <w:left w:w="170" w:type="dxa"/>
              <w:right w:w="170" w:type="dxa"/>
            </w:tcMar>
          </w:tcPr>
          <w:p w14:paraId="46FED77B" w14:textId="77777777" w:rsidR="00BE57F4" w:rsidRPr="00E27D3B" w:rsidRDefault="00BE57F4" w:rsidP="00DC6D94">
            <w:pPr>
              <w:ind w:right="-22"/>
              <w:rPr>
                <w:rFonts w:cstheme="minorHAnsi"/>
                <w:sz w:val="16"/>
                <w:szCs w:val="16"/>
              </w:rPr>
            </w:pPr>
            <w:r w:rsidRPr="00E27D3B">
              <w:rPr>
                <w:rFonts w:cstheme="minorHAnsi"/>
                <w:sz w:val="16"/>
                <w:szCs w:val="16"/>
              </w:rPr>
              <w:t>0.510</w:t>
            </w:r>
          </w:p>
        </w:tc>
        <w:tc>
          <w:tcPr>
            <w:tcW w:w="933" w:type="dxa"/>
            <w:tcMar>
              <w:left w:w="170" w:type="dxa"/>
              <w:right w:w="170" w:type="dxa"/>
            </w:tcMar>
          </w:tcPr>
          <w:p w14:paraId="399D5E34" w14:textId="77777777" w:rsidR="00BE57F4" w:rsidRPr="00E27D3B" w:rsidRDefault="00BE57F4" w:rsidP="00DC6D94">
            <w:pPr>
              <w:ind w:right="-22"/>
              <w:rPr>
                <w:rFonts w:cstheme="minorHAnsi"/>
                <w:sz w:val="16"/>
                <w:szCs w:val="16"/>
              </w:rPr>
            </w:pPr>
            <w:r w:rsidRPr="00E27D3B">
              <w:rPr>
                <w:rFonts w:cstheme="minorHAnsi"/>
                <w:sz w:val="16"/>
                <w:szCs w:val="16"/>
              </w:rPr>
              <w:t>0.374</w:t>
            </w:r>
          </w:p>
        </w:tc>
        <w:tc>
          <w:tcPr>
            <w:tcW w:w="933" w:type="dxa"/>
            <w:tcMar>
              <w:left w:w="170" w:type="dxa"/>
              <w:right w:w="170" w:type="dxa"/>
            </w:tcMar>
          </w:tcPr>
          <w:p w14:paraId="6533C688" w14:textId="77777777" w:rsidR="00BE57F4" w:rsidRPr="00E27D3B" w:rsidRDefault="00BE57F4" w:rsidP="00DC6D94">
            <w:pPr>
              <w:ind w:right="-22"/>
              <w:rPr>
                <w:rFonts w:cstheme="minorHAnsi"/>
                <w:sz w:val="16"/>
                <w:szCs w:val="16"/>
              </w:rPr>
            </w:pPr>
            <w:r w:rsidRPr="00E27D3B">
              <w:rPr>
                <w:rFonts w:cstheme="minorHAnsi"/>
                <w:sz w:val="16"/>
                <w:szCs w:val="16"/>
              </w:rPr>
              <w:t>0.958</w:t>
            </w:r>
          </w:p>
        </w:tc>
        <w:tc>
          <w:tcPr>
            <w:tcW w:w="918" w:type="dxa"/>
            <w:tcMar>
              <w:left w:w="170" w:type="dxa"/>
              <w:right w:w="170" w:type="dxa"/>
            </w:tcMar>
          </w:tcPr>
          <w:p w14:paraId="0E5440DA" w14:textId="77777777" w:rsidR="00BE57F4" w:rsidRPr="00E27D3B" w:rsidRDefault="00BE57F4" w:rsidP="00DC6D94">
            <w:pPr>
              <w:ind w:right="-22"/>
              <w:rPr>
                <w:rFonts w:cstheme="minorHAnsi"/>
                <w:sz w:val="16"/>
                <w:szCs w:val="16"/>
              </w:rPr>
            </w:pPr>
            <w:r w:rsidRPr="00E27D3B">
              <w:rPr>
                <w:rFonts w:cstheme="minorHAnsi"/>
                <w:sz w:val="16"/>
                <w:szCs w:val="16"/>
              </w:rPr>
              <w:t>-.188</w:t>
            </w:r>
          </w:p>
        </w:tc>
        <w:tc>
          <w:tcPr>
            <w:tcW w:w="918" w:type="dxa"/>
            <w:tcMar>
              <w:left w:w="170" w:type="dxa"/>
              <w:right w:w="170" w:type="dxa"/>
            </w:tcMar>
          </w:tcPr>
          <w:p w14:paraId="51489ED2" w14:textId="77777777" w:rsidR="00BE57F4" w:rsidRPr="00E27D3B" w:rsidRDefault="00BE57F4" w:rsidP="00DC6D94">
            <w:pPr>
              <w:ind w:right="-22"/>
              <w:rPr>
                <w:rFonts w:cstheme="minorHAnsi"/>
                <w:sz w:val="16"/>
                <w:szCs w:val="16"/>
              </w:rPr>
            </w:pPr>
            <w:r w:rsidRPr="00E27D3B">
              <w:rPr>
                <w:rFonts w:cstheme="minorHAnsi"/>
                <w:sz w:val="16"/>
                <w:szCs w:val="16"/>
              </w:rPr>
              <w:t>-1.0</w:t>
            </w:r>
          </w:p>
        </w:tc>
        <w:tc>
          <w:tcPr>
            <w:tcW w:w="1083" w:type="dxa"/>
            <w:tcMar>
              <w:left w:w="170" w:type="dxa"/>
              <w:right w:w="170" w:type="dxa"/>
            </w:tcMar>
          </w:tcPr>
          <w:p w14:paraId="6A01BDE5"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5FDEF1B3"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06EB555E"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54D582C6" w14:textId="77777777" w:rsidTr="00DC6D94">
        <w:tc>
          <w:tcPr>
            <w:tcW w:w="779" w:type="dxa"/>
            <w:tcMar>
              <w:left w:w="170" w:type="dxa"/>
              <w:right w:w="170" w:type="dxa"/>
            </w:tcMar>
          </w:tcPr>
          <w:p w14:paraId="07D1B00E" w14:textId="77777777" w:rsidR="00BE57F4" w:rsidRPr="00E27D3B" w:rsidRDefault="00BE57F4" w:rsidP="00DC6D94">
            <w:pPr>
              <w:ind w:right="-22"/>
              <w:rPr>
                <w:rFonts w:cstheme="minorHAnsi"/>
                <w:sz w:val="16"/>
                <w:szCs w:val="16"/>
              </w:rPr>
            </w:pPr>
            <w:r w:rsidRPr="00E27D3B">
              <w:rPr>
                <w:rFonts w:cstheme="minorHAnsi"/>
                <w:sz w:val="16"/>
                <w:szCs w:val="16"/>
              </w:rPr>
              <w:t>B#505</w:t>
            </w:r>
          </w:p>
        </w:tc>
        <w:tc>
          <w:tcPr>
            <w:tcW w:w="925" w:type="dxa"/>
            <w:tcMar>
              <w:left w:w="170" w:type="dxa"/>
              <w:right w:w="170" w:type="dxa"/>
            </w:tcMar>
          </w:tcPr>
          <w:p w14:paraId="125BC75B" w14:textId="77777777" w:rsidR="00BE57F4" w:rsidRPr="00E27D3B" w:rsidRDefault="00BE57F4" w:rsidP="00DC6D94">
            <w:pPr>
              <w:ind w:left="-12" w:right="-107"/>
              <w:rPr>
                <w:rFonts w:cstheme="minorHAnsi"/>
                <w:sz w:val="16"/>
                <w:szCs w:val="16"/>
              </w:rPr>
            </w:pPr>
            <w:r w:rsidRPr="00E27D3B">
              <w:rPr>
                <w:rFonts w:cstheme="minorHAnsi"/>
                <w:sz w:val="16"/>
                <w:szCs w:val="16"/>
              </w:rPr>
              <w:t>0.901</w:t>
            </w:r>
          </w:p>
        </w:tc>
        <w:tc>
          <w:tcPr>
            <w:tcW w:w="931" w:type="dxa"/>
            <w:tcMar>
              <w:left w:w="170" w:type="dxa"/>
              <w:right w:w="170" w:type="dxa"/>
            </w:tcMar>
          </w:tcPr>
          <w:p w14:paraId="65FB9F5C" w14:textId="77777777" w:rsidR="00BE57F4" w:rsidRPr="00E27D3B" w:rsidRDefault="00BE57F4" w:rsidP="00DC6D94">
            <w:pPr>
              <w:ind w:right="-22"/>
              <w:rPr>
                <w:rFonts w:cstheme="minorHAnsi"/>
                <w:sz w:val="16"/>
                <w:szCs w:val="16"/>
              </w:rPr>
            </w:pPr>
            <w:r w:rsidRPr="00E27D3B">
              <w:rPr>
                <w:rFonts w:cstheme="minorHAnsi"/>
                <w:sz w:val="16"/>
                <w:szCs w:val="16"/>
              </w:rPr>
              <w:t>0.360</w:t>
            </w:r>
          </w:p>
        </w:tc>
        <w:tc>
          <w:tcPr>
            <w:tcW w:w="933" w:type="dxa"/>
            <w:tcMar>
              <w:left w:w="170" w:type="dxa"/>
              <w:right w:w="170" w:type="dxa"/>
            </w:tcMar>
          </w:tcPr>
          <w:p w14:paraId="011D7A32" w14:textId="77777777" w:rsidR="00BE57F4" w:rsidRPr="00E27D3B" w:rsidRDefault="00BE57F4" w:rsidP="00DC6D94">
            <w:pPr>
              <w:ind w:right="-22"/>
              <w:rPr>
                <w:rFonts w:cstheme="minorHAnsi"/>
                <w:sz w:val="16"/>
                <w:szCs w:val="16"/>
              </w:rPr>
            </w:pPr>
            <w:r w:rsidRPr="00E27D3B">
              <w:rPr>
                <w:rFonts w:cstheme="minorHAnsi"/>
                <w:sz w:val="16"/>
                <w:szCs w:val="16"/>
              </w:rPr>
              <w:t>0.372</w:t>
            </w:r>
          </w:p>
        </w:tc>
        <w:tc>
          <w:tcPr>
            <w:tcW w:w="933" w:type="dxa"/>
            <w:tcMar>
              <w:left w:w="170" w:type="dxa"/>
              <w:right w:w="170" w:type="dxa"/>
            </w:tcMar>
          </w:tcPr>
          <w:p w14:paraId="62E5879C" w14:textId="77777777" w:rsidR="00BE57F4" w:rsidRPr="00E27D3B" w:rsidRDefault="00BE57F4" w:rsidP="00DC6D94">
            <w:pPr>
              <w:ind w:right="-22"/>
              <w:rPr>
                <w:rFonts w:cstheme="minorHAnsi"/>
                <w:sz w:val="16"/>
                <w:szCs w:val="16"/>
              </w:rPr>
            </w:pPr>
            <w:r w:rsidRPr="00E27D3B">
              <w:rPr>
                <w:rFonts w:cstheme="minorHAnsi"/>
                <w:sz w:val="16"/>
                <w:szCs w:val="16"/>
              </w:rPr>
              <w:t>0.980</w:t>
            </w:r>
          </w:p>
        </w:tc>
        <w:tc>
          <w:tcPr>
            <w:tcW w:w="918" w:type="dxa"/>
            <w:tcMar>
              <w:left w:w="170" w:type="dxa"/>
              <w:right w:w="170" w:type="dxa"/>
            </w:tcMar>
          </w:tcPr>
          <w:p w14:paraId="1A905566" w14:textId="77777777" w:rsidR="00BE57F4" w:rsidRPr="00E27D3B" w:rsidRDefault="00BE57F4" w:rsidP="00DC6D94">
            <w:pPr>
              <w:ind w:right="-22"/>
              <w:rPr>
                <w:rFonts w:cstheme="minorHAnsi"/>
                <w:sz w:val="16"/>
                <w:szCs w:val="16"/>
              </w:rPr>
            </w:pPr>
            <w:r w:rsidRPr="00E27D3B">
              <w:rPr>
                <w:rFonts w:cstheme="minorHAnsi"/>
                <w:sz w:val="16"/>
                <w:szCs w:val="16"/>
              </w:rPr>
              <w:t>-.550</w:t>
            </w:r>
          </w:p>
        </w:tc>
        <w:tc>
          <w:tcPr>
            <w:tcW w:w="918" w:type="dxa"/>
            <w:tcMar>
              <w:left w:w="170" w:type="dxa"/>
              <w:right w:w="170" w:type="dxa"/>
            </w:tcMar>
          </w:tcPr>
          <w:p w14:paraId="2E28F44F" w14:textId="77777777" w:rsidR="00BE57F4" w:rsidRPr="00E27D3B" w:rsidRDefault="00BE57F4" w:rsidP="00DC6D94">
            <w:pPr>
              <w:ind w:right="-22"/>
              <w:rPr>
                <w:rFonts w:cstheme="minorHAnsi"/>
                <w:sz w:val="16"/>
                <w:szCs w:val="16"/>
              </w:rPr>
            </w:pPr>
            <w:r w:rsidRPr="00E27D3B">
              <w:rPr>
                <w:rFonts w:cstheme="minorHAnsi"/>
                <w:sz w:val="16"/>
                <w:szCs w:val="16"/>
              </w:rPr>
              <w:t>-.778</w:t>
            </w:r>
          </w:p>
        </w:tc>
        <w:tc>
          <w:tcPr>
            <w:tcW w:w="1083" w:type="dxa"/>
            <w:tcMar>
              <w:left w:w="170" w:type="dxa"/>
              <w:right w:w="170" w:type="dxa"/>
            </w:tcMar>
          </w:tcPr>
          <w:p w14:paraId="743154C3"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238DA36B"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0BC30CFA"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6C562129" w14:textId="77777777" w:rsidTr="00DC6D94">
        <w:tc>
          <w:tcPr>
            <w:tcW w:w="779" w:type="dxa"/>
            <w:tcMar>
              <w:left w:w="170" w:type="dxa"/>
              <w:right w:w="170" w:type="dxa"/>
            </w:tcMar>
          </w:tcPr>
          <w:p w14:paraId="1E06C95D" w14:textId="77777777" w:rsidR="00BE57F4" w:rsidRPr="00E27D3B" w:rsidRDefault="00BE57F4" w:rsidP="00DC6D94">
            <w:pPr>
              <w:ind w:right="-22"/>
              <w:rPr>
                <w:rFonts w:cstheme="minorHAnsi"/>
                <w:sz w:val="16"/>
                <w:szCs w:val="16"/>
              </w:rPr>
            </w:pPr>
            <w:r w:rsidRPr="00E27D3B">
              <w:rPr>
                <w:rFonts w:cstheme="minorHAnsi"/>
                <w:sz w:val="16"/>
                <w:szCs w:val="16"/>
              </w:rPr>
              <w:t>B#506</w:t>
            </w:r>
          </w:p>
        </w:tc>
        <w:tc>
          <w:tcPr>
            <w:tcW w:w="925" w:type="dxa"/>
            <w:tcMar>
              <w:left w:w="170" w:type="dxa"/>
              <w:right w:w="170" w:type="dxa"/>
            </w:tcMar>
          </w:tcPr>
          <w:p w14:paraId="0567A9B0" w14:textId="77777777" w:rsidR="00BE57F4" w:rsidRPr="00E27D3B" w:rsidRDefault="00BE57F4" w:rsidP="00DC6D94">
            <w:pPr>
              <w:ind w:left="-12" w:right="-107"/>
              <w:rPr>
                <w:rFonts w:cstheme="minorHAnsi"/>
                <w:sz w:val="16"/>
                <w:szCs w:val="16"/>
              </w:rPr>
            </w:pPr>
            <w:r w:rsidRPr="00E27D3B">
              <w:rPr>
                <w:rFonts w:cstheme="minorHAnsi"/>
                <w:sz w:val="16"/>
                <w:szCs w:val="16"/>
              </w:rPr>
              <w:t>0.895</w:t>
            </w:r>
          </w:p>
        </w:tc>
        <w:tc>
          <w:tcPr>
            <w:tcW w:w="931" w:type="dxa"/>
            <w:tcMar>
              <w:left w:w="170" w:type="dxa"/>
              <w:right w:w="170" w:type="dxa"/>
            </w:tcMar>
          </w:tcPr>
          <w:p w14:paraId="74E5818D" w14:textId="77777777" w:rsidR="00BE57F4" w:rsidRPr="00E27D3B" w:rsidRDefault="00BE57F4" w:rsidP="00DC6D94">
            <w:pPr>
              <w:ind w:right="-22"/>
              <w:rPr>
                <w:rFonts w:cstheme="minorHAnsi"/>
                <w:sz w:val="16"/>
                <w:szCs w:val="16"/>
              </w:rPr>
            </w:pPr>
            <w:r w:rsidRPr="00E27D3B">
              <w:rPr>
                <w:rFonts w:cstheme="minorHAnsi"/>
                <w:sz w:val="16"/>
                <w:szCs w:val="16"/>
              </w:rPr>
              <w:t>-.035</w:t>
            </w:r>
          </w:p>
        </w:tc>
        <w:tc>
          <w:tcPr>
            <w:tcW w:w="933" w:type="dxa"/>
            <w:tcMar>
              <w:left w:w="170" w:type="dxa"/>
              <w:right w:w="170" w:type="dxa"/>
            </w:tcMar>
          </w:tcPr>
          <w:p w14:paraId="23A7FC67" w14:textId="77777777" w:rsidR="00BE57F4" w:rsidRPr="00E27D3B" w:rsidRDefault="00BE57F4" w:rsidP="00DC6D94">
            <w:pPr>
              <w:ind w:right="-22"/>
              <w:rPr>
                <w:rFonts w:cstheme="minorHAnsi"/>
                <w:sz w:val="16"/>
                <w:szCs w:val="16"/>
              </w:rPr>
            </w:pPr>
            <w:r w:rsidRPr="00E27D3B">
              <w:rPr>
                <w:rFonts w:cstheme="minorHAnsi"/>
                <w:sz w:val="16"/>
                <w:szCs w:val="16"/>
              </w:rPr>
              <w:t>0.330</w:t>
            </w:r>
          </w:p>
        </w:tc>
        <w:tc>
          <w:tcPr>
            <w:tcW w:w="933" w:type="dxa"/>
            <w:tcMar>
              <w:left w:w="170" w:type="dxa"/>
              <w:right w:w="170" w:type="dxa"/>
            </w:tcMar>
          </w:tcPr>
          <w:p w14:paraId="7E8AD0C2" w14:textId="77777777" w:rsidR="00BE57F4" w:rsidRPr="00E27D3B" w:rsidRDefault="00BE57F4" w:rsidP="00DC6D94">
            <w:pPr>
              <w:ind w:right="-22"/>
              <w:rPr>
                <w:rFonts w:cstheme="minorHAnsi"/>
                <w:sz w:val="16"/>
                <w:szCs w:val="16"/>
              </w:rPr>
            </w:pPr>
            <w:r w:rsidRPr="00E27D3B">
              <w:rPr>
                <w:rFonts w:cstheme="minorHAnsi"/>
                <w:sz w:val="16"/>
                <w:szCs w:val="16"/>
              </w:rPr>
              <w:t>0.977</w:t>
            </w:r>
          </w:p>
        </w:tc>
        <w:tc>
          <w:tcPr>
            <w:tcW w:w="918" w:type="dxa"/>
            <w:tcMar>
              <w:left w:w="170" w:type="dxa"/>
              <w:right w:w="170" w:type="dxa"/>
            </w:tcMar>
          </w:tcPr>
          <w:p w14:paraId="2E779E69" w14:textId="77777777" w:rsidR="00BE57F4" w:rsidRPr="00E27D3B" w:rsidRDefault="00BE57F4" w:rsidP="00DC6D94">
            <w:pPr>
              <w:ind w:right="-22"/>
              <w:rPr>
                <w:rFonts w:cstheme="minorHAnsi"/>
                <w:sz w:val="16"/>
                <w:szCs w:val="16"/>
              </w:rPr>
            </w:pPr>
            <w:r w:rsidRPr="00E27D3B">
              <w:rPr>
                <w:rFonts w:cstheme="minorHAnsi"/>
                <w:sz w:val="16"/>
                <w:szCs w:val="16"/>
              </w:rPr>
              <w:t>-.658</w:t>
            </w:r>
          </w:p>
        </w:tc>
        <w:tc>
          <w:tcPr>
            <w:tcW w:w="918" w:type="dxa"/>
            <w:tcMar>
              <w:left w:w="170" w:type="dxa"/>
              <w:right w:w="170" w:type="dxa"/>
            </w:tcMar>
          </w:tcPr>
          <w:p w14:paraId="3E04E668" w14:textId="77777777" w:rsidR="00BE57F4" w:rsidRPr="00E27D3B" w:rsidRDefault="00BE57F4" w:rsidP="00DC6D94">
            <w:pPr>
              <w:ind w:right="-22"/>
              <w:rPr>
                <w:rFonts w:cstheme="minorHAnsi"/>
                <w:sz w:val="16"/>
                <w:szCs w:val="16"/>
              </w:rPr>
            </w:pPr>
            <w:r w:rsidRPr="00E27D3B">
              <w:rPr>
                <w:rFonts w:cstheme="minorHAnsi"/>
                <w:sz w:val="16"/>
                <w:szCs w:val="16"/>
              </w:rPr>
              <w:t>-.580</w:t>
            </w:r>
          </w:p>
        </w:tc>
        <w:tc>
          <w:tcPr>
            <w:tcW w:w="1083" w:type="dxa"/>
            <w:tcMar>
              <w:left w:w="170" w:type="dxa"/>
              <w:right w:w="170" w:type="dxa"/>
            </w:tcMar>
          </w:tcPr>
          <w:p w14:paraId="5D07E977"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1394513A" w14:textId="77777777" w:rsidR="00BE57F4" w:rsidRPr="00E27D3B" w:rsidRDefault="00BE57F4" w:rsidP="00DC6D94">
            <w:pPr>
              <w:ind w:right="-22"/>
              <w:rPr>
                <w:rFonts w:cstheme="minorHAnsi"/>
                <w:sz w:val="16"/>
                <w:szCs w:val="16"/>
              </w:rPr>
            </w:pPr>
            <w:r w:rsidRPr="00E27D3B">
              <w:rPr>
                <w:rFonts w:cstheme="minorHAnsi"/>
                <w:sz w:val="16"/>
                <w:szCs w:val="16"/>
              </w:rPr>
              <w:t>STVU, and LTVU</w:t>
            </w:r>
          </w:p>
        </w:tc>
        <w:tc>
          <w:tcPr>
            <w:tcW w:w="1108" w:type="dxa"/>
            <w:tcMar>
              <w:left w:w="170" w:type="dxa"/>
              <w:right w:w="170" w:type="dxa"/>
            </w:tcMar>
          </w:tcPr>
          <w:p w14:paraId="3BFCCD20"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19E6A800" w14:textId="77777777" w:rsidTr="00DC6D94">
        <w:tc>
          <w:tcPr>
            <w:tcW w:w="779" w:type="dxa"/>
            <w:tcMar>
              <w:left w:w="170" w:type="dxa"/>
              <w:right w:w="170" w:type="dxa"/>
            </w:tcMar>
          </w:tcPr>
          <w:p w14:paraId="3F43083F" w14:textId="77777777" w:rsidR="00BE57F4" w:rsidRPr="00E27D3B" w:rsidRDefault="00BE57F4" w:rsidP="00DC6D94">
            <w:pPr>
              <w:ind w:right="-22"/>
              <w:rPr>
                <w:rFonts w:cstheme="minorHAnsi"/>
                <w:sz w:val="16"/>
                <w:szCs w:val="16"/>
              </w:rPr>
            </w:pPr>
            <w:r w:rsidRPr="00E27D3B">
              <w:rPr>
                <w:rFonts w:cstheme="minorHAnsi"/>
                <w:sz w:val="16"/>
                <w:szCs w:val="16"/>
              </w:rPr>
              <w:t>B#507</w:t>
            </w:r>
          </w:p>
        </w:tc>
        <w:tc>
          <w:tcPr>
            <w:tcW w:w="925" w:type="dxa"/>
            <w:tcMar>
              <w:left w:w="170" w:type="dxa"/>
              <w:right w:w="170" w:type="dxa"/>
            </w:tcMar>
          </w:tcPr>
          <w:p w14:paraId="09A03786" w14:textId="77777777" w:rsidR="00BE57F4" w:rsidRPr="00E27D3B" w:rsidRDefault="00BE57F4" w:rsidP="00DC6D94">
            <w:pPr>
              <w:ind w:left="-12" w:right="-107"/>
              <w:rPr>
                <w:rFonts w:cstheme="minorHAnsi"/>
                <w:sz w:val="16"/>
                <w:szCs w:val="16"/>
              </w:rPr>
            </w:pPr>
            <w:r w:rsidRPr="00E27D3B">
              <w:rPr>
                <w:rFonts w:cstheme="minorHAnsi"/>
                <w:sz w:val="16"/>
                <w:szCs w:val="16"/>
              </w:rPr>
              <w:t>0.903</w:t>
            </w:r>
          </w:p>
        </w:tc>
        <w:tc>
          <w:tcPr>
            <w:tcW w:w="931" w:type="dxa"/>
            <w:tcMar>
              <w:left w:w="170" w:type="dxa"/>
              <w:right w:w="170" w:type="dxa"/>
            </w:tcMar>
          </w:tcPr>
          <w:p w14:paraId="627ED2F7" w14:textId="77777777" w:rsidR="00BE57F4" w:rsidRPr="00E27D3B" w:rsidRDefault="00BE57F4" w:rsidP="00DC6D94">
            <w:pPr>
              <w:ind w:right="-22"/>
              <w:rPr>
                <w:rFonts w:cstheme="minorHAnsi"/>
                <w:sz w:val="16"/>
                <w:szCs w:val="16"/>
              </w:rPr>
            </w:pPr>
            <w:r w:rsidRPr="00E27D3B">
              <w:rPr>
                <w:rFonts w:cstheme="minorHAnsi"/>
                <w:sz w:val="16"/>
                <w:szCs w:val="16"/>
              </w:rPr>
              <w:t>0.280</w:t>
            </w:r>
          </w:p>
        </w:tc>
        <w:tc>
          <w:tcPr>
            <w:tcW w:w="933" w:type="dxa"/>
            <w:tcMar>
              <w:left w:w="170" w:type="dxa"/>
              <w:right w:w="170" w:type="dxa"/>
            </w:tcMar>
          </w:tcPr>
          <w:p w14:paraId="36702BEB" w14:textId="77777777" w:rsidR="00BE57F4" w:rsidRPr="00E27D3B" w:rsidRDefault="00BE57F4" w:rsidP="00DC6D94">
            <w:pPr>
              <w:ind w:right="-22"/>
              <w:rPr>
                <w:rFonts w:cstheme="minorHAnsi"/>
                <w:sz w:val="16"/>
                <w:szCs w:val="16"/>
              </w:rPr>
            </w:pPr>
            <w:r w:rsidRPr="00E27D3B">
              <w:rPr>
                <w:rFonts w:cstheme="minorHAnsi"/>
                <w:sz w:val="16"/>
                <w:szCs w:val="16"/>
              </w:rPr>
              <w:t>0.244</w:t>
            </w:r>
          </w:p>
        </w:tc>
        <w:tc>
          <w:tcPr>
            <w:tcW w:w="933" w:type="dxa"/>
            <w:tcMar>
              <w:left w:w="170" w:type="dxa"/>
              <w:right w:w="170" w:type="dxa"/>
            </w:tcMar>
          </w:tcPr>
          <w:p w14:paraId="08519637" w14:textId="77777777" w:rsidR="00BE57F4" w:rsidRPr="00E27D3B" w:rsidRDefault="00BE57F4" w:rsidP="00DC6D94">
            <w:pPr>
              <w:ind w:right="-22"/>
              <w:rPr>
                <w:rFonts w:cstheme="minorHAnsi"/>
                <w:sz w:val="16"/>
                <w:szCs w:val="16"/>
              </w:rPr>
            </w:pPr>
            <w:r w:rsidRPr="00E27D3B">
              <w:rPr>
                <w:rFonts w:cstheme="minorHAnsi"/>
                <w:sz w:val="16"/>
                <w:szCs w:val="16"/>
              </w:rPr>
              <w:t>0.977</w:t>
            </w:r>
          </w:p>
        </w:tc>
        <w:tc>
          <w:tcPr>
            <w:tcW w:w="918" w:type="dxa"/>
            <w:tcMar>
              <w:left w:w="170" w:type="dxa"/>
              <w:right w:w="170" w:type="dxa"/>
            </w:tcMar>
          </w:tcPr>
          <w:p w14:paraId="3CFC662A" w14:textId="77777777" w:rsidR="00BE57F4" w:rsidRPr="00E27D3B" w:rsidRDefault="00BE57F4" w:rsidP="00DC6D94">
            <w:pPr>
              <w:ind w:right="-22"/>
              <w:rPr>
                <w:rFonts w:cstheme="minorHAnsi"/>
                <w:sz w:val="16"/>
                <w:szCs w:val="16"/>
              </w:rPr>
            </w:pPr>
            <w:r w:rsidRPr="00E27D3B">
              <w:rPr>
                <w:rFonts w:cstheme="minorHAnsi"/>
                <w:sz w:val="16"/>
                <w:szCs w:val="16"/>
              </w:rPr>
              <w:t>-.568</w:t>
            </w:r>
          </w:p>
        </w:tc>
        <w:tc>
          <w:tcPr>
            <w:tcW w:w="918" w:type="dxa"/>
            <w:tcMar>
              <w:left w:w="170" w:type="dxa"/>
              <w:right w:w="170" w:type="dxa"/>
            </w:tcMar>
          </w:tcPr>
          <w:p w14:paraId="39E83D36" w14:textId="77777777" w:rsidR="00BE57F4" w:rsidRPr="00E27D3B" w:rsidRDefault="00BE57F4" w:rsidP="00DC6D94">
            <w:pPr>
              <w:ind w:right="-22"/>
              <w:rPr>
                <w:rFonts w:cstheme="minorHAnsi"/>
                <w:sz w:val="16"/>
                <w:szCs w:val="16"/>
              </w:rPr>
            </w:pPr>
            <w:r w:rsidRPr="00E27D3B">
              <w:rPr>
                <w:rFonts w:cstheme="minorHAnsi"/>
                <w:sz w:val="16"/>
                <w:szCs w:val="16"/>
              </w:rPr>
              <w:t>-.974</w:t>
            </w:r>
          </w:p>
        </w:tc>
        <w:tc>
          <w:tcPr>
            <w:tcW w:w="1083" w:type="dxa"/>
            <w:tcMar>
              <w:left w:w="170" w:type="dxa"/>
              <w:right w:w="170" w:type="dxa"/>
            </w:tcMar>
          </w:tcPr>
          <w:p w14:paraId="1D81264C"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7EA6F7BD"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667B0E76"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75A4CBA9" w14:textId="77777777" w:rsidTr="00DC6D94">
        <w:tc>
          <w:tcPr>
            <w:tcW w:w="779" w:type="dxa"/>
            <w:tcMar>
              <w:left w:w="170" w:type="dxa"/>
              <w:right w:w="170" w:type="dxa"/>
            </w:tcMar>
          </w:tcPr>
          <w:p w14:paraId="40C7C764" w14:textId="77777777" w:rsidR="00BE57F4" w:rsidRPr="00E27D3B" w:rsidRDefault="00BE57F4" w:rsidP="00DC6D94">
            <w:pPr>
              <w:ind w:right="-22"/>
              <w:rPr>
                <w:rFonts w:cstheme="minorHAnsi"/>
                <w:sz w:val="16"/>
                <w:szCs w:val="16"/>
              </w:rPr>
            </w:pPr>
            <w:r w:rsidRPr="00E27D3B">
              <w:rPr>
                <w:rFonts w:cstheme="minorHAnsi"/>
                <w:sz w:val="16"/>
                <w:szCs w:val="16"/>
              </w:rPr>
              <w:lastRenderedPageBreak/>
              <w:t>B#508</w:t>
            </w:r>
          </w:p>
        </w:tc>
        <w:tc>
          <w:tcPr>
            <w:tcW w:w="925" w:type="dxa"/>
            <w:tcMar>
              <w:left w:w="170" w:type="dxa"/>
              <w:right w:w="170" w:type="dxa"/>
            </w:tcMar>
          </w:tcPr>
          <w:p w14:paraId="4B39146E" w14:textId="77777777" w:rsidR="00BE57F4" w:rsidRPr="00E27D3B" w:rsidRDefault="00BE57F4" w:rsidP="00DC6D94">
            <w:pPr>
              <w:ind w:left="-12" w:right="-107"/>
              <w:rPr>
                <w:rFonts w:cstheme="minorHAnsi"/>
                <w:sz w:val="16"/>
                <w:szCs w:val="16"/>
              </w:rPr>
            </w:pPr>
            <w:r w:rsidRPr="00E27D3B">
              <w:rPr>
                <w:rFonts w:cstheme="minorHAnsi"/>
                <w:sz w:val="16"/>
                <w:szCs w:val="16"/>
              </w:rPr>
              <w:t>0.810</w:t>
            </w:r>
          </w:p>
        </w:tc>
        <w:tc>
          <w:tcPr>
            <w:tcW w:w="931" w:type="dxa"/>
            <w:tcMar>
              <w:left w:w="170" w:type="dxa"/>
              <w:right w:w="170" w:type="dxa"/>
            </w:tcMar>
          </w:tcPr>
          <w:p w14:paraId="67D19647" w14:textId="77777777" w:rsidR="00BE57F4" w:rsidRPr="00E27D3B" w:rsidRDefault="00BE57F4" w:rsidP="00DC6D94">
            <w:pPr>
              <w:ind w:right="-22"/>
              <w:rPr>
                <w:rFonts w:cstheme="minorHAnsi"/>
                <w:sz w:val="16"/>
                <w:szCs w:val="16"/>
              </w:rPr>
            </w:pPr>
            <w:r w:rsidRPr="00E27D3B">
              <w:rPr>
                <w:rFonts w:cstheme="minorHAnsi"/>
                <w:sz w:val="16"/>
                <w:szCs w:val="16"/>
              </w:rPr>
              <w:t>0.109</w:t>
            </w:r>
          </w:p>
        </w:tc>
        <w:tc>
          <w:tcPr>
            <w:tcW w:w="933" w:type="dxa"/>
            <w:tcMar>
              <w:left w:w="170" w:type="dxa"/>
              <w:right w:w="170" w:type="dxa"/>
            </w:tcMar>
          </w:tcPr>
          <w:p w14:paraId="6E7F0538" w14:textId="77777777" w:rsidR="00BE57F4" w:rsidRPr="00E27D3B" w:rsidRDefault="00BE57F4" w:rsidP="00DC6D94">
            <w:pPr>
              <w:ind w:right="-22"/>
              <w:rPr>
                <w:rFonts w:cstheme="minorHAnsi"/>
                <w:sz w:val="16"/>
                <w:szCs w:val="16"/>
              </w:rPr>
            </w:pPr>
            <w:r w:rsidRPr="00E27D3B">
              <w:rPr>
                <w:rFonts w:cstheme="minorHAnsi"/>
                <w:sz w:val="16"/>
                <w:szCs w:val="16"/>
              </w:rPr>
              <w:t>0.244</w:t>
            </w:r>
          </w:p>
        </w:tc>
        <w:tc>
          <w:tcPr>
            <w:tcW w:w="933" w:type="dxa"/>
            <w:tcMar>
              <w:left w:w="170" w:type="dxa"/>
              <w:right w:w="170" w:type="dxa"/>
            </w:tcMar>
          </w:tcPr>
          <w:p w14:paraId="19F836F9" w14:textId="77777777" w:rsidR="00BE57F4" w:rsidRPr="00E27D3B" w:rsidRDefault="00BE57F4" w:rsidP="00DC6D94">
            <w:pPr>
              <w:ind w:right="-22"/>
              <w:rPr>
                <w:rFonts w:cstheme="minorHAnsi"/>
                <w:sz w:val="16"/>
                <w:szCs w:val="16"/>
              </w:rPr>
            </w:pPr>
            <w:r w:rsidRPr="00E27D3B">
              <w:rPr>
                <w:rFonts w:cstheme="minorHAnsi"/>
                <w:sz w:val="16"/>
                <w:szCs w:val="16"/>
              </w:rPr>
              <w:t>0.977</w:t>
            </w:r>
          </w:p>
        </w:tc>
        <w:tc>
          <w:tcPr>
            <w:tcW w:w="918" w:type="dxa"/>
            <w:tcMar>
              <w:left w:w="170" w:type="dxa"/>
              <w:right w:w="170" w:type="dxa"/>
            </w:tcMar>
          </w:tcPr>
          <w:p w14:paraId="6261AB39" w14:textId="77777777" w:rsidR="00BE57F4" w:rsidRPr="00E27D3B" w:rsidRDefault="00BE57F4" w:rsidP="00DC6D94">
            <w:pPr>
              <w:ind w:right="-22"/>
              <w:rPr>
                <w:rFonts w:cstheme="minorHAnsi"/>
                <w:sz w:val="16"/>
                <w:szCs w:val="16"/>
              </w:rPr>
            </w:pPr>
            <w:r w:rsidRPr="00E27D3B">
              <w:rPr>
                <w:rFonts w:cstheme="minorHAnsi"/>
                <w:sz w:val="16"/>
                <w:szCs w:val="16"/>
              </w:rPr>
              <w:t>-.632</w:t>
            </w:r>
          </w:p>
        </w:tc>
        <w:tc>
          <w:tcPr>
            <w:tcW w:w="918" w:type="dxa"/>
            <w:tcMar>
              <w:left w:w="170" w:type="dxa"/>
              <w:right w:w="170" w:type="dxa"/>
            </w:tcMar>
          </w:tcPr>
          <w:p w14:paraId="57F28F75" w14:textId="77777777" w:rsidR="00BE57F4" w:rsidRPr="00E27D3B" w:rsidRDefault="00BE57F4" w:rsidP="00DC6D94">
            <w:pPr>
              <w:ind w:right="-22"/>
              <w:rPr>
                <w:rFonts w:cstheme="minorHAnsi"/>
                <w:sz w:val="16"/>
                <w:szCs w:val="16"/>
              </w:rPr>
            </w:pPr>
            <w:r w:rsidRPr="00E27D3B">
              <w:rPr>
                <w:rFonts w:cstheme="minorHAnsi"/>
                <w:sz w:val="16"/>
                <w:szCs w:val="16"/>
              </w:rPr>
              <w:t>-.816</w:t>
            </w:r>
          </w:p>
        </w:tc>
        <w:tc>
          <w:tcPr>
            <w:tcW w:w="1083" w:type="dxa"/>
            <w:tcMar>
              <w:left w:w="170" w:type="dxa"/>
              <w:right w:w="170" w:type="dxa"/>
            </w:tcMar>
          </w:tcPr>
          <w:p w14:paraId="0F766EF9"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4D8BF669"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0D78FD94"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r w:rsidR="00BE57F4" w:rsidRPr="00E27D3B" w14:paraId="4A145DD1" w14:textId="77777777" w:rsidTr="00DC6D94">
        <w:tc>
          <w:tcPr>
            <w:tcW w:w="779" w:type="dxa"/>
            <w:tcMar>
              <w:left w:w="170" w:type="dxa"/>
              <w:right w:w="170" w:type="dxa"/>
            </w:tcMar>
          </w:tcPr>
          <w:p w14:paraId="4E261BBD" w14:textId="77777777" w:rsidR="00BE57F4" w:rsidRPr="00E27D3B" w:rsidRDefault="00BE57F4" w:rsidP="00DC6D94">
            <w:pPr>
              <w:ind w:right="-22"/>
              <w:rPr>
                <w:rFonts w:cstheme="minorHAnsi"/>
                <w:sz w:val="16"/>
                <w:szCs w:val="16"/>
              </w:rPr>
            </w:pPr>
            <w:r w:rsidRPr="00E27D3B">
              <w:rPr>
                <w:rFonts w:cstheme="minorHAnsi"/>
                <w:sz w:val="16"/>
                <w:szCs w:val="16"/>
              </w:rPr>
              <w:t>B#509</w:t>
            </w:r>
          </w:p>
        </w:tc>
        <w:tc>
          <w:tcPr>
            <w:tcW w:w="925" w:type="dxa"/>
            <w:tcMar>
              <w:left w:w="170" w:type="dxa"/>
              <w:right w:w="170" w:type="dxa"/>
            </w:tcMar>
          </w:tcPr>
          <w:p w14:paraId="2702F98E" w14:textId="77777777" w:rsidR="00BE57F4" w:rsidRPr="00E27D3B" w:rsidRDefault="00BE57F4" w:rsidP="00DC6D94">
            <w:pPr>
              <w:ind w:left="-12" w:right="-107"/>
              <w:rPr>
                <w:rFonts w:cstheme="minorHAnsi"/>
                <w:sz w:val="16"/>
                <w:szCs w:val="16"/>
              </w:rPr>
            </w:pPr>
            <w:r w:rsidRPr="00E27D3B">
              <w:rPr>
                <w:rFonts w:cstheme="minorHAnsi"/>
                <w:sz w:val="16"/>
                <w:szCs w:val="16"/>
              </w:rPr>
              <w:t>0.911</w:t>
            </w:r>
          </w:p>
        </w:tc>
        <w:tc>
          <w:tcPr>
            <w:tcW w:w="931" w:type="dxa"/>
            <w:tcMar>
              <w:left w:w="170" w:type="dxa"/>
              <w:right w:w="170" w:type="dxa"/>
            </w:tcMar>
          </w:tcPr>
          <w:p w14:paraId="382C7289" w14:textId="77777777" w:rsidR="00BE57F4" w:rsidRPr="00E27D3B" w:rsidRDefault="00BE57F4" w:rsidP="00DC6D94">
            <w:pPr>
              <w:ind w:right="-22"/>
              <w:rPr>
                <w:rFonts w:cstheme="minorHAnsi"/>
                <w:sz w:val="16"/>
                <w:szCs w:val="16"/>
              </w:rPr>
            </w:pPr>
            <w:r w:rsidRPr="00E27D3B">
              <w:rPr>
                <w:rFonts w:cstheme="minorHAnsi"/>
                <w:sz w:val="16"/>
                <w:szCs w:val="16"/>
              </w:rPr>
              <w:t>0.121</w:t>
            </w:r>
          </w:p>
        </w:tc>
        <w:tc>
          <w:tcPr>
            <w:tcW w:w="933" w:type="dxa"/>
            <w:tcMar>
              <w:left w:w="170" w:type="dxa"/>
              <w:right w:w="170" w:type="dxa"/>
            </w:tcMar>
          </w:tcPr>
          <w:p w14:paraId="1C32C338" w14:textId="77777777" w:rsidR="00BE57F4" w:rsidRPr="00E27D3B" w:rsidRDefault="00BE57F4" w:rsidP="00DC6D94">
            <w:pPr>
              <w:ind w:right="-22"/>
              <w:rPr>
                <w:rFonts w:cstheme="minorHAnsi"/>
                <w:sz w:val="16"/>
                <w:szCs w:val="16"/>
              </w:rPr>
            </w:pPr>
            <w:r w:rsidRPr="00E27D3B">
              <w:rPr>
                <w:rFonts w:cstheme="minorHAnsi"/>
                <w:sz w:val="16"/>
                <w:szCs w:val="16"/>
              </w:rPr>
              <w:t>0.275</w:t>
            </w:r>
          </w:p>
        </w:tc>
        <w:tc>
          <w:tcPr>
            <w:tcW w:w="933" w:type="dxa"/>
            <w:tcMar>
              <w:left w:w="170" w:type="dxa"/>
              <w:right w:w="170" w:type="dxa"/>
            </w:tcMar>
          </w:tcPr>
          <w:p w14:paraId="6277FFD4" w14:textId="77777777" w:rsidR="00BE57F4" w:rsidRPr="00E27D3B" w:rsidRDefault="00BE57F4" w:rsidP="00DC6D94">
            <w:pPr>
              <w:ind w:right="-22"/>
              <w:rPr>
                <w:rFonts w:cstheme="minorHAnsi"/>
                <w:sz w:val="16"/>
                <w:szCs w:val="16"/>
              </w:rPr>
            </w:pPr>
            <w:r w:rsidRPr="00E27D3B">
              <w:rPr>
                <w:rFonts w:cstheme="minorHAnsi"/>
                <w:sz w:val="16"/>
                <w:szCs w:val="16"/>
              </w:rPr>
              <w:t>0.977</w:t>
            </w:r>
          </w:p>
        </w:tc>
        <w:tc>
          <w:tcPr>
            <w:tcW w:w="918" w:type="dxa"/>
            <w:tcMar>
              <w:left w:w="170" w:type="dxa"/>
              <w:right w:w="170" w:type="dxa"/>
            </w:tcMar>
          </w:tcPr>
          <w:p w14:paraId="309E429B" w14:textId="77777777" w:rsidR="00BE57F4" w:rsidRPr="00E27D3B" w:rsidRDefault="00BE57F4" w:rsidP="00DC6D94">
            <w:pPr>
              <w:ind w:right="-22"/>
              <w:rPr>
                <w:rFonts w:cstheme="minorHAnsi"/>
                <w:sz w:val="16"/>
                <w:szCs w:val="16"/>
              </w:rPr>
            </w:pPr>
            <w:r w:rsidRPr="00E27D3B">
              <w:rPr>
                <w:rFonts w:cstheme="minorHAnsi"/>
                <w:sz w:val="16"/>
                <w:szCs w:val="16"/>
              </w:rPr>
              <w:t>-.632</w:t>
            </w:r>
          </w:p>
        </w:tc>
        <w:tc>
          <w:tcPr>
            <w:tcW w:w="918" w:type="dxa"/>
            <w:tcMar>
              <w:left w:w="170" w:type="dxa"/>
              <w:right w:w="170" w:type="dxa"/>
            </w:tcMar>
          </w:tcPr>
          <w:p w14:paraId="426DFEF0" w14:textId="77777777" w:rsidR="00BE57F4" w:rsidRPr="00E27D3B" w:rsidRDefault="00BE57F4" w:rsidP="00DC6D94">
            <w:pPr>
              <w:ind w:right="-22"/>
              <w:rPr>
                <w:rFonts w:cstheme="minorHAnsi"/>
                <w:sz w:val="16"/>
                <w:szCs w:val="16"/>
              </w:rPr>
            </w:pPr>
            <w:r w:rsidRPr="00E27D3B">
              <w:rPr>
                <w:rFonts w:cstheme="minorHAnsi"/>
                <w:sz w:val="16"/>
                <w:szCs w:val="16"/>
              </w:rPr>
              <w:t>-.797</w:t>
            </w:r>
          </w:p>
        </w:tc>
        <w:tc>
          <w:tcPr>
            <w:tcW w:w="1083" w:type="dxa"/>
            <w:tcMar>
              <w:left w:w="170" w:type="dxa"/>
              <w:right w:w="170" w:type="dxa"/>
            </w:tcMar>
          </w:tcPr>
          <w:p w14:paraId="10DA13BC" w14:textId="77777777" w:rsidR="00BE57F4" w:rsidRPr="00E27D3B" w:rsidRDefault="00BE57F4" w:rsidP="00DC6D94">
            <w:pPr>
              <w:ind w:right="-22"/>
              <w:rPr>
                <w:rFonts w:cstheme="minorHAnsi"/>
                <w:sz w:val="16"/>
                <w:szCs w:val="16"/>
              </w:rPr>
            </w:pPr>
            <w:r w:rsidRPr="00E27D3B">
              <w:rPr>
                <w:rFonts w:cstheme="minorHAnsi"/>
                <w:sz w:val="16"/>
                <w:szCs w:val="16"/>
              </w:rPr>
              <w:t>STVS, and LTVS</w:t>
            </w:r>
          </w:p>
        </w:tc>
        <w:tc>
          <w:tcPr>
            <w:tcW w:w="1110" w:type="dxa"/>
            <w:tcMar>
              <w:left w:w="170" w:type="dxa"/>
              <w:right w:w="170" w:type="dxa"/>
            </w:tcMar>
          </w:tcPr>
          <w:p w14:paraId="1933BEE8"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c>
          <w:tcPr>
            <w:tcW w:w="1108" w:type="dxa"/>
            <w:tcMar>
              <w:left w:w="170" w:type="dxa"/>
              <w:right w:w="170" w:type="dxa"/>
            </w:tcMar>
          </w:tcPr>
          <w:p w14:paraId="712F992E" w14:textId="77777777" w:rsidR="00BE57F4" w:rsidRPr="00E27D3B" w:rsidRDefault="00BE57F4" w:rsidP="00DC6D94">
            <w:pPr>
              <w:ind w:right="-22"/>
              <w:rPr>
                <w:rFonts w:cstheme="minorHAnsi"/>
                <w:sz w:val="16"/>
                <w:szCs w:val="16"/>
              </w:rPr>
            </w:pPr>
            <w:r w:rsidRPr="00E27D3B">
              <w:rPr>
                <w:rFonts w:cstheme="minorHAnsi"/>
                <w:sz w:val="16"/>
                <w:szCs w:val="16"/>
              </w:rPr>
              <w:t>STVS, and LTVU</w:t>
            </w:r>
          </w:p>
        </w:tc>
      </w:tr>
    </w:tbl>
    <w:p w14:paraId="1C5AEA9B" w14:textId="1219CBD7" w:rsidR="00BE57F4" w:rsidRPr="00E27D3B" w:rsidRDefault="00BE57F4" w:rsidP="00081F86">
      <w:pPr>
        <w:pStyle w:val="BodyText"/>
        <w:spacing w:after="0"/>
      </w:pPr>
      <w:r w:rsidRPr="001F7622">
        <w:rPr>
          <w:rFonts w:eastAsia="Times New Roman" w:cs="Calibri"/>
          <w:b/>
          <w:bCs/>
          <w:i/>
          <w:iCs/>
          <w:color w:val="auto"/>
          <w:szCs w:val="24"/>
        </w:rPr>
        <w:t xml:space="preserve">Post-Recovery Voltage Performance Analysis through </w:t>
      </w:r>
      <w:r>
        <w:rPr>
          <w:rFonts w:eastAsia="Times New Roman" w:cs="Calibri"/>
          <w:b/>
          <w:bCs/>
          <w:i/>
          <w:iCs/>
          <w:color w:val="auto"/>
          <w:szCs w:val="24"/>
        </w:rPr>
        <w:t>System</w:t>
      </w:r>
      <w:r w:rsidRPr="001F7622">
        <w:rPr>
          <w:rFonts w:eastAsia="Times New Roman" w:cs="Calibri"/>
          <w:b/>
          <w:bCs/>
          <w:i/>
          <w:iCs/>
          <w:color w:val="auto"/>
          <w:szCs w:val="24"/>
        </w:rPr>
        <w:t xml:space="preserve"> DVRI</w:t>
      </w:r>
      <w:r w:rsidRPr="00E27D3B">
        <w:rPr>
          <w:rFonts w:eastAsia="Times New Roman" w:cs="Calibri"/>
          <w:color w:val="auto"/>
          <w:szCs w:val="24"/>
        </w:rPr>
        <w:t>: </w:t>
      </w:r>
      <w:r>
        <w:fldChar w:fldCharType="begin"/>
      </w:r>
      <w:r>
        <w:rPr>
          <w:rFonts w:eastAsia="Times New Roman" w:cs="Calibri"/>
          <w:color w:val="auto"/>
          <w:szCs w:val="24"/>
        </w:rPr>
        <w:instrText xml:space="preserve"> REF _Ref230192105 \h </w:instrText>
      </w:r>
      <w:r w:rsidR="0068346A">
        <w:instrText xml:space="preserve"> \* MERGEFORMAT </w:instrText>
      </w:r>
      <w:r>
        <w:fldChar w:fldCharType="separate"/>
      </w:r>
      <w:r w:rsidR="00753DAF" w:rsidRPr="00E27D3B">
        <w:t xml:space="preserve">Figure </w:t>
      </w:r>
      <w:r w:rsidR="00753DAF">
        <w:rPr>
          <w:noProof/>
        </w:rPr>
        <w:t>43</w:t>
      </w:r>
      <w:r>
        <w:fldChar w:fldCharType="end"/>
      </w:r>
      <w:r>
        <w:t xml:space="preserve"> </w:t>
      </w:r>
      <w:r w:rsidRPr="00E27D3B">
        <w:t>presents the system-level DVRI (</w:t>
      </w:r>
      <w:proofErr w:type="spellStart"/>
      <w:r w:rsidRPr="60762895">
        <w:rPr>
          <w:i/>
          <w:iCs/>
        </w:rPr>
        <w:t>sysDVRI</w:t>
      </w:r>
      <w:proofErr w:type="spellEnd"/>
      <w:r w:rsidRPr="00E27D3B">
        <w:t xml:space="preserve">) under faults at various locations, illustrating the decline in dynamic voltage performance as renewable generation penetration increase. This deterioration is effectively captured by the proposed </w:t>
      </w:r>
      <w:proofErr w:type="spellStart"/>
      <w:r w:rsidRPr="60762895">
        <w:rPr>
          <w:i/>
          <w:iCs/>
        </w:rPr>
        <w:t>sysDVRI</w:t>
      </w:r>
      <w:proofErr w:type="spellEnd"/>
      <w:r w:rsidRPr="00E27D3B">
        <w:t xml:space="preserve">, as indicated by the decreasing trend of the index. </w:t>
      </w:r>
      <w:r>
        <w:rPr>
          <w:szCs w:val="20"/>
        </w:rPr>
        <w:fldChar w:fldCharType="begin"/>
      </w:r>
      <w:r>
        <w:instrText xml:space="preserve"> REF _Ref230192105 \h </w:instrText>
      </w:r>
      <w:r w:rsidR="0068346A">
        <w:rPr>
          <w:szCs w:val="20"/>
        </w:rPr>
        <w:instrText xml:space="preserve"> \* MERGEFORMAT </w:instrText>
      </w:r>
      <w:r>
        <w:rPr>
          <w:szCs w:val="20"/>
        </w:rPr>
      </w:r>
      <w:r>
        <w:rPr>
          <w:szCs w:val="20"/>
        </w:rPr>
        <w:fldChar w:fldCharType="separate"/>
      </w:r>
      <w:r w:rsidR="00753DAF" w:rsidRPr="00E27D3B">
        <w:t xml:space="preserve">Figure </w:t>
      </w:r>
      <w:r w:rsidR="00753DAF">
        <w:rPr>
          <w:noProof/>
        </w:rPr>
        <w:t>43</w:t>
      </w:r>
      <w:r>
        <w:rPr>
          <w:szCs w:val="20"/>
        </w:rPr>
        <w:fldChar w:fldCharType="end"/>
      </w:r>
      <w:r w:rsidRPr="60762895">
        <w:t xml:space="preserve">(a)–(d) show progressively poorer voltage recovery with increasing renewable penetration. For example, when a fault occurs at Bus 507, </w:t>
      </w:r>
      <w:proofErr w:type="spellStart"/>
      <w:r w:rsidRPr="60762895">
        <w:rPr>
          <w:i/>
          <w:iCs/>
        </w:rPr>
        <w:t>sysDVRI</w:t>
      </w:r>
      <w:proofErr w:type="spellEnd"/>
      <w:r w:rsidRPr="60762895">
        <w:t xml:space="preserve"> values for the base case and the 60% renewable penetration scenario are {0.97, 0.96} and {0.76, 0.89}, respectively, highlighting the reduction in system voltage stability at higher renewable penetration levels.</w:t>
      </w:r>
    </w:p>
    <w:p w14:paraId="686843EA" w14:textId="4D7D2FE6" w:rsidR="0089726F" w:rsidRPr="00E27D3B" w:rsidRDefault="00BE57F4" w:rsidP="00081F86">
      <w:pPr>
        <w:pStyle w:val="BodyText"/>
        <w:spacing w:after="0"/>
      </w:pPr>
      <w:r w:rsidRPr="00E27D3B">
        <w:t xml:space="preserve">Interestingly in </w:t>
      </w:r>
      <w:r>
        <w:fldChar w:fldCharType="begin"/>
      </w:r>
      <w:r>
        <w:instrText xml:space="preserve"> REF _Ref230192105 \h </w:instrText>
      </w:r>
      <w:r w:rsidR="0068346A">
        <w:instrText xml:space="preserve"> \* MERGEFORMAT </w:instrText>
      </w:r>
      <w:r>
        <w:fldChar w:fldCharType="separate"/>
      </w:r>
      <w:r w:rsidR="00753DAF" w:rsidRPr="00E27D3B">
        <w:t xml:space="preserve">Figure </w:t>
      </w:r>
      <w:r w:rsidR="00753DAF">
        <w:rPr>
          <w:noProof/>
        </w:rPr>
        <w:t>43</w:t>
      </w:r>
      <w:r>
        <w:fldChar w:fldCharType="end"/>
      </w:r>
      <w:r w:rsidRPr="00E27D3B">
        <w:t xml:space="preserve">(a), the substitution of the SG at Bus 503 with renewable generation improves the </w:t>
      </w:r>
      <w:proofErr w:type="spellStart"/>
      <w:r w:rsidRPr="00E27D3B">
        <w:rPr>
          <w:i/>
          <w:iCs/>
        </w:rPr>
        <w:t>sysDVRI</w:t>
      </w:r>
      <w:proofErr w:type="spellEnd"/>
      <w:r w:rsidRPr="00E27D3B">
        <w:t xml:space="preserve">, indicating the comparatively weaker dynamic performance of the original SG relative to the renewable plants. This occurs because the SG at Bus 503 is the largest generating unit </w:t>
      </w:r>
      <w:r>
        <w:t xml:space="preserve">with a weak dynamic characteristic </w:t>
      </w:r>
      <w:r w:rsidRPr="00E27D3B">
        <w:t>in the system. Consequently, a fault at this bus significantly reduces the reactive power support previously provided by the SG, leading to a substantial voltage drop and resulting in voltage instability</w:t>
      </w:r>
      <w:r>
        <w:t xml:space="preserve"> as indicated by -1 in </w:t>
      </w:r>
      <w:r>
        <w:fldChar w:fldCharType="begin"/>
      </w:r>
      <w:r>
        <w:instrText xml:space="preserve"> REF _Ref230192105 \h </w:instrText>
      </w:r>
      <w:r w:rsidR="0068346A">
        <w:instrText xml:space="preserve"> \* MERGEFORMAT </w:instrText>
      </w:r>
      <w:r>
        <w:fldChar w:fldCharType="separate"/>
      </w:r>
      <w:r w:rsidR="00753DAF" w:rsidRPr="00E27D3B">
        <w:t xml:space="preserve">Figure </w:t>
      </w:r>
      <w:r w:rsidR="00753DAF">
        <w:rPr>
          <w:noProof/>
        </w:rPr>
        <w:t>43</w:t>
      </w:r>
      <w:r>
        <w:fldChar w:fldCharType="end"/>
      </w:r>
      <w:r>
        <w:t>(a)</w:t>
      </w:r>
      <w:r w:rsidRPr="00E27D3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E57F4" w:rsidRPr="00E27D3B" w14:paraId="0E0D962E" w14:textId="77777777" w:rsidTr="0002386E">
        <w:tc>
          <w:tcPr>
            <w:tcW w:w="4819" w:type="dxa"/>
          </w:tcPr>
          <w:p w14:paraId="44BD815D" w14:textId="2EC6770B" w:rsidR="00BE57F4" w:rsidRPr="00E27D3B" w:rsidRDefault="0089726F" w:rsidP="00CD4F3A">
            <w:pPr>
              <w:ind w:right="-22"/>
              <w:jc w:val="both"/>
              <w:rPr>
                <w:sz w:val="24"/>
                <w:szCs w:val="24"/>
              </w:rPr>
            </w:pPr>
            <w:r w:rsidRPr="0089726F">
              <w:rPr>
                <w:noProof/>
                <w:sz w:val="24"/>
                <w:szCs w:val="24"/>
              </w:rPr>
              <w:drawing>
                <wp:inline distT="0" distB="0" distL="0" distR="0" wp14:anchorId="5B384B05" wp14:editId="130E830E">
                  <wp:extent cx="3019425" cy="1352550"/>
                  <wp:effectExtent l="0" t="0" r="9525" b="0"/>
                  <wp:docPr id="130745011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19425" cy="1352550"/>
                          </a:xfrm>
                          <a:prstGeom prst="rect">
                            <a:avLst/>
                          </a:prstGeom>
                          <a:noFill/>
                          <a:ln>
                            <a:noFill/>
                          </a:ln>
                        </pic:spPr>
                      </pic:pic>
                    </a:graphicData>
                  </a:graphic>
                </wp:inline>
              </w:drawing>
            </w:r>
          </w:p>
        </w:tc>
        <w:tc>
          <w:tcPr>
            <w:tcW w:w="4819" w:type="dxa"/>
          </w:tcPr>
          <w:p w14:paraId="3518A8B9" w14:textId="51DE5585" w:rsidR="00BE57F4" w:rsidRPr="00E27D3B" w:rsidRDefault="0089726F" w:rsidP="00CD4F3A">
            <w:pPr>
              <w:ind w:right="-22"/>
              <w:jc w:val="both"/>
              <w:rPr>
                <w:sz w:val="24"/>
                <w:szCs w:val="24"/>
              </w:rPr>
            </w:pPr>
            <w:r w:rsidRPr="0089726F">
              <w:rPr>
                <w:noProof/>
                <w:sz w:val="24"/>
                <w:szCs w:val="24"/>
              </w:rPr>
              <w:drawing>
                <wp:inline distT="0" distB="0" distL="0" distR="0" wp14:anchorId="2E316C9E" wp14:editId="094908AC">
                  <wp:extent cx="3019425" cy="1409700"/>
                  <wp:effectExtent l="0" t="0" r="9525" b="0"/>
                  <wp:docPr id="137610393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19425" cy="1409700"/>
                          </a:xfrm>
                          <a:prstGeom prst="rect">
                            <a:avLst/>
                          </a:prstGeom>
                          <a:noFill/>
                          <a:ln>
                            <a:noFill/>
                          </a:ln>
                        </pic:spPr>
                      </pic:pic>
                    </a:graphicData>
                  </a:graphic>
                </wp:inline>
              </w:drawing>
            </w:r>
          </w:p>
        </w:tc>
      </w:tr>
      <w:tr w:rsidR="00BE57F4" w:rsidRPr="00E27D3B" w14:paraId="421645A8" w14:textId="77777777" w:rsidTr="0002386E">
        <w:tc>
          <w:tcPr>
            <w:tcW w:w="4819" w:type="dxa"/>
          </w:tcPr>
          <w:p w14:paraId="3A471570" w14:textId="77777777" w:rsidR="00BE57F4" w:rsidRPr="00E27D3B" w:rsidRDefault="00BE57F4" w:rsidP="00CD4F3A">
            <w:pPr>
              <w:ind w:right="-22"/>
              <w:jc w:val="center"/>
              <w:rPr>
                <w:sz w:val="24"/>
                <w:szCs w:val="24"/>
              </w:rPr>
            </w:pPr>
            <w:r w:rsidRPr="00E27D3B">
              <w:rPr>
                <w:sz w:val="24"/>
                <w:szCs w:val="24"/>
              </w:rPr>
              <w:t>(a)</w:t>
            </w:r>
          </w:p>
        </w:tc>
        <w:tc>
          <w:tcPr>
            <w:tcW w:w="4819" w:type="dxa"/>
          </w:tcPr>
          <w:p w14:paraId="540E4267" w14:textId="77777777" w:rsidR="00BE57F4" w:rsidRPr="00E27D3B" w:rsidRDefault="00BE57F4" w:rsidP="00CD4F3A">
            <w:pPr>
              <w:keepNext/>
              <w:ind w:right="-22"/>
              <w:jc w:val="center"/>
              <w:rPr>
                <w:sz w:val="24"/>
                <w:szCs w:val="24"/>
              </w:rPr>
            </w:pPr>
            <w:r w:rsidRPr="00E27D3B">
              <w:rPr>
                <w:sz w:val="24"/>
                <w:szCs w:val="24"/>
              </w:rPr>
              <w:t>(b)</w:t>
            </w:r>
          </w:p>
        </w:tc>
      </w:tr>
      <w:tr w:rsidR="00BE57F4" w:rsidRPr="00E27D3B" w14:paraId="76182273" w14:textId="77777777" w:rsidTr="0002386E">
        <w:tc>
          <w:tcPr>
            <w:tcW w:w="4819" w:type="dxa"/>
          </w:tcPr>
          <w:p w14:paraId="6B7B0882" w14:textId="7A79AAFB" w:rsidR="00BE57F4" w:rsidRPr="00E27D3B" w:rsidRDefault="0089726F" w:rsidP="00CD4F3A">
            <w:pPr>
              <w:ind w:right="-22"/>
              <w:jc w:val="both"/>
              <w:rPr>
                <w:sz w:val="24"/>
                <w:szCs w:val="24"/>
              </w:rPr>
            </w:pPr>
            <w:r w:rsidRPr="0089726F">
              <w:rPr>
                <w:noProof/>
                <w:sz w:val="24"/>
                <w:szCs w:val="24"/>
              </w:rPr>
              <w:drawing>
                <wp:inline distT="0" distB="0" distL="0" distR="0" wp14:anchorId="52CAE4AE" wp14:editId="71238386">
                  <wp:extent cx="3019425" cy="1495425"/>
                  <wp:effectExtent l="0" t="0" r="9525" b="0"/>
                  <wp:docPr id="19986436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19425" cy="1495425"/>
                          </a:xfrm>
                          <a:prstGeom prst="rect">
                            <a:avLst/>
                          </a:prstGeom>
                          <a:noFill/>
                          <a:ln>
                            <a:noFill/>
                          </a:ln>
                        </pic:spPr>
                      </pic:pic>
                    </a:graphicData>
                  </a:graphic>
                </wp:inline>
              </w:drawing>
            </w:r>
          </w:p>
        </w:tc>
        <w:tc>
          <w:tcPr>
            <w:tcW w:w="4819" w:type="dxa"/>
          </w:tcPr>
          <w:p w14:paraId="6A025231" w14:textId="167820B2" w:rsidR="00BE57F4" w:rsidRPr="00E27D3B" w:rsidRDefault="0089726F" w:rsidP="00CD4F3A">
            <w:pPr>
              <w:keepNext/>
              <w:ind w:right="-22"/>
              <w:jc w:val="both"/>
              <w:rPr>
                <w:sz w:val="24"/>
                <w:szCs w:val="24"/>
              </w:rPr>
            </w:pPr>
            <w:r w:rsidRPr="0089726F">
              <w:rPr>
                <w:noProof/>
                <w:sz w:val="24"/>
                <w:szCs w:val="24"/>
              </w:rPr>
              <w:drawing>
                <wp:inline distT="0" distB="0" distL="0" distR="0" wp14:anchorId="575266A3" wp14:editId="1847D30C">
                  <wp:extent cx="3019425" cy="1828800"/>
                  <wp:effectExtent l="0" t="0" r="9525" b="0"/>
                  <wp:docPr id="58700870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19425" cy="1828800"/>
                          </a:xfrm>
                          <a:prstGeom prst="rect">
                            <a:avLst/>
                          </a:prstGeom>
                          <a:noFill/>
                          <a:ln>
                            <a:noFill/>
                          </a:ln>
                        </pic:spPr>
                      </pic:pic>
                    </a:graphicData>
                  </a:graphic>
                </wp:inline>
              </w:drawing>
            </w:r>
          </w:p>
        </w:tc>
      </w:tr>
      <w:tr w:rsidR="00BE57F4" w:rsidRPr="00E27D3B" w14:paraId="25D38ED7" w14:textId="77777777" w:rsidTr="0002386E">
        <w:tc>
          <w:tcPr>
            <w:tcW w:w="4819" w:type="dxa"/>
          </w:tcPr>
          <w:p w14:paraId="16EE9143" w14:textId="77777777" w:rsidR="00BE57F4" w:rsidRPr="00E27D3B" w:rsidRDefault="00BE57F4" w:rsidP="00CD4F3A">
            <w:pPr>
              <w:ind w:right="-22"/>
              <w:jc w:val="center"/>
              <w:rPr>
                <w:sz w:val="24"/>
                <w:szCs w:val="24"/>
              </w:rPr>
            </w:pPr>
            <w:r w:rsidRPr="00E27D3B">
              <w:rPr>
                <w:sz w:val="24"/>
                <w:szCs w:val="24"/>
              </w:rPr>
              <w:t>(c)</w:t>
            </w:r>
          </w:p>
        </w:tc>
        <w:tc>
          <w:tcPr>
            <w:tcW w:w="4819" w:type="dxa"/>
          </w:tcPr>
          <w:p w14:paraId="59477800" w14:textId="77777777" w:rsidR="00BE57F4" w:rsidRPr="00E27D3B" w:rsidRDefault="00BE57F4" w:rsidP="00CD4F3A">
            <w:pPr>
              <w:keepNext/>
              <w:ind w:right="-22"/>
              <w:jc w:val="center"/>
              <w:rPr>
                <w:sz w:val="24"/>
                <w:szCs w:val="24"/>
              </w:rPr>
            </w:pPr>
            <w:r w:rsidRPr="00E27D3B">
              <w:rPr>
                <w:sz w:val="24"/>
                <w:szCs w:val="24"/>
              </w:rPr>
              <w:t>(d)</w:t>
            </w:r>
          </w:p>
        </w:tc>
      </w:tr>
    </w:tbl>
    <w:p w14:paraId="401B84BB" w14:textId="2776BD58" w:rsidR="00BE57F4" w:rsidRPr="00E27D3B" w:rsidRDefault="00BE57F4" w:rsidP="00CD4F3A">
      <w:pPr>
        <w:pStyle w:val="Caption"/>
        <w:spacing w:line="240" w:lineRule="auto"/>
        <w:jc w:val="both"/>
        <w:rPr>
          <w:szCs w:val="20"/>
        </w:rPr>
      </w:pPr>
      <w:bookmarkStart w:id="214" w:name="_Ref230192105"/>
      <w:bookmarkStart w:id="215" w:name="_Toc224235134"/>
      <w:bookmarkStart w:id="216" w:name="_Toc230198634"/>
      <w:bookmarkStart w:id="217" w:name="_Toc233735049"/>
      <w:r w:rsidRPr="00E27D3B">
        <w:t xml:space="preserve">Figure </w:t>
      </w:r>
      <w:fldSimple w:instr=" SEQ Figure \* ARABIC ">
        <w:r w:rsidR="00A85006">
          <w:rPr>
            <w:noProof/>
          </w:rPr>
          <w:t>43</w:t>
        </w:r>
      </w:fldSimple>
      <w:bookmarkEnd w:id="214"/>
      <w:r w:rsidRPr="00E27D3B">
        <w:t xml:space="preserve">: </w:t>
      </w:r>
      <w:r w:rsidRPr="006D6A1A">
        <w:t xml:space="preserve">Quantification of system-level voltage signatures through the proposed </w:t>
      </w:r>
      <w:proofErr w:type="spellStart"/>
      <w:r w:rsidRPr="006D6A1A">
        <w:t>sysDVRI</w:t>
      </w:r>
      <w:proofErr w:type="spellEnd"/>
      <w:r w:rsidRPr="006D6A1A">
        <w:t xml:space="preserve"> under different renewable generation percentages (a) Gen. Case 1, (b) Gen. Case 2, (c) Gen. Case 3, and (d) Gen. Case 4.</w:t>
      </w:r>
      <w:bookmarkEnd w:id="215"/>
      <w:bookmarkEnd w:id="216"/>
      <w:bookmarkEnd w:id="217"/>
    </w:p>
    <w:p w14:paraId="7ABFBD5E" w14:textId="284788A3" w:rsidR="00BE57F4" w:rsidRPr="006201C1" w:rsidRDefault="00BE57F4" w:rsidP="00081F86">
      <w:pPr>
        <w:pStyle w:val="BodyText"/>
        <w:spacing w:after="0"/>
      </w:pPr>
      <w:r w:rsidRPr="60762895">
        <w:t xml:space="preserve">The influence of load composition on </w:t>
      </w:r>
      <w:proofErr w:type="spellStart"/>
      <w:r w:rsidRPr="005D2900">
        <w:t>sysDVRI</w:t>
      </w:r>
      <w:proofErr w:type="spellEnd"/>
      <w:r w:rsidRPr="60762895">
        <w:t xml:space="preserve"> is evident in </w:t>
      </w:r>
      <w:r w:rsidRPr="005D2900">
        <w:fldChar w:fldCharType="begin"/>
      </w:r>
      <w:r>
        <w:instrText xml:space="preserve"> REF _Ref230192147 \h  \* MERGEFORMAT </w:instrText>
      </w:r>
      <w:r w:rsidRPr="005D2900">
        <w:fldChar w:fldCharType="separate"/>
      </w:r>
      <w:r w:rsidR="00753DAF" w:rsidRPr="00753DAF">
        <w:t>Figure 44</w:t>
      </w:r>
      <w:r w:rsidRPr="005D2900">
        <w:fldChar w:fldCharType="end"/>
      </w:r>
      <w:r w:rsidRPr="60762895">
        <w:t xml:space="preserve">(a)–(c). The results indicate that higher penetration of dynamic loads leads to voltage oscillations and unstable voltage </w:t>
      </w:r>
      <w:r w:rsidRPr="60762895">
        <w:lastRenderedPageBreak/>
        <w:t xml:space="preserve">recovery. For example, under the fault condition with a static load model, both short-term and long-term voltage stability are maintained, as shown in </w:t>
      </w:r>
      <w:r w:rsidRPr="005D2900">
        <w:fldChar w:fldCharType="begin"/>
      </w:r>
      <w:r>
        <w:instrText xml:space="preserve"> REF _Ref230192147 \h  \* MERGEFORMAT </w:instrText>
      </w:r>
      <w:r w:rsidRPr="005D2900">
        <w:fldChar w:fldCharType="separate"/>
      </w:r>
      <w:r w:rsidR="00753DAF" w:rsidRPr="00753DAF">
        <w:t>Figure 44</w:t>
      </w:r>
      <w:r w:rsidRPr="005D2900">
        <w:fldChar w:fldCharType="end"/>
      </w:r>
      <w:r w:rsidRPr="60762895">
        <w:t xml:space="preserve">(a). In contrast, </w:t>
      </w:r>
      <w:r w:rsidRPr="005D2900">
        <w:fldChar w:fldCharType="begin"/>
      </w:r>
      <w:r>
        <w:instrText xml:space="preserve"> REF _Ref230192147 \h  \* MERGEFORMAT </w:instrText>
      </w:r>
      <w:r w:rsidRPr="005D2900">
        <w:fldChar w:fldCharType="separate"/>
      </w:r>
      <w:r w:rsidR="00753DAF" w:rsidRPr="00753DAF">
        <w:t>Figure 44</w:t>
      </w:r>
      <w:r w:rsidRPr="005D2900">
        <w:fldChar w:fldCharType="end"/>
      </w:r>
      <w:r w:rsidRPr="60762895">
        <w:t xml:space="preserve">(b) and </w:t>
      </w:r>
      <w:r w:rsidRPr="005D2900">
        <w:fldChar w:fldCharType="begin"/>
      </w:r>
      <w:r>
        <w:instrText xml:space="preserve"> REF _Ref230192147 \h  \* MERGEFORMAT </w:instrText>
      </w:r>
      <w:r w:rsidRPr="005D2900">
        <w:fldChar w:fldCharType="separate"/>
      </w:r>
      <w:r w:rsidR="00753DAF" w:rsidRPr="00753DAF">
        <w:t>Figure 44</w:t>
      </w:r>
      <w:r w:rsidRPr="005D2900">
        <w:fldChar w:fldCharType="end"/>
      </w:r>
      <w:r w:rsidRPr="60762895">
        <w:t xml:space="preserve">(c) show poorer performance of the </w:t>
      </w:r>
      <w:proofErr w:type="spellStart"/>
      <w:r w:rsidRPr="60762895">
        <w:t>sysDVRI</w:t>
      </w:r>
      <w:proofErr w:type="spellEnd"/>
      <w:r w:rsidRPr="60762895">
        <w:t xml:space="preserve"> for the summer and winter load cases. In particular, the </w:t>
      </w:r>
      <w:proofErr w:type="spellStart"/>
      <w:r w:rsidRPr="60762895">
        <w:t>sysDVRI</w:t>
      </w:r>
      <w:proofErr w:type="spellEnd"/>
      <w:r w:rsidRPr="60762895">
        <w:t xml:space="preserve"> values are {−1, −1} when a fault occurs at Bus 503, indicating both short-term and long-term voltage instability. These findings suggest that increasing the proportion of dynamic loads in the system can adversely affect overall voltage performance.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BE57F4" w:rsidRPr="00E27D3B" w14:paraId="137241B7" w14:textId="77777777" w:rsidTr="0002386E">
        <w:tc>
          <w:tcPr>
            <w:tcW w:w="4831" w:type="dxa"/>
          </w:tcPr>
          <w:p w14:paraId="28D0AB46" w14:textId="41B2CF24" w:rsidR="00BE57F4" w:rsidRPr="00E27D3B" w:rsidRDefault="0089726F" w:rsidP="00CD4F3A">
            <w:pPr>
              <w:ind w:right="-22"/>
              <w:jc w:val="both"/>
              <w:rPr>
                <w:sz w:val="24"/>
                <w:szCs w:val="24"/>
              </w:rPr>
            </w:pPr>
            <w:r w:rsidRPr="0089726F">
              <w:rPr>
                <w:noProof/>
                <w:sz w:val="24"/>
                <w:szCs w:val="24"/>
              </w:rPr>
              <w:drawing>
                <wp:inline distT="0" distB="0" distL="0" distR="0" wp14:anchorId="2CFA0DB5" wp14:editId="7E0284EF">
                  <wp:extent cx="3067050" cy="1438275"/>
                  <wp:effectExtent l="0" t="0" r="0" b="0"/>
                  <wp:docPr id="141649974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67050" cy="1438275"/>
                          </a:xfrm>
                          <a:prstGeom prst="rect">
                            <a:avLst/>
                          </a:prstGeom>
                          <a:noFill/>
                          <a:ln>
                            <a:noFill/>
                          </a:ln>
                        </pic:spPr>
                      </pic:pic>
                    </a:graphicData>
                  </a:graphic>
                </wp:inline>
              </w:drawing>
            </w:r>
          </w:p>
        </w:tc>
        <w:tc>
          <w:tcPr>
            <w:tcW w:w="4807" w:type="dxa"/>
          </w:tcPr>
          <w:p w14:paraId="68475419" w14:textId="156ABA10" w:rsidR="00BE57F4" w:rsidRPr="00E27D3B" w:rsidRDefault="0089726F" w:rsidP="00CD4F3A">
            <w:pPr>
              <w:ind w:right="-22"/>
              <w:jc w:val="both"/>
              <w:rPr>
                <w:sz w:val="24"/>
                <w:szCs w:val="24"/>
              </w:rPr>
            </w:pPr>
            <w:r w:rsidRPr="0089726F">
              <w:rPr>
                <w:noProof/>
                <w:sz w:val="24"/>
                <w:szCs w:val="24"/>
              </w:rPr>
              <w:drawing>
                <wp:inline distT="0" distB="0" distL="0" distR="0" wp14:anchorId="37268607" wp14:editId="0835DCF8">
                  <wp:extent cx="3048000" cy="1571625"/>
                  <wp:effectExtent l="0" t="0" r="0" b="0"/>
                  <wp:docPr id="199909018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48000" cy="1571625"/>
                          </a:xfrm>
                          <a:prstGeom prst="rect">
                            <a:avLst/>
                          </a:prstGeom>
                          <a:noFill/>
                          <a:ln>
                            <a:noFill/>
                          </a:ln>
                        </pic:spPr>
                      </pic:pic>
                    </a:graphicData>
                  </a:graphic>
                </wp:inline>
              </w:drawing>
            </w:r>
          </w:p>
        </w:tc>
      </w:tr>
      <w:tr w:rsidR="00BE57F4" w:rsidRPr="00E27D3B" w14:paraId="17E1FFC5" w14:textId="77777777" w:rsidTr="0002386E">
        <w:tc>
          <w:tcPr>
            <w:tcW w:w="4831" w:type="dxa"/>
          </w:tcPr>
          <w:p w14:paraId="214FBBE9" w14:textId="77777777" w:rsidR="00BE57F4" w:rsidRPr="00E27D3B" w:rsidRDefault="00BE57F4" w:rsidP="00CD4F3A">
            <w:pPr>
              <w:ind w:right="-22"/>
              <w:jc w:val="center"/>
              <w:rPr>
                <w:sz w:val="24"/>
                <w:szCs w:val="24"/>
              </w:rPr>
            </w:pPr>
            <w:r w:rsidRPr="00E27D3B">
              <w:rPr>
                <w:sz w:val="24"/>
                <w:szCs w:val="24"/>
              </w:rPr>
              <w:t>(a)</w:t>
            </w:r>
          </w:p>
        </w:tc>
        <w:tc>
          <w:tcPr>
            <w:tcW w:w="4807" w:type="dxa"/>
          </w:tcPr>
          <w:p w14:paraId="0AE8967D" w14:textId="77777777" w:rsidR="00BE57F4" w:rsidRPr="00E27D3B" w:rsidRDefault="00BE57F4" w:rsidP="00CD4F3A">
            <w:pPr>
              <w:keepNext/>
              <w:ind w:right="-22"/>
              <w:jc w:val="center"/>
              <w:rPr>
                <w:sz w:val="24"/>
                <w:szCs w:val="24"/>
              </w:rPr>
            </w:pPr>
            <w:r w:rsidRPr="00E27D3B">
              <w:rPr>
                <w:sz w:val="24"/>
                <w:szCs w:val="24"/>
              </w:rPr>
              <w:t>(b)</w:t>
            </w:r>
          </w:p>
        </w:tc>
      </w:tr>
      <w:tr w:rsidR="00BE57F4" w:rsidRPr="00E27D3B" w14:paraId="1BC85E8E" w14:textId="77777777" w:rsidTr="0002386E">
        <w:tc>
          <w:tcPr>
            <w:tcW w:w="9638" w:type="dxa"/>
            <w:gridSpan w:val="2"/>
          </w:tcPr>
          <w:p w14:paraId="541DF18C" w14:textId="7164065C" w:rsidR="00BE57F4" w:rsidRPr="00E27D3B" w:rsidRDefault="0089726F" w:rsidP="00CD4F3A">
            <w:pPr>
              <w:keepNext/>
              <w:ind w:right="-22"/>
              <w:jc w:val="center"/>
              <w:rPr>
                <w:sz w:val="24"/>
                <w:szCs w:val="24"/>
              </w:rPr>
            </w:pPr>
            <w:r w:rsidRPr="0089726F">
              <w:rPr>
                <w:noProof/>
                <w:sz w:val="24"/>
                <w:szCs w:val="24"/>
              </w:rPr>
              <w:drawing>
                <wp:inline distT="0" distB="0" distL="0" distR="0" wp14:anchorId="2F7A1B3D" wp14:editId="1F67EFB7">
                  <wp:extent cx="3067050" cy="1733550"/>
                  <wp:effectExtent l="0" t="0" r="0" b="0"/>
                  <wp:docPr id="118029539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67050" cy="1733550"/>
                          </a:xfrm>
                          <a:prstGeom prst="rect">
                            <a:avLst/>
                          </a:prstGeom>
                          <a:noFill/>
                          <a:ln>
                            <a:noFill/>
                          </a:ln>
                        </pic:spPr>
                      </pic:pic>
                    </a:graphicData>
                  </a:graphic>
                </wp:inline>
              </w:drawing>
            </w:r>
          </w:p>
        </w:tc>
      </w:tr>
      <w:tr w:rsidR="00BE57F4" w:rsidRPr="00E27D3B" w14:paraId="624A0A02" w14:textId="77777777" w:rsidTr="0002386E">
        <w:tc>
          <w:tcPr>
            <w:tcW w:w="9638" w:type="dxa"/>
            <w:gridSpan w:val="2"/>
          </w:tcPr>
          <w:p w14:paraId="70E02721" w14:textId="77777777" w:rsidR="00BE57F4" w:rsidRPr="00E27D3B" w:rsidRDefault="00BE57F4" w:rsidP="00CD4F3A">
            <w:pPr>
              <w:keepNext/>
              <w:ind w:right="-22"/>
              <w:jc w:val="center"/>
              <w:rPr>
                <w:sz w:val="24"/>
                <w:szCs w:val="24"/>
              </w:rPr>
            </w:pPr>
            <w:r w:rsidRPr="00E27D3B">
              <w:rPr>
                <w:sz w:val="24"/>
                <w:szCs w:val="24"/>
              </w:rPr>
              <w:t>(c)</w:t>
            </w:r>
          </w:p>
        </w:tc>
      </w:tr>
    </w:tbl>
    <w:p w14:paraId="4D6ED3A8" w14:textId="489CF4ED" w:rsidR="00BE57F4" w:rsidRPr="00F06ADD" w:rsidRDefault="00BE57F4" w:rsidP="00F06ADD">
      <w:pPr>
        <w:pStyle w:val="Caption"/>
        <w:spacing w:line="240" w:lineRule="auto"/>
        <w:jc w:val="both"/>
      </w:pPr>
      <w:bookmarkStart w:id="218" w:name="_Ref230192147"/>
      <w:bookmarkStart w:id="219" w:name="_Toc224235135"/>
      <w:bookmarkStart w:id="220" w:name="_Toc230198635"/>
      <w:bookmarkStart w:id="221" w:name="_Toc233735050"/>
      <w:r w:rsidRPr="00627948">
        <w:t xml:space="preserve">Figure </w:t>
      </w:r>
      <w:r w:rsidRPr="00F06ADD">
        <w:fldChar w:fldCharType="begin"/>
      </w:r>
      <w:r w:rsidRPr="00627948">
        <w:instrText xml:space="preserve"> SEQ Figure \* ARABIC </w:instrText>
      </w:r>
      <w:r w:rsidRPr="00F06ADD">
        <w:fldChar w:fldCharType="separate"/>
      </w:r>
      <w:r w:rsidR="00A85006">
        <w:t>44</w:t>
      </w:r>
      <w:r w:rsidRPr="00F06ADD">
        <w:fldChar w:fldCharType="end"/>
      </w:r>
      <w:bookmarkEnd w:id="218"/>
      <w:r w:rsidRPr="006D6A1A">
        <w:t xml:space="preserve">: Quantification of system-level voltage signatures through the proposed </w:t>
      </w:r>
      <w:proofErr w:type="spellStart"/>
      <w:r w:rsidRPr="006D6A1A">
        <w:t>sysDVRI</w:t>
      </w:r>
      <w:proofErr w:type="spellEnd"/>
      <w:r w:rsidRPr="006D6A1A">
        <w:t xml:space="preserve"> under different load dynamics percentages: (a) Load Case 1, (b) Load Case 2, and (c) Load Case 3.</w:t>
      </w:r>
      <w:bookmarkEnd w:id="219"/>
      <w:bookmarkEnd w:id="220"/>
      <w:bookmarkEnd w:id="221"/>
    </w:p>
    <w:p w14:paraId="25C74B8B" w14:textId="77777777" w:rsidR="00BE57F4" w:rsidRDefault="00BE57F4" w:rsidP="00CD4F3A">
      <w:pPr>
        <w:pStyle w:val="Heading2"/>
      </w:pPr>
      <w:bookmarkStart w:id="222" w:name="_Toc230256838"/>
      <w:bookmarkStart w:id="223" w:name="_Toc233734310"/>
      <w:r w:rsidRPr="005F047E">
        <w:t>Develo</w:t>
      </w:r>
      <w:r>
        <w:t>pment of</w:t>
      </w:r>
      <w:r w:rsidRPr="005F047E">
        <w:t xml:space="preserve"> </w:t>
      </w:r>
      <w:r>
        <w:t>Small Disturbance Voltage</w:t>
      </w:r>
      <w:r w:rsidRPr="005F047E">
        <w:t xml:space="preserve"> Stability Ind</w:t>
      </w:r>
      <w:r>
        <w:t>ex</w:t>
      </w:r>
      <w:bookmarkEnd w:id="222"/>
      <w:bookmarkEnd w:id="223"/>
    </w:p>
    <w:p w14:paraId="69A9CC70" w14:textId="77777777" w:rsidR="00BE57F4" w:rsidRPr="003E0B50" w:rsidRDefault="00BE57F4" w:rsidP="00081F86">
      <w:pPr>
        <w:pStyle w:val="BodyText"/>
        <w:spacing w:after="0"/>
      </w:pPr>
      <w:r w:rsidRPr="00FE2DE3">
        <w:t>This section describes the proposed SDVPI methodology and its associated workflow, followed by the presentation and discussion of the obtained results.</w:t>
      </w:r>
    </w:p>
    <w:p w14:paraId="3214E6B0" w14:textId="77777777" w:rsidR="00BE57F4" w:rsidRDefault="00BE57F4" w:rsidP="00CD4F3A">
      <w:pPr>
        <w:pStyle w:val="Heading3"/>
        <w:ind w:left="1134" w:hanging="1134"/>
      </w:pPr>
      <w:r>
        <w:t>M</w:t>
      </w:r>
      <w:r w:rsidRPr="003E0B50">
        <w:t xml:space="preserve">ethodology </w:t>
      </w:r>
      <w:r w:rsidRPr="007E44B1">
        <w:t xml:space="preserve">of the Proposed </w:t>
      </w:r>
      <w:r>
        <w:t>SDVPI</w:t>
      </w:r>
    </w:p>
    <w:p w14:paraId="66E2CD65" w14:textId="77777777" w:rsidR="00BE57F4" w:rsidRPr="00AD2E82" w:rsidRDefault="00BE57F4" w:rsidP="00081F86">
      <w:pPr>
        <w:pStyle w:val="BodyText"/>
        <w:spacing w:after="0"/>
        <w:rPr>
          <w:rFonts w:asciiTheme="minorHAnsi" w:hAnsiTheme="minorHAnsi" w:cstheme="minorHAnsi"/>
        </w:rPr>
      </w:pPr>
      <w:r w:rsidRPr="00AD2E82">
        <w:rPr>
          <w:rFonts w:asciiTheme="minorHAnsi" w:hAnsiTheme="minorHAnsi" w:cstheme="minorHAnsi"/>
        </w:rPr>
        <w:t xml:space="preserve">The effect of SDVS during and following a </w:t>
      </w:r>
      <w:r w:rsidRPr="00AD2E82">
        <w:rPr>
          <w:rFonts w:asciiTheme="minorHAnsi" w:hAnsiTheme="minorHAnsi" w:cstheme="minorHAnsi"/>
          <w:lang w:val="en-US"/>
        </w:rPr>
        <w:t>small disturbance</w:t>
      </w:r>
      <w:r w:rsidRPr="00AD2E82">
        <w:rPr>
          <w:rFonts w:asciiTheme="minorHAnsi" w:hAnsiTheme="minorHAnsi" w:cstheme="minorHAnsi"/>
        </w:rPr>
        <w:t xml:space="preserve"> occurring in a particular bus can be translated into a change of voltage and current at that bus. This translation is universally applicable for </w:t>
      </w:r>
      <w:r w:rsidRPr="00AD2E82">
        <w:rPr>
          <w:rFonts w:asciiTheme="minorHAnsi" w:hAnsiTheme="minorHAnsi" w:cstheme="minorHAnsi"/>
          <w:lang w:val="en-US"/>
        </w:rPr>
        <w:t xml:space="preserve">SGs, IBRs with DLs dominated power system. However, the </w:t>
      </w:r>
      <w:r w:rsidRPr="00AD2E82">
        <w:rPr>
          <w:rFonts w:asciiTheme="minorHAnsi" w:hAnsiTheme="minorHAnsi" w:cstheme="minorHAnsi"/>
        </w:rPr>
        <w:t xml:space="preserve">behaviour of the change of voltage and current depends on the power system dynamics. For example, the dynamics of IBRs is quite different from the SGs. Therefore, </w:t>
      </w:r>
      <w:r w:rsidRPr="00AD2E82">
        <w:rPr>
          <w:rFonts w:asciiTheme="minorHAnsi" w:hAnsiTheme="minorHAnsi" w:cstheme="minorHAnsi"/>
          <w:lang w:val="en-US"/>
        </w:rPr>
        <w:t xml:space="preserve">the </w:t>
      </w:r>
      <w:r w:rsidRPr="00AD2E82">
        <w:rPr>
          <w:rFonts w:asciiTheme="minorHAnsi" w:hAnsiTheme="minorHAnsi" w:cstheme="minorHAnsi"/>
        </w:rPr>
        <w:t xml:space="preserve">behaviour of the change of voltage and current during and following a </w:t>
      </w:r>
      <w:r w:rsidRPr="00AD2E82">
        <w:rPr>
          <w:rFonts w:asciiTheme="minorHAnsi" w:hAnsiTheme="minorHAnsi" w:cstheme="minorHAnsi"/>
          <w:lang w:val="en-US"/>
        </w:rPr>
        <w:t xml:space="preserve">small disturbance for a power system dominated by </w:t>
      </w:r>
      <w:r w:rsidRPr="00AD2E82">
        <w:rPr>
          <w:rFonts w:asciiTheme="minorHAnsi" w:hAnsiTheme="minorHAnsi" w:cstheme="minorHAnsi"/>
        </w:rPr>
        <w:t xml:space="preserve">IBRs is different from the power system dominated by SGs. However, distinct characteristics can result in the change of </w:t>
      </w:r>
      <w:r w:rsidRPr="00AD2E82">
        <w:rPr>
          <w:rFonts w:asciiTheme="minorHAnsi" w:hAnsiTheme="minorHAnsi" w:cstheme="minorHAnsi"/>
        </w:rPr>
        <w:lastRenderedPageBreak/>
        <w:t xml:space="preserve">voltage and current at that bus. Therefore, the calculation of </w:t>
      </w:r>
      <w:r w:rsidRPr="00AD2E82">
        <w:rPr>
          <w:rFonts w:asciiTheme="minorHAnsi" w:hAnsiTheme="minorHAnsi" w:cstheme="minorHAnsi"/>
          <w:lang w:val="en-US"/>
        </w:rPr>
        <w:t xml:space="preserve">SDVPI is said to be generic and based on the </w:t>
      </w:r>
      <w:r w:rsidRPr="00AD2E82">
        <w:rPr>
          <w:rFonts w:asciiTheme="minorHAnsi" w:hAnsiTheme="minorHAnsi" w:cstheme="minorHAnsi"/>
        </w:rPr>
        <w:t>distance of a particular operating point from voltage collapse points as described below.</w:t>
      </w:r>
    </w:p>
    <w:p w14:paraId="25EE8544" w14:textId="226751E5" w:rsidR="00BE57F4" w:rsidRPr="00AD2E82" w:rsidRDefault="00BE57F4" w:rsidP="00081F86">
      <w:pPr>
        <w:pStyle w:val="BodyText"/>
        <w:spacing w:after="0"/>
        <w:rPr>
          <w:rFonts w:asciiTheme="minorHAnsi" w:hAnsiTheme="minorHAnsi" w:cstheme="minorHAnsi"/>
        </w:rPr>
      </w:pPr>
      <w:r w:rsidRPr="00AD2E82">
        <w:rPr>
          <w:rFonts w:asciiTheme="minorHAnsi" w:hAnsiTheme="minorHAnsi" w:cstheme="minorHAnsi"/>
        </w:rPr>
        <w:t xml:space="preserve">Consider a local load bus k of a general power system, as shown in </w:t>
      </w:r>
      <w:r w:rsidRPr="00AD2E82">
        <w:rPr>
          <w:rFonts w:asciiTheme="minorHAnsi" w:hAnsiTheme="minorHAnsi" w:cstheme="minorHAnsi"/>
        </w:rPr>
        <w:fldChar w:fldCharType="begin"/>
      </w:r>
      <w:r w:rsidRPr="00AD2E82">
        <w:rPr>
          <w:rFonts w:asciiTheme="minorHAnsi" w:hAnsiTheme="minorHAnsi" w:cstheme="minorHAnsi"/>
        </w:rPr>
        <w:instrText xml:space="preserve"> REF _Ref223644144 \h </w:instrText>
      </w:r>
      <w:r w:rsidR="00AD2E82">
        <w:rPr>
          <w:rFonts w:asciiTheme="minorHAnsi" w:hAnsiTheme="minorHAnsi" w:cstheme="minorHAnsi"/>
        </w:rPr>
        <w:instrText xml:space="preserve"> \* MERGEFORMAT </w:instrText>
      </w:r>
      <w:r w:rsidRPr="00AD2E82">
        <w:rPr>
          <w:rFonts w:asciiTheme="minorHAnsi" w:hAnsiTheme="minorHAnsi" w:cstheme="minorHAnsi"/>
        </w:rPr>
      </w:r>
      <w:r w:rsidRPr="00AD2E82">
        <w:rPr>
          <w:rFonts w:asciiTheme="minorHAnsi" w:hAnsiTheme="minorHAnsi" w:cstheme="minorHAnsi"/>
        </w:rPr>
        <w:fldChar w:fldCharType="separate"/>
      </w:r>
      <w:r w:rsidR="00753DAF" w:rsidRPr="00AD2E82">
        <w:t xml:space="preserve">Figure </w:t>
      </w:r>
      <w:r w:rsidR="00753DAF" w:rsidRPr="00AD2E82">
        <w:rPr>
          <w:noProof/>
        </w:rPr>
        <w:t>13</w:t>
      </w:r>
      <w:r w:rsidRPr="00AD2E82">
        <w:rPr>
          <w:rFonts w:asciiTheme="minorHAnsi" w:hAnsiTheme="minorHAnsi" w:cstheme="minorHAnsi"/>
        </w:rPr>
        <w:fldChar w:fldCharType="end"/>
      </w:r>
      <w:r w:rsidRPr="00AD2E82">
        <w:rPr>
          <w:rFonts w:asciiTheme="minorHAnsi" w:hAnsiTheme="minorHAnsi" w:cstheme="minorHAnsi"/>
        </w:rPr>
        <w:t xml:space="preserve"> in Chapter 2. The complex voltage, current, and power available at this bus can be written as:</w:t>
      </w:r>
    </w:p>
    <w:p w14:paraId="4A7B58EB" w14:textId="0E18DA48" w:rsidR="00BE57F4" w:rsidRPr="00AD2E82" w:rsidRDefault="00984B23" w:rsidP="00CD4F3A">
      <w:pPr>
        <w:jc w:val="right"/>
        <w:rPr>
          <w:rFonts w:asciiTheme="minorHAnsi" w:eastAsiaTheme="minorEastAsia" w:hAnsiTheme="minorHAnsi" w:cstheme="minorHAnsi"/>
          <w:lang w:val="en-US"/>
        </w:rPr>
      </w:pPr>
      <m:oMath>
        <m:d>
          <m:dPr>
            <m:begChr m:val=""/>
            <m:endChr m:val="}"/>
            <m:ctrlPr>
              <w:rPr>
                <w:rFonts w:ascii="Cambria Math" w:hAnsi="Cambria Math" w:cstheme="minorHAnsi"/>
                <w:i/>
                <w:lang w:val="en-US"/>
              </w:rPr>
            </m:ctrlPr>
          </m:dPr>
          <m:e>
            <m:eqArr>
              <m:eqArrPr>
                <m:ctrlPr>
                  <w:rPr>
                    <w:rFonts w:ascii="Cambria Math" w:hAnsi="Cambria Math" w:cstheme="minorHAnsi"/>
                    <w:i/>
                    <w:lang w:val="en-US"/>
                  </w:rPr>
                </m:ctrlPr>
              </m:eqArrPr>
              <m:e>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δ</m:t>
                    </m:r>
                  </m:e>
                  <m:sub>
                    <m:r>
                      <w:rPr>
                        <w:rFonts w:ascii="Cambria Math" w:hAnsi="Cambria Math" w:cstheme="minorHAnsi"/>
                        <w:lang w:val="en-US"/>
                      </w:rPr>
                      <m:t>k</m:t>
                    </m:r>
                  </m:sub>
                </m:sSub>
                <m:r>
                  <w:rPr>
                    <w:rFonts w:ascii="Cambria Math" w:hAnsi="Cambria Math" w:cstheme="minorHAnsi"/>
                    <w:lang w:val="en-US"/>
                  </w:rPr>
                  <m:t xml:space="preserve">                       </m:t>
                </m:r>
              </m:e>
              <m:e>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θ</m:t>
                    </m:r>
                  </m:e>
                  <m:sub>
                    <m:r>
                      <w:rPr>
                        <w:rFonts w:ascii="Cambria Math" w:hAnsi="Cambria Math" w:cstheme="minorHAnsi"/>
                        <w:lang w:val="en-US"/>
                      </w:rPr>
                      <m:t>k</m:t>
                    </m:r>
                  </m:sub>
                </m:sSub>
                <m:r>
                  <w:rPr>
                    <w:rFonts w:ascii="Cambria Math" w:hAnsi="Cambria Math" w:cstheme="minorHAnsi"/>
                    <w:lang w:val="en-US"/>
                  </w:rPr>
                  <m:t xml:space="preserve">                      </m:t>
                </m:r>
                <m:ctrlPr>
                  <w:rPr>
                    <w:rFonts w:ascii="Cambria Math" w:eastAsia="Cambria Math" w:hAnsi="Cambria Math" w:cstheme="minorHAnsi"/>
                    <w:i/>
                  </w:rPr>
                </m:ctrlPr>
              </m:e>
              <m:e>
                <m:sSub>
                  <m:sSubPr>
                    <m:ctrlPr>
                      <w:rPr>
                        <w:rFonts w:ascii="Cambria Math" w:eastAsia="Cambria Math" w:hAnsi="Cambria Math" w:cstheme="minorHAnsi"/>
                        <w:i/>
                      </w:rPr>
                    </m:ctrlPr>
                  </m:sSubPr>
                  <m:e>
                    <m:r>
                      <w:rPr>
                        <w:rFonts w:ascii="Cambria Math" w:eastAsia="Cambria Math" w:hAnsi="Cambria Math" w:cstheme="minorHAnsi"/>
                      </w:rPr>
                      <m:t>s</m:t>
                    </m:r>
                  </m:e>
                  <m:sub>
                    <m:r>
                      <w:rPr>
                        <w:rFonts w:ascii="Cambria Math" w:eastAsia="Cambria Math" w:hAnsi="Cambria Math" w:cstheme="minorHAnsi"/>
                      </w:rPr>
                      <m:t>k</m:t>
                    </m:r>
                  </m:sub>
                </m:sSub>
                <m:r>
                  <w:rPr>
                    <w:rFonts w:ascii="Cambria Math" w:eastAsia="Cambria Math" w:hAnsi="Cambria Math" w:cstheme="minorHAnsi"/>
                  </w:rPr>
                  <m:t>=</m:t>
                </m:r>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(δ</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θ</m:t>
                    </m:r>
                  </m:e>
                  <m:sub>
                    <m:r>
                      <w:rPr>
                        <w:rFonts w:ascii="Cambria Math" w:hAnsi="Cambria Math" w:cstheme="minorHAnsi"/>
                        <w:lang w:val="en-US"/>
                      </w:rPr>
                      <m:t>k</m:t>
                    </m:r>
                  </m:sub>
                </m:sSub>
                <m:r>
                  <w:rPr>
                    <w:rFonts w:ascii="Cambria Math" w:hAnsi="Cambria Math" w:cstheme="minorHAnsi"/>
                    <w:lang w:val="en-US"/>
                  </w:rPr>
                  <m:t xml:space="preserve">)          </m:t>
                </m:r>
                <m:ctrlPr>
                  <w:rPr>
                    <w:rFonts w:ascii="Cambria Math" w:eastAsia="Cambria Math" w:hAnsi="Cambria Math" w:cstheme="minorHAnsi"/>
                    <w:i/>
                  </w:rPr>
                </m:ctrlPr>
              </m:e>
              <m:e>
                <m:r>
                  <w:rPr>
                    <w:rFonts w:ascii="Cambria Math" w:eastAsia="Cambria Math" w:hAnsi="Cambria Math" w:cstheme="minorHAnsi"/>
                  </w:rPr>
                  <m:t>=</m:t>
                </m:r>
                <m:sSub>
                  <m:sSubPr>
                    <m:ctrlPr>
                      <w:rPr>
                        <w:rFonts w:ascii="Cambria Math" w:hAnsi="Cambria Math" w:cstheme="minorHAnsi"/>
                        <w:i/>
                        <w:lang w:val="en-US"/>
                      </w:rPr>
                    </m:ctrlPr>
                  </m:sSubPr>
                  <m:e>
                    <m:r>
                      <w:rPr>
                        <w:rFonts w:ascii="Cambria Math" w:hAnsi="Cambria Math" w:cstheme="minorHAnsi"/>
                        <w:lang w:val="en-US"/>
                      </w:rPr>
                      <m:t>V</m:t>
                    </m:r>
                  </m:e>
                  <m:sub>
                    <m:r>
                      <w:rPr>
                        <w:rFonts w:ascii="Cambria Math" w:hAnsi="Cambria Math" w:cstheme="minorHAnsi"/>
                        <w:lang w:val="en-US"/>
                      </w:rPr>
                      <m:t>k</m:t>
                    </m:r>
                  </m:sub>
                </m:sSub>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(δ</m:t>
                    </m:r>
                  </m:e>
                  <m:sub>
                    <m:r>
                      <w:rPr>
                        <w:rFonts w:ascii="Cambria Math" w:hAnsi="Cambria Math" w:cstheme="minorHAnsi"/>
                        <w:lang w:val="en-US"/>
                      </w:rPr>
                      <m:t>k</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θ</m:t>
                    </m:r>
                  </m:e>
                  <m:sub>
                    <m:r>
                      <w:rPr>
                        <w:rFonts w:ascii="Cambria Math" w:hAnsi="Cambria Math" w:cstheme="minorHAnsi"/>
                        <w:lang w:val="en-US"/>
                      </w:rPr>
                      <m:t>k</m:t>
                    </m:r>
                  </m:sub>
                </m:sSub>
                <m:r>
                  <w:rPr>
                    <w:rFonts w:ascii="Cambria Math" w:hAnsi="Cambria Math" w:cstheme="minorHAnsi"/>
                    <w:lang w:val="en-US"/>
                  </w:rPr>
                  <m:t>)</m:t>
                </m:r>
                <m:ctrlPr>
                  <w:rPr>
                    <w:rFonts w:ascii="Cambria Math" w:eastAsia="Cambria Math" w:hAnsi="Cambria Math" w:cstheme="minorHAnsi"/>
                    <w:i/>
                  </w:rPr>
                </m:ctrlPr>
              </m:e>
              <m:e>
                <m:r>
                  <w:rPr>
                    <w:rFonts w:ascii="Cambria Math" w:eastAsia="Cambria Math" w:hAnsi="Cambria Math" w:cstheme="minorHAnsi"/>
                  </w:rPr>
                  <m:t>=</m:t>
                </m:r>
                <m:sSub>
                  <m:sSubPr>
                    <m:ctrlPr>
                      <w:rPr>
                        <w:rFonts w:ascii="Cambria Math" w:eastAsia="Cambria Math" w:hAnsi="Cambria Math" w:cstheme="minorHAnsi"/>
                        <w:i/>
                      </w:rPr>
                    </m:ctrlPr>
                  </m:sSubPr>
                  <m:e>
                    <m:r>
                      <w:rPr>
                        <w:rFonts w:ascii="Cambria Math" w:eastAsia="Cambria Math" w:hAnsi="Cambria Math" w:cstheme="minorHAnsi"/>
                      </w:rPr>
                      <m:t>P</m:t>
                    </m:r>
                  </m:e>
                  <m:sub>
                    <m:r>
                      <w:rPr>
                        <w:rFonts w:ascii="Cambria Math" w:eastAsia="Cambria Math" w:hAnsi="Cambria Math" w:cstheme="minorHAnsi"/>
                      </w:rPr>
                      <m:t>k</m:t>
                    </m:r>
                  </m:sub>
                </m:sSub>
                <m:r>
                  <w:rPr>
                    <w:rFonts w:ascii="Cambria Math" w:eastAsia="Cambria Math" w:hAnsi="Cambria Math" w:cstheme="minorHAnsi"/>
                  </w:rPr>
                  <m:t>+j</m:t>
                </m:r>
                <m:sSub>
                  <m:sSubPr>
                    <m:ctrlPr>
                      <w:rPr>
                        <w:rFonts w:ascii="Cambria Math" w:eastAsia="Cambria Math" w:hAnsi="Cambria Math" w:cstheme="minorHAnsi"/>
                        <w:i/>
                      </w:rPr>
                    </m:ctrlPr>
                  </m:sSubPr>
                  <m:e>
                    <m:r>
                      <w:rPr>
                        <w:rFonts w:ascii="Cambria Math" w:eastAsia="Cambria Math" w:hAnsi="Cambria Math" w:cstheme="minorHAnsi"/>
                      </w:rPr>
                      <m:t>Q</m:t>
                    </m:r>
                  </m:e>
                  <m:sub>
                    <m:r>
                      <w:rPr>
                        <w:rFonts w:ascii="Cambria Math" w:eastAsia="Cambria Math" w:hAnsi="Cambria Math" w:cstheme="minorHAnsi"/>
                      </w:rPr>
                      <m:t>k</m:t>
                    </m:r>
                  </m:sub>
                </m:sSub>
                <m:r>
                  <w:rPr>
                    <w:rFonts w:ascii="Cambria Math" w:eastAsia="Cambria Math" w:hAnsi="Cambria Math" w:cstheme="minorHAnsi"/>
                  </w:rPr>
                  <m:t xml:space="preserve">         </m:t>
                </m:r>
              </m:e>
            </m:eqArr>
          </m:e>
        </m:d>
      </m:oMath>
      <w:r w:rsidR="00BE57F4" w:rsidRPr="00AD2E82">
        <w:rPr>
          <w:rFonts w:asciiTheme="minorHAnsi" w:eastAsiaTheme="minorEastAsia" w:hAnsiTheme="minorHAnsi" w:cstheme="minorHAnsi"/>
          <w:lang w:val="en-US"/>
        </w:rPr>
        <w:t xml:space="preserve">                                                               </w:t>
      </w:r>
      <w:r w:rsidR="002F0022">
        <w:rPr>
          <w:rFonts w:asciiTheme="minorHAnsi" w:eastAsiaTheme="minorEastAsia" w:hAnsiTheme="minorHAnsi" w:cstheme="minorHAnsi"/>
          <w:lang w:val="en-US"/>
        </w:rPr>
        <w:t xml:space="preserve">                             </w:t>
      </w:r>
      <w:r w:rsidR="00BE57F4" w:rsidRPr="00AD2E82">
        <w:rPr>
          <w:rFonts w:asciiTheme="minorHAnsi" w:eastAsiaTheme="minorEastAsia" w:hAnsiTheme="minorHAnsi" w:cstheme="minorHAnsi"/>
          <w:lang w:val="en-US"/>
        </w:rPr>
        <w:t xml:space="preserve">      (12)                                </w:t>
      </w:r>
    </w:p>
    <w:p w14:paraId="790F19B1" w14:textId="77777777" w:rsidR="00BE57F4" w:rsidRPr="00AD2E82" w:rsidRDefault="00BE57F4" w:rsidP="00081F86">
      <w:pPr>
        <w:pStyle w:val="BodyText"/>
        <w:spacing w:after="0"/>
        <w:rPr>
          <w:rFonts w:asciiTheme="minorHAnsi" w:hAnsiTheme="minorHAnsi" w:cstheme="minorHAnsi"/>
        </w:rPr>
      </w:pPr>
      <w:r w:rsidRPr="00AD2E82">
        <w:rPr>
          <w:rFonts w:asciiTheme="minorHAnsi" w:hAnsiTheme="minorHAnsi" w:cstheme="minorHAnsi"/>
        </w:rPr>
        <w:t>When the amount of apparent power is changed, both</w:t>
      </w:r>
      <m:oMath>
        <m:r>
          <m:rPr>
            <m:sty m:val="p"/>
          </m:rPr>
          <w:rPr>
            <w:rFonts w:ascii="Cambria Math" w:hAnsi="Cambria Math" w:cstheme="minorHAnsi"/>
          </w:rPr>
          <m:t xml:space="preserve"> </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and </w:t>
      </w:r>
      <m:oMath>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oMath>
      <w:r w:rsidRPr="00AD2E82">
        <w:rPr>
          <w:rFonts w:asciiTheme="minorHAnsi" w:hAnsiTheme="minorHAnsi" w:cstheme="minorHAnsi"/>
        </w:rPr>
        <w:t xml:space="preserve"> also change to satisfy (1). Note that for a given level of load,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and </w:t>
      </w:r>
      <m:oMath>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oMath>
      <w:r w:rsidRPr="00AD2E82">
        <w:rPr>
          <w:rFonts w:asciiTheme="minorHAnsi" w:hAnsiTheme="minorHAnsi" w:cstheme="minorHAnsi"/>
        </w:rPr>
        <w:t xml:space="preserve"> may also change when the network configuration and component changes. Using Taylor’s theorem, the relationship between changes in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and due to incremental change in </w:t>
      </w:r>
      <m:oMath>
        <m:sSub>
          <m:sSubPr>
            <m:ctrlPr>
              <w:rPr>
                <w:rFonts w:ascii="Cambria Math" w:eastAsia="Cambria Math" w:hAnsi="Cambria Math" w:cstheme="minorHAnsi"/>
              </w:rPr>
            </m:ctrlPr>
          </m:sSubPr>
          <m:e>
            <m:r>
              <w:rPr>
                <w:rFonts w:ascii="Cambria Math" w:eastAsia="Cambria Math" w:hAnsi="Cambria Math" w:cstheme="minorHAnsi"/>
              </w:rPr>
              <m:t>S</m:t>
            </m:r>
          </m:e>
          <m:sub>
            <m:r>
              <w:rPr>
                <w:rFonts w:ascii="Cambria Math" w:eastAsia="Cambria Math" w:hAnsi="Cambria Math" w:cstheme="minorHAnsi"/>
              </w:rPr>
              <m:t>k</m:t>
            </m:r>
          </m:sub>
        </m:sSub>
      </m:oMath>
      <w:r w:rsidRPr="00AD2E82">
        <w:rPr>
          <w:rFonts w:asciiTheme="minorHAnsi" w:hAnsiTheme="minorHAnsi" w:cstheme="minorHAnsi"/>
        </w:rPr>
        <w:t xml:space="preserve"> can be written as: </w:t>
      </w:r>
    </w:p>
    <w:p w14:paraId="535991D6" w14:textId="77777777" w:rsidR="00BE57F4" w:rsidRPr="00AD2E82" w:rsidRDefault="00BE57F4" w:rsidP="00CD4F3A">
      <w:pPr>
        <w:pStyle w:val="BodyText"/>
        <w:spacing w:line="240" w:lineRule="auto"/>
        <w:jc w:val="both"/>
        <w:rPr>
          <w:rFonts w:asciiTheme="minorHAnsi" w:hAnsiTheme="minorHAnsi" w:cstheme="minorHAnsi"/>
        </w:rPr>
      </w:pP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r>
          <m:rPr>
            <m:sty m:val="p"/>
          </m:rPr>
          <w:rPr>
            <w:rFonts w:ascii="Cambria Math" w:hAnsi="Cambria Math" w:cstheme="minorHAnsi"/>
          </w:rPr>
          <m:t>=</m:t>
        </m:r>
        <m:d>
          <m:dPr>
            <m:ctrlPr>
              <w:rPr>
                <w:rFonts w:ascii="Cambria Math" w:hAnsi="Cambria Math" w:cstheme="minorHAnsi"/>
              </w:rPr>
            </m:ctrlPr>
          </m:dPr>
          <m:e>
            <m:f>
              <m:fPr>
                <m:ctrlPr>
                  <w:rPr>
                    <w:rFonts w:ascii="Cambria Math" w:hAnsi="Cambria Math" w:cstheme="minorHAnsi"/>
                  </w:rPr>
                </m:ctrlPr>
              </m:fPr>
              <m:num>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num>
              <m:den>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den>
            </m:f>
            <m:r>
              <m:rPr>
                <m:sty m:val="p"/>
              </m:rPr>
              <w:rPr>
                <w:rFonts w:ascii="Cambria Math" w:hAnsi="Cambria Math" w:cstheme="minorHAnsi"/>
              </w:rPr>
              <m:t xml:space="preserve"> ∆</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f>
              <m:fPr>
                <m:ctrlPr>
                  <w:rPr>
                    <w:rFonts w:ascii="Cambria Math" w:hAnsi="Cambria Math" w:cstheme="minorHAnsi"/>
                  </w:rPr>
                </m:ctrlPr>
              </m:fPr>
              <m:num>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num>
              <m:den>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 xml:space="preserve"> ∆</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e>
        </m:d>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1</m:t>
            </m:r>
          </m:num>
          <m:den>
            <m:r>
              <m:rPr>
                <m:sty m:val="p"/>
              </m:rPr>
              <w:rPr>
                <w:rFonts w:ascii="Cambria Math" w:hAnsi="Cambria Math" w:cstheme="minorHAnsi"/>
              </w:rPr>
              <m:t>2!</m:t>
            </m:r>
          </m:den>
        </m:f>
        <m:d>
          <m:dPr>
            <m:ctrlPr>
              <w:rPr>
                <w:rFonts w:ascii="Cambria Math" w:hAnsi="Cambria Math" w:cstheme="minorHAnsi"/>
              </w:rPr>
            </m:ctrlPr>
          </m:dPr>
          <m:e>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e>
                  <m:sup>
                    <m:r>
                      <m:rPr>
                        <m:sty m:val="p"/>
                      </m:rPr>
                      <w:rPr>
                        <w:rFonts w:ascii="Cambria Math" w:hAnsi="Cambria Math" w:cstheme="minorHAnsi"/>
                      </w:rPr>
                      <m:t>2</m:t>
                    </m:r>
                  </m:sup>
                </m:sSup>
              </m:den>
            </m:f>
            <m:r>
              <m:rPr>
                <m:sty m:val="p"/>
              </m:rPr>
              <w:rPr>
                <w:rFonts w:ascii="Cambria Math" w:hAnsi="Cambria Math" w:cstheme="minorHAnsi"/>
              </w:rPr>
              <m:t xml:space="preserve"> ∆</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e>
              <m:sup>
                <m:r>
                  <m:rPr>
                    <m:sty m:val="p"/>
                  </m:rPr>
                  <w:rPr>
                    <w:rFonts w:ascii="Cambria Math" w:hAnsi="Cambria Math" w:cstheme="minorHAnsi"/>
                  </w:rPr>
                  <m:t>2</m:t>
                </m:r>
              </m:sup>
            </m:sSup>
            <m:r>
              <m:rPr>
                <m:sty m:val="p"/>
              </m:rPr>
              <w:rPr>
                <w:rFonts w:ascii="Cambria Math" w:hAnsi="Cambria Math" w:cstheme="minorHAnsi"/>
              </w:rPr>
              <m:t>+2</m:t>
            </m:r>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r>
              <m:rPr>
                <m:sty m:val="p"/>
              </m:rPr>
              <w:rPr>
                <w:rFonts w:ascii="Cambria Math" w:hAnsi="Cambria Math" w:cstheme="minorHAnsi"/>
              </w:rPr>
              <m:t>+</m:t>
            </m:r>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e>
                  <m:sup>
                    <m:r>
                      <m:rPr>
                        <m:sty m:val="p"/>
                      </m:rPr>
                      <w:rPr>
                        <w:rFonts w:ascii="Cambria Math" w:hAnsi="Cambria Math" w:cstheme="minorHAnsi"/>
                      </w:rPr>
                      <m:t>2</m:t>
                    </m:r>
                  </m:sup>
                </m:sSup>
              </m:den>
            </m:f>
            <m:r>
              <m:rPr>
                <m:sty m:val="p"/>
              </m:rPr>
              <w:rPr>
                <w:rFonts w:ascii="Cambria Math" w:hAnsi="Cambria Math" w:cstheme="minorHAnsi"/>
              </w:rPr>
              <m:t xml:space="preserve"> ∆</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e>
              <m:sup>
                <m:r>
                  <m:rPr>
                    <m:sty m:val="p"/>
                  </m:rPr>
                  <w:rPr>
                    <w:rFonts w:ascii="Cambria Math" w:hAnsi="Cambria Math" w:cstheme="minorHAnsi"/>
                  </w:rPr>
                  <m:t>2</m:t>
                </m:r>
              </m:sup>
            </m:sSup>
          </m:e>
        </m:d>
        <m:r>
          <m:rPr>
            <m:sty m:val="p"/>
          </m:rPr>
          <w:rPr>
            <w:rFonts w:ascii="Cambria Math" w:hAnsi="Cambria Math" w:cstheme="minorHAnsi"/>
          </w:rPr>
          <m:t>+</m:t>
        </m:r>
        <m:r>
          <w:rPr>
            <w:rFonts w:ascii="Cambria Math" w:hAnsi="Cambria Math" w:cstheme="minorHAnsi"/>
          </w:rPr>
          <m:t>higher</m:t>
        </m:r>
        <m:r>
          <m:rPr>
            <m:sty m:val="p"/>
          </m:rPr>
          <w:rPr>
            <w:rFonts w:ascii="Cambria Math" w:hAnsi="Cambria Math" w:cstheme="minorHAnsi"/>
          </w:rPr>
          <m:t xml:space="preserve"> </m:t>
        </m:r>
        <m:r>
          <w:rPr>
            <w:rFonts w:ascii="Cambria Math" w:hAnsi="Cambria Math" w:cstheme="minorHAnsi"/>
          </w:rPr>
          <m:t>order</m:t>
        </m:r>
      </m:oMath>
      <w:r w:rsidRPr="00AD2E82">
        <w:rPr>
          <w:rFonts w:asciiTheme="minorHAnsi" w:hAnsiTheme="minorHAnsi" w:cstheme="minorHAnsi"/>
        </w:rPr>
        <w:t xml:space="preserve"> </w:t>
      </w:r>
    </w:p>
    <w:p w14:paraId="2E3CA65F" w14:textId="77777777" w:rsidR="00BE57F4" w:rsidRPr="00AD2E82" w:rsidRDefault="00BE57F4" w:rsidP="00CD4F3A">
      <w:pPr>
        <w:pStyle w:val="BodyText"/>
        <w:spacing w:line="240" w:lineRule="auto"/>
        <w:jc w:val="right"/>
        <w:rPr>
          <w:rFonts w:asciiTheme="minorHAnsi" w:hAnsiTheme="minorHAnsi" w:cstheme="minorHAnsi"/>
        </w:rPr>
      </w:pPr>
      <w:r w:rsidRPr="00AD2E82">
        <w:rPr>
          <w:rFonts w:asciiTheme="minorHAnsi" w:hAnsiTheme="minorHAnsi" w:cstheme="minorHAnsi"/>
        </w:rPr>
        <w:t>(13)</w:t>
      </w:r>
    </w:p>
    <w:p w14:paraId="67C74601"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In (13), as S = VI is a quadratic expression, the third order and all higher-order derivatives are close to zero for small perturbations, higher-order terms can be neglected.</w:t>
      </w:r>
    </w:p>
    <w:p w14:paraId="62D576BE"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In (13), First-order and Second-order derivatives can be derived as: </w:t>
      </w:r>
    </w:p>
    <w:p w14:paraId="323943D2" w14:textId="77777777" w:rsidR="00BE57F4" w:rsidRPr="00AD2E82" w:rsidRDefault="00BE57F4" w:rsidP="00CD4F3A">
      <w:pPr>
        <w:pStyle w:val="BodyText"/>
        <w:spacing w:line="240" w:lineRule="auto"/>
        <w:jc w:val="right"/>
        <w:rPr>
          <w:rFonts w:asciiTheme="minorHAnsi" w:hAnsiTheme="minorHAnsi" w:cstheme="minorHAnsi"/>
        </w:rPr>
      </w:pPr>
      <m:oMath>
        <m:r>
          <w:rPr>
            <w:rFonts w:ascii="Cambria Math" w:hAnsi="Cambria Math" w:cstheme="minorHAnsi"/>
          </w:rPr>
          <m:t>First</m:t>
        </m:r>
        <m:r>
          <m:rPr>
            <m:sty m:val="p"/>
          </m:rPr>
          <w:rPr>
            <w:rFonts w:ascii="Cambria Math" w:hAnsi="Cambria Math" w:cstheme="minorHAnsi"/>
          </w:rPr>
          <m:t xml:space="preserve"> </m:t>
        </m:r>
        <m:r>
          <w:rPr>
            <w:rFonts w:ascii="Cambria Math" w:hAnsi="Cambria Math" w:cstheme="minorHAnsi"/>
          </w:rPr>
          <m:t>order</m:t>
        </m:r>
        <m:r>
          <m:rPr>
            <m:sty m:val="p"/>
          </m:rPr>
          <w:rPr>
            <w:rFonts w:ascii="Cambria Math" w:hAnsi="Cambria Math" w:cstheme="minorHAnsi"/>
          </w:rPr>
          <m:t xml:space="preserve"> </m:t>
        </m:r>
        <m:r>
          <w:rPr>
            <w:rFonts w:ascii="Cambria Math" w:hAnsi="Cambria Math" w:cstheme="minorHAnsi"/>
          </w:rPr>
          <m:t>derivatives</m:t>
        </m:r>
        <m:r>
          <m:rPr>
            <m:sty m:val="p"/>
          </m:rPr>
          <w:rPr>
            <w:rFonts w:ascii="Cambria Math" w:hAnsi="Cambria Math" w:cstheme="minorHAnsi"/>
          </w:rPr>
          <m:t xml:space="preserve">:       </m:t>
        </m:r>
        <m:d>
          <m:dPr>
            <m:begChr m:val="{"/>
            <m:endChr m:val=""/>
            <m:ctrlPr>
              <w:rPr>
                <w:rFonts w:ascii="Cambria Math" w:hAnsi="Cambria Math" w:cstheme="minorHAnsi"/>
              </w:rPr>
            </m:ctrlPr>
          </m:dPr>
          <m:e>
            <m:eqArr>
              <m:eqArrPr>
                <m:ctrlPr>
                  <w:rPr>
                    <w:rFonts w:ascii="Cambria Math" w:hAnsi="Cambria Math" w:cstheme="minorHAnsi"/>
                  </w:rPr>
                </m:ctrlPr>
              </m:eqArrPr>
              <m:e>
                <m:f>
                  <m:fPr>
                    <m:ctrlPr>
                      <w:rPr>
                        <w:rFonts w:ascii="Cambria Math" w:hAnsi="Cambria Math" w:cstheme="minorHAnsi"/>
                      </w:rPr>
                    </m:ctrlPr>
                  </m:fPr>
                  <m:num>
                    <m:r>
                      <m:rPr>
                        <m:sty m:val="p"/>
                      </m:rPr>
                      <w:rPr>
                        <w:rFonts w:ascii="Cambria Math" w:hAnsi="Cambria Math" w:cstheme="minorHAnsi" w:hint="eastAsia"/>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num>
                  <m:den>
                    <m:r>
                      <m:rPr>
                        <m:sty m:val="p"/>
                      </m:rPr>
                      <w:rPr>
                        <w:rFonts w:ascii="Cambria Math" w:hAnsi="Cambria Math" w:cstheme="minorHAnsi" w:hint="eastAsia"/>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e>
              <m:e>
                <m:f>
                  <m:fPr>
                    <m:ctrlPr>
                      <w:rPr>
                        <w:rFonts w:ascii="Cambria Math" w:hAnsi="Cambria Math" w:cstheme="minorHAnsi"/>
                      </w:rPr>
                    </m:ctrlPr>
                  </m:fPr>
                  <m:num>
                    <m:r>
                      <m:rPr>
                        <m:sty m:val="p"/>
                      </m:rPr>
                      <w:rPr>
                        <w:rFonts w:ascii="Cambria Math" w:hAnsi="Cambria Math" w:cstheme="minorHAnsi" w:hint="eastAsia"/>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num>
                  <m:den>
                    <m:r>
                      <m:rPr>
                        <m:sty m:val="p"/>
                      </m:rPr>
                      <w:rPr>
                        <w:rFonts w:ascii="Cambria Math" w:hAnsi="Cambria Math" w:cstheme="minorHAnsi" w:hint="eastAsia"/>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den>
                </m:f>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e>
            </m:eqArr>
          </m:e>
        </m:d>
      </m:oMath>
      <w:r w:rsidRPr="00AD2E82">
        <w:rPr>
          <w:rFonts w:asciiTheme="minorHAnsi" w:hAnsiTheme="minorHAnsi" w:cstheme="minorHAnsi"/>
        </w:rPr>
        <w:t xml:space="preserve">                                                                                                (14)</w:t>
      </w:r>
    </w:p>
    <w:p w14:paraId="59EB9F3C" w14:textId="77777777" w:rsidR="00BE57F4" w:rsidRPr="00AD2E82" w:rsidRDefault="00BE57F4" w:rsidP="00CD4F3A">
      <w:pPr>
        <w:pStyle w:val="BodyText"/>
        <w:spacing w:line="240" w:lineRule="auto"/>
        <w:jc w:val="right"/>
        <w:rPr>
          <w:rFonts w:asciiTheme="minorHAnsi" w:hAnsiTheme="minorHAnsi" w:cstheme="minorHAnsi"/>
        </w:rPr>
      </w:pPr>
      <m:oMath>
        <m:r>
          <w:rPr>
            <w:rFonts w:ascii="Cambria Math" w:hAnsi="Cambria Math" w:cstheme="minorHAnsi"/>
          </w:rPr>
          <m:t>Second</m:t>
        </m:r>
        <m:r>
          <m:rPr>
            <m:sty m:val="p"/>
          </m:rPr>
          <w:rPr>
            <w:rFonts w:ascii="Cambria Math" w:hAnsi="Cambria Math" w:cstheme="minorHAnsi"/>
          </w:rPr>
          <m:t xml:space="preserve"> </m:t>
        </m:r>
        <m:r>
          <w:rPr>
            <w:rFonts w:ascii="Cambria Math" w:hAnsi="Cambria Math" w:cstheme="minorHAnsi"/>
          </w:rPr>
          <m:t>order</m:t>
        </m:r>
        <m:r>
          <m:rPr>
            <m:sty m:val="p"/>
          </m:rPr>
          <w:rPr>
            <w:rFonts w:ascii="Cambria Math" w:hAnsi="Cambria Math" w:cstheme="minorHAnsi"/>
          </w:rPr>
          <m:t xml:space="preserve"> </m:t>
        </m:r>
        <m:r>
          <w:rPr>
            <w:rFonts w:ascii="Cambria Math" w:hAnsi="Cambria Math" w:cstheme="minorHAnsi"/>
          </w:rPr>
          <m:t>derivatives</m:t>
        </m:r>
        <m:r>
          <m:rPr>
            <m:sty m:val="p"/>
          </m:rPr>
          <w:rPr>
            <w:rFonts w:ascii="Cambria Math" w:hAnsi="Cambria Math" w:cstheme="minorHAnsi"/>
          </w:rPr>
          <m:t xml:space="preserve">:       </m:t>
        </m:r>
        <m:d>
          <m:dPr>
            <m:begChr m:val="{"/>
            <m:endChr m:val=""/>
            <m:ctrlPr>
              <w:rPr>
                <w:rFonts w:ascii="Cambria Math" w:hAnsi="Cambria Math" w:cstheme="minorHAnsi"/>
              </w:rPr>
            </m:ctrlPr>
          </m:dPr>
          <m:e>
            <m:eqArr>
              <m:eqArrPr>
                <m:ctrlPr>
                  <w:rPr>
                    <w:rFonts w:ascii="Cambria Math" w:hAnsi="Cambria Math" w:cstheme="minorHAnsi"/>
                  </w:rPr>
                </m:ctrlPr>
              </m:eqArrPr>
              <m:e>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e>
                      <m:sup>
                        <m:r>
                          <m:rPr>
                            <m:sty m:val="p"/>
                          </m:rPr>
                          <w:rPr>
                            <w:rFonts w:ascii="Cambria Math" w:hAnsi="Cambria Math" w:cstheme="minorHAnsi"/>
                          </w:rPr>
                          <m:t>2</m:t>
                        </m:r>
                      </m:sup>
                    </m:sSup>
                  </m:den>
                </m:f>
                <m:r>
                  <m:rPr>
                    <m:sty m:val="p"/>
                  </m:rPr>
                  <w:rPr>
                    <w:rFonts w:ascii="Cambria Math" w:hAnsi="Cambria Math" w:cstheme="minorHAnsi"/>
                  </w:rPr>
                  <m:t>=0</m:t>
                </m:r>
              </m:e>
              <m:e>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e>
                      <m:sup>
                        <m:r>
                          <m:rPr>
                            <m:sty m:val="p"/>
                          </m:rPr>
                          <w:rPr>
                            <w:rFonts w:ascii="Cambria Math" w:hAnsi="Cambria Math" w:cstheme="minorHAnsi"/>
                          </w:rPr>
                          <m:t>2</m:t>
                        </m:r>
                      </m:sup>
                    </m:sSup>
                  </m:den>
                </m:f>
                <m:r>
                  <m:rPr>
                    <m:sty m:val="p"/>
                  </m:rPr>
                  <w:rPr>
                    <w:rFonts w:ascii="Cambria Math" w:hAnsi="Cambria Math" w:cstheme="minorHAnsi"/>
                  </w:rPr>
                  <m:t>=0</m:t>
                </m:r>
                <m:ctrlPr>
                  <w:rPr>
                    <w:rFonts w:ascii="Cambria Math" w:eastAsia="Cambria Math" w:hAnsi="Cambria Math" w:cstheme="minorHAnsi"/>
                  </w:rPr>
                </m:ctrlPr>
              </m:e>
              <m:e>
                <m:f>
                  <m:fPr>
                    <m:ctrlPr>
                      <w:rPr>
                        <w:rFonts w:ascii="Cambria Math" w:hAnsi="Cambria Math" w:cstheme="minorHAnsi"/>
                      </w:rPr>
                    </m:ctrlPr>
                  </m:fPr>
                  <m:num>
                    <m:r>
                      <w:rPr>
                        <w:rFonts w:ascii="Cambria Math" w:hAnsi="Cambria Math" w:cstheme="minorHAnsi"/>
                      </w:rPr>
                      <m:t>δ</m:t>
                    </m:r>
                    <m:sSup>
                      <m:sSupPr>
                        <m:ctrlPr>
                          <w:rPr>
                            <w:rFonts w:ascii="Cambria Math" w:hAnsi="Cambria Math" w:cstheme="minorHAnsi"/>
                          </w:rPr>
                        </m:ctrlPr>
                      </m:sSupPr>
                      <m:e>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e>
                      <m:sup>
                        <m:r>
                          <m:rPr>
                            <m:sty m:val="p"/>
                          </m:rPr>
                          <w:rPr>
                            <w:rFonts w:ascii="Cambria Math" w:hAnsi="Cambria Math" w:cstheme="minorHAnsi"/>
                          </w:rPr>
                          <m:t>2</m:t>
                        </m:r>
                      </m:sup>
                    </m:sSup>
                  </m:num>
                  <m:den>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w:rPr>
                        <w:rFonts w:ascii="Cambria Math" w:hAnsi="Cambria Math" w:cstheme="minorHAnsi"/>
                      </w:rPr>
                      <m:t>δ</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=1</m:t>
                </m:r>
              </m:e>
            </m:eqArr>
          </m:e>
        </m:d>
      </m:oMath>
      <w:r w:rsidRPr="00AD2E82">
        <w:rPr>
          <w:rFonts w:asciiTheme="minorHAnsi" w:hAnsiTheme="minorHAnsi" w:cstheme="minorHAnsi"/>
        </w:rPr>
        <w:t xml:space="preserve">                                                                                        (15)</w:t>
      </w:r>
    </w:p>
    <w:p w14:paraId="5EAF7B0F" w14:textId="1ECC2408" w:rsidR="00405372" w:rsidRDefault="00BE57F4" w:rsidP="00CD4F3A">
      <w:pPr>
        <w:pStyle w:val="BodyText"/>
        <w:spacing w:line="240" w:lineRule="auto"/>
        <w:rPr>
          <w:rFonts w:asciiTheme="minorHAnsi" w:hAnsiTheme="minorHAnsi" w:cstheme="minorHAnsi"/>
        </w:rPr>
      </w:pPr>
      <w:r w:rsidRPr="00AD2E82">
        <w:rPr>
          <w:rFonts w:asciiTheme="minorHAnsi" w:hAnsiTheme="minorHAnsi" w:cstheme="minorHAnsi"/>
        </w:rPr>
        <w:t xml:space="preserve">Substitute (14) and (15) into the Taylor expansion (13), when the higher-order terms are neglected,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oMath>
      <w:r w:rsidRPr="00AD2E82">
        <w:rPr>
          <w:rFonts w:asciiTheme="minorHAnsi" w:hAnsiTheme="minorHAnsi" w:cstheme="minorHAnsi"/>
        </w:rPr>
        <w:t xml:space="preserve"> in (13) can be written as:                 </w:t>
      </w:r>
    </w:p>
    <w:p w14:paraId="19D08D4E" w14:textId="77777777" w:rsidR="00405372" w:rsidRPr="00AD2E82" w:rsidRDefault="00405372" w:rsidP="00CD4F3A">
      <w:pPr>
        <w:pStyle w:val="BodyText"/>
        <w:spacing w:line="240" w:lineRule="auto"/>
        <w:rPr>
          <w:rFonts w:asciiTheme="minorHAnsi" w:hAnsiTheme="minorHAnsi" w:cstheme="minorHAnsi"/>
        </w:rPr>
      </w:pPr>
    </w:p>
    <w:p w14:paraId="640A1B37" w14:textId="77777777" w:rsidR="00BE57F4" w:rsidRDefault="00BE57F4" w:rsidP="00CD4F3A">
      <w:pPr>
        <w:pStyle w:val="BodyText"/>
        <w:spacing w:line="240" w:lineRule="auto"/>
        <w:jc w:val="right"/>
        <w:rPr>
          <w:rFonts w:asciiTheme="minorHAnsi" w:hAnsiTheme="minorHAnsi" w:cstheme="minorHAnsi"/>
        </w:rPr>
      </w:pP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(16) </w:t>
      </w:r>
    </w:p>
    <w:p w14:paraId="4215CC16" w14:textId="77777777" w:rsidR="00405372" w:rsidRPr="00AD2E82" w:rsidRDefault="00405372" w:rsidP="00CD4F3A">
      <w:pPr>
        <w:pStyle w:val="BodyText"/>
        <w:spacing w:line="240" w:lineRule="auto"/>
        <w:jc w:val="right"/>
        <w:rPr>
          <w:rFonts w:asciiTheme="minorHAnsi" w:hAnsiTheme="minorHAnsi" w:cstheme="minorHAnsi"/>
        </w:rPr>
      </w:pPr>
    </w:p>
    <w:p w14:paraId="72C2F67A"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In (15),  term </w:t>
      </w:r>
      <m:oMath>
        <m:sSub>
          <m:sSubPr>
            <m:ctrlPr>
              <w:rPr>
                <w:rFonts w:ascii="Cambria Math" w:hAnsi="Cambria Math" w:cstheme="minorHAnsi"/>
              </w:rPr>
            </m:ctrlPr>
          </m:sSubPr>
          <m:e>
            <m:r>
              <m:rPr>
                <m:sty m:val="p"/>
              </m:rPr>
              <w:rPr>
                <w:rFonts w:ascii="Cambria Math" w:hAnsi="Cambria Math" w:cstheme="minorHAnsi"/>
              </w:rPr>
              <m:t>V</m:t>
            </m:r>
          </m:e>
          <m:sub>
            <m:r>
              <m:rPr>
                <m:sty m:val="p"/>
              </m:rP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I</m:t>
            </m:r>
          </m:e>
          <m:sub>
            <m:r>
              <m:rPr>
                <m:sty m:val="p"/>
              </m:rP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I</m:t>
            </m:r>
          </m:e>
          <m:sub>
            <m:r>
              <m:rPr>
                <m:sty m:val="p"/>
              </m:rP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V</m:t>
            </m:r>
          </m:e>
          <m:sub>
            <m:r>
              <m:rPr>
                <m:sty m:val="p"/>
              </m:rPr>
              <w:rPr>
                <w:rFonts w:ascii="Cambria Math" w:hAnsi="Cambria Math" w:cstheme="minorHAnsi"/>
              </w:rPr>
              <m:t>k</m:t>
            </m:r>
          </m:sub>
        </m:sSub>
      </m:oMath>
      <w:r w:rsidRPr="00AD2E82">
        <w:rPr>
          <w:rFonts w:asciiTheme="minorHAnsi" w:hAnsiTheme="minorHAnsi" w:cstheme="minorHAnsi"/>
        </w:rPr>
        <w:t xml:space="preserve"> is the first-order sensitivity term, which indicates the linear relationship between the small perturbations in apparent power (</w:t>
      </w:r>
      <m:oMath>
        <m:r>
          <m:rPr>
            <m:sty m:val="p"/>
          </m:rPr>
          <w:rPr>
            <w:rFonts w:ascii="Cambria Math" w:hAnsi="Cambria Math" w:cstheme="minorHAnsi"/>
          </w:rPr>
          <m:t>Δ</m:t>
        </m:r>
        <m:r>
          <w:rPr>
            <w:rFonts w:ascii="Cambria Math" w:hAnsi="Cambria Math" w:cstheme="minorHAnsi"/>
          </w:rPr>
          <m:t>S</m:t>
        </m:r>
      </m:oMath>
      <w:r w:rsidRPr="00AD2E82">
        <w:rPr>
          <w:rFonts w:asciiTheme="minorHAnsi" w:hAnsiTheme="minorHAnsi" w:cstheme="minorHAnsi"/>
        </w:rPr>
        <w:t>) and change in voltage (</w:t>
      </w:r>
      <m:oMath>
        <m:r>
          <m:rPr>
            <m:sty m:val="p"/>
          </m:rPr>
          <w:rPr>
            <w:rFonts w:ascii="Cambria Math" w:hAnsi="Cambria Math" w:cstheme="minorHAnsi"/>
          </w:rPr>
          <m:t>Δ</m:t>
        </m:r>
        <m:r>
          <w:rPr>
            <w:rFonts w:ascii="Cambria Math" w:hAnsi="Cambria Math" w:cstheme="minorHAnsi"/>
          </w:rPr>
          <m:t>V</m:t>
        </m:r>
      </m:oMath>
      <w:r w:rsidRPr="00AD2E82">
        <w:rPr>
          <w:rFonts w:asciiTheme="minorHAnsi" w:hAnsiTheme="minorHAnsi" w:cstheme="minorHAnsi"/>
        </w:rPr>
        <w:t>) and current (</w:t>
      </w:r>
      <m:oMath>
        <m:r>
          <m:rPr>
            <m:sty m:val="p"/>
          </m:rPr>
          <w:rPr>
            <w:rFonts w:ascii="Cambria Math" w:hAnsi="Cambria Math" w:cstheme="minorHAnsi"/>
          </w:rPr>
          <m:t>Δ</m:t>
        </m:r>
        <m:r>
          <w:rPr>
            <w:rFonts w:ascii="Cambria Math" w:hAnsi="Cambria Math" w:cstheme="minorHAnsi"/>
          </w:rPr>
          <m:t>I</m:t>
        </m:r>
      </m:oMath>
      <w:r w:rsidRPr="00AD2E82">
        <w:rPr>
          <w:rFonts w:asciiTheme="minorHAnsi" w:hAnsiTheme="minorHAnsi" w:cstheme="minorHAnsi"/>
        </w:rPr>
        <w:t xml:space="preserve">) around the operating point </w:t>
      </w:r>
      <m:oMath>
        <m:r>
          <m:rPr>
            <m:sty m:val="p"/>
          </m:rPr>
          <w:rPr>
            <w:rFonts w:ascii="Cambria Math" w:hAnsi="Cambria Math" w:cstheme="minorHAnsi"/>
          </w:rPr>
          <m:t>(</m:t>
        </m:r>
        <m:r>
          <w:rPr>
            <w:rFonts w:ascii="Cambria Math" w:hAnsi="Cambria Math" w:cstheme="minorHAnsi"/>
          </w:rPr>
          <m:t>V</m:t>
        </m:r>
        <m:r>
          <m:rPr>
            <m:sty m:val="p"/>
          </m:rPr>
          <w:rPr>
            <w:rFonts w:ascii="Cambria Math" w:hAnsi="Cambria Math" w:cstheme="minorHAnsi"/>
          </w:rPr>
          <m:t>,</m:t>
        </m:r>
        <m:r>
          <w:rPr>
            <w:rFonts w:ascii="Cambria Math" w:hAnsi="Cambria Math" w:cstheme="minorHAnsi"/>
          </w:rPr>
          <m:t>I</m:t>
        </m:r>
        <m:r>
          <m:rPr>
            <m:sty m:val="p"/>
          </m:rPr>
          <w:rPr>
            <w:rFonts w:ascii="Cambria Math" w:hAnsi="Cambria Math" w:cstheme="minorHAnsi"/>
          </w:rPr>
          <m:t>)</m:t>
        </m:r>
      </m:oMath>
      <w:r w:rsidRPr="00AD2E82">
        <w:rPr>
          <w:rFonts w:asciiTheme="minorHAnsi" w:hAnsiTheme="minorHAnsi" w:cstheme="minorHAnsi"/>
        </w:rPr>
        <w:t xml:space="preserve">; whereas, term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is the second-order interaction term, which indicates nonlinear relationship between simultaneous changes in voltage and current and their combined effect on the small perturbations in apparent power </w:t>
      </w:r>
      <m:oMath>
        <m:d>
          <m:dPr>
            <m:ctrlPr>
              <w:rPr>
                <w:rFonts w:ascii="Cambria Math" w:hAnsi="Cambria Math" w:cstheme="minorHAnsi"/>
              </w:rPr>
            </m:ctrlPr>
          </m:dPr>
          <m:e>
            <m:r>
              <m:rPr>
                <m:sty m:val="p"/>
              </m:rPr>
              <w:rPr>
                <w:rFonts w:ascii="Cambria Math" w:hAnsi="Cambria Math" w:cstheme="minorHAnsi"/>
              </w:rPr>
              <m:t>Δ</m:t>
            </m:r>
            <m:r>
              <w:rPr>
                <w:rFonts w:ascii="Cambria Math" w:hAnsi="Cambria Math" w:cstheme="minorHAnsi"/>
              </w:rPr>
              <m:t>S</m:t>
            </m:r>
          </m:e>
        </m:d>
      </m:oMath>
      <w:r w:rsidRPr="00AD2E82">
        <w:rPr>
          <w:rFonts w:asciiTheme="minorHAnsi" w:hAnsiTheme="minorHAnsi" w:cstheme="minorHAnsi"/>
        </w:rPr>
        <w:t xml:space="preserve"> at bus k. </w:t>
      </w:r>
    </w:p>
    <w:p w14:paraId="3C769CEF"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In general, when the load of a bus is increased, the current load increases and the load voltage decreases. In other words, for a positive value of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oMath>
      <w:r w:rsidRPr="00AD2E82">
        <w:rPr>
          <w:rFonts w:asciiTheme="minorHAnsi" w:hAnsiTheme="minorHAnsi" w:cstheme="minorHAnsi"/>
        </w:rPr>
        <w:t xml:space="preserve">,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oMath>
      <w:r w:rsidRPr="00AD2E82">
        <w:rPr>
          <w:rFonts w:asciiTheme="minorHAnsi" w:hAnsiTheme="minorHAnsi" w:cstheme="minorHAnsi"/>
        </w:rPr>
        <w:t xml:space="preserve"> is positive, and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oMath>
      <w:r w:rsidRPr="00AD2E82">
        <w:rPr>
          <w:rFonts w:asciiTheme="minorHAnsi" w:hAnsiTheme="minorHAnsi" w:cstheme="minorHAnsi"/>
        </w:rPr>
        <w:t xml:space="preserve"> is negative. However, when the load of a bus approaches the voltage collapse point, the addition of more loads to the </w:t>
      </w:r>
      <w:r w:rsidRPr="00AD2E82">
        <w:rPr>
          <w:rFonts w:asciiTheme="minorHAnsi" w:hAnsiTheme="minorHAnsi" w:cstheme="minorHAnsi"/>
        </w:rPr>
        <w:lastRenderedPageBreak/>
        <w:t xml:space="preserve">bus may not increase the load's apparent power because of a rapid reduction in voltage compared to the increase in current. Under this case,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oMath>
      <w:r w:rsidRPr="00AD2E82">
        <w:rPr>
          <w:rFonts w:asciiTheme="minorHAnsi" w:hAnsiTheme="minorHAnsi" w:cstheme="minorHAnsi"/>
        </w:rPr>
        <w:t xml:space="preserve"> of (14) approaches zero. However, within the voltage stability limit or when the actual load is less than the critical value, the addition of more loads would always provide a positive value of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k</m:t>
            </m:r>
          </m:sub>
        </m:sSub>
      </m:oMath>
      <w:r w:rsidRPr="00AD2E82">
        <w:rPr>
          <w:rFonts w:asciiTheme="minorHAnsi" w:hAnsiTheme="minorHAnsi" w:cstheme="minorHAnsi"/>
        </w:rPr>
        <w:t xml:space="preserve">. Thus, within the voltage stability limit, (16) can be defined as SDVPI and rewritten as: </w:t>
      </w:r>
    </w:p>
    <w:p w14:paraId="2D6F44FB" w14:textId="31CE3569" w:rsidR="00BE57F4" w:rsidRPr="00AD2E82" w:rsidRDefault="00BE57F4" w:rsidP="00CD4F3A">
      <w:pPr>
        <w:pStyle w:val="BodyText"/>
        <w:spacing w:line="240" w:lineRule="auto"/>
        <w:jc w:val="right"/>
        <w:rPr>
          <w:rFonts w:asciiTheme="minorHAnsi" w:hAnsiTheme="minorHAnsi" w:cstheme="minorHAnsi"/>
        </w:rPr>
      </w:pPr>
      <w:r w:rsidRPr="00AD2E82">
        <w:rPr>
          <w:rFonts w:asciiTheme="minorHAnsi" w:hAnsiTheme="minorHAnsi" w:cstheme="minorHAnsi"/>
        </w:rPr>
        <w:t>SDVPI =</w:t>
      </w:r>
      <m:oMath>
        <m:r>
          <m:rPr>
            <m:sty m:val="p"/>
          </m:rPr>
          <w:rPr>
            <w:rFonts w:ascii="Cambria Math" w:hAnsi="Cambria Math" w:cstheme="minorHAnsi"/>
          </w:rPr>
          <m:t>1+</m:t>
        </m:r>
        <m:d>
          <m:dPr>
            <m:ctrlPr>
              <w:rPr>
                <w:rFonts w:ascii="Cambria Math" w:hAnsi="Cambria Math" w:cstheme="minorHAnsi"/>
              </w:rPr>
            </m:ctrlPr>
          </m:dPr>
          <m:e>
            <m:f>
              <m:fPr>
                <m:ctrlPr>
                  <w:rPr>
                    <w:rFonts w:ascii="Cambria Math" w:hAnsi="Cambria Math" w:cstheme="minorHAnsi"/>
                  </w:rPr>
                </m:ctrlPr>
              </m:fPr>
              <m:num>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num>
              <m:den>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num>
              <m:den>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den>
            </m:f>
          </m:e>
        </m:d>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num>
          <m:den>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den>
        </m:f>
        <m:r>
          <m:rPr>
            <m:sty m:val="p"/>
          </m:rPr>
          <w:rPr>
            <w:rFonts w:ascii="Cambria Math" w:hAnsi="Cambria Math" w:cstheme="minorHAnsi"/>
          </w:rPr>
          <m:t>≤0</m:t>
        </m:r>
      </m:oMath>
      <w:r w:rsidRPr="00AD2E82">
        <w:rPr>
          <w:rFonts w:asciiTheme="minorHAnsi" w:hAnsiTheme="minorHAnsi" w:cstheme="minorHAnsi"/>
        </w:rPr>
        <w:t xml:space="preserve">                                                     </w:t>
      </w:r>
      <w:r w:rsidR="00AD2E82">
        <w:rPr>
          <w:rFonts w:asciiTheme="minorHAnsi" w:hAnsiTheme="minorHAnsi" w:cstheme="minorHAnsi"/>
        </w:rPr>
        <w:t xml:space="preserve">                                       </w:t>
      </w:r>
      <w:r w:rsidRPr="00AD2E82">
        <w:rPr>
          <w:rFonts w:asciiTheme="minorHAnsi" w:hAnsiTheme="minorHAnsi" w:cstheme="minorHAnsi"/>
        </w:rPr>
        <w:t xml:space="preserve">              </w:t>
      </w:r>
      <w:proofErr w:type="gramStart"/>
      <w:r w:rsidRPr="00AD2E82">
        <w:rPr>
          <w:rFonts w:asciiTheme="minorHAnsi" w:hAnsiTheme="minorHAnsi" w:cstheme="minorHAnsi"/>
        </w:rPr>
        <w:t xml:space="preserve">   (</w:t>
      </w:r>
      <w:proofErr w:type="gramEnd"/>
      <w:r w:rsidRPr="00AD2E82">
        <w:rPr>
          <w:rFonts w:asciiTheme="minorHAnsi" w:hAnsiTheme="minorHAnsi" w:cstheme="minorHAnsi"/>
        </w:rPr>
        <w:t>17)</w:t>
      </w:r>
    </w:p>
    <w:p w14:paraId="20B627F4"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The value of SDVPI is considered as a measure of the distance to voltage collapse. At no load, </w:t>
      </w:r>
      <m:oMath>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k</m:t>
            </m:r>
          </m:sub>
        </m:sSub>
        <m:r>
          <m:rPr>
            <m:sty m:val="p"/>
          </m:rPr>
          <w:rPr>
            <w:rFonts w:ascii="Cambria Math" w:hAnsi="Cambria Math" w:cstheme="minorHAnsi"/>
          </w:rPr>
          <m:t>=0</m:t>
        </m:r>
      </m:oMath>
      <w:r w:rsidRPr="00AD2E82">
        <w:rPr>
          <w:rFonts w:asciiTheme="minorHAnsi" w:hAnsiTheme="minorHAnsi" w:cstheme="minorHAnsi"/>
        </w:rPr>
        <w:t xml:space="preserve"> and </w:t>
      </w:r>
      <m:oMath>
        <m:r>
          <m:rPr>
            <m:sty m:val="p"/>
          </m:rP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r>
          <m:rPr>
            <m:sty m:val="p"/>
          </m:rPr>
          <w:rPr>
            <w:rFonts w:ascii="Cambria Math" w:hAnsi="Cambria Math" w:cstheme="minorHAnsi"/>
          </w:rPr>
          <m:t>=0</m:t>
        </m:r>
      </m:oMath>
      <w:r w:rsidRPr="00AD2E82">
        <w:rPr>
          <w:rFonts w:asciiTheme="minorHAnsi" w:hAnsiTheme="minorHAnsi" w:cstheme="minorHAnsi"/>
        </w:rPr>
        <w:t xml:space="preserve">, and thus SDVPI becomes unity. As the load is increased, the value of </w:t>
      </w:r>
      <m:oMath>
        <m:r>
          <m:rPr>
            <m:sty m:val="p"/>
          </m:rPr>
          <w:rPr>
            <w:rFonts w:ascii="Cambria Math" w:hAnsi="Cambria Math" w:cstheme="minorHAnsi"/>
          </w:rPr>
          <m:t>RHS</m:t>
        </m:r>
      </m:oMath>
      <w:r w:rsidRPr="00AD2E82">
        <w:rPr>
          <w:rFonts w:asciiTheme="minorHAnsi" w:hAnsiTheme="minorHAnsi" w:cstheme="minorHAnsi"/>
        </w:rPr>
        <w:t xml:space="preserve"> decreases and eventually reduces to zero value at the voltage collapse point.</w:t>
      </w:r>
    </w:p>
    <w:p w14:paraId="07277C28" w14:textId="77777777" w:rsidR="00BE57F4" w:rsidRPr="00AD2E82" w:rsidRDefault="00BE57F4" w:rsidP="00CD4F3A">
      <w:pPr>
        <w:pStyle w:val="Heading3"/>
        <w:ind w:left="1134" w:hanging="1134"/>
      </w:pPr>
      <w:r w:rsidRPr="00AD2E82">
        <w:t>Workflow of SDVPI</w:t>
      </w:r>
    </w:p>
    <w:p w14:paraId="10D2CD12"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(i) Define the set of parameters, including power system configuration, load pattern consisting of load level and distribution, and generation pattern, which determine the base case conditions.</w:t>
      </w:r>
    </w:p>
    <w:p w14:paraId="0211EA68"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(ii) Conduct an adaptive load flow solution and calculate </w:t>
      </w:r>
      <m:oMath>
        <m:r>
          <m:rPr>
            <m:sty m:val="p"/>
          </m:rPr>
          <w:rPr>
            <w:rFonts w:ascii="Cambria Math" w:hAnsi="Cambria Math" w:cstheme="minorHAnsi"/>
          </w:rPr>
          <m:t>SDVPI for base load</m:t>
        </m:r>
      </m:oMath>
      <w:r w:rsidRPr="00AD2E82">
        <w:rPr>
          <w:rFonts w:asciiTheme="minorHAnsi" w:hAnsiTheme="minorHAnsi" w:cstheme="minorHAnsi"/>
        </w:rPr>
        <w:t>. In obtaining this solution, controller limits (such as reactive power limits of the generators) are considered.</w:t>
      </w:r>
    </w:p>
    <w:p w14:paraId="045A5A79"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(iii) Change the load and generation patterns of the power system by one step (apply the small perturbation) according to the scheduled system operating strategy or the predefined security assessment scenario. For instance, changing the load and generation patterns may be simply in the form of linearly increasing consumption of a load bus and accordingly increasing the generation of the slack bus, respectively.</w:t>
      </w:r>
    </w:p>
    <w:p w14:paraId="194D7A66"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 xml:space="preserve">(iv) Identification of voltage collapse point: Determine the distance between current operating point and voltage collapse point after applying the step change. If no solution (singularity in the solution) has been detected, voltage collapse occurs. Otherwise, calculate </w:t>
      </w:r>
      <m:oMath>
        <m:r>
          <m:rPr>
            <m:sty m:val="p"/>
          </m:rPr>
          <w:rPr>
            <w:rFonts w:ascii="Cambria Math" w:hAnsi="Cambria Math" w:cstheme="minorHAnsi"/>
          </w:rPr>
          <m:t>SDVPI</m:t>
        </m:r>
      </m:oMath>
      <w:r w:rsidRPr="00AD2E82">
        <w:rPr>
          <w:rFonts w:asciiTheme="minorHAnsi" w:hAnsiTheme="minorHAnsi" w:cstheme="minorHAnsi"/>
        </w:rPr>
        <w:t xml:space="preserve"> for the post-disturbance operating point (with changed load and generation patterns).</w:t>
      </w:r>
    </w:p>
    <w:p w14:paraId="4C5D6C7E" w14:textId="77777777" w:rsidR="00BE57F4" w:rsidRPr="00AD2E82" w:rsidRDefault="00BE57F4" w:rsidP="00650DE4">
      <w:pPr>
        <w:pStyle w:val="BodyText"/>
        <w:spacing w:after="0"/>
        <w:rPr>
          <w:rFonts w:asciiTheme="minorHAnsi" w:hAnsiTheme="minorHAnsi" w:cstheme="minorHAnsi"/>
        </w:rPr>
      </w:pPr>
      <w:r w:rsidRPr="00AD2E82">
        <w:rPr>
          <w:rFonts w:asciiTheme="minorHAnsi" w:hAnsiTheme="minorHAnsi" w:cstheme="minorHAnsi"/>
        </w:rPr>
        <w:t>(v) The procedure described from step II to step IV is repeated until voltage collapse point (voltage stability boundary) is found.</w:t>
      </w:r>
    </w:p>
    <w:p w14:paraId="3717F960" w14:textId="66F1B472" w:rsidR="00BE57F4" w:rsidRPr="00AD2E82" w:rsidRDefault="00BE57F4" w:rsidP="00CD4F3A">
      <w:pPr>
        <w:pStyle w:val="Heading3"/>
        <w:ind w:left="1134" w:hanging="1134"/>
      </w:pPr>
      <w:r w:rsidRPr="00AD2E82">
        <w:t xml:space="preserve">Performance Analysis of the </w:t>
      </w:r>
      <w:r w:rsidR="00650DE4">
        <w:t>P</w:t>
      </w:r>
      <w:r w:rsidRPr="00AD2E82">
        <w:t>roposed SDVPI</w:t>
      </w:r>
    </w:p>
    <w:p w14:paraId="2DC6A0B5" w14:textId="696AD61C" w:rsidR="00BE57F4" w:rsidRPr="00AD2E82" w:rsidRDefault="00BE57F4" w:rsidP="00650DE4">
      <w:pPr>
        <w:pStyle w:val="ListNumber"/>
        <w:numPr>
          <w:ilvl w:val="0"/>
          <w:numId w:val="0"/>
        </w:numPr>
        <w:tabs>
          <w:tab w:val="clear" w:pos="397"/>
          <w:tab w:val="left" w:pos="0"/>
        </w:tabs>
        <w:spacing w:after="0"/>
      </w:pPr>
      <w:r w:rsidRPr="00AD2E82">
        <w:t xml:space="preserve">IEEE 39 bus test system is modified as reported in </w:t>
      </w:r>
      <w:r w:rsidRPr="00AD2E82">
        <w:fldChar w:fldCharType="begin"/>
      </w:r>
      <w:r w:rsidRPr="00AD2E82">
        <w:instrText xml:space="preserve"> REF _Ref223644144 \h </w:instrText>
      </w:r>
      <w:r w:rsidR="00AD2E82">
        <w:instrText xml:space="preserve"> \* MERGEFORMAT </w:instrText>
      </w:r>
      <w:r w:rsidRPr="00AD2E82">
        <w:fldChar w:fldCharType="separate"/>
      </w:r>
      <w:r w:rsidR="00753DAF" w:rsidRPr="00AD2E82">
        <w:t xml:space="preserve">Figure </w:t>
      </w:r>
      <w:r w:rsidR="00753DAF" w:rsidRPr="00AD2E82">
        <w:rPr>
          <w:noProof/>
        </w:rPr>
        <w:t>13</w:t>
      </w:r>
      <w:r w:rsidRPr="00AD2E82">
        <w:fldChar w:fldCharType="end"/>
      </w:r>
      <w:r w:rsidRPr="00AD2E82">
        <w:t xml:space="preserve"> in chapter 2, with renewable generators progressively integrated at Buses 30–38, as summarized in </w:t>
      </w:r>
      <w:r w:rsidRPr="00AD2E82">
        <w:fldChar w:fldCharType="begin"/>
      </w:r>
      <w:r w:rsidRPr="00AD2E82">
        <w:instrText xml:space="preserve"> REF _Ref230193922 \h </w:instrText>
      </w:r>
      <w:r w:rsidR="00AD2E82">
        <w:instrText xml:space="preserve"> \* MERGEFORMAT </w:instrText>
      </w:r>
      <w:r w:rsidRPr="00AD2E82">
        <w:fldChar w:fldCharType="separate"/>
      </w:r>
      <w:r w:rsidR="00753DAF" w:rsidRPr="00AD2E82">
        <w:t xml:space="preserve">Table </w:t>
      </w:r>
      <w:r w:rsidR="00753DAF" w:rsidRPr="00AD2E82">
        <w:rPr>
          <w:noProof/>
        </w:rPr>
        <w:t>13</w:t>
      </w:r>
      <w:r w:rsidRPr="00AD2E82">
        <w:fldChar w:fldCharType="end"/>
      </w:r>
      <w:r w:rsidRPr="00AD2E82">
        <w:t>. System loading is determined based on the calculated value of SDVPI until getting voltage collapse points by applying A</w:t>
      </w:r>
      <w:r w:rsidRPr="00AD2E82">
        <w:rPr>
          <w:lang w:val="en-US"/>
        </w:rPr>
        <w:t>C</w:t>
      </w:r>
      <w:r w:rsidR="0052041F">
        <w:rPr>
          <w:lang w:val="en-US"/>
        </w:rPr>
        <w:t>PF</w:t>
      </w:r>
      <w:r w:rsidRPr="00AD2E82">
        <w:t>.</w:t>
      </w:r>
    </w:p>
    <w:p w14:paraId="38100883" w14:textId="68F815D5" w:rsidR="00BE57F4" w:rsidRPr="00AD2E82" w:rsidRDefault="00BE57F4" w:rsidP="00CD4F3A">
      <w:pPr>
        <w:pStyle w:val="Caption"/>
        <w:spacing w:line="240" w:lineRule="auto"/>
        <w:jc w:val="both"/>
      </w:pPr>
      <w:bookmarkStart w:id="224" w:name="_Ref230193922"/>
      <w:bookmarkStart w:id="225" w:name="_Toc230198675"/>
      <w:bookmarkStart w:id="226" w:name="_Toc233735307"/>
      <w:r w:rsidRPr="00AD2E82">
        <w:t xml:space="preserve">Table </w:t>
      </w:r>
      <w:fldSimple w:instr=" SEQ Table \* ARABIC ">
        <w:r w:rsidR="00753DAF" w:rsidRPr="00AD2E82">
          <w:rPr>
            <w:noProof/>
          </w:rPr>
          <w:t>13</w:t>
        </w:r>
      </w:fldSimple>
      <w:bookmarkEnd w:id="224"/>
      <w:r w:rsidRPr="00AD2E82">
        <w:t>: Different penetration levels of renewable power by replacing synchronous generators in IEEE 39 bus system</w:t>
      </w:r>
      <w:bookmarkEnd w:id="225"/>
      <w:r w:rsidR="00291DB2">
        <w:t>.</w:t>
      </w:r>
      <w:bookmarkEnd w:id="226"/>
    </w:p>
    <w:tbl>
      <w:tblPr>
        <w:tblStyle w:val="TableCSIRO"/>
        <w:tblW w:w="0" w:type="auto"/>
        <w:jc w:val="center"/>
        <w:tblInd w:w="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720"/>
        <w:gridCol w:w="810"/>
        <w:gridCol w:w="720"/>
        <w:gridCol w:w="720"/>
        <w:gridCol w:w="720"/>
        <w:gridCol w:w="720"/>
        <w:gridCol w:w="720"/>
        <w:gridCol w:w="720"/>
        <w:gridCol w:w="720"/>
      </w:tblGrid>
      <w:tr w:rsidR="00BE57F4" w:rsidRPr="00AD2E82" w14:paraId="764DE884" w14:textId="77777777" w:rsidTr="00291DB2">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147"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234B60" w14:textId="77777777" w:rsidR="00BE57F4" w:rsidRPr="00AD2E82" w:rsidRDefault="00BE57F4" w:rsidP="00CD4F3A">
            <w:pPr>
              <w:pStyle w:val="TableText"/>
              <w:jc w:val="both"/>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Renewable Penetration Level</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0F8E26"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G 10 at Bus 30</w:t>
            </w:r>
          </w:p>
        </w:tc>
        <w:tc>
          <w:tcPr>
            <w:tcW w:w="8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CD0D56"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G 08 at Bus 37</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858BA9"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G 09 at Bus 38</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4BB00F"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G 07 at Bus 36</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ADE4E0"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Cs w:val="18"/>
              </w:rPr>
            </w:pPr>
            <w:r w:rsidRPr="00AD2E82">
              <w:rPr>
                <w:rFonts w:asciiTheme="minorHAnsi" w:hAnsiTheme="minorHAnsi" w:cstheme="minorHAnsi"/>
                <w:color w:val="FFFFFF" w:themeColor="background1"/>
                <w:szCs w:val="18"/>
              </w:rPr>
              <w:t>G 05 at Bus 34</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322C68"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G04 at</w:t>
            </w:r>
          </w:p>
          <w:p w14:paraId="60DE731D"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Bus 33</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F2F780"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G03 at</w:t>
            </w:r>
          </w:p>
          <w:p w14:paraId="140DCCC8"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Bus 32</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75E1FB"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G02 at</w:t>
            </w:r>
          </w:p>
          <w:p w14:paraId="756B4567"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Bus 31</w:t>
            </w:r>
          </w:p>
        </w:tc>
        <w:tc>
          <w:tcPr>
            <w:tcW w:w="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527DED"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G06 at</w:t>
            </w:r>
          </w:p>
          <w:p w14:paraId="0AB5AA2B" w14:textId="77777777" w:rsidR="00BE57F4" w:rsidRPr="00AD2E82" w:rsidRDefault="00BE57F4" w:rsidP="00CD4F3A">
            <w:pPr>
              <w:pStyle w:val="TableTex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18"/>
              </w:rPr>
            </w:pPr>
            <w:r w:rsidRPr="00AD2E82">
              <w:rPr>
                <w:rFonts w:asciiTheme="minorHAnsi" w:hAnsiTheme="minorHAnsi" w:cstheme="minorHAnsi"/>
                <w:color w:val="FFFFFF" w:themeColor="background1"/>
                <w:szCs w:val="18"/>
              </w:rPr>
              <w:t>Bus 35</w:t>
            </w:r>
          </w:p>
        </w:tc>
      </w:tr>
      <w:tr w:rsidR="00BE57F4" w:rsidRPr="00AD2E82" w14:paraId="31D9E6D5" w14:textId="77777777" w:rsidTr="00291DB2">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147" w:type="dxa"/>
            <w:vMerge/>
            <w:tcBorders>
              <w:left w:val="none" w:sz="0" w:space="0" w:color="auto"/>
              <w:right w:val="none" w:sz="0" w:space="0" w:color="auto"/>
            </w:tcBorders>
          </w:tcPr>
          <w:p w14:paraId="25DE194C" w14:textId="77777777" w:rsidR="00BE57F4" w:rsidRPr="00AD2E82" w:rsidRDefault="00BE57F4" w:rsidP="00CD4F3A">
            <w:pPr>
              <w:pStyle w:val="TableText"/>
              <w:jc w:val="both"/>
              <w:rPr>
                <w:rFonts w:asciiTheme="minorHAnsi" w:hAnsiTheme="minorHAnsi" w:cstheme="minorHAnsi"/>
                <w:szCs w:val="18"/>
              </w:rPr>
            </w:pPr>
          </w:p>
        </w:tc>
        <w:tc>
          <w:tcPr>
            <w:tcW w:w="720" w:type="dxa"/>
            <w:tcBorders>
              <w:left w:val="none" w:sz="0" w:space="0" w:color="auto"/>
              <w:right w:val="none" w:sz="0" w:space="0" w:color="auto"/>
            </w:tcBorders>
          </w:tcPr>
          <w:p w14:paraId="547D5080"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Theme="minorHAnsi" w:hAnsiTheme="minorHAnsi" w:cstheme="minorHAnsi"/>
                <w:szCs w:val="18"/>
              </w:rPr>
              <w:t>250 MW</w:t>
            </w:r>
          </w:p>
        </w:tc>
        <w:tc>
          <w:tcPr>
            <w:tcW w:w="810" w:type="dxa"/>
            <w:tcBorders>
              <w:left w:val="none" w:sz="0" w:space="0" w:color="auto"/>
              <w:right w:val="none" w:sz="0" w:space="0" w:color="auto"/>
            </w:tcBorders>
          </w:tcPr>
          <w:p w14:paraId="66861ACF"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Theme="minorHAnsi" w:hAnsiTheme="minorHAnsi" w:cstheme="minorHAnsi"/>
                <w:szCs w:val="18"/>
              </w:rPr>
              <w:t>540 MW</w:t>
            </w:r>
          </w:p>
        </w:tc>
        <w:tc>
          <w:tcPr>
            <w:tcW w:w="720" w:type="dxa"/>
            <w:tcBorders>
              <w:left w:val="none" w:sz="0" w:space="0" w:color="auto"/>
              <w:right w:val="none" w:sz="0" w:space="0" w:color="auto"/>
            </w:tcBorders>
          </w:tcPr>
          <w:p w14:paraId="41BF6F03"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Theme="minorHAnsi" w:hAnsiTheme="minorHAnsi" w:cstheme="minorHAnsi"/>
                <w:szCs w:val="18"/>
              </w:rPr>
              <w:t>830 MW</w:t>
            </w:r>
          </w:p>
        </w:tc>
        <w:tc>
          <w:tcPr>
            <w:tcW w:w="720" w:type="dxa"/>
            <w:tcBorders>
              <w:left w:val="none" w:sz="0" w:space="0" w:color="auto"/>
              <w:right w:val="none" w:sz="0" w:space="0" w:color="auto"/>
            </w:tcBorders>
          </w:tcPr>
          <w:p w14:paraId="68128A92"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Theme="minorHAnsi" w:hAnsiTheme="minorHAnsi" w:cstheme="minorHAnsi"/>
                <w:szCs w:val="18"/>
              </w:rPr>
              <w:t>560 MW</w:t>
            </w:r>
          </w:p>
        </w:tc>
        <w:tc>
          <w:tcPr>
            <w:tcW w:w="720" w:type="dxa"/>
            <w:tcBorders>
              <w:left w:val="none" w:sz="0" w:space="0" w:color="auto"/>
              <w:right w:val="none" w:sz="0" w:space="0" w:color="auto"/>
            </w:tcBorders>
          </w:tcPr>
          <w:p w14:paraId="2A5B03FE"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Theme="minorHAnsi" w:hAnsiTheme="minorHAnsi" w:cstheme="minorHAnsi"/>
                <w:szCs w:val="18"/>
              </w:rPr>
              <w:t>508 MW</w:t>
            </w:r>
          </w:p>
        </w:tc>
        <w:tc>
          <w:tcPr>
            <w:tcW w:w="720" w:type="dxa"/>
            <w:tcBorders>
              <w:left w:val="none" w:sz="0" w:space="0" w:color="auto"/>
              <w:right w:val="none" w:sz="0" w:space="0" w:color="auto"/>
            </w:tcBorders>
          </w:tcPr>
          <w:p w14:paraId="00B4F1E8"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Cs w:val="18"/>
              </w:rPr>
            </w:pPr>
            <w:r w:rsidRPr="00AD2E82">
              <w:rPr>
                <w:rFonts w:asciiTheme="minorHAnsi" w:hAnsiTheme="minorHAnsi" w:cstheme="minorHAnsi"/>
                <w:color w:val="auto"/>
                <w:szCs w:val="18"/>
              </w:rPr>
              <w:t>632 MW</w:t>
            </w:r>
          </w:p>
        </w:tc>
        <w:tc>
          <w:tcPr>
            <w:tcW w:w="720" w:type="dxa"/>
            <w:tcBorders>
              <w:left w:val="none" w:sz="0" w:space="0" w:color="auto"/>
              <w:right w:val="none" w:sz="0" w:space="0" w:color="auto"/>
            </w:tcBorders>
          </w:tcPr>
          <w:p w14:paraId="38B1017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Cs w:val="18"/>
              </w:rPr>
            </w:pPr>
            <w:r w:rsidRPr="00AD2E82">
              <w:rPr>
                <w:rFonts w:asciiTheme="minorHAnsi" w:hAnsiTheme="minorHAnsi" w:cstheme="minorHAnsi"/>
                <w:color w:val="auto"/>
                <w:szCs w:val="18"/>
              </w:rPr>
              <w:t>650 MW</w:t>
            </w:r>
          </w:p>
        </w:tc>
        <w:tc>
          <w:tcPr>
            <w:tcW w:w="720" w:type="dxa"/>
            <w:tcBorders>
              <w:left w:val="none" w:sz="0" w:space="0" w:color="auto"/>
              <w:right w:val="none" w:sz="0" w:space="0" w:color="auto"/>
            </w:tcBorders>
          </w:tcPr>
          <w:p w14:paraId="7991DDD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Cs w:val="18"/>
              </w:rPr>
            </w:pPr>
            <w:r w:rsidRPr="00AD2E82">
              <w:rPr>
                <w:rFonts w:asciiTheme="minorHAnsi" w:hAnsiTheme="minorHAnsi" w:cstheme="minorHAnsi"/>
                <w:color w:val="auto"/>
                <w:szCs w:val="18"/>
              </w:rPr>
              <w:t>520 MW</w:t>
            </w:r>
          </w:p>
        </w:tc>
        <w:tc>
          <w:tcPr>
            <w:tcW w:w="720" w:type="dxa"/>
            <w:tcBorders>
              <w:left w:val="none" w:sz="0" w:space="0" w:color="auto"/>
              <w:right w:val="none" w:sz="0" w:space="0" w:color="auto"/>
            </w:tcBorders>
          </w:tcPr>
          <w:p w14:paraId="6BF85B77"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Cs w:val="18"/>
              </w:rPr>
            </w:pPr>
            <w:r w:rsidRPr="00AD2E82">
              <w:rPr>
                <w:rFonts w:asciiTheme="minorHAnsi" w:hAnsiTheme="minorHAnsi" w:cstheme="minorHAnsi"/>
                <w:color w:val="auto"/>
                <w:szCs w:val="18"/>
              </w:rPr>
              <w:t>650 MW</w:t>
            </w:r>
          </w:p>
        </w:tc>
      </w:tr>
      <w:tr w:rsidR="00BE57F4" w:rsidRPr="00AD2E82" w14:paraId="069BEDD6" w14:textId="77777777" w:rsidTr="00291DB2">
        <w:trPr>
          <w:jc w:val="center"/>
        </w:trPr>
        <w:tc>
          <w:tcPr>
            <w:cnfStyle w:val="001000000000" w:firstRow="0" w:lastRow="0" w:firstColumn="1" w:lastColumn="0" w:oddVBand="0" w:evenVBand="0" w:oddHBand="0" w:evenHBand="0" w:firstRowFirstColumn="0" w:firstRowLastColumn="0" w:lastRowFirstColumn="0" w:lastRowLastColumn="0"/>
            <w:tcW w:w="1147" w:type="dxa"/>
          </w:tcPr>
          <w:p w14:paraId="0F7943F0"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4 %</w:t>
            </w:r>
          </w:p>
        </w:tc>
        <w:tc>
          <w:tcPr>
            <w:tcW w:w="720" w:type="dxa"/>
          </w:tcPr>
          <w:p w14:paraId="3A2FF766"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Cs w:val="18"/>
              </w:rPr>
            </w:pPr>
            <w:r w:rsidRPr="00AD2E82">
              <w:rPr>
                <w:rFonts w:ascii="Segoe UI Symbol" w:hAnsi="Segoe UI Symbol" w:cs="Segoe UI Symbol"/>
                <w:color w:val="000000" w:themeColor="text1"/>
                <w:szCs w:val="18"/>
              </w:rPr>
              <w:t>✓</w:t>
            </w:r>
          </w:p>
        </w:tc>
        <w:tc>
          <w:tcPr>
            <w:tcW w:w="810" w:type="dxa"/>
          </w:tcPr>
          <w:p w14:paraId="5D32DA25"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02E7B255"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0DB12825"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605DCEEF"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09D8A036"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5686F4F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12713853"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1C8A744A"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BE57F4" w:rsidRPr="00AD2E82" w14:paraId="21BB414D" w14:textId="77777777" w:rsidTr="00291D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7" w:type="dxa"/>
            <w:tcBorders>
              <w:left w:val="none" w:sz="0" w:space="0" w:color="auto"/>
              <w:right w:val="none" w:sz="0" w:space="0" w:color="auto"/>
            </w:tcBorders>
          </w:tcPr>
          <w:p w14:paraId="26FFF200"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13%</w:t>
            </w:r>
          </w:p>
        </w:tc>
        <w:tc>
          <w:tcPr>
            <w:tcW w:w="720" w:type="dxa"/>
            <w:tcBorders>
              <w:left w:val="none" w:sz="0" w:space="0" w:color="auto"/>
              <w:right w:val="none" w:sz="0" w:space="0" w:color="auto"/>
            </w:tcBorders>
          </w:tcPr>
          <w:p w14:paraId="43F3B9E0"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810" w:type="dxa"/>
            <w:tcBorders>
              <w:left w:val="none" w:sz="0" w:space="0" w:color="auto"/>
              <w:right w:val="none" w:sz="0" w:space="0" w:color="auto"/>
            </w:tcBorders>
          </w:tcPr>
          <w:p w14:paraId="782E91F9"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2DA3083A"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627F5BD4"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4AF2CE2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5FDB647D"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7EAB03B2"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01B9C04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4E11F39A"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r>
      <w:tr w:rsidR="00BE57F4" w:rsidRPr="00AD2E82" w14:paraId="72075845" w14:textId="77777777" w:rsidTr="00291DB2">
        <w:trPr>
          <w:jc w:val="center"/>
        </w:trPr>
        <w:tc>
          <w:tcPr>
            <w:cnfStyle w:val="001000000000" w:firstRow="0" w:lastRow="0" w:firstColumn="1" w:lastColumn="0" w:oddVBand="0" w:evenVBand="0" w:oddHBand="0" w:evenHBand="0" w:firstRowFirstColumn="0" w:firstRowLastColumn="0" w:lastRowFirstColumn="0" w:lastRowLastColumn="0"/>
            <w:tcW w:w="1147" w:type="dxa"/>
          </w:tcPr>
          <w:p w14:paraId="27C4F619"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lastRenderedPageBreak/>
              <w:t>26%</w:t>
            </w:r>
          </w:p>
        </w:tc>
        <w:tc>
          <w:tcPr>
            <w:tcW w:w="720" w:type="dxa"/>
          </w:tcPr>
          <w:p w14:paraId="4A21EFBA"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810" w:type="dxa"/>
          </w:tcPr>
          <w:p w14:paraId="12F699D3"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1977F2A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29A55ABF"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479715F2"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0A31C679"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3297D677"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060B6A27"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720" w:type="dxa"/>
          </w:tcPr>
          <w:p w14:paraId="7EF40240"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BE57F4" w:rsidRPr="00AD2E82" w14:paraId="6F91F31B" w14:textId="77777777" w:rsidTr="00291D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7" w:type="dxa"/>
            <w:tcBorders>
              <w:left w:val="none" w:sz="0" w:space="0" w:color="auto"/>
              <w:right w:val="none" w:sz="0" w:space="0" w:color="auto"/>
            </w:tcBorders>
          </w:tcPr>
          <w:p w14:paraId="1ED23532"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35%</w:t>
            </w:r>
          </w:p>
        </w:tc>
        <w:tc>
          <w:tcPr>
            <w:tcW w:w="720" w:type="dxa"/>
            <w:tcBorders>
              <w:left w:val="none" w:sz="0" w:space="0" w:color="auto"/>
              <w:right w:val="none" w:sz="0" w:space="0" w:color="auto"/>
            </w:tcBorders>
          </w:tcPr>
          <w:p w14:paraId="014F88D3"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810" w:type="dxa"/>
            <w:tcBorders>
              <w:left w:val="none" w:sz="0" w:space="0" w:color="auto"/>
              <w:right w:val="none" w:sz="0" w:space="0" w:color="auto"/>
            </w:tcBorders>
          </w:tcPr>
          <w:p w14:paraId="6340A8F8"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429F1347"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6BB36049"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5B81B40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19E42C6A"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61889701"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5015D98E"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c>
          <w:tcPr>
            <w:tcW w:w="720" w:type="dxa"/>
            <w:tcBorders>
              <w:left w:val="none" w:sz="0" w:space="0" w:color="auto"/>
              <w:right w:val="none" w:sz="0" w:space="0" w:color="auto"/>
            </w:tcBorders>
          </w:tcPr>
          <w:p w14:paraId="7147EE68"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tc>
      </w:tr>
      <w:tr w:rsidR="00BE57F4" w:rsidRPr="00AD2E82" w14:paraId="322435FC" w14:textId="77777777" w:rsidTr="00291DB2">
        <w:trPr>
          <w:jc w:val="center"/>
        </w:trPr>
        <w:tc>
          <w:tcPr>
            <w:cnfStyle w:val="001000000000" w:firstRow="0" w:lastRow="0" w:firstColumn="1" w:lastColumn="0" w:oddVBand="0" w:evenVBand="0" w:oddHBand="0" w:evenHBand="0" w:firstRowFirstColumn="0" w:firstRowLastColumn="0" w:lastRowFirstColumn="0" w:lastRowLastColumn="0"/>
            <w:tcW w:w="1147" w:type="dxa"/>
          </w:tcPr>
          <w:p w14:paraId="4D283F3B"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44%</w:t>
            </w:r>
          </w:p>
        </w:tc>
        <w:tc>
          <w:tcPr>
            <w:tcW w:w="720" w:type="dxa"/>
          </w:tcPr>
          <w:p w14:paraId="1C0E8DF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810" w:type="dxa"/>
          </w:tcPr>
          <w:p w14:paraId="75699DF6"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6FDDE704"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2EF48003"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74DFBAC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D2E82">
              <w:rPr>
                <w:rFonts w:ascii="Segoe UI Symbol" w:hAnsi="Segoe UI Symbol" w:cs="Segoe UI Symbol"/>
                <w:color w:val="000000" w:themeColor="text1"/>
                <w:szCs w:val="18"/>
              </w:rPr>
              <w:t>✓</w:t>
            </w:r>
          </w:p>
        </w:tc>
        <w:tc>
          <w:tcPr>
            <w:tcW w:w="720" w:type="dxa"/>
          </w:tcPr>
          <w:p w14:paraId="460DF76E"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c>
          <w:tcPr>
            <w:tcW w:w="720" w:type="dxa"/>
          </w:tcPr>
          <w:p w14:paraId="20DA1034"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c>
          <w:tcPr>
            <w:tcW w:w="720" w:type="dxa"/>
          </w:tcPr>
          <w:p w14:paraId="68AC5B2D"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c>
          <w:tcPr>
            <w:tcW w:w="720" w:type="dxa"/>
          </w:tcPr>
          <w:p w14:paraId="3732C7B5"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r>
      <w:tr w:rsidR="00BE57F4" w:rsidRPr="00AD2E82" w14:paraId="3DB28331" w14:textId="77777777" w:rsidTr="00291D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7" w:type="dxa"/>
            <w:tcBorders>
              <w:left w:val="none" w:sz="0" w:space="0" w:color="auto"/>
              <w:right w:val="none" w:sz="0" w:space="0" w:color="auto"/>
            </w:tcBorders>
          </w:tcPr>
          <w:p w14:paraId="3237C61C"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52%</w:t>
            </w:r>
          </w:p>
        </w:tc>
        <w:tc>
          <w:tcPr>
            <w:tcW w:w="720" w:type="dxa"/>
            <w:tcBorders>
              <w:left w:val="none" w:sz="0" w:space="0" w:color="auto"/>
              <w:right w:val="none" w:sz="0" w:space="0" w:color="auto"/>
            </w:tcBorders>
          </w:tcPr>
          <w:p w14:paraId="20B7F78A"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810" w:type="dxa"/>
            <w:tcBorders>
              <w:left w:val="none" w:sz="0" w:space="0" w:color="auto"/>
              <w:right w:val="none" w:sz="0" w:space="0" w:color="auto"/>
            </w:tcBorders>
          </w:tcPr>
          <w:p w14:paraId="4CA03B07"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3A0569D7"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7CBA1EF7"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0B42DCF9"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1F23FE06"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42D4DD2F"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p>
        </w:tc>
        <w:tc>
          <w:tcPr>
            <w:tcW w:w="720" w:type="dxa"/>
            <w:tcBorders>
              <w:left w:val="none" w:sz="0" w:space="0" w:color="auto"/>
              <w:right w:val="none" w:sz="0" w:space="0" w:color="auto"/>
            </w:tcBorders>
          </w:tcPr>
          <w:p w14:paraId="7B3625F8"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p>
        </w:tc>
        <w:tc>
          <w:tcPr>
            <w:tcW w:w="720" w:type="dxa"/>
            <w:tcBorders>
              <w:left w:val="none" w:sz="0" w:space="0" w:color="auto"/>
              <w:right w:val="none" w:sz="0" w:space="0" w:color="auto"/>
            </w:tcBorders>
          </w:tcPr>
          <w:p w14:paraId="675B8963"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p>
        </w:tc>
      </w:tr>
      <w:tr w:rsidR="00BE57F4" w:rsidRPr="00AD2E82" w14:paraId="730D1C09" w14:textId="77777777" w:rsidTr="00291DB2">
        <w:trPr>
          <w:jc w:val="center"/>
        </w:trPr>
        <w:tc>
          <w:tcPr>
            <w:cnfStyle w:val="001000000000" w:firstRow="0" w:lastRow="0" w:firstColumn="1" w:lastColumn="0" w:oddVBand="0" w:evenVBand="0" w:oddHBand="0" w:evenHBand="0" w:firstRowFirstColumn="0" w:firstRowLastColumn="0" w:lastRowFirstColumn="0" w:lastRowLastColumn="0"/>
            <w:tcW w:w="1147" w:type="dxa"/>
          </w:tcPr>
          <w:p w14:paraId="045FBBAE"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63%</w:t>
            </w:r>
          </w:p>
        </w:tc>
        <w:tc>
          <w:tcPr>
            <w:tcW w:w="720" w:type="dxa"/>
          </w:tcPr>
          <w:p w14:paraId="67AFC39F"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810" w:type="dxa"/>
          </w:tcPr>
          <w:p w14:paraId="5CF09A8E"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156613BA"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080F8DC2"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57BDEE04"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2C61058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211E632A"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25CF088B"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c>
          <w:tcPr>
            <w:tcW w:w="720" w:type="dxa"/>
          </w:tcPr>
          <w:p w14:paraId="12877E83"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p>
        </w:tc>
      </w:tr>
      <w:tr w:rsidR="00BE57F4" w:rsidRPr="00AD2E82" w14:paraId="50BE7741" w14:textId="77777777" w:rsidTr="00291D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7" w:type="dxa"/>
            <w:tcBorders>
              <w:left w:val="none" w:sz="0" w:space="0" w:color="auto"/>
              <w:right w:val="none" w:sz="0" w:space="0" w:color="auto"/>
            </w:tcBorders>
          </w:tcPr>
          <w:p w14:paraId="58F98B2A"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72%</w:t>
            </w:r>
          </w:p>
        </w:tc>
        <w:tc>
          <w:tcPr>
            <w:tcW w:w="720" w:type="dxa"/>
            <w:tcBorders>
              <w:left w:val="none" w:sz="0" w:space="0" w:color="auto"/>
              <w:right w:val="none" w:sz="0" w:space="0" w:color="auto"/>
            </w:tcBorders>
          </w:tcPr>
          <w:p w14:paraId="785CBADF"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810" w:type="dxa"/>
            <w:tcBorders>
              <w:left w:val="none" w:sz="0" w:space="0" w:color="auto"/>
              <w:right w:val="none" w:sz="0" w:space="0" w:color="auto"/>
            </w:tcBorders>
          </w:tcPr>
          <w:p w14:paraId="1879FD71"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1AFC986B"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676FF578"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4D28EA10"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35A8501D"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15163C62"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111738E5"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Borders>
              <w:left w:val="none" w:sz="0" w:space="0" w:color="auto"/>
              <w:right w:val="none" w:sz="0" w:space="0" w:color="auto"/>
            </w:tcBorders>
          </w:tcPr>
          <w:p w14:paraId="42EE72FF" w14:textId="77777777" w:rsidR="00BE57F4" w:rsidRPr="00AD2E82" w:rsidRDefault="00BE57F4" w:rsidP="00CD4F3A">
            <w:pPr>
              <w:pStyle w:val="TableT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18"/>
              </w:rPr>
            </w:pPr>
          </w:p>
        </w:tc>
      </w:tr>
      <w:tr w:rsidR="00BE57F4" w:rsidRPr="00AD2E82" w14:paraId="03A14670" w14:textId="77777777" w:rsidTr="00291DB2">
        <w:trPr>
          <w:jc w:val="center"/>
        </w:trPr>
        <w:tc>
          <w:tcPr>
            <w:cnfStyle w:val="001000000000" w:firstRow="0" w:lastRow="0" w:firstColumn="1" w:lastColumn="0" w:oddVBand="0" w:evenVBand="0" w:oddHBand="0" w:evenHBand="0" w:firstRowFirstColumn="0" w:firstRowLastColumn="0" w:lastRowFirstColumn="0" w:lastRowLastColumn="0"/>
            <w:tcW w:w="1147" w:type="dxa"/>
          </w:tcPr>
          <w:p w14:paraId="35F1D18E" w14:textId="77777777" w:rsidR="00BE57F4" w:rsidRPr="00AD2E82" w:rsidRDefault="00BE57F4" w:rsidP="00CD4F3A">
            <w:pPr>
              <w:pStyle w:val="TableText"/>
              <w:jc w:val="both"/>
              <w:rPr>
                <w:rFonts w:asciiTheme="minorHAnsi" w:hAnsiTheme="minorHAnsi" w:cstheme="minorHAnsi"/>
                <w:szCs w:val="18"/>
              </w:rPr>
            </w:pPr>
            <w:r w:rsidRPr="00AD2E82">
              <w:rPr>
                <w:rFonts w:asciiTheme="minorHAnsi" w:hAnsiTheme="minorHAnsi" w:cstheme="minorHAnsi"/>
                <w:szCs w:val="18"/>
              </w:rPr>
              <w:t>83%</w:t>
            </w:r>
          </w:p>
        </w:tc>
        <w:tc>
          <w:tcPr>
            <w:tcW w:w="720" w:type="dxa"/>
          </w:tcPr>
          <w:p w14:paraId="1900FF5E"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810" w:type="dxa"/>
          </w:tcPr>
          <w:p w14:paraId="56517743"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0E593570"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0F63B2FA"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7ED5D784"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6CB9D3B8"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2FFC21EC"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76AE19BF"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c>
          <w:tcPr>
            <w:tcW w:w="720" w:type="dxa"/>
          </w:tcPr>
          <w:p w14:paraId="101EAB60" w14:textId="77777777" w:rsidR="00BE57F4" w:rsidRPr="00AD2E82" w:rsidRDefault="00BE57F4" w:rsidP="00CD4F3A">
            <w:pPr>
              <w:pStyle w:val="Table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18"/>
              </w:rPr>
            </w:pPr>
            <w:r w:rsidRPr="00AD2E82">
              <w:rPr>
                <w:rFonts w:ascii="Segoe UI Symbol" w:hAnsi="Segoe UI Symbol" w:cs="Segoe UI Symbol"/>
                <w:color w:val="000000" w:themeColor="text1"/>
                <w:szCs w:val="18"/>
              </w:rPr>
              <w:t>✓</w:t>
            </w:r>
          </w:p>
        </w:tc>
      </w:tr>
    </w:tbl>
    <w:p w14:paraId="5D17F1E1" w14:textId="074A1A90" w:rsidR="00BE57F4" w:rsidRPr="003F2E39" w:rsidRDefault="00BE57F4" w:rsidP="00291DB2">
      <w:pPr>
        <w:pStyle w:val="ListNumber"/>
        <w:numPr>
          <w:ilvl w:val="0"/>
          <w:numId w:val="0"/>
        </w:numPr>
        <w:tabs>
          <w:tab w:val="clear" w:pos="397"/>
          <w:tab w:val="left" w:pos="0"/>
        </w:tabs>
        <w:spacing w:after="0"/>
        <w:rPr>
          <w:color w:val="auto"/>
          <w:szCs w:val="24"/>
          <w:highlight w:val="yellow"/>
        </w:rPr>
      </w:pPr>
      <w:r w:rsidRPr="00AD2E82">
        <w:rPr>
          <w:rFonts w:asciiTheme="minorHAnsi" w:hAnsiTheme="minorHAnsi" w:cstheme="minorBidi"/>
        </w:rPr>
        <w:fldChar w:fldCharType="begin"/>
      </w:r>
      <w:r w:rsidRPr="00AD2E82">
        <w:rPr>
          <w:rFonts w:asciiTheme="minorHAnsi" w:hAnsiTheme="minorHAnsi" w:cstheme="minorBidi"/>
        </w:rPr>
        <w:instrText xml:space="preserve"> REF _Ref230193943 \h </w:instrText>
      </w:r>
      <w:r w:rsidR="00AD2E82">
        <w:rPr>
          <w:rFonts w:asciiTheme="minorHAnsi" w:hAnsiTheme="minorHAnsi" w:cstheme="minorBidi"/>
        </w:rPr>
        <w:instrText xml:space="preserve"> \* MERGEFORMAT </w:instrText>
      </w:r>
      <w:r w:rsidRPr="00AD2E82">
        <w:rPr>
          <w:rFonts w:asciiTheme="minorHAnsi" w:hAnsiTheme="minorHAnsi" w:cstheme="minorBidi"/>
        </w:rPr>
      </w:r>
      <w:r w:rsidRPr="00AD2E82">
        <w:rPr>
          <w:rFonts w:asciiTheme="minorHAnsi" w:hAnsiTheme="minorHAnsi" w:cstheme="minorBidi"/>
        </w:rPr>
        <w:fldChar w:fldCharType="separate"/>
      </w:r>
      <w:r w:rsidR="00753DAF" w:rsidRPr="00AD2E82">
        <w:t xml:space="preserve">Table </w:t>
      </w:r>
      <w:r w:rsidR="00753DAF" w:rsidRPr="00AD2E82">
        <w:rPr>
          <w:noProof/>
        </w:rPr>
        <w:t>14</w:t>
      </w:r>
      <w:r w:rsidRPr="00AD2E82">
        <w:rPr>
          <w:rFonts w:asciiTheme="minorHAnsi" w:hAnsiTheme="minorHAnsi" w:cstheme="minorBidi"/>
        </w:rPr>
        <w:fldChar w:fldCharType="end"/>
      </w:r>
      <w:r w:rsidRPr="00AD2E82">
        <w:rPr>
          <w:rFonts w:asciiTheme="minorHAnsi" w:hAnsiTheme="minorHAnsi" w:cstheme="minorBidi"/>
        </w:rPr>
        <w:t xml:space="preserve"> and </w:t>
      </w:r>
      <w:r w:rsidRPr="00AD2E82">
        <w:rPr>
          <w:rFonts w:asciiTheme="minorHAnsi" w:hAnsiTheme="minorHAnsi" w:cstheme="minorBidi"/>
        </w:rPr>
        <w:fldChar w:fldCharType="begin"/>
      </w:r>
      <w:r w:rsidRPr="00AD2E82">
        <w:rPr>
          <w:rFonts w:asciiTheme="minorHAnsi" w:hAnsiTheme="minorHAnsi" w:cstheme="minorBidi"/>
        </w:rPr>
        <w:instrText xml:space="preserve"> REF _Ref230193951 \h </w:instrText>
      </w:r>
      <w:r w:rsidR="00AD2E82">
        <w:rPr>
          <w:rFonts w:asciiTheme="minorHAnsi" w:hAnsiTheme="minorHAnsi" w:cstheme="minorBidi"/>
        </w:rPr>
        <w:instrText xml:space="preserve"> \* MERGEFORMAT </w:instrText>
      </w:r>
      <w:r w:rsidRPr="00AD2E82">
        <w:rPr>
          <w:rFonts w:asciiTheme="minorHAnsi" w:hAnsiTheme="minorHAnsi" w:cstheme="minorBidi"/>
        </w:rPr>
      </w:r>
      <w:r w:rsidRPr="00AD2E82">
        <w:rPr>
          <w:rFonts w:asciiTheme="minorHAnsi" w:hAnsiTheme="minorHAnsi" w:cstheme="minorBidi"/>
        </w:rPr>
        <w:fldChar w:fldCharType="separate"/>
      </w:r>
      <w:r w:rsidR="00753DAF" w:rsidRPr="00AD2E82">
        <w:t xml:space="preserve">Table </w:t>
      </w:r>
      <w:r w:rsidR="00753DAF" w:rsidRPr="00AD2E82">
        <w:rPr>
          <w:noProof/>
        </w:rPr>
        <w:t>15</w:t>
      </w:r>
      <w:r w:rsidRPr="00AD2E82">
        <w:rPr>
          <w:rFonts w:asciiTheme="minorHAnsi" w:hAnsiTheme="minorHAnsi" w:cstheme="minorBidi"/>
        </w:rPr>
        <w:fldChar w:fldCharType="end"/>
      </w:r>
      <w:r w:rsidRPr="00AD2E82">
        <w:rPr>
          <w:rFonts w:asciiTheme="minorHAnsi" w:hAnsiTheme="minorHAnsi" w:cstheme="minorBidi"/>
        </w:rPr>
        <w:t xml:space="preserve"> show the value of SDVPI of different buses for 0% and 83% renewables, respectively. For</w:t>
      </w:r>
      <w:r w:rsidR="00FC7E3B">
        <w:rPr>
          <w:rFonts w:asciiTheme="minorHAnsi" w:hAnsiTheme="minorHAnsi" w:cstheme="minorBidi"/>
        </w:rPr>
        <w:t xml:space="preserve"> the</w:t>
      </w:r>
      <w:r w:rsidRPr="00AD2E82">
        <w:rPr>
          <w:rFonts w:asciiTheme="minorHAnsi" w:hAnsiTheme="minorHAnsi" w:cstheme="minorBidi"/>
        </w:rPr>
        <w:t xml:space="preserve"> rest of the renewable cases tabulated in </w:t>
      </w:r>
      <w:r w:rsidRPr="00AD2E82">
        <w:rPr>
          <w:rFonts w:asciiTheme="minorHAnsi" w:hAnsiTheme="minorHAnsi" w:cstheme="minorBidi"/>
        </w:rPr>
        <w:fldChar w:fldCharType="begin"/>
      </w:r>
      <w:r w:rsidRPr="00AD2E82">
        <w:rPr>
          <w:rFonts w:asciiTheme="minorHAnsi" w:hAnsiTheme="minorHAnsi" w:cstheme="minorBidi"/>
        </w:rPr>
        <w:instrText xml:space="preserve"> REF _Ref230193922 \h </w:instrText>
      </w:r>
      <w:r w:rsidR="00AD2E82">
        <w:rPr>
          <w:rFonts w:asciiTheme="minorHAnsi" w:hAnsiTheme="minorHAnsi" w:cstheme="minorBidi"/>
        </w:rPr>
        <w:instrText xml:space="preserve"> \* MERGEFORMAT </w:instrText>
      </w:r>
      <w:r w:rsidRPr="00AD2E82">
        <w:rPr>
          <w:rFonts w:asciiTheme="minorHAnsi" w:hAnsiTheme="minorHAnsi" w:cstheme="minorBidi"/>
        </w:rPr>
      </w:r>
      <w:r w:rsidRPr="00AD2E82">
        <w:rPr>
          <w:rFonts w:asciiTheme="minorHAnsi" w:hAnsiTheme="minorHAnsi" w:cstheme="minorBidi"/>
        </w:rPr>
        <w:fldChar w:fldCharType="separate"/>
      </w:r>
      <w:r w:rsidR="00753DAF" w:rsidRPr="00AD2E82">
        <w:t xml:space="preserve">Table </w:t>
      </w:r>
      <w:r w:rsidR="00753DAF" w:rsidRPr="00AD2E82">
        <w:rPr>
          <w:noProof/>
        </w:rPr>
        <w:t>13</w:t>
      </w:r>
      <w:r w:rsidRPr="00AD2E82">
        <w:rPr>
          <w:rFonts w:asciiTheme="minorHAnsi" w:hAnsiTheme="minorHAnsi" w:cstheme="minorBidi"/>
        </w:rPr>
        <w:fldChar w:fldCharType="end"/>
      </w:r>
      <w:r w:rsidRPr="00AD2E82">
        <w:rPr>
          <w:rFonts w:asciiTheme="minorHAnsi" w:hAnsiTheme="minorHAnsi" w:cstheme="minorBidi"/>
        </w:rPr>
        <w:t>, the value</w:t>
      </w:r>
      <w:r w:rsidR="00FC7E3B">
        <w:rPr>
          <w:rFonts w:asciiTheme="minorHAnsi" w:hAnsiTheme="minorHAnsi" w:cstheme="minorBidi"/>
        </w:rPr>
        <w:t>s</w:t>
      </w:r>
      <w:r w:rsidRPr="00AD2E82">
        <w:rPr>
          <w:rFonts w:asciiTheme="minorHAnsi" w:hAnsiTheme="minorHAnsi" w:cstheme="minorBidi"/>
        </w:rPr>
        <w:t xml:space="preserve"> of SDVPI of different buses </w:t>
      </w:r>
      <w:r w:rsidR="00FC7E3B">
        <w:rPr>
          <w:rFonts w:asciiTheme="minorHAnsi" w:hAnsiTheme="minorHAnsi" w:cstheme="minorBidi"/>
        </w:rPr>
        <w:t xml:space="preserve">are </w:t>
      </w:r>
      <w:r w:rsidRPr="00547C88">
        <w:rPr>
          <w:rFonts w:asciiTheme="minorHAnsi" w:hAnsiTheme="minorHAnsi" w:cstheme="minorBidi"/>
        </w:rPr>
        <w:t>show</w:t>
      </w:r>
      <w:r w:rsidR="00FC7E3B">
        <w:rPr>
          <w:rFonts w:asciiTheme="minorHAnsi" w:hAnsiTheme="minorHAnsi" w:cstheme="minorBidi"/>
        </w:rPr>
        <w:t>n</w:t>
      </w:r>
      <w:r w:rsidRPr="00547C88">
        <w:rPr>
          <w:rFonts w:asciiTheme="minorHAnsi" w:hAnsiTheme="minorHAnsi" w:cstheme="minorBidi"/>
        </w:rPr>
        <w:t xml:space="preserve"> in </w:t>
      </w:r>
      <w:proofErr w:type="spellStart"/>
      <w:r w:rsidRPr="00547C88">
        <w:rPr>
          <w:color w:val="auto"/>
          <w:szCs w:val="24"/>
        </w:rPr>
        <w:t>Apx</w:t>
      </w:r>
      <w:proofErr w:type="spellEnd"/>
      <w:r w:rsidRPr="00547C88">
        <w:rPr>
          <w:color w:val="auto"/>
          <w:szCs w:val="24"/>
        </w:rPr>
        <w:t xml:space="preserve"> Table 3 to </w:t>
      </w:r>
      <w:proofErr w:type="spellStart"/>
      <w:r w:rsidRPr="00547C88">
        <w:rPr>
          <w:color w:val="auto"/>
          <w:szCs w:val="24"/>
        </w:rPr>
        <w:t>Apx</w:t>
      </w:r>
      <w:proofErr w:type="spellEnd"/>
      <w:r w:rsidRPr="00547C88">
        <w:rPr>
          <w:color w:val="auto"/>
          <w:szCs w:val="24"/>
        </w:rPr>
        <w:t xml:space="preserve"> Table </w:t>
      </w:r>
      <w:r w:rsidR="00A170BA">
        <w:rPr>
          <w:color w:val="auto"/>
          <w:szCs w:val="24"/>
        </w:rPr>
        <w:t>10</w:t>
      </w:r>
      <w:r w:rsidRPr="00547C88">
        <w:rPr>
          <w:color w:val="auto"/>
          <w:szCs w:val="24"/>
        </w:rPr>
        <w:t xml:space="preserve"> in Appendix A</w:t>
      </w:r>
      <w:r w:rsidR="00FC7E3B">
        <w:rPr>
          <w:color w:val="auto"/>
          <w:szCs w:val="24"/>
        </w:rPr>
        <w:t>.</w:t>
      </w:r>
      <w:r w:rsidRPr="00547C88">
        <w:rPr>
          <w:color w:val="auto"/>
          <w:szCs w:val="24"/>
        </w:rPr>
        <w:t>1,</w:t>
      </w:r>
      <w:r w:rsidRPr="00AD2E82">
        <w:rPr>
          <w:color w:val="auto"/>
          <w:szCs w:val="24"/>
        </w:rPr>
        <w:t xml:space="preserve"> respectively. </w:t>
      </w:r>
    </w:p>
    <w:p w14:paraId="7AA7319B" w14:textId="54400AC6" w:rsidR="00BE57F4" w:rsidRPr="00A67405" w:rsidRDefault="00BE57F4" w:rsidP="00CD4F3A">
      <w:pPr>
        <w:pStyle w:val="Caption"/>
        <w:spacing w:line="240" w:lineRule="auto"/>
      </w:pPr>
      <w:bookmarkStart w:id="227" w:name="_Ref230193943"/>
      <w:bookmarkStart w:id="228" w:name="_Toc230198676"/>
      <w:bookmarkStart w:id="229" w:name="_Toc233735308"/>
      <w:r w:rsidRPr="00A67405">
        <w:t xml:space="preserve">Table </w:t>
      </w:r>
      <w:fldSimple w:instr=" SEQ Table \* ARABIC ">
        <w:r w:rsidR="00753DAF" w:rsidRPr="00A67405">
          <w:rPr>
            <w:noProof/>
          </w:rPr>
          <w:t>14</w:t>
        </w:r>
      </w:fldSimple>
      <w:bookmarkEnd w:id="227"/>
      <w:r w:rsidRPr="00A67405">
        <w:t>: The value of SDVPI of different buses for 0% renewables in IEEE 39 bus system.</w:t>
      </w:r>
      <w:bookmarkEnd w:id="228"/>
      <w:bookmarkEnd w:id="229"/>
    </w:p>
    <w:tbl>
      <w:tblPr>
        <w:tblW w:w="8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308"/>
        <w:gridCol w:w="901"/>
        <w:gridCol w:w="901"/>
        <w:gridCol w:w="901"/>
        <w:gridCol w:w="901"/>
        <w:gridCol w:w="901"/>
        <w:gridCol w:w="901"/>
        <w:gridCol w:w="901"/>
        <w:gridCol w:w="536"/>
      </w:tblGrid>
      <w:tr w:rsidR="00BE57F4" w:rsidRPr="00A67405" w14:paraId="02A5E2E9" w14:textId="77777777" w:rsidTr="0002386E">
        <w:trPr>
          <w:trHeight w:val="285"/>
          <w:jc w:val="center"/>
        </w:trPr>
        <w:tc>
          <w:tcPr>
            <w:tcW w:w="1260" w:type="dxa"/>
            <w:shd w:val="clear" w:color="auto" w:fill="000000" w:themeFill="text1"/>
            <w:noWrap/>
            <w:vAlign w:val="bottom"/>
            <w:hideMark/>
          </w:tcPr>
          <w:p w14:paraId="7B270496" w14:textId="77777777" w:rsidR="00BE57F4" w:rsidRPr="00A67405" w:rsidRDefault="00BE57F4" w:rsidP="00CD4F3A">
            <w:pPr>
              <w:pStyle w:val="TableText"/>
              <w:rPr>
                <w:color w:val="FFFFFF" w:themeColor="background1"/>
              </w:rPr>
            </w:pPr>
            <w:r w:rsidRPr="00A67405">
              <w:rPr>
                <w:color w:val="FFFFFF" w:themeColor="background1"/>
              </w:rPr>
              <w:t>Bus \ Scaling</w:t>
            </w:r>
          </w:p>
        </w:tc>
        <w:tc>
          <w:tcPr>
            <w:tcW w:w="308" w:type="dxa"/>
            <w:shd w:val="clear" w:color="auto" w:fill="000000" w:themeFill="text1"/>
            <w:noWrap/>
            <w:vAlign w:val="bottom"/>
            <w:hideMark/>
          </w:tcPr>
          <w:p w14:paraId="22E7E34F" w14:textId="77777777" w:rsidR="00BE57F4" w:rsidRPr="00A67405" w:rsidRDefault="00BE57F4" w:rsidP="00CD4F3A">
            <w:pPr>
              <w:pStyle w:val="TableText"/>
              <w:rPr>
                <w:color w:val="FFFFFF" w:themeColor="background1"/>
              </w:rPr>
            </w:pPr>
            <w:r w:rsidRPr="00A67405">
              <w:rPr>
                <w:color w:val="FFFFFF" w:themeColor="background1"/>
              </w:rPr>
              <w:t>0</w:t>
            </w:r>
          </w:p>
        </w:tc>
        <w:tc>
          <w:tcPr>
            <w:tcW w:w="901" w:type="dxa"/>
            <w:shd w:val="clear" w:color="auto" w:fill="000000" w:themeFill="text1"/>
            <w:noWrap/>
            <w:vAlign w:val="bottom"/>
            <w:hideMark/>
          </w:tcPr>
          <w:p w14:paraId="35080812" w14:textId="77777777" w:rsidR="00BE57F4" w:rsidRPr="00A67405" w:rsidRDefault="00BE57F4" w:rsidP="00CD4F3A">
            <w:pPr>
              <w:pStyle w:val="TableText"/>
              <w:rPr>
                <w:color w:val="FFFFFF" w:themeColor="background1"/>
              </w:rPr>
            </w:pPr>
            <w:r w:rsidRPr="00A67405">
              <w:rPr>
                <w:color w:val="FFFFFF" w:themeColor="background1"/>
              </w:rPr>
              <w:t>0.05</w:t>
            </w:r>
          </w:p>
        </w:tc>
        <w:tc>
          <w:tcPr>
            <w:tcW w:w="901" w:type="dxa"/>
            <w:shd w:val="clear" w:color="auto" w:fill="000000" w:themeFill="text1"/>
            <w:noWrap/>
            <w:vAlign w:val="bottom"/>
            <w:hideMark/>
          </w:tcPr>
          <w:p w14:paraId="102A6120" w14:textId="77777777" w:rsidR="00BE57F4" w:rsidRPr="00A67405" w:rsidRDefault="00BE57F4" w:rsidP="00CD4F3A">
            <w:pPr>
              <w:pStyle w:val="TableText"/>
              <w:rPr>
                <w:color w:val="FFFFFF" w:themeColor="background1"/>
              </w:rPr>
            </w:pPr>
            <w:r w:rsidRPr="00A67405">
              <w:rPr>
                <w:color w:val="FFFFFF" w:themeColor="background1"/>
              </w:rPr>
              <w:t>0.11</w:t>
            </w:r>
          </w:p>
        </w:tc>
        <w:tc>
          <w:tcPr>
            <w:tcW w:w="901" w:type="dxa"/>
            <w:shd w:val="clear" w:color="auto" w:fill="000000" w:themeFill="text1"/>
            <w:noWrap/>
            <w:vAlign w:val="bottom"/>
            <w:hideMark/>
          </w:tcPr>
          <w:p w14:paraId="44DCC026" w14:textId="77777777" w:rsidR="00BE57F4" w:rsidRPr="00A67405" w:rsidRDefault="00BE57F4" w:rsidP="00CD4F3A">
            <w:pPr>
              <w:pStyle w:val="TableText"/>
              <w:rPr>
                <w:color w:val="FFFFFF" w:themeColor="background1"/>
              </w:rPr>
            </w:pPr>
            <w:r w:rsidRPr="00A67405">
              <w:rPr>
                <w:color w:val="FFFFFF" w:themeColor="background1"/>
              </w:rPr>
              <w:t>0.18</w:t>
            </w:r>
          </w:p>
        </w:tc>
        <w:tc>
          <w:tcPr>
            <w:tcW w:w="901" w:type="dxa"/>
            <w:shd w:val="clear" w:color="auto" w:fill="000000" w:themeFill="text1"/>
            <w:noWrap/>
            <w:vAlign w:val="bottom"/>
            <w:hideMark/>
          </w:tcPr>
          <w:p w14:paraId="63C43C22" w14:textId="77777777" w:rsidR="00BE57F4" w:rsidRPr="00A67405" w:rsidRDefault="00BE57F4" w:rsidP="00CD4F3A">
            <w:pPr>
              <w:pStyle w:val="TableText"/>
              <w:rPr>
                <w:color w:val="FFFFFF" w:themeColor="background1"/>
              </w:rPr>
            </w:pPr>
            <w:r w:rsidRPr="00A67405">
              <w:rPr>
                <w:color w:val="FFFFFF" w:themeColor="background1"/>
              </w:rPr>
              <w:t>0.26</w:t>
            </w:r>
          </w:p>
        </w:tc>
        <w:tc>
          <w:tcPr>
            <w:tcW w:w="901" w:type="dxa"/>
            <w:shd w:val="clear" w:color="auto" w:fill="000000" w:themeFill="text1"/>
            <w:noWrap/>
            <w:vAlign w:val="bottom"/>
            <w:hideMark/>
          </w:tcPr>
          <w:p w14:paraId="7A43C561" w14:textId="77777777" w:rsidR="00BE57F4" w:rsidRPr="00A67405" w:rsidRDefault="00BE57F4" w:rsidP="00CD4F3A">
            <w:pPr>
              <w:pStyle w:val="TableText"/>
              <w:rPr>
                <w:color w:val="FFFFFF" w:themeColor="background1"/>
              </w:rPr>
            </w:pPr>
            <w:r w:rsidRPr="00A67405">
              <w:rPr>
                <w:color w:val="FFFFFF" w:themeColor="background1"/>
              </w:rPr>
              <w:t>0.36</w:t>
            </w:r>
          </w:p>
        </w:tc>
        <w:tc>
          <w:tcPr>
            <w:tcW w:w="901" w:type="dxa"/>
            <w:shd w:val="clear" w:color="auto" w:fill="000000" w:themeFill="text1"/>
            <w:noWrap/>
            <w:vAlign w:val="bottom"/>
            <w:hideMark/>
          </w:tcPr>
          <w:p w14:paraId="14F8230F" w14:textId="77777777" w:rsidR="00BE57F4" w:rsidRPr="00A67405" w:rsidRDefault="00BE57F4" w:rsidP="00CD4F3A">
            <w:pPr>
              <w:pStyle w:val="TableText"/>
              <w:rPr>
                <w:color w:val="FFFFFF" w:themeColor="background1"/>
              </w:rPr>
            </w:pPr>
            <w:r w:rsidRPr="00A67405">
              <w:rPr>
                <w:color w:val="FFFFFF" w:themeColor="background1"/>
              </w:rPr>
              <w:t>0.46</w:t>
            </w:r>
          </w:p>
        </w:tc>
        <w:tc>
          <w:tcPr>
            <w:tcW w:w="901" w:type="dxa"/>
            <w:shd w:val="clear" w:color="auto" w:fill="000000" w:themeFill="text1"/>
            <w:noWrap/>
            <w:vAlign w:val="bottom"/>
            <w:hideMark/>
          </w:tcPr>
          <w:p w14:paraId="0E65C401" w14:textId="77777777" w:rsidR="00BE57F4" w:rsidRPr="00A67405" w:rsidRDefault="00BE57F4" w:rsidP="00CD4F3A">
            <w:pPr>
              <w:pStyle w:val="TableText"/>
              <w:rPr>
                <w:color w:val="FFFFFF" w:themeColor="background1"/>
              </w:rPr>
            </w:pPr>
            <w:r w:rsidRPr="00A67405">
              <w:rPr>
                <w:color w:val="FFFFFF" w:themeColor="background1"/>
              </w:rPr>
              <w:t>0.56</w:t>
            </w:r>
          </w:p>
        </w:tc>
        <w:tc>
          <w:tcPr>
            <w:tcW w:w="536" w:type="dxa"/>
            <w:shd w:val="clear" w:color="auto" w:fill="000000" w:themeFill="text1"/>
          </w:tcPr>
          <w:p w14:paraId="711D0DC3" w14:textId="77777777" w:rsidR="00BE57F4" w:rsidRPr="00A67405" w:rsidRDefault="00BE57F4" w:rsidP="00CD4F3A">
            <w:pPr>
              <w:pStyle w:val="TableText"/>
              <w:rPr>
                <w:color w:val="FFFFFF" w:themeColor="background1"/>
              </w:rPr>
            </w:pPr>
            <w:r w:rsidRPr="00A67405">
              <w:rPr>
                <w:color w:val="FFFFFF" w:themeColor="background1"/>
              </w:rPr>
              <w:t>0.57</w:t>
            </w:r>
          </w:p>
        </w:tc>
      </w:tr>
      <w:tr w:rsidR="00BE57F4" w:rsidRPr="00A67405" w14:paraId="18B932CB" w14:textId="77777777" w:rsidTr="0002386E">
        <w:trPr>
          <w:trHeight w:val="285"/>
          <w:jc w:val="center"/>
        </w:trPr>
        <w:tc>
          <w:tcPr>
            <w:tcW w:w="1260" w:type="dxa"/>
            <w:noWrap/>
            <w:vAlign w:val="bottom"/>
            <w:hideMark/>
          </w:tcPr>
          <w:p w14:paraId="30FEBBDE" w14:textId="77777777" w:rsidR="00BE57F4" w:rsidRPr="00A67405" w:rsidRDefault="00BE57F4" w:rsidP="00CD4F3A">
            <w:pPr>
              <w:pStyle w:val="TableText"/>
            </w:pPr>
            <w:r w:rsidRPr="00A67405">
              <w:t>Bus 03</w:t>
            </w:r>
          </w:p>
        </w:tc>
        <w:tc>
          <w:tcPr>
            <w:tcW w:w="308" w:type="dxa"/>
            <w:noWrap/>
            <w:vAlign w:val="bottom"/>
            <w:hideMark/>
          </w:tcPr>
          <w:p w14:paraId="377A0878" w14:textId="77777777" w:rsidR="00BE57F4" w:rsidRPr="00A67405" w:rsidRDefault="00BE57F4" w:rsidP="00CD4F3A">
            <w:pPr>
              <w:pStyle w:val="TableText"/>
            </w:pPr>
            <w:r w:rsidRPr="00A67405">
              <w:t>1</w:t>
            </w:r>
          </w:p>
        </w:tc>
        <w:tc>
          <w:tcPr>
            <w:tcW w:w="901" w:type="dxa"/>
            <w:noWrap/>
            <w:vAlign w:val="bottom"/>
            <w:hideMark/>
          </w:tcPr>
          <w:p w14:paraId="5FA3C5C0" w14:textId="77777777" w:rsidR="00BE57F4" w:rsidRPr="00A67405" w:rsidRDefault="00BE57F4" w:rsidP="00CD4F3A">
            <w:pPr>
              <w:pStyle w:val="TableText"/>
            </w:pPr>
            <w:r w:rsidRPr="00A67405">
              <w:t>0.921756</w:t>
            </w:r>
          </w:p>
        </w:tc>
        <w:tc>
          <w:tcPr>
            <w:tcW w:w="901" w:type="dxa"/>
            <w:noWrap/>
            <w:vAlign w:val="bottom"/>
            <w:hideMark/>
          </w:tcPr>
          <w:p w14:paraId="28E62EA5" w14:textId="77777777" w:rsidR="00BE57F4" w:rsidRPr="00A67405" w:rsidRDefault="00BE57F4" w:rsidP="00CD4F3A">
            <w:pPr>
              <w:pStyle w:val="TableText"/>
            </w:pPr>
            <w:r w:rsidRPr="00A67405">
              <w:t>0.928134</w:t>
            </w:r>
          </w:p>
        </w:tc>
        <w:tc>
          <w:tcPr>
            <w:tcW w:w="901" w:type="dxa"/>
            <w:noWrap/>
            <w:vAlign w:val="bottom"/>
            <w:hideMark/>
          </w:tcPr>
          <w:p w14:paraId="219825E4" w14:textId="77777777" w:rsidR="00BE57F4" w:rsidRPr="00A67405" w:rsidRDefault="00BE57F4" w:rsidP="00CD4F3A">
            <w:pPr>
              <w:pStyle w:val="TableText"/>
            </w:pPr>
            <w:r w:rsidRPr="00A67405">
              <w:t>0.916218</w:t>
            </w:r>
          </w:p>
        </w:tc>
        <w:tc>
          <w:tcPr>
            <w:tcW w:w="901" w:type="dxa"/>
            <w:noWrap/>
            <w:vAlign w:val="bottom"/>
            <w:hideMark/>
          </w:tcPr>
          <w:p w14:paraId="64F26D46" w14:textId="77777777" w:rsidR="00BE57F4" w:rsidRPr="00A67405" w:rsidRDefault="00BE57F4" w:rsidP="00CD4F3A">
            <w:pPr>
              <w:pStyle w:val="TableText"/>
            </w:pPr>
            <w:r w:rsidRPr="00A67405">
              <w:t>0.887107</w:t>
            </w:r>
          </w:p>
        </w:tc>
        <w:tc>
          <w:tcPr>
            <w:tcW w:w="901" w:type="dxa"/>
            <w:noWrap/>
            <w:vAlign w:val="bottom"/>
            <w:hideMark/>
          </w:tcPr>
          <w:p w14:paraId="43570147" w14:textId="77777777" w:rsidR="00BE57F4" w:rsidRPr="00A67405" w:rsidRDefault="00BE57F4" w:rsidP="00CD4F3A">
            <w:pPr>
              <w:pStyle w:val="TableText"/>
            </w:pPr>
            <w:r w:rsidRPr="00A67405">
              <w:t>0.837364</w:t>
            </w:r>
          </w:p>
        </w:tc>
        <w:tc>
          <w:tcPr>
            <w:tcW w:w="901" w:type="dxa"/>
            <w:noWrap/>
            <w:vAlign w:val="bottom"/>
            <w:hideMark/>
          </w:tcPr>
          <w:p w14:paraId="7BD8DB61" w14:textId="77777777" w:rsidR="00BE57F4" w:rsidRPr="00A67405" w:rsidRDefault="00BE57F4" w:rsidP="00CD4F3A">
            <w:pPr>
              <w:pStyle w:val="TableText"/>
            </w:pPr>
            <w:r w:rsidRPr="00A67405">
              <w:t>0.765053</w:t>
            </w:r>
          </w:p>
        </w:tc>
        <w:tc>
          <w:tcPr>
            <w:tcW w:w="901" w:type="dxa"/>
            <w:noWrap/>
            <w:vAlign w:val="bottom"/>
            <w:hideMark/>
          </w:tcPr>
          <w:p w14:paraId="4965093B" w14:textId="77777777" w:rsidR="00BE57F4" w:rsidRPr="00A67405" w:rsidRDefault="00BE57F4" w:rsidP="00CD4F3A">
            <w:pPr>
              <w:pStyle w:val="TableText"/>
            </w:pPr>
            <w:r w:rsidRPr="00A67405">
              <w:t>0.49288</w:t>
            </w:r>
          </w:p>
        </w:tc>
        <w:tc>
          <w:tcPr>
            <w:tcW w:w="536" w:type="dxa"/>
          </w:tcPr>
          <w:p w14:paraId="441FF2FA" w14:textId="77777777" w:rsidR="00BE57F4" w:rsidRPr="00A67405" w:rsidRDefault="00BE57F4" w:rsidP="00CD4F3A">
            <w:pPr>
              <w:pStyle w:val="TableText"/>
            </w:pPr>
            <w:r w:rsidRPr="00A67405">
              <w:t>0</w:t>
            </w:r>
          </w:p>
        </w:tc>
      </w:tr>
      <w:tr w:rsidR="00BE57F4" w:rsidRPr="00A67405" w14:paraId="402DA712" w14:textId="77777777" w:rsidTr="0002386E">
        <w:trPr>
          <w:trHeight w:val="285"/>
          <w:jc w:val="center"/>
        </w:trPr>
        <w:tc>
          <w:tcPr>
            <w:tcW w:w="1260" w:type="dxa"/>
            <w:noWrap/>
            <w:vAlign w:val="bottom"/>
            <w:hideMark/>
          </w:tcPr>
          <w:p w14:paraId="13DE64A6" w14:textId="77777777" w:rsidR="00BE57F4" w:rsidRPr="00A67405" w:rsidRDefault="00BE57F4" w:rsidP="00CD4F3A">
            <w:pPr>
              <w:pStyle w:val="TableText"/>
            </w:pPr>
            <w:r w:rsidRPr="00A67405">
              <w:t>Bus 04</w:t>
            </w:r>
          </w:p>
        </w:tc>
        <w:tc>
          <w:tcPr>
            <w:tcW w:w="308" w:type="dxa"/>
            <w:noWrap/>
            <w:vAlign w:val="bottom"/>
            <w:hideMark/>
          </w:tcPr>
          <w:p w14:paraId="55C7F20B" w14:textId="77777777" w:rsidR="00BE57F4" w:rsidRPr="00A67405" w:rsidRDefault="00BE57F4" w:rsidP="00CD4F3A">
            <w:pPr>
              <w:pStyle w:val="TableText"/>
            </w:pPr>
            <w:r w:rsidRPr="00A67405">
              <w:t>1</w:t>
            </w:r>
          </w:p>
        </w:tc>
        <w:tc>
          <w:tcPr>
            <w:tcW w:w="901" w:type="dxa"/>
            <w:noWrap/>
            <w:vAlign w:val="bottom"/>
            <w:hideMark/>
          </w:tcPr>
          <w:p w14:paraId="729D839C" w14:textId="77777777" w:rsidR="00BE57F4" w:rsidRPr="00A67405" w:rsidRDefault="00BE57F4" w:rsidP="00CD4F3A">
            <w:pPr>
              <w:pStyle w:val="TableText"/>
            </w:pPr>
            <w:r w:rsidRPr="00A67405">
              <w:t>0.894142</w:t>
            </w:r>
          </w:p>
        </w:tc>
        <w:tc>
          <w:tcPr>
            <w:tcW w:w="901" w:type="dxa"/>
            <w:noWrap/>
            <w:vAlign w:val="bottom"/>
            <w:hideMark/>
          </w:tcPr>
          <w:p w14:paraId="1FCEDBEE" w14:textId="77777777" w:rsidR="00BE57F4" w:rsidRPr="00A67405" w:rsidRDefault="00BE57F4" w:rsidP="00CD4F3A">
            <w:pPr>
              <w:pStyle w:val="TableText"/>
            </w:pPr>
            <w:r w:rsidRPr="00A67405">
              <w:t>0.897209</w:t>
            </w:r>
          </w:p>
        </w:tc>
        <w:tc>
          <w:tcPr>
            <w:tcW w:w="901" w:type="dxa"/>
            <w:noWrap/>
            <w:vAlign w:val="bottom"/>
            <w:hideMark/>
          </w:tcPr>
          <w:p w14:paraId="5DD7EE6F" w14:textId="77777777" w:rsidR="00BE57F4" w:rsidRPr="00A67405" w:rsidRDefault="00BE57F4" w:rsidP="00CD4F3A">
            <w:pPr>
              <w:pStyle w:val="TableText"/>
            </w:pPr>
            <w:r w:rsidRPr="00A67405">
              <w:t>0.882495</w:t>
            </w:r>
          </w:p>
        </w:tc>
        <w:tc>
          <w:tcPr>
            <w:tcW w:w="901" w:type="dxa"/>
            <w:noWrap/>
            <w:vAlign w:val="bottom"/>
            <w:hideMark/>
          </w:tcPr>
          <w:p w14:paraId="3FE30246" w14:textId="77777777" w:rsidR="00BE57F4" w:rsidRPr="00A67405" w:rsidRDefault="00BE57F4" w:rsidP="00CD4F3A">
            <w:pPr>
              <w:pStyle w:val="TableText"/>
            </w:pPr>
            <w:r w:rsidRPr="00A67405">
              <w:t>0.84914</w:t>
            </w:r>
          </w:p>
        </w:tc>
        <w:tc>
          <w:tcPr>
            <w:tcW w:w="901" w:type="dxa"/>
            <w:noWrap/>
            <w:vAlign w:val="bottom"/>
            <w:hideMark/>
          </w:tcPr>
          <w:p w14:paraId="02DB0B21" w14:textId="77777777" w:rsidR="00BE57F4" w:rsidRPr="00A67405" w:rsidRDefault="00BE57F4" w:rsidP="00CD4F3A">
            <w:pPr>
              <w:pStyle w:val="TableText"/>
            </w:pPr>
            <w:r w:rsidRPr="00A67405">
              <w:t>0.793376</w:t>
            </w:r>
          </w:p>
        </w:tc>
        <w:tc>
          <w:tcPr>
            <w:tcW w:w="901" w:type="dxa"/>
            <w:noWrap/>
            <w:vAlign w:val="bottom"/>
            <w:hideMark/>
          </w:tcPr>
          <w:p w14:paraId="2846A058" w14:textId="77777777" w:rsidR="00BE57F4" w:rsidRPr="00A67405" w:rsidRDefault="00BE57F4" w:rsidP="00CD4F3A">
            <w:pPr>
              <w:pStyle w:val="TableText"/>
            </w:pPr>
            <w:r w:rsidRPr="00A67405">
              <w:t>0.713156</w:t>
            </w:r>
          </w:p>
        </w:tc>
        <w:tc>
          <w:tcPr>
            <w:tcW w:w="901" w:type="dxa"/>
            <w:noWrap/>
            <w:vAlign w:val="bottom"/>
            <w:hideMark/>
          </w:tcPr>
          <w:p w14:paraId="38822205" w14:textId="77777777" w:rsidR="00BE57F4" w:rsidRPr="00A67405" w:rsidRDefault="00BE57F4" w:rsidP="00CD4F3A">
            <w:pPr>
              <w:pStyle w:val="TableText"/>
            </w:pPr>
            <w:r w:rsidRPr="00A67405">
              <w:t>0.322502</w:t>
            </w:r>
          </w:p>
        </w:tc>
        <w:tc>
          <w:tcPr>
            <w:tcW w:w="536" w:type="dxa"/>
          </w:tcPr>
          <w:p w14:paraId="735FE052" w14:textId="77777777" w:rsidR="00BE57F4" w:rsidRPr="00A67405" w:rsidRDefault="00BE57F4" w:rsidP="00CD4F3A">
            <w:pPr>
              <w:pStyle w:val="TableText"/>
            </w:pPr>
            <w:r w:rsidRPr="00A67405">
              <w:t>0</w:t>
            </w:r>
          </w:p>
        </w:tc>
      </w:tr>
      <w:tr w:rsidR="00BE57F4" w:rsidRPr="00A67405" w14:paraId="4FDED2C7" w14:textId="77777777" w:rsidTr="0002386E">
        <w:trPr>
          <w:trHeight w:val="285"/>
          <w:jc w:val="center"/>
        </w:trPr>
        <w:tc>
          <w:tcPr>
            <w:tcW w:w="1260" w:type="dxa"/>
            <w:noWrap/>
            <w:vAlign w:val="bottom"/>
            <w:hideMark/>
          </w:tcPr>
          <w:p w14:paraId="326F2BFD" w14:textId="77777777" w:rsidR="00BE57F4" w:rsidRPr="00A67405" w:rsidRDefault="00BE57F4" w:rsidP="00CD4F3A">
            <w:pPr>
              <w:pStyle w:val="TableText"/>
            </w:pPr>
            <w:r w:rsidRPr="00A67405">
              <w:t>Bus 07</w:t>
            </w:r>
          </w:p>
        </w:tc>
        <w:tc>
          <w:tcPr>
            <w:tcW w:w="308" w:type="dxa"/>
            <w:noWrap/>
            <w:vAlign w:val="bottom"/>
            <w:hideMark/>
          </w:tcPr>
          <w:p w14:paraId="6DF76991" w14:textId="77777777" w:rsidR="00BE57F4" w:rsidRPr="00A67405" w:rsidRDefault="00BE57F4" w:rsidP="00CD4F3A">
            <w:pPr>
              <w:pStyle w:val="TableText"/>
            </w:pPr>
            <w:r w:rsidRPr="00A67405">
              <w:t>1</w:t>
            </w:r>
          </w:p>
        </w:tc>
        <w:tc>
          <w:tcPr>
            <w:tcW w:w="901" w:type="dxa"/>
            <w:noWrap/>
            <w:vAlign w:val="bottom"/>
            <w:hideMark/>
          </w:tcPr>
          <w:p w14:paraId="4799C5A7" w14:textId="77777777" w:rsidR="00BE57F4" w:rsidRPr="00A67405" w:rsidRDefault="00BE57F4" w:rsidP="00CD4F3A">
            <w:pPr>
              <w:pStyle w:val="TableText"/>
            </w:pPr>
            <w:r w:rsidRPr="00A67405">
              <w:t>0.894253</w:t>
            </w:r>
          </w:p>
        </w:tc>
        <w:tc>
          <w:tcPr>
            <w:tcW w:w="901" w:type="dxa"/>
            <w:noWrap/>
            <w:vAlign w:val="bottom"/>
            <w:hideMark/>
          </w:tcPr>
          <w:p w14:paraId="714079BF" w14:textId="77777777" w:rsidR="00BE57F4" w:rsidRPr="00A67405" w:rsidRDefault="00BE57F4" w:rsidP="00CD4F3A">
            <w:pPr>
              <w:pStyle w:val="TableText"/>
            </w:pPr>
            <w:r w:rsidRPr="00A67405">
              <w:t>0.89576</w:t>
            </w:r>
          </w:p>
        </w:tc>
        <w:tc>
          <w:tcPr>
            <w:tcW w:w="901" w:type="dxa"/>
            <w:noWrap/>
            <w:vAlign w:val="bottom"/>
            <w:hideMark/>
          </w:tcPr>
          <w:p w14:paraId="518B8BAC" w14:textId="77777777" w:rsidR="00BE57F4" w:rsidRPr="00A67405" w:rsidRDefault="00BE57F4" w:rsidP="00CD4F3A">
            <w:pPr>
              <w:pStyle w:val="TableText"/>
            </w:pPr>
            <w:r w:rsidRPr="00A67405">
              <w:t>0.878955</w:t>
            </w:r>
          </w:p>
        </w:tc>
        <w:tc>
          <w:tcPr>
            <w:tcW w:w="901" w:type="dxa"/>
            <w:noWrap/>
            <w:vAlign w:val="bottom"/>
            <w:hideMark/>
          </w:tcPr>
          <w:p w14:paraId="717A25EA" w14:textId="77777777" w:rsidR="00BE57F4" w:rsidRPr="00A67405" w:rsidRDefault="00BE57F4" w:rsidP="00CD4F3A">
            <w:pPr>
              <w:pStyle w:val="TableText"/>
            </w:pPr>
            <w:r w:rsidRPr="00A67405">
              <w:t>0.840615</w:t>
            </w:r>
          </w:p>
        </w:tc>
        <w:tc>
          <w:tcPr>
            <w:tcW w:w="901" w:type="dxa"/>
            <w:noWrap/>
            <w:vAlign w:val="bottom"/>
            <w:hideMark/>
          </w:tcPr>
          <w:p w14:paraId="760D7971" w14:textId="77777777" w:rsidR="00BE57F4" w:rsidRPr="00A67405" w:rsidRDefault="00BE57F4" w:rsidP="00CD4F3A">
            <w:pPr>
              <w:pStyle w:val="TableText"/>
            </w:pPr>
            <w:r w:rsidRPr="00A67405">
              <w:t>0.775682</w:t>
            </w:r>
          </w:p>
        </w:tc>
        <w:tc>
          <w:tcPr>
            <w:tcW w:w="901" w:type="dxa"/>
            <w:noWrap/>
            <w:vAlign w:val="bottom"/>
            <w:hideMark/>
          </w:tcPr>
          <w:p w14:paraId="7DF8D291" w14:textId="77777777" w:rsidR="00BE57F4" w:rsidRPr="00A67405" w:rsidRDefault="00BE57F4" w:rsidP="00CD4F3A">
            <w:pPr>
              <w:pStyle w:val="TableText"/>
            </w:pPr>
            <w:r w:rsidRPr="00A67405">
              <w:t>0.680444</w:t>
            </w:r>
          </w:p>
        </w:tc>
        <w:tc>
          <w:tcPr>
            <w:tcW w:w="901" w:type="dxa"/>
            <w:noWrap/>
            <w:vAlign w:val="bottom"/>
            <w:hideMark/>
          </w:tcPr>
          <w:p w14:paraId="4DB301E1" w14:textId="77777777" w:rsidR="00BE57F4" w:rsidRPr="00A67405" w:rsidRDefault="00BE57F4" w:rsidP="00CD4F3A">
            <w:pPr>
              <w:pStyle w:val="TableText"/>
            </w:pPr>
            <w:r w:rsidRPr="00A67405">
              <w:t>0.185416</w:t>
            </w:r>
          </w:p>
        </w:tc>
        <w:tc>
          <w:tcPr>
            <w:tcW w:w="536" w:type="dxa"/>
          </w:tcPr>
          <w:p w14:paraId="675C02A8" w14:textId="77777777" w:rsidR="00BE57F4" w:rsidRPr="00A67405" w:rsidRDefault="00BE57F4" w:rsidP="00CD4F3A">
            <w:pPr>
              <w:pStyle w:val="TableText"/>
            </w:pPr>
            <w:r w:rsidRPr="00A67405">
              <w:t>0</w:t>
            </w:r>
          </w:p>
        </w:tc>
      </w:tr>
      <w:tr w:rsidR="00BE57F4" w:rsidRPr="00A67405" w14:paraId="45045B97" w14:textId="77777777" w:rsidTr="0002386E">
        <w:trPr>
          <w:trHeight w:val="285"/>
          <w:jc w:val="center"/>
        </w:trPr>
        <w:tc>
          <w:tcPr>
            <w:tcW w:w="1260" w:type="dxa"/>
            <w:noWrap/>
            <w:vAlign w:val="bottom"/>
            <w:hideMark/>
          </w:tcPr>
          <w:p w14:paraId="3248FDC7" w14:textId="77777777" w:rsidR="00BE57F4" w:rsidRPr="00A67405" w:rsidRDefault="00BE57F4" w:rsidP="00CD4F3A">
            <w:pPr>
              <w:pStyle w:val="TableText"/>
            </w:pPr>
            <w:r w:rsidRPr="00A67405">
              <w:t>Bus 08</w:t>
            </w:r>
          </w:p>
        </w:tc>
        <w:tc>
          <w:tcPr>
            <w:tcW w:w="308" w:type="dxa"/>
            <w:noWrap/>
            <w:vAlign w:val="bottom"/>
            <w:hideMark/>
          </w:tcPr>
          <w:p w14:paraId="353C7AD5" w14:textId="77777777" w:rsidR="00BE57F4" w:rsidRPr="00A67405" w:rsidRDefault="00BE57F4" w:rsidP="00CD4F3A">
            <w:pPr>
              <w:pStyle w:val="TableText"/>
            </w:pPr>
            <w:r w:rsidRPr="00A67405">
              <w:t>1</w:t>
            </w:r>
          </w:p>
        </w:tc>
        <w:tc>
          <w:tcPr>
            <w:tcW w:w="901" w:type="dxa"/>
            <w:noWrap/>
            <w:vAlign w:val="bottom"/>
            <w:hideMark/>
          </w:tcPr>
          <w:p w14:paraId="6C41186A" w14:textId="77777777" w:rsidR="00BE57F4" w:rsidRPr="00A67405" w:rsidRDefault="00BE57F4" w:rsidP="00CD4F3A">
            <w:pPr>
              <w:pStyle w:val="TableText"/>
            </w:pPr>
            <w:r w:rsidRPr="00A67405">
              <w:t>0.893776</w:t>
            </w:r>
          </w:p>
        </w:tc>
        <w:tc>
          <w:tcPr>
            <w:tcW w:w="901" w:type="dxa"/>
            <w:noWrap/>
            <w:vAlign w:val="bottom"/>
            <w:hideMark/>
          </w:tcPr>
          <w:p w14:paraId="18528EF3" w14:textId="77777777" w:rsidR="00BE57F4" w:rsidRPr="00A67405" w:rsidRDefault="00BE57F4" w:rsidP="00CD4F3A">
            <w:pPr>
              <w:pStyle w:val="TableText"/>
            </w:pPr>
            <w:r w:rsidRPr="00A67405">
              <w:t>0.894737</w:t>
            </w:r>
          </w:p>
        </w:tc>
        <w:tc>
          <w:tcPr>
            <w:tcW w:w="901" w:type="dxa"/>
            <w:noWrap/>
            <w:vAlign w:val="bottom"/>
            <w:hideMark/>
          </w:tcPr>
          <w:p w14:paraId="3242BE3F" w14:textId="77777777" w:rsidR="00BE57F4" w:rsidRPr="00A67405" w:rsidRDefault="00BE57F4" w:rsidP="00CD4F3A">
            <w:pPr>
              <w:pStyle w:val="TableText"/>
            </w:pPr>
            <w:r w:rsidRPr="00A67405">
              <w:t>0.876247</w:t>
            </w:r>
          </w:p>
        </w:tc>
        <w:tc>
          <w:tcPr>
            <w:tcW w:w="901" w:type="dxa"/>
            <w:noWrap/>
            <w:vAlign w:val="bottom"/>
            <w:hideMark/>
          </w:tcPr>
          <w:p w14:paraId="458932AE" w14:textId="77777777" w:rsidR="00BE57F4" w:rsidRPr="00A67405" w:rsidRDefault="00BE57F4" w:rsidP="00CD4F3A">
            <w:pPr>
              <w:pStyle w:val="TableText"/>
            </w:pPr>
            <w:r w:rsidRPr="00A67405">
              <w:t>0.835002</w:t>
            </w:r>
          </w:p>
        </w:tc>
        <w:tc>
          <w:tcPr>
            <w:tcW w:w="901" w:type="dxa"/>
            <w:noWrap/>
            <w:vAlign w:val="bottom"/>
            <w:hideMark/>
          </w:tcPr>
          <w:p w14:paraId="3B6A151A" w14:textId="77777777" w:rsidR="00BE57F4" w:rsidRPr="00A67405" w:rsidRDefault="00BE57F4" w:rsidP="00CD4F3A">
            <w:pPr>
              <w:pStyle w:val="TableText"/>
            </w:pPr>
            <w:r w:rsidRPr="00A67405">
              <w:t>0.76521</w:t>
            </w:r>
          </w:p>
        </w:tc>
        <w:tc>
          <w:tcPr>
            <w:tcW w:w="901" w:type="dxa"/>
            <w:noWrap/>
            <w:vAlign w:val="bottom"/>
            <w:hideMark/>
          </w:tcPr>
          <w:p w14:paraId="6FB862C1" w14:textId="77777777" w:rsidR="00BE57F4" w:rsidRPr="00A67405" w:rsidRDefault="00BE57F4" w:rsidP="00CD4F3A">
            <w:pPr>
              <w:pStyle w:val="TableText"/>
            </w:pPr>
            <w:r w:rsidRPr="00A67405">
              <w:t>0.66241</w:t>
            </w:r>
          </w:p>
        </w:tc>
        <w:tc>
          <w:tcPr>
            <w:tcW w:w="901" w:type="dxa"/>
            <w:noWrap/>
            <w:vAlign w:val="bottom"/>
            <w:hideMark/>
          </w:tcPr>
          <w:p w14:paraId="0FB17DED" w14:textId="77777777" w:rsidR="00BE57F4" w:rsidRPr="00A67405" w:rsidRDefault="00BE57F4" w:rsidP="00CD4F3A">
            <w:pPr>
              <w:pStyle w:val="TableText"/>
            </w:pPr>
            <w:r w:rsidRPr="00A67405">
              <w:t>0.149858</w:t>
            </w:r>
          </w:p>
        </w:tc>
        <w:tc>
          <w:tcPr>
            <w:tcW w:w="536" w:type="dxa"/>
          </w:tcPr>
          <w:p w14:paraId="2738B1A9" w14:textId="77777777" w:rsidR="00BE57F4" w:rsidRPr="00A67405" w:rsidRDefault="00BE57F4" w:rsidP="00CD4F3A">
            <w:pPr>
              <w:pStyle w:val="TableText"/>
            </w:pPr>
            <w:r w:rsidRPr="00A67405">
              <w:t>0</w:t>
            </w:r>
          </w:p>
        </w:tc>
      </w:tr>
      <w:tr w:rsidR="00BE57F4" w:rsidRPr="00A67405" w14:paraId="04766771" w14:textId="77777777" w:rsidTr="0002386E">
        <w:trPr>
          <w:trHeight w:val="285"/>
          <w:jc w:val="center"/>
        </w:trPr>
        <w:tc>
          <w:tcPr>
            <w:tcW w:w="1260" w:type="dxa"/>
            <w:noWrap/>
            <w:vAlign w:val="bottom"/>
            <w:hideMark/>
          </w:tcPr>
          <w:p w14:paraId="533A765D" w14:textId="77777777" w:rsidR="00BE57F4" w:rsidRPr="00A67405" w:rsidRDefault="00BE57F4" w:rsidP="00CD4F3A">
            <w:pPr>
              <w:pStyle w:val="TableText"/>
            </w:pPr>
            <w:r w:rsidRPr="00A67405">
              <w:t>Bus 12</w:t>
            </w:r>
          </w:p>
        </w:tc>
        <w:tc>
          <w:tcPr>
            <w:tcW w:w="308" w:type="dxa"/>
            <w:noWrap/>
            <w:vAlign w:val="bottom"/>
            <w:hideMark/>
          </w:tcPr>
          <w:p w14:paraId="04DBA4B5" w14:textId="77777777" w:rsidR="00BE57F4" w:rsidRPr="00A67405" w:rsidRDefault="00BE57F4" w:rsidP="00CD4F3A">
            <w:pPr>
              <w:pStyle w:val="TableText"/>
            </w:pPr>
            <w:r w:rsidRPr="00A67405">
              <w:t>1</w:t>
            </w:r>
          </w:p>
        </w:tc>
        <w:tc>
          <w:tcPr>
            <w:tcW w:w="901" w:type="dxa"/>
            <w:noWrap/>
            <w:vAlign w:val="bottom"/>
            <w:hideMark/>
          </w:tcPr>
          <w:p w14:paraId="794A5BD6" w14:textId="77777777" w:rsidR="00BE57F4" w:rsidRPr="00A67405" w:rsidRDefault="00BE57F4" w:rsidP="00CD4F3A">
            <w:pPr>
              <w:pStyle w:val="TableText"/>
            </w:pPr>
            <w:r w:rsidRPr="00A67405">
              <w:t>0.890489</w:t>
            </w:r>
          </w:p>
        </w:tc>
        <w:tc>
          <w:tcPr>
            <w:tcW w:w="901" w:type="dxa"/>
            <w:noWrap/>
            <w:vAlign w:val="bottom"/>
            <w:hideMark/>
          </w:tcPr>
          <w:p w14:paraId="34B227C4" w14:textId="77777777" w:rsidR="00BE57F4" w:rsidRPr="00A67405" w:rsidRDefault="00BE57F4" w:rsidP="00CD4F3A">
            <w:pPr>
              <w:pStyle w:val="TableText"/>
            </w:pPr>
            <w:r w:rsidRPr="00A67405">
              <w:t>0.891969</w:t>
            </w:r>
          </w:p>
        </w:tc>
        <w:tc>
          <w:tcPr>
            <w:tcW w:w="901" w:type="dxa"/>
            <w:noWrap/>
            <w:vAlign w:val="bottom"/>
            <w:hideMark/>
          </w:tcPr>
          <w:p w14:paraId="31AC49F8" w14:textId="77777777" w:rsidR="00BE57F4" w:rsidRPr="00A67405" w:rsidRDefault="00BE57F4" w:rsidP="00CD4F3A">
            <w:pPr>
              <w:pStyle w:val="TableText"/>
            </w:pPr>
            <w:r w:rsidRPr="00A67405">
              <w:t>0.877725</w:t>
            </w:r>
          </w:p>
        </w:tc>
        <w:tc>
          <w:tcPr>
            <w:tcW w:w="901" w:type="dxa"/>
            <w:noWrap/>
            <w:vAlign w:val="bottom"/>
            <w:hideMark/>
          </w:tcPr>
          <w:p w14:paraId="399E78AD" w14:textId="77777777" w:rsidR="00BE57F4" w:rsidRPr="00A67405" w:rsidRDefault="00BE57F4" w:rsidP="00CD4F3A">
            <w:pPr>
              <w:pStyle w:val="TableText"/>
            </w:pPr>
            <w:r w:rsidRPr="00A67405">
              <w:t>0.846878</w:t>
            </w:r>
          </w:p>
        </w:tc>
        <w:tc>
          <w:tcPr>
            <w:tcW w:w="901" w:type="dxa"/>
            <w:noWrap/>
            <w:vAlign w:val="bottom"/>
            <w:hideMark/>
          </w:tcPr>
          <w:p w14:paraId="0F884690" w14:textId="77777777" w:rsidR="00BE57F4" w:rsidRPr="00A67405" w:rsidRDefault="00BE57F4" w:rsidP="00CD4F3A">
            <w:pPr>
              <w:pStyle w:val="TableText"/>
            </w:pPr>
            <w:r w:rsidRPr="00A67405">
              <w:t>0.7963</w:t>
            </w:r>
          </w:p>
        </w:tc>
        <w:tc>
          <w:tcPr>
            <w:tcW w:w="901" w:type="dxa"/>
            <w:noWrap/>
            <w:vAlign w:val="bottom"/>
            <w:hideMark/>
          </w:tcPr>
          <w:p w14:paraId="7A07C140" w14:textId="77777777" w:rsidR="00BE57F4" w:rsidRPr="00A67405" w:rsidRDefault="00BE57F4" w:rsidP="00CD4F3A">
            <w:pPr>
              <w:pStyle w:val="TableText"/>
            </w:pPr>
            <w:r w:rsidRPr="00A67405">
              <w:t>0.724676</w:t>
            </w:r>
          </w:p>
        </w:tc>
        <w:tc>
          <w:tcPr>
            <w:tcW w:w="901" w:type="dxa"/>
            <w:noWrap/>
            <w:vAlign w:val="bottom"/>
            <w:hideMark/>
          </w:tcPr>
          <w:p w14:paraId="168DA445" w14:textId="77777777" w:rsidR="00BE57F4" w:rsidRPr="00A67405" w:rsidRDefault="00BE57F4" w:rsidP="00CD4F3A">
            <w:pPr>
              <w:pStyle w:val="TableText"/>
            </w:pPr>
            <w:r w:rsidRPr="00A67405">
              <w:t>0.301757</w:t>
            </w:r>
          </w:p>
        </w:tc>
        <w:tc>
          <w:tcPr>
            <w:tcW w:w="536" w:type="dxa"/>
          </w:tcPr>
          <w:p w14:paraId="52E3B3D2" w14:textId="77777777" w:rsidR="00BE57F4" w:rsidRPr="00A67405" w:rsidRDefault="00BE57F4" w:rsidP="00CD4F3A">
            <w:pPr>
              <w:pStyle w:val="TableText"/>
            </w:pPr>
            <w:r w:rsidRPr="00A67405">
              <w:t>0</w:t>
            </w:r>
          </w:p>
        </w:tc>
      </w:tr>
      <w:tr w:rsidR="00BE57F4" w:rsidRPr="00A67405" w14:paraId="6FE283B7" w14:textId="77777777" w:rsidTr="0002386E">
        <w:trPr>
          <w:trHeight w:val="285"/>
          <w:jc w:val="center"/>
        </w:trPr>
        <w:tc>
          <w:tcPr>
            <w:tcW w:w="1260" w:type="dxa"/>
            <w:noWrap/>
            <w:vAlign w:val="bottom"/>
            <w:hideMark/>
          </w:tcPr>
          <w:p w14:paraId="4D6B1FF5" w14:textId="77777777" w:rsidR="00BE57F4" w:rsidRPr="00A67405" w:rsidRDefault="00BE57F4" w:rsidP="00CD4F3A">
            <w:pPr>
              <w:pStyle w:val="TableText"/>
            </w:pPr>
            <w:r w:rsidRPr="00A67405">
              <w:t>Bus 15</w:t>
            </w:r>
          </w:p>
        </w:tc>
        <w:tc>
          <w:tcPr>
            <w:tcW w:w="308" w:type="dxa"/>
            <w:noWrap/>
            <w:vAlign w:val="bottom"/>
            <w:hideMark/>
          </w:tcPr>
          <w:p w14:paraId="21B5E5E7" w14:textId="77777777" w:rsidR="00BE57F4" w:rsidRPr="00A67405" w:rsidRDefault="00BE57F4" w:rsidP="00CD4F3A">
            <w:pPr>
              <w:pStyle w:val="TableText"/>
            </w:pPr>
            <w:r w:rsidRPr="00A67405">
              <w:t>1</w:t>
            </w:r>
          </w:p>
        </w:tc>
        <w:tc>
          <w:tcPr>
            <w:tcW w:w="901" w:type="dxa"/>
            <w:noWrap/>
            <w:vAlign w:val="bottom"/>
            <w:hideMark/>
          </w:tcPr>
          <w:p w14:paraId="5A4197F9" w14:textId="77777777" w:rsidR="00BE57F4" w:rsidRPr="00A67405" w:rsidRDefault="00BE57F4" w:rsidP="00CD4F3A">
            <w:pPr>
              <w:pStyle w:val="TableText"/>
            </w:pPr>
            <w:r w:rsidRPr="00A67405">
              <w:t>0.898721</w:t>
            </w:r>
          </w:p>
        </w:tc>
        <w:tc>
          <w:tcPr>
            <w:tcW w:w="901" w:type="dxa"/>
            <w:noWrap/>
            <w:vAlign w:val="bottom"/>
            <w:hideMark/>
          </w:tcPr>
          <w:p w14:paraId="2170091F" w14:textId="77777777" w:rsidR="00BE57F4" w:rsidRPr="00A67405" w:rsidRDefault="00BE57F4" w:rsidP="00CD4F3A">
            <w:pPr>
              <w:pStyle w:val="TableText"/>
            </w:pPr>
            <w:r w:rsidRPr="00A67405">
              <w:t>0.908368</w:t>
            </w:r>
          </w:p>
        </w:tc>
        <w:tc>
          <w:tcPr>
            <w:tcW w:w="901" w:type="dxa"/>
            <w:noWrap/>
            <w:vAlign w:val="bottom"/>
            <w:hideMark/>
          </w:tcPr>
          <w:p w14:paraId="621A9FAF" w14:textId="77777777" w:rsidR="00BE57F4" w:rsidRPr="00A67405" w:rsidRDefault="00BE57F4" w:rsidP="00CD4F3A">
            <w:pPr>
              <w:pStyle w:val="TableText"/>
            </w:pPr>
            <w:r w:rsidRPr="00A67405">
              <w:t>0.898648</w:t>
            </w:r>
          </w:p>
        </w:tc>
        <w:tc>
          <w:tcPr>
            <w:tcW w:w="901" w:type="dxa"/>
            <w:noWrap/>
            <w:vAlign w:val="bottom"/>
            <w:hideMark/>
          </w:tcPr>
          <w:p w14:paraId="326CE9F8" w14:textId="77777777" w:rsidR="00BE57F4" w:rsidRPr="00A67405" w:rsidRDefault="00BE57F4" w:rsidP="00CD4F3A">
            <w:pPr>
              <w:pStyle w:val="TableText"/>
            </w:pPr>
            <w:r w:rsidRPr="00A67405">
              <w:t>0.8739</w:t>
            </w:r>
          </w:p>
        </w:tc>
        <w:tc>
          <w:tcPr>
            <w:tcW w:w="901" w:type="dxa"/>
            <w:noWrap/>
            <w:vAlign w:val="bottom"/>
            <w:hideMark/>
          </w:tcPr>
          <w:p w14:paraId="1758B06E" w14:textId="77777777" w:rsidR="00BE57F4" w:rsidRPr="00A67405" w:rsidRDefault="00BE57F4" w:rsidP="00CD4F3A">
            <w:pPr>
              <w:pStyle w:val="TableText"/>
            </w:pPr>
            <w:r w:rsidRPr="00A67405">
              <w:t>0.832365</w:t>
            </w:r>
          </w:p>
        </w:tc>
        <w:tc>
          <w:tcPr>
            <w:tcW w:w="901" w:type="dxa"/>
            <w:noWrap/>
            <w:vAlign w:val="bottom"/>
            <w:hideMark/>
          </w:tcPr>
          <w:p w14:paraId="40751D90" w14:textId="77777777" w:rsidR="00BE57F4" w:rsidRPr="00A67405" w:rsidRDefault="00BE57F4" w:rsidP="00CD4F3A">
            <w:pPr>
              <w:pStyle w:val="TableText"/>
            </w:pPr>
            <w:r w:rsidRPr="00A67405">
              <w:t>0.773823</w:t>
            </w:r>
          </w:p>
        </w:tc>
        <w:tc>
          <w:tcPr>
            <w:tcW w:w="901" w:type="dxa"/>
            <w:noWrap/>
            <w:vAlign w:val="bottom"/>
            <w:hideMark/>
          </w:tcPr>
          <w:p w14:paraId="67FC0097" w14:textId="77777777" w:rsidR="00BE57F4" w:rsidRPr="00A67405" w:rsidRDefault="00BE57F4" w:rsidP="00CD4F3A">
            <w:pPr>
              <w:pStyle w:val="TableText"/>
            </w:pPr>
            <w:r w:rsidRPr="00A67405">
              <w:t>0.545371</w:t>
            </w:r>
          </w:p>
        </w:tc>
        <w:tc>
          <w:tcPr>
            <w:tcW w:w="536" w:type="dxa"/>
          </w:tcPr>
          <w:p w14:paraId="49AF948B" w14:textId="77777777" w:rsidR="00BE57F4" w:rsidRPr="00A67405" w:rsidRDefault="00BE57F4" w:rsidP="00CD4F3A">
            <w:pPr>
              <w:pStyle w:val="TableText"/>
            </w:pPr>
            <w:r w:rsidRPr="00A67405">
              <w:t>0</w:t>
            </w:r>
          </w:p>
        </w:tc>
      </w:tr>
      <w:tr w:rsidR="00BE57F4" w:rsidRPr="00A67405" w14:paraId="6A09517C" w14:textId="77777777" w:rsidTr="0002386E">
        <w:trPr>
          <w:trHeight w:val="285"/>
          <w:jc w:val="center"/>
        </w:trPr>
        <w:tc>
          <w:tcPr>
            <w:tcW w:w="1260" w:type="dxa"/>
            <w:noWrap/>
            <w:vAlign w:val="bottom"/>
            <w:hideMark/>
          </w:tcPr>
          <w:p w14:paraId="5FE400E9" w14:textId="77777777" w:rsidR="00BE57F4" w:rsidRPr="00A67405" w:rsidRDefault="00BE57F4" w:rsidP="00CD4F3A">
            <w:pPr>
              <w:pStyle w:val="TableText"/>
            </w:pPr>
            <w:r w:rsidRPr="00A67405">
              <w:t>Bus 16</w:t>
            </w:r>
          </w:p>
        </w:tc>
        <w:tc>
          <w:tcPr>
            <w:tcW w:w="308" w:type="dxa"/>
            <w:noWrap/>
            <w:vAlign w:val="bottom"/>
            <w:hideMark/>
          </w:tcPr>
          <w:p w14:paraId="4903C72E" w14:textId="77777777" w:rsidR="00BE57F4" w:rsidRPr="00A67405" w:rsidRDefault="00BE57F4" w:rsidP="00CD4F3A">
            <w:pPr>
              <w:pStyle w:val="TableText"/>
            </w:pPr>
            <w:r w:rsidRPr="00A67405">
              <w:t>1</w:t>
            </w:r>
          </w:p>
        </w:tc>
        <w:tc>
          <w:tcPr>
            <w:tcW w:w="901" w:type="dxa"/>
            <w:noWrap/>
            <w:vAlign w:val="bottom"/>
            <w:hideMark/>
          </w:tcPr>
          <w:p w14:paraId="30FD1610" w14:textId="77777777" w:rsidR="00BE57F4" w:rsidRPr="00A67405" w:rsidRDefault="00BE57F4" w:rsidP="00CD4F3A">
            <w:pPr>
              <w:pStyle w:val="TableText"/>
            </w:pPr>
            <w:r w:rsidRPr="00A67405">
              <w:t>0.916457</w:t>
            </w:r>
          </w:p>
        </w:tc>
        <w:tc>
          <w:tcPr>
            <w:tcW w:w="901" w:type="dxa"/>
            <w:noWrap/>
            <w:vAlign w:val="bottom"/>
            <w:hideMark/>
          </w:tcPr>
          <w:p w14:paraId="7844424B" w14:textId="77777777" w:rsidR="00BE57F4" w:rsidRPr="00A67405" w:rsidRDefault="00BE57F4" w:rsidP="00CD4F3A">
            <w:pPr>
              <w:pStyle w:val="TableText"/>
            </w:pPr>
            <w:r w:rsidRPr="00A67405">
              <w:t>0.929284</w:t>
            </w:r>
          </w:p>
        </w:tc>
        <w:tc>
          <w:tcPr>
            <w:tcW w:w="901" w:type="dxa"/>
            <w:noWrap/>
            <w:vAlign w:val="bottom"/>
            <w:hideMark/>
          </w:tcPr>
          <w:p w14:paraId="6DB03952" w14:textId="77777777" w:rsidR="00BE57F4" w:rsidRPr="00A67405" w:rsidRDefault="00BE57F4" w:rsidP="00CD4F3A">
            <w:pPr>
              <w:pStyle w:val="TableText"/>
            </w:pPr>
            <w:r w:rsidRPr="00A67405">
              <w:t>0.923728</w:t>
            </w:r>
          </w:p>
        </w:tc>
        <w:tc>
          <w:tcPr>
            <w:tcW w:w="901" w:type="dxa"/>
            <w:noWrap/>
            <w:vAlign w:val="bottom"/>
            <w:hideMark/>
          </w:tcPr>
          <w:p w14:paraId="1C93E538" w14:textId="77777777" w:rsidR="00BE57F4" w:rsidRPr="00A67405" w:rsidRDefault="00BE57F4" w:rsidP="00CD4F3A">
            <w:pPr>
              <w:pStyle w:val="TableText"/>
            </w:pPr>
            <w:r w:rsidRPr="00A67405">
              <w:t>0.905529</w:t>
            </w:r>
          </w:p>
        </w:tc>
        <w:tc>
          <w:tcPr>
            <w:tcW w:w="901" w:type="dxa"/>
            <w:noWrap/>
            <w:vAlign w:val="bottom"/>
            <w:hideMark/>
          </w:tcPr>
          <w:p w14:paraId="70CD5481" w14:textId="77777777" w:rsidR="00BE57F4" w:rsidRPr="00A67405" w:rsidRDefault="00BE57F4" w:rsidP="00CD4F3A">
            <w:pPr>
              <w:pStyle w:val="TableText"/>
            </w:pPr>
            <w:r w:rsidRPr="00A67405">
              <w:t>0.873865</w:t>
            </w:r>
          </w:p>
        </w:tc>
        <w:tc>
          <w:tcPr>
            <w:tcW w:w="901" w:type="dxa"/>
            <w:noWrap/>
            <w:vAlign w:val="bottom"/>
            <w:hideMark/>
          </w:tcPr>
          <w:p w14:paraId="102FDDCA" w14:textId="77777777" w:rsidR="00BE57F4" w:rsidRPr="00A67405" w:rsidRDefault="00BE57F4" w:rsidP="00CD4F3A">
            <w:pPr>
              <w:pStyle w:val="TableText"/>
            </w:pPr>
            <w:r w:rsidRPr="00A67405">
              <w:t>0.828842</w:t>
            </w:r>
          </w:p>
        </w:tc>
        <w:tc>
          <w:tcPr>
            <w:tcW w:w="901" w:type="dxa"/>
            <w:noWrap/>
            <w:vAlign w:val="bottom"/>
            <w:hideMark/>
          </w:tcPr>
          <w:p w14:paraId="175C4ADA" w14:textId="77777777" w:rsidR="00BE57F4" w:rsidRPr="00A67405" w:rsidRDefault="00BE57F4" w:rsidP="00CD4F3A">
            <w:pPr>
              <w:pStyle w:val="TableText"/>
            </w:pPr>
            <w:r w:rsidRPr="00A67405">
              <w:t>0.674393</w:t>
            </w:r>
          </w:p>
        </w:tc>
        <w:tc>
          <w:tcPr>
            <w:tcW w:w="536" w:type="dxa"/>
          </w:tcPr>
          <w:p w14:paraId="4AB05713" w14:textId="77777777" w:rsidR="00BE57F4" w:rsidRPr="00A67405" w:rsidRDefault="00BE57F4" w:rsidP="00CD4F3A">
            <w:pPr>
              <w:pStyle w:val="TableText"/>
            </w:pPr>
            <w:r w:rsidRPr="00A67405">
              <w:t>0</w:t>
            </w:r>
          </w:p>
        </w:tc>
      </w:tr>
      <w:tr w:rsidR="00BE57F4" w:rsidRPr="00A67405" w14:paraId="57EB0B11" w14:textId="77777777" w:rsidTr="0002386E">
        <w:trPr>
          <w:trHeight w:val="285"/>
          <w:jc w:val="center"/>
        </w:trPr>
        <w:tc>
          <w:tcPr>
            <w:tcW w:w="1260" w:type="dxa"/>
            <w:noWrap/>
            <w:vAlign w:val="bottom"/>
            <w:hideMark/>
          </w:tcPr>
          <w:p w14:paraId="0287FD3C" w14:textId="77777777" w:rsidR="00BE57F4" w:rsidRPr="00A67405" w:rsidRDefault="00BE57F4" w:rsidP="00CD4F3A">
            <w:pPr>
              <w:pStyle w:val="TableText"/>
            </w:pPr>
            <w:r w:rsidRPr="00A67405">
              <w:t>Bus 18</w:t>
            </w:r>
          </w:p>
        </w:tc>
        <w:tc>
          <w:tcPr>
            <w:tcW w:w="308" w:type="dxa"/>
            <w:noWrap/>
            <w:vAlign w:val="bottom"/>
            <w:hideMark/>
          </w:tcPr>
          <w:p w14:paraId="360A8B96" w14:textId="77777777" w:rsidR="00BE57F4" w:rsidRPr="00A67405" w:rsidRDefault="00BE57F4" w:rsidP="00CD4F3A">
            <w:pPr>
              <w:pStyle w:val="TableText"/>
            </w:pPr>
            <w:r w:rsidRPr="00A67405">
              <w:t>1</w:t>
            </w:r>
          </w:p>
        </w:tc>
        <w:tc>
          <w:tcPr>
            <w:tcW w:w="901" w:type="dxa"/>
            <w:noWrap/>
            <w:vAlign w:val="bottom"/>
            <w:hideMark/>
          </w:tcPr>
          <w:p w14:paraId="4D99DA74" w14:textId="77777777" w:rsidR="00BE57F4" w:rsidRPr="00A67405" w:rsidRDefault="00BE57F4" w:rsidP="00CD4F3A">
            <w:pPr>
              <w:pStyle w:val="TableText"/>
            </w:pPr>
            <w:r w:rsidRPr="00A67405">
              <w:t>0.916084</w:t>
            </w:r>
          </w:p>
        </w:tc>
        <w:tc>
          <w:tcPr>
            <w:tcW w:w="901" w:type="dxa"/>
            <w:noWrap/>
            <w:vAlign w:val="bottom"/>
            <w:hideMark/>
          </w:tcPr>
          <w:p w14:paraId="225E6045" w14:textId="77777777" w:rsidR="00BE57F4" w:rsidRPr="00A67405" w:rsidRDefault="00BE57F4" w:rsidP="00CD4F3A">
            <w:pPr>
              <w:pStyle w:val="TableText"/>
            </w:pPr>
            <w:r w:rsidRPr="00A67405">
              <w:t>0.924542</w:t>
            </w:r>
          </w:p>
        </w:tc>
        <w:tc>
          <w:tcPr>
            <w:tcW w:w="901" w:type="dxa"/>
            <w:noWrap/>
            <w:vAlign w:val="bottom"/>
            <w:hideMark/>
          </w:tcPr>
          <w:p w14:paraId="199FFF86" w14:textId="77777777" w:rsidR="00BE57F4" w:rsidRPr="00A67405" w:rsidRDefault="00BE57F4" w:rsidP="00CD4F3A">
            <w:pPr>
              <w:pStyle w:val="TableText"/>
            </w:pPr>
            <w:r w:rsidRPr="00A67405">
              <w:t>0.913674</w:t>
            </w:r>
          </w:p>
        </w:tc>
        <w:tc>
          <w:tcPr>
            <w:tcW w:w="901" w:type="dxa"/>
            <w:noWrap/>
            <w:vAlign w:val="bottom"/>
            <w:hideMark/>
          </w:tcPr>
          <w:p w14:paraId="2A1A83F5" w14:textId="77777777" w:rsidR="00BE57F4" w:rsidRPr="00A67405" w:rsidRDefault="00BE57F4" w:rsidP="00CD4F3A">
            <w:pPr>
              <w:pStyle w:val="TableText"/>
            </w:pPr>
            <w:r w:rsidRPr="00A67405">
              <w:t>0.88672</w:t>
            </w:r>
          </w:p>
        </w:tc>
        <w:tc>
          <w:tcPr>
            <w:tcW w:w="901" w:type="dxa"/>
            <w:noWrap/>
            <w:vAlign w:val="bottom"/>
            <w:hideMark/>
          </w:tcPr>
          <w:p w14:paraId="56452465" w14:textId="77777777" w:rsidR="00BE57F4" w:rsidRPr="00A67405" w:rsidRDefault="00BE57F4" w:rsidP="00CD4F3A">
            <w:pPr>
              <w:pStyle w:val="TableText"/>
            </w:pPr>
            <w:r w:rsidRPr="00A67405">
              <w:t>0.840936</w:t>
            </w:r>
          </w:p>
        </w:tc>
        <w:tc>
          <w:tcPr>
            <w:tcW w:w="901" w:type="dxa"/>
            <w:noWrap/>
            <w:vAlign w:val="bottom"/>
            <w:hideMark/>
          </w:tcPr>
          <w:p w14:paraId="35922117" w14:textId="77777777" w:rsidR="00BE57F4" w:rsidRPr="00A67405" w:rsidRDefault="00BE57F4" w:rsidP="00CD4F3A">
            <w:pPr>
              <w:pStyle w:val="TableText"/>
            </w:pPr>
            <w:r w:rsidRPr="00A67405">
              <w:t>0.775157</w:t>
            </w:r>
          </w:p>
        </w:tc>
        <w:tc>
          <w:tcPr>
            <w:tcW w:w="901" w:type="dxa"/>
            <w:noWrap/>
            <w:vAlign w:val="bottom"/>
            <w:hideMark/>
          </w:tcPr>
          <w:p w14:paraId="420C467F" w14:textId="77777777" w:rsidR="00BE57F4" w:rsidRPr="00A67405" w:rsidRDefault="00BE57F4" w:rsidP="00CD4F3A">
            <w:pPr>
              <w:pStyle w:val="TableText"/>
            </w:pPr>
            <w:r w:rsidRPr="00A67405">
              <w:t>0.546329</w:t>
            </w:r>
          </w:p>
        </w:tc>
        <w:tc>
          <w:tcPr>
            <w:tcW w:w="536" w:type="dxa"/>
          </w:tcPr>
          <w:p w14:paraId="6BF9597D" w14:textId="77777777" w:rsidR="00BE57F4" w:rsidRPr="00A67405" w:rsidRDefault="00BE57F4" w:rsidP="00CD4F3A">
            <w:pPr>
              <w:pStyle w:val="TableText"/>
            </w:pPr>
            <w:r w:rsidRPr="00A67405">
              <w:t>0</w:t>
            </w:r>
          </w:p>
        </w:tc>
      </w:tr>
      <w:tr w:rsidR="00BE57F4" w:rsidRPr="00A67405" w14:paraId="2B07157F" w14:textId="77777777" w:rsidTr="0002386E">
        <w:trPr>
          <w:trHeight w:val="285"/>
          <w:jc w:val="center"/>
        </w:trPr>
        <w:tc>
          <w:tcPr>
            <w:tcW w:w="1260" w:type="dxa"/>
            <w:noWrap/>
            <w:vAlign w:val="bottom"/>
            <w:hideMark/>
          </w:tcPr>
          <w:p w14:paraId="6F147259" w14:textId="77777777" w:rsidR="00BE57F4" w:rsidRPr="00A67405" w:rsidRDefault="00BE57F4" w:rsidP="00CD4F3A">
            <w:pPr>
              <w:pStyle w:val="TableText"/>
            </w:pPr>
            <w:r w:rsidRPr="00A67405">
              <w:t>Bus 20</w:t>
            </w:r>
          </w:p>
        </w:tc>
        <w:tc>
          <w:tcPr>
            <w:tcW w:w="308" w:type="dxa"/>
            <w:noWrap/>
            <w:vAlign w:val="bottom"/>
            <w:hideMark/>
          </w:tcPr>
          <w:p w14:paraId="7E73C51A" w14:textId="77777777" w:rsidR="00BE57F4" w:rsidRPr="00A67405" w:rsidRDefault="00BE57F4" w:rsidP="00CD4F3A">
            <w:pPr>
              <w:pStyle w:val="TableText"/>
            </w:pPr>
            <w:r w:rsidRPr="00A67405">
              <w:t>1</w:t>
            </w:r>
          </w:p>
        </w:tc>
        <w:tc>
          <w:tcPr>
            <w:tcW w:w="901" w:type="dxa"/>
            <w:noWrap/>
            <w:vAlign w:val="bottom"/>
            <w:hideMark/>
          </w:tcPr>
          <w:p w14:paraId="3A5D718E" w14:textId="77777777" w:rsidR="00BE57F4" w:rsidRPr="00A67405" w:rsidRDefault="00BE57F4" w:rsidP="00CD4F3A">
            <w:pPr>
              <w:pStyle w:val="TableText"/>
            </w:pPr>
            <w:r w:rsidRPr="00A67405">
              <w:t>0.96133</w:t>
            </w:r>
          </w:p>
        </w:tc>
        <w:tc>
          <w:tcPr>
            <w:tcW w:w="901" w:type="dxa"/>
            <w:noWrap/>
            <w:vAlign w:val="bottom"/>
            <w:hideMark/>
          </w:tcPr>
          <w:p w14:paraId="2DDA18D9" w14:textId="77777777" w:rsidR="00BE57F4" w:rsidRPr="00A67405" w:rsidRDefault="00BE57F4" w:rsidP="00CD4F3A">
            <w:pPr>
              <w:pStyle w:val="TableText"/>
            </w:pPr>
            <w:r w:rsidRPr="00A67405">
              <w:t>0.964451</w:t>
            </w:r>
          </w:p>
        </w:tc>
        <w:tc>
          <w:tcPr>
            <w:tcW w:w="901" w:type="dxa"/>
            <w:noWrap/>
            <w:vAlign w:val="bottom"/>
            <w:hideMark/>
          </w:tcPr>
          <w:p w14:paraId="22F80284" w14:textId="77777777" w:rsidR="00BE57F4" w:rsidRPr="00A67405" w:rsidRDefault="00BE57F4" w:rsidP="00CD4F3A">
            <w:pPr>
              <w:pStyle w:val="TableText"/>
            </w:pPr>
            <w:r w:rsidRPr="00A67405">
              <w:t>0.961718</w:t>
            </w:r>
          </w:p>
        </w:tc>
        <w:tc>
          <w:tcPr>
            <w:tcW w:w="901" w:type="dxa"/>
            <w:noWrap/>
            <w:vAlign w:val="bottom"/>
            <w:hideMark/>
          </w:tcPr>
          <w:p w14:paraId="1F8558F2" w14:textId="77777777" w:rsidR="00BE57F4" w:rsidRPr="00A67405" w:rsidRDefault="00BE57F4" w:rsidP="00CD4F3A">
            <w:pPr>
              <w:pStyle w:val="TableText"/>
            </w:pPr>
            <w:r w:rsidRPr="00A67405">
              <w:t>0.955033</w:t>
            </w:r>
          </w:p>
        </w:tc>
        <w:tc>
          <w:tcPr>
            <w:tcW w:w="901" w:type="dxa"/>
            <w:noWrap/>
            <w:vAlign w:val="bottom"/>
            <w:hideMark/>
          </w:tcPr>
          <w:p w14:paraId="59B21155" w14:textId="77777777" w:rsidR="00BE57F4" w:rsidRPr="00A67405" w:rsidRDefault="00BE57F4" w:rsidP="00CD4F3A">
            <w:pPr>
              <w:pStyle w:val="TableText"/>
            </w:pPr>
            <w:r w:rsidRPr="00A67405">
              <w:t>0.944474</w:t>
            </w:r>
          </w:p>
        </w:tc>
        <w:tc>
          <w:tcPr>
            <w:tcW w:w="901" w:type="dxa"/>
            <w:noWrap/>
            <w:vAlign w:val="bottom"/>
            <w:hideMark/>
          </w:tcPr>
          <w:p w14:paraId="1F4FC66B" w14:textId="77777777" w:rsidR="00BE57F4" w:rsidRPr="00A67405" w:rsidRDefault="00BE57F4" w:rsidP="00CD4F3A">
            <w:pPr>
              <w:pStyle w:val="TableText"/>
            </w:pPr>
            <w:r w:rsidRPr="00A67405">
              <w:t>0.930674</w:t>
            </w:r>
          </w:p>
        </w:tc>
        <w:tc>
          <w:tcPr>
            <w:tcW w:w="901" w:type="dxa"/>
            <w:noWrap/>
            <w:vAlign w:val="bottom"/>
            <w:hideMark/>
          </w:tcPr>
          <w:p w14:paraId="527BB6DC" w14:textId="77777777" w:rsidR="00BE57F4" w:rsidRPr="00A67405" w:rsidRDefault="00BE57F4" w:rsidP="00CD4F3A">
            <w:pPr>
              <w:pStyle w:val="TableText"/>
            </w:pPr>
            <w:r w:rsidRPr="00A67405">
              <w:t>0.893284</w:t>
            </w:r>
          </w:p>
        </w:tc>
        <w:tc>
          <w:tcPr>
            <w:tcW w:w="536" w:type="dxa"/>
          </w:tcPr>
          <w:p w14:paraId="6F22F467" w14:textId="77777777" w:rsidR="00BE57F4" w:rsidRPr="00A67405" w:rsidRDefault="00BE57F4" w:rsidP="00CD4F3A">
            <w:pPr>
              <w:pStyle w:val="TableText"/>
            </w:pPr>
            <w:r w:rsidRPr="00A67405">
              <w:t>0</w:t>
            </w:r>
          </w:p>
        </w:tc>
      </w:tr>
      <w:tr w:rsidR="00BE57F4" w:rsidRPr="00A67405" w14:paraId="2552FA2C" w14:textId="77777777" w:rsidTr="0002386E">
        <w:trPr>
          <w:trHeight w:val="285"/>
          <w:jc w:val="center"/>
        </w:trPr>
        <w:tc>
          <w:tcPr>
            <w:tcW w:w="1260" w:type="dxa"/>
            <w:noWrap/>
            <w:vAlign w:val="bottom"/>
            <w:hideMark/>
          </w:tcPr>
          <w:p w14:paraId="49D06933" w14:textId="77777777" w:rsidR="00BE57F4" w:rsidRPr="00A67405" w:rsidRDefault="00BE57F4" w:rsidP="00CD4F3A">
            <w:pPr>
              <w:pStyle w:val="TableText"/>
            </w:pPr>
            <w:r w:rsidRPr="00A67405">
              <w:t>Bus 21</w:t>
            </w:r>
          </w:p>
        </w:tc>
        <w:tc>
          <w:tcPr>
            <w:tcW w:w="308" w:type="dxa"/>
            <w:noWrap/>
            <w:vAlign w:val="bottom"/>
            <w:hideMark/>
          </w:tcPr>
          <w:p w14:paraId="5B60AEFB" w14:textId="77777777" w:rsidR="00BE57F4" w:rsidRPr="00A67405" w:rsidRDefault="00BE57F4" w:rsidP="00CD4F3A">
            <w:pPr>
              <w:pStyle w:val="TableText"/>
            </w:pPr>
            <w:r w:rsidRPr="00A67405">
              <w:t>1</w:t>
            </w:r>
          </w:p>
        </w:tc>
        <w:tc>
          <w:tcPr>
            <w:tcW w:w="901" w:type="dxa"/>
            <w:noWrap/>
            <w:vAlign w:val="bottom"/>
            <w:hideMark/>
          </w:tcPr>
          <w:p w14:paraId="2725AAC7" w14:textId="77777777" w:rsidR="00BE57F4" w:rsidRPr="00A67405" w:rsidRDefault="00BE57F4" w:rsidP="00CD4F3A">
            <w:pPr>
              <w:pStyle w:val="TableText"/>
            </w:pPr>
            <w:r w:rsidRPr="00A67405">
              <w:t>0.917304</w:t>
            </w:r>
          </w:p>
        </w:tc>
        <w:tc>
          <w:tcPr>
            <w:tcW w:w="901" w:type="dxa"/>
            <w:noWrap/>
            <w:vAlign w:val="bottom"/>
            <w:hideMark/>
          </w:tcPr>
          <w:p w14:paraId="6B1554BB" w14:textId="77777777" w:rsidR="00BE57F4" w:rsidRPr="00A67405" w:rsidRDefault="00BE57F4" w:rsidP="00CD4F3A">
            <w:pPr>
              <w:pStyle w:val="TableText"/>
            </w:pPr>
            <w:r w:rsidRPr="00A67405">
              <w:t>0.93143</w:t>
            </w:r>
          </w:p>
        </w:tc>
        <w:tc>
          <w:tcPr>
            <w:tcW w:w="901" w:type="dxa"/>
            <w:noWrap/>
            <w:vAlign w:val="bottom"/>
            <w:hideMark/>
          </w:tcPr>
          <w:p w14:paraId="2C606BDE" w14:textId="77777777" w:rsidR="00BE57F4" w:rsidRPr="00A67405" w:rsidRDefault="00BE57F4" w:rsidP="00CD4F3A">
            <w:pPr>
              <w:pStyle w:val="TableText"/>
            </w:pPr>
            <w:r w:rsidRPr="00A67405">
              <w:t>0.928088</w:t>
            </w:r>
          </w:p>
        </w:tc>
        <w:tc>
          <w:tcPr>
            <w:tcW w:w="901" w:type="dxa"/>
            <w:noWrap/>
            <w:vAlign w:val="bottom"/>
            <w:hideMark/>
          </w:tcPr>
          <w:p w14:paraId="0A16E6B6" w14:textId="77777777" w:rsidR="00BE57F4" w:rsidRPr="00A67405" w:rsidRDefault="00BE57F4" w:rsidP="00CD4F3A">
            <w:pPr>
              <w:pStyle w:val="TableText"/>
            </w:pPr>
            <w:r w:rsidRPr="00A67405">
              <w:t>0.91434</w:t>
            </w:r>
          </w:p>
        </w:tc>
        <w:tc>
          <w:tcPr>
            <w:tcW w:w="901" w:type="dxa"/>
            <w:noWrap/>
            <w:vAlign w:val="bottom"/>
            <w:hideMark/>
          </w:tcPr>
          <w:p w14:paraId="2B9D9D66" w14:textId="77777777" w:rsidR="00BE57F4" w:rsidRPr="00A67405" w:rsidRDefault="00BE57F4" w:rsidP="00CD4F3A">
            <w:pPr>
              <w:pStyle w:val="TableText"/>
            </w:pPr>
            <w:r w:rsidRPr="00A67405">
              <w:t>0.8902</w:t>
            </w:r>
          </w:p>
        </w:tc>
        <w:tc>
          <w:tcPr>
            <w:tcW w:w="901" w:type="dxa"/>
            <w:noWrap/>
            <w:vAlign w:val="bottom"/>
            <w:hideMark/>
          </w:tcPr>
          <w:p w14:paraId="58AC1E41" w14:textId="77777777" w:rsidR="00BE57F4" w:rsidRPr="00A67405" w:rsidRDefault="00BE57F4" w:rsidP="00CD4F3A">
            <w:pPr>
              <w:pStyle w:val="TableText"/>
            </w:pPr>
            <w:r w:rsidRPr="00A67405">
              <w:t>0.856246</w:t>
            </w:r>
          </w:p>
        </w:tc>
        <w:tc>
          <w:tcPr>
            <w:tcW w:w="901" w:type="dxa"/>
            <w:noWrap/>
            <w:vAlign w:val="bottom"/>
            <w:hideMark/>
          </w:tcPr>
          <w:p w14:paraId="5E119966" w14:textId="77777777" w:rsidR="00BE57F4" w:rsidRPr="00A67405" w:rsidRDefault="00BE57F4" w:rsidP="00CD4F3A">
            <w:pPr>
              <w:pStyle w:val="TableText"/>
            </w:pPr>
            <w:r w:rsidRPr="00A67405">
              <w:t>0.758724</w:t>
            </w:r>
          </w:p>
        </w:tc>
        <w:tc>
          <w:tcPr>
            <w:tcW w:w="536" w:type="dxa"/>
          </w:tcPr>
          <w:p w14:paraId="6436CC92" w14:textId="77777777" w:rsidR="00BE57F4" w:rsidRPr="00A67405" w:rsidRDefault="00BE57F4" w:rsidP="00CD4F3A">
            <w:pPr>
              <w:pStyle w:val="TableText"/>
            </w:pPr>
            <w:r w:rsidRPr="00A67405">
              <w:t>0</w:t>
            </w:r>
          </w:p>
        </w:tc>
      </w:tr>
      <w:tr w:rsidR="00BE57F4" w:rsidRPr="00A67405" w14:paraId="69D5F118" w14:textId="77777777" w:rsidTr="0002386E">
        <w:trPr>
          <w:trHeight w:val="285"/>
          <w:jc w:val="center"/>
        </w:trPr>
        <w:tc>
          <w:tcPr>
            <w:tcW w:w="1260" w:type="dxa"/>
            <w:noWrap/>
            <w:vAlign w:val="bottom"/>
            <w:hideMark/>
          </w:tcPr>
          <w:p w14:paraId="7B542A7F" w14:textId="77777777" w:rsidR="00BE57F4" w:rsidRPr="00A67405" w:rsidRDefault="00BE57F4" w:rsidP="00CD4F3A">
            <w:pPr>
              <w:pStyle w:val="TableText"/>
            </w:pPr>
            <w:r w:rsidRPr="00A67405">
              <w:t>Bus 23</w:t>
            </w:r>
          </w:p>
        </w:tc>
        <w:tc>
          <w:tcPr>
            <w:tcW w:w="308" w:type="dxa"/>
            <w:noWrap/>
            <w:vAlign w:val="bottom"/>
            <w:hideMark/>
          </w:tcPr>
          <w:p w14:paraId="66EF3309" w14:textId="77777777" w:rsidR="00BE57F4" w:rsidRPr="00A67405" w:rsidRDefault="00BE57F4" w:rsidP="00CD4F3A">
            <w:pPr>
              <w:pStyle w:val="TableText"/>
            </w:pPr>
            <w:r w:rsidRPr="00A67405">
              <w:t>1</w:t>
            </w:r>
          </w:p>
        </w:tc>
        <w:tc>
          <w:tcPr>
            <w:tcW w:w="901" w:type="dxa"/>
            <w:noWrap/>
            <w:vAlign w:val="bottom"/>
            <w:hideMark/>
          </w:tcPr>
          <w:p w14:paraId="0185C580" w14:textId="77777777" w:rsidR="00BE57F4" w:rsidRPr="00A67405" w:rsidRDefault="00BE57F4" w:rsidP="00CD4F3A">
            <w:pPr>
              <w:pStyle w:val="TableText"/>
            </w:pPr>
            <w:r w:rsidRPr="00A67405">
              <w:t>0.941073</w:t>
            </w:r>
          </w:p>
        </w:tc>
        <w:tc>
          <w:tcPr>
            <w:tcW w:w="901" w:type="dxa"/>
            <w:noWrap/>
            <w:vAlign w:val="bottom"/>
            <w:hideMark/>
          </w:tcPr>
          <w:p w14:paraId="03F68231" w14:textId="77777777" w:rsidR="00BE57F4" w:rsidRPr="00A67405" w:rsidRDefault="00BE57F4" w:rsidP="00CD4F3A">
            <w:pPr>
              <w:pStyle w:val="TableText"/>
            </w:pPr>
            <w:r w:rsidRPr="00A67405">
              <w:t>0.953906</w:t>
            </w:r>
          </w:p>
        </w:tc>
        <w:tc>
          <w:tcPr>
            <w:tcW w:w="901" w:type="dxa"/>
            <w:noWrap/>
            <w:vAlign w:val="bottom"/>
            <w:hideMark/>
          </w:tcPr>
          <w:p w14:paraId="22ED383E" w14:textId="77777777" w:rsidR="00BE57F4" w:rsidRPr="00A67405" w:rsidRDefault="00BE57F4" w:rsidP="00CD4F3A">
            <w:pPr>
              <w:pStyle w:val="TableText"/>
            </w:pPr>
            <w:r w:rsidRPr="00A67405">
              <w:t>0.953496</w:t>
            </w:r>
          </w:p>
        </w:tc>
        <w:tc>
          <w:tcPr>
            <w:tcW w:w="901" w:type="dxa"/>
            <w:noWrap/>
            <w:vAlign w:val="bottom"/>
            <w:hideMark/>
          </w:tcPr>
          <w:p w14:paraId="01936878" w14:textId="77777777" w:rsidR="00BE57F4" w:rsidRPr="00A67405" w:rsidRDefault="00BE57F4" w:rsidP="00CD4F3A">
            <w:pPr>
              <w:pStyle w:val="TableText"/>
            </w:pPr>
            <w:r w:rsidRPr="00A67405">
              <w:t>0.946378</w:t>
            </w:r>
          </w:p>
        </w:tc>
        <w:tc>
          <w:tcPr>
            <w:tcW w:w="901" w:type="dxa"/>
            <w:noWrap/>
            <w:vAlign w:val="bottom"/>
            <w:hideMark/>
          </w:tcPr>
          <w:p w14:paraId="0F1B71CA" w14:textId="77777777" w:rsidR="00BE57F4" w:rsidRPr="00A67405" w:rsidRDefault="00BE57F4" w:rsidP="00CD4F3A">
            <w:pPr>
              <w:pStyle w:val="TableText"/>
            </w:pPr>
            <w:r w:rsidRPr="00A67405">
              <w:t>0.933129</w:t>
            </w:r>
          </w:p>
        </w:tc>
        <w:tc>
          <w:tcPr>
            <w:tcW w:w="901" w:type="dxa"/>
            <w:noWrap/>
            <w:vAlign w:val="bottom"/>
            <w:hideMark/>
          </w:tcPr>
          <w:p w14:paraId="2AE91855" w14:textId="77777777" w:rsidR="00BE57F4" w:rsidRPr="00A67405" w:rsidRDefault="00BE57F4" w:rsidP="00CD4F3A">
            <w:pPr>
              <w:pStyle w:val="TableText"/>
            </w:pPr>
            <w:r w:rsidRPr="00A67405">
              <w:t>0.91436</w:t>
            </w:r>
          </w:p>
        </w:tc>
        <w:tc>
          <w:tcPr>
            <w:tcW w:w="901" w:type="dxa"/>
            <w:noWrap/>
            <w:vAlign w:val="bottom"/>
            <w:hideMark/>
          </w:tcPr>
          <w:p w14:paraId="4B573637" w14:textId="77777777" w:rsidR="00BE57F4" w:rsidRPr="00A67405" w:rsidRDefault="00BE57F4" w:rsidP="00CD4F3A">
            <w:pPr>
              <w:pStyle w:val="TableText"/>
            </w:pPr>
            <w:r w:rsidRPr="00A67405">
              <w:t>0.870828</w:t>
            </w:r>
          </w:p>
        </w:tc>
        <w:tc>
          <w:tcPr>
            <w:tcW w:w="536" w:type="dxa"/>
          </w:tcPr>
          <w:p w14:paraId="6BC7C4CE" w14:textId="77777777" w:rsidR="00BE57F4" w:rsidRPr="00A67405" w:rsidRDefault="00BE57F4" w:rsidP="00CD4F3A">
            <w:pPr>
              <w:pStyle w:val="TableText"/>
            </w:pPr>
            <w:r w:rsidRPr="00A67405">
              <w:t>0</w:t>
            </w:r>
          </w:p>
        </w:tc>
      </w:tr>
      <w:tr w:rsidR="00BE57F4" w:rsidRPr="00A67405" w14:paraId="0E31CDB3" w14:textId="77777777" w:rsidTr="0002386E">
        <w:trPr>
          <w:trHeight w:val="285"/>
          <w:jc w:val="center"/>
        </w:trPr>
        <w:tc>
          <w:tcPr>
            <w:tcW w:w="1260" w:type="dxa"/>
            <w:noWrap/>
            <w:vAlign w:val="bottom"/>
            <w:hideMark/>
          </w:tcPr>
          <w:p w14:paraId="4F8F130A" w14:textId="77777777" w:rsidR="00BE57F4" w:rsidRPr="00A67405" w:rsidRDefault="00BE57F4" w:rsidP="00CD4F3A">
            <w:pPr>
              <w:pStyle w:val="TableText"/>
            </w:pPr>
            <w:r w:rsidRPr="00A67405">
              <w:t>Bus 24</w:t>
            </w:r>
          </w:p>
        </w:tc>
        <w:tc>
          <w:tcPr>
            <w:tcW w:w="308" w:type="dxa"/>
            <w:noWrap/>
            <w:vAlign w:val="bottom"/>
            <w:hideMark/>
          </w:tcPr>
          <w:p w14:paraId="3EDA40FF" w14:textId="77777777" w:rsidR="00BE57F4" w:rsidRPr="00A67405" w:rsidRDefault="00BE57F4" w:rsidP="00CD4F3A">
            <w:pPr>
              <w:pStyle w:val="TableText"/>
            </w:pPr>
            <w:r w:rsidRPr="00A67405">
              <w:t>1</w:t>
            </w:r>
          </w:p>
        </w:tc>
        <w:tc>
          <w:tcPr>
            <w:tcW w:w="901" w:type="dxa"/>
            <w:noWrap/>
            <w:vAlign w:val="bottom"/>
            <w:hideMark/>
          </w:tcPr>
          <w:p w14:paraId="55FC52B9" w14:textId="77777777" w:rsidR="00BE57F4" w:rsidRPr="00A67405" w:rsidRDefault="00BE57F4" w:rsidP="00CD4F3A">
            <w:pPr>
              <w:pStyle w:val="TableText"/>
            </w:pPr>
            <w:r w:rsidRPr="00A67405">
              <w:t>0.921339</w:t>
            </w:r>
          </w:p>
        </w:tc>
        <w:tc>
          <w:tcPr>
            <w:tcW w:w="901" w:type="dxa"/>
            <w:noWrap/>
            <w:vAlign w:val="bottom"/>
            <w:hideMark/>
          </w:tcPr>
          <w:p w14:paraId="4BFE661D" w14:textId="77777777" w:rsidR="00BE57F4" w:rsidRPr="00A67405" w:rsidRDefault="00BE57F4" w:rsidP="00CD4F3A">
            <w:pPr>
              <w:pStyle w:val="TableText"/>
            </w:pPr>
            <w:r w:rsidRPr="00A67405">
              <w:t>0.936393</w:t>
            </w:r>
          </w:p>
        </w:tc>
        <w:tc>
          <w:tcPr>
            <w:tcW w:w="901" w:type="dxa"/>
            <w:noWrap/>
            <w:vAlign w:val="bottom"/>
            <w:hideMark/>
          </w:tcPr>
          <w:p w14:paraId="79A03761" w14:textId="77777777" w:rsidR="00BE57F4" w:rsidRPr="00A67405" w:rsidRDefault="00BE57F4" w:rsidP="00CD4F3A">
            <w:pPr>
              <w:pStyle w:val="TableText"/>
            </w:pPr>
            <w:r w:rsidRPr="00A67405">
              <w:t>0.932827</w:t>
            </w:r>
          </w:p>
        </w:tc>
        <w:tc>
          <w:tcPr>
            <w:tcW w:w="901" w:type="dxa"/>
            <w:noWrap/>
            <w:vAlign w:val="bottom"/>
            <w:hideMark/>
          </w:tcPr>
          <w:p w14:paraId="12798412" w14:textId="77777777" w:rsidR="00BE57F4" w:rsidRPr="00A67405" w:rsidRDefault="00BE57F4" w:rsidP="00CD4F3A">
            <w:pPr>
              <w:pStyle w:val="TableText"/>
            </w:pPr>
            <w:r w:rsidRPr="00A67405">
              <w:t>0.917345</w:t>
            </w:r>
          </w:p>
        </w:tc>
        <w:tc>
          <w:tcPr>
            <w:tcW w:w="901" w:type="dxa"/>
            <w:noWrap/>
            <w:vAlign w:val="bottom"/>
            <w:hideMark/>
          </w:tcPr>
          <w:p w14:paraId="5ACC5585" w14:textId="77777777" w:rsidR="00BE57F4" w:rsidRPr="00A67405" w:rsidRDefault="00BE57F4" w:rsidP="00CD4F3A">
            <w:pPr>
              <w:pStyle w:val="TableText"/>
            </w:pPr>
            <w:r w:rsidRPr="00A67405">
              <w:t>0.889546</w:t>
            </w:r>
          </w:p>
        </w:tc>
        <w:tc>
          <w:tcPr>
            <w:tcW w:w="901" w:type="dxa"/>
            <w:noWrap/>
            <w:vAlign w:val="bottom"/>
            <w:hideMark/>
          </w:tcPr>
          <w:p w14:paraId="6BF9A4E2" w14:textId="77777777" w:rsidR="00BE57F4" w:rsidRPr="00A67405" w:rsidRDefault="00BE57F4" w:rsidP="00CD4F3A">
            <w:pPr>
              <w:pStyle w:val="TableText"/>
            </w:pPr>
            <w:r w:rsidRPr="00A67405">
              <w:t>0.849614</w:t>
            </w:r>
          </w:p>
        </w:tc>
        <w:tc>
          <w:tcPr>
            <w:tcW w:w="901" w:type="dxa"/>
            <w:noWrap/>
            <w:vAlign w:val="bottom"/>
            <w:hideMark/>
          </w:tcPr>
          <w:p w14:paraId="63375C93" w14:textId="77777777" w:rsidR="00BE57F4" w:rsidRPr="00A67405" w:rsidRDefault="00BE57F4" w:rsidP="00CD4F3A">
            <w:pPr>
              <w:pStyle w:val="TableText"/>
            </w:pPr>
            <w:r w:rsidRPr="00A67405">
              <w:t>0.713596</w:t>
            </w:r>
          </w:p>
        </w:tc>
        <w:tc>
          <w:tcPr>
            <w:tcW w:w="536" w:type="dxa"/>
          </w:tcPr>
          <w:p w14:paraId="5DE75196" w14:textId="77777777" w:rsidR="00BE57F4" w:rsidRPr="00A67405" w:rsidRDefault="00BE57F4" w:rsidP="00CD4F3A">
            <w:pPr>
              <w:pStyle w:val="TableText"/>
            </w:pPr>
            <w:r w:rsidRPr="00A67405">
              <w:t>0</w:t>
            </w:r>
          </w:p>
        </w:tc>
      </w:tr>
      <w:tr w:rsidR="00BE57F4" w:rsidRPr="00A67405" w14:paraId="4B24BD43" w14:textId="77777777" w:rsidTr="0002386E">
        <w:trPr>
          <w:trHeight w:val="285"/>
          <w:jc w:val="center"/>
        </w:trPr>
        <w:tc>
          <w:tcPr>
            <w:tcW w:w="1260" w:type="dxa"/>
            <w:noWrap/>
            <w:vAlign w:val="bottom"/>
            <w:hideMark/>
          </w:tcPr>
          <w:p w14:paraId="27ACF637" w14:textId="77777777" w:rsidR="00BE57F4" w:rsidRPr="00A67405" w:rsidRDefault="00BE57F4" w:rsidP="00CD4F3A">
            <w:pPr>
              <w:pStyle w:val="TableText"/>
            </w:pPr>
            <w:r w:rsidRPr="00A67405">
              <w:t>Bus 25</w:t>
            </w:r>
          </w:p>
        </w:tc>
        <w:tc>
          <w:tcPr>
            <w:tcW w:w="308" w:type="dxa"/>
            <w:noWrap/>
            <w:vAlign w:val="bottom"/>
            <w:hideMark/>
          </w:tcPr>
          <w:p w14:paraId="316E5993" w14:textId="77777777" w:rsidR="00BE57F4" w:rsidRPr="00A67405" w:rsidRDefault="00BE57F4" w:rsidP="00CD4F3A">
            <w:pPr>
              <w:pStyle w:val="TableText"/>
            </w:pPr>
            <w:r w:rsidRPr="00A67405">
              <w:t>1</w:t>
            </w:r>
          </w:p>
        </w:tc>
        <w:tc>
          <w:tcPr>
            <w:tcW w:w="901" w:type="dxa"/>
            <w:noWrap/>
            <w:vAlign w:val="bottom"/>
            <w:hideMark/>
          </w:tcPr>
          <w:p w14:paraId="716F1BB7" w14:textId="77777777" w:rsidR="00BE57F4" w:rsidRPr="00A67405" w:rsidRDefault="00BE57F4" w:rsidP="00CD4F3A">
            <w:pPr>
              <w:pStyle w:val="TableText"/>
            </w:pPr>
            <w:r w:rsidRPr="00A67405">
              <w:t>0.960937</w:t>
            </w:r>
          </w:p>
        </w:tc>
        <w:tc>
          <w:tcPr>
            <w:tcW w:w="901" w:type="dxa"/>
            <w:noWrap/>
            <w:vAlign w:val="bottom"/>
            <w:hideMark/>
          </w:tcPr>
          <w:p w14:paraId="4E8727FA" w14:textId="77777777" w:rsidR="00BE57F4" w:rsidRPr="00A67405" w:rsidRDefault="00BE57F4" w:rsidP="00CD4F3A">
            <w:pPr>
              <w:pStyle w:val="TableText"/>
            </w:pPr>
            <w:r w:rsidRPr="00A67405">
              <w:t>0.947801</w:t>
            </w:r>
          </w:p>
        </w:tc>
        <w:tc>
          <w:tcPr>
            <w:tcW w:w="901" w:type="dxa"/>
            <w:noWrap/>
            <w:vAlign w:val="bottom"/>
            <w:hideMark/>
          </w:tcPr>
          <w:p w14:paraId="32157C43" w14:textId="77777777" w:rsidR="00BE57F4" w:rsidRPr="00A67405" w:rsidRDefault="00BE57F4" w:rsidP="00CD4F3A">
            <w:pPr>
              <w:pStyle w:val="TableText"/>
            </w:pPr>
            <w:r w:rsidRPr="00A67405">
              <w:t>0.926895</w:t>
            </w:r>
          </w:p>
        </w:tc>
        <w:tc>
          <w:tcPr>
            <w:tcW w:w="901" w:type="dxa"/>
            <w:noWrap/>
            <w:vAlign w:val="bottom"/>
            <w:hideMark/>
          </w:tcPr>
          <w:p w14:paraId="7D4CD307" w14:textId="77777777" w:rsidR="00BE57F4" w:rsidRPr="00A67405" w:rsidRDefault="00BE57F4" w:rsidP="00CD4F3A">
            <w:pPr>
              <w:pStyle w:val="TableText"/>
            </w:pPr>
            <w:r w:rsidRPr="00A67405">
              <w:t>0.897608</w:t>
            </w:r>
          </w:p>
        </w:tc>
        <w:tc>
          <w:tcPr>
            <w:tcW w:w="901" w:type="dxa"/>
            <w:noWrap/>
            <w:vAlign w:val="bottom"/>
            <w:hideMark/>
          </w:tcPr>
          <w:p w14:paraId="0748B8B2" w14:textId="77777777" w:rsidR="00BE57F4" w:rsidRPr="00A67405" w:rsidRDefault="00BE57F4" w:rsidP="00CD4F3A">
            <w:pPr>
              <w:pStyle w:val="TableText"/>
            </w:pPr>
            <w:r w:rsidRPr="00A67405">
              <w:t>0.854816</w:t>
            </w:r>
          </w:p>
        </w:tc>
        <w:tc>
          <w:tcPr>
            <w:tcW w:w="901" w:type="dxa"/>
            <w:noWrap/>
            <w:vAlign w:val="bottom"/>
            <w:hideMark/>
          </w:tcPr>
          <w:p w14:paraId="0BE22F9A" w14:textId="77777777" w:rsidR="00BE57F4" w:rsidRPr="00A67405" w:rsidRDefault="00BE57F4" w:rsidP="00CD4F3A">
            <w:pPr>
              <w:pStyle w:val="TableText"/>
            </w:pPr>
            <w:r w:rsidRPr="00A67405">
              <w:t>0.797066</w:t>
            </w:r>
          </w:p>
        </w:tc>
        <w:tc>
          <w:tcPr>
            <w:tcW w:w="901" w:type="dxa"/>
            <w:noWrap/>
            <w:vAlign w:val="bottom"/>
            <w:hideMark/>
          </w:tcPr>
          <w:p w14:paraId="7F48DD7D" w14:textId="77777777" w:rsidR="00BE57F4" w:rsidRPr="00A67405" w:rsidRDefault="00BE57F4" w:rsidP="00CD4F3A">
            <w:pPr>
              <w:pStyle w:val="TableText"/>
            </w:pPr>
            <w:r w:rsidRPr="00A67405">
              <w:t>0.632953</w:t>
            </w:r>
          </w:p>
        </w:tc>
        <w:tc>
          <w:tcPr>
            <w:tcW w:w="536" w:type="dxa"/>
          </w:tcPr>
          <w:p w14:paraId="29660D9B" w14:textId="77777777" w:rsidR="00BE57F4" w:rsidRPr="00A67405" w:rsidRDefault="00BE57F4" w:rsidP="00CD4F3A">
            <w:pPr>
              <w:pStyle w:val="TableText"/>
            </w:pPr>
            <w:r w:rsidRPr="00A67405">
              <w:t>0</w:t>
            </w:r>
          </w:p>
        </w:tc>
      </w:tr>
      <w:tr w:rsidR="00BE57F4" w:rsidRPr="00A67405" w14:paraId="2B295453" w14:textId="77777777" w:rsidTr="0002386E">
        <w:trPr>
          <w:trHeight w:val="285"/>
          <w:jc w:val="center"/>
        </w:trPr>
        <w:tc>
          <w:tcPr>
            <w:tcW w:w="1260" w:type="dxa"/>
            <w:noWrap/>
            <w:vAlign w:val="bottom"/>
            <w:hideMark/>
          </w:tcPr>
          <w:p w14:paraId="5B7D97E4" w14:textId="77777777" w:rsidR="00BE57F4" w:rsidRPr="00A67405" w:rsidRDefault="00BE57F4" w:rsidP="00CD4F3A">
            <w:pPr>
              <w:pStyle w:val="TableText"/>
            </w:pPr>
            <w:r w:rsidRPr="00A67405">
              <w:t>Bus 26</w:t>
            </w:r>
          </w:p>
        </w:tc>
        <w:tc>
          <w:tcPr>
            <w:tcW w:w="308" w:type="dxa"/>
            <w:noWrap/>
            <w:vAlign w:val="bottom"/>
            <w:hideMark/>
          </w:tcPr>
          <w:p w14:paraId="7C38FCE3" w14:textId="77777777" w:rsidR="00BE57F4" w:rsidRPr="00A67405" w:rsidRDefault="00BE57F4" w:rsidP="00CD4F3A">
            <w:pPr>
              <w:pStyle w:val="TableText"/>
            </w:pPr>
            <w:r w:rsidRPr="00A67405">
              <w:t>1</w:t>
            </w:r>
          </w:p>
        </w:tc>
        <w:tc>
          <w:tcPr>
            <w:tcW w:w="901" w:type="dxa"/>
            <w:noWrap/>
            <w:vAlign w:val="bottom"/>
            <w:hideMark/>
          </w:tcPr>
          <w:p w14:paraId="314A825B" w14:textId="77777777" w:rsidR="00BE57F4" w:rsidRPr="00A67405" w:rsidRDefault="00BE57F4" w:rsidP="00CD4F3A">
            <w:pPr>
              <w:pStyle w:val="TableText"/>
            </w:pPr>
            <w:r w:rsidRPr="00A67405">
              <w:t>0.934582</w:t>
            </w:r>
          </w:p>
        </w:tc>
        <w:tc>
          <w:tcPr>
            <w:tcW w:w="901" w:type="dxa"/>
            <w:noWrap/>
            <w:vAlign w:val="bottom"/>
            <w:hideMark/>
          </w:tcPr>
          <w:p w14:paraId="1277BA7F" w14:textId="77777777" w:rsidR="00BE57F4" w:rsidRPr="00A67405" w:rsidRDefault="00BE57F4" w:rsidP="00CD4F3A">
            <w:pPr>
              <w:pStyle w:val="TableText"/>
            </w:pPr>
            <w:r w:rsidRPr="00A67405">
              <w:t>0.932553</w:t>
            </w:r>
          </w:p>
        </w:tc>
        <w:tc>
          <w:tcPr>
            <w:tcW w:w="901" w:type="dxa"/>
            <w:noWrap/>
            <w:vAlign w:val="bottom"/>
            <w:hideMark/>
          </w:tcPr>
          <w:p w14:paraId="163A6106" w14:textId="77777777" w:rsidR="00BE57F4" w:rsidRPr="00A67405" w:rsidRDefault="00BE57F4" w:rsidP="00CD4F3A">
            <w:pPr>
              <w:pStyle w:val="TableText"/>
            </w:pPr>
            <w:r w:rsidRPr="00A67405">
              <w:t>0.917122</w:t>
            </w:r>
          </w:p>
        </w:tc>
        <w:tc>
          <w:tcPr>
            <w:tcW w:w="901" w:type="dxa"/>
            <w:noWrap/>
            <w:vAlign w:val="bottom"/>
            <w:hideMark/>
          </w:tcPr>
          <w:p w14:paraId="58A8D036" w14:textId="77777777" w:rsidR="00BE57F4" w:rsidRPr="00A67405" w:rsidRDefault="00BE57F4" w:rsidP="00CD4F3A">
            <w:pPr>
              <w:pStyle w:val="TableText"/>
            </w:pPr>
            <w:r w:rsidRPr="00A67405">
              <w:t>0.89065</w:t>
            </w:r>
          </w:p>
        </w:tc>
        <w:tc>
          <w:tcPr>
            <w:tcW w:w="901" w:type="dxa"/>
            <w:noWrap/>
            <w:vAlign w:val="bottom"/>
            <w:hideMark/>
          </w:tcPr>
          <w:p w14:paraId="5F4887D3" w14:textId="77777777" w:rsidR="00BE57F4" w:rsidRPr="00A67405" w:rsidRDefault="00BE57F4" w:rsidP="00CD4F3A">
            <w:pPr>
              <w:pStyle w:val="TableText"/>
            </w:pPr>
            <w:r w:rsidRPr="00A67405">
              <w:t>0.849719</w:t>
            </w:r>
          </w:p>
        </w:tc>
        <w:tc>
          <w:tcPr>
            <w:tcW w:w="901" w:type="dxa"/>
            <w:noWrap/>
            <w:vAlign w:val="bottom"/>
            <w:hideMark/>
          </w:tcPr>
          <w:p w14:paraId="7C8F8C2E" w14:textId="77777777" w:rsidR="00BE57F4" w:rsidRPr="00A67405" w:rsidRDefault="00BE57F4" w:rsidP="00CD4F3A">
            <w:pPr>
              <w:pStyle w:val="TableText"/>
            </w:pPr>
            <w:r w:rsidRPr="00A67405">
              <w:t>0.793595</w:t>
            </w:r>
          </w:p>
        </w:tc>
        <w:tc>
          <w:tcPr>
            <w:tcW w:w="901" w:type="dxa"/>
            <w:noWrap/>
            <w:vAlign w:val="bottom"/>
            <w:hideMark/>
          </w:tcPr>
          <w:p w14:paraId="2A01BB72" w14:textId="77777777" w:rsidR="00BE57F4" w:rsidRPr="00A67405" w:rsidRDefault="00BE57F4" w:rsidP="00CD4F3A">
            <w:pPr>
              <w:pStyle w:val="TableText"/>
            </w:pPr>
            <w:r w:rsidRPr="00A67405">
              <w:t>0.634255</w:t>
            </w:r>
          </w:p>
        </w:tc>
        <w:tc>
          <w:tcPr>
            <w:tcW w:w="536" w:type="dxa"/>
          </w:tcPr>
          <w:p w14:paraId="1F80CC46" w14:textId="77777777" w:rsidR="00BE57F4" w:rsidRPr="00A67405" w:rsidRDefault="00BE57F4" w:rsidP="00CD4F3A">
            <w:pPr>
              <w:pStyle w:val="TableText"/>
            </w:pPr>
            <w:r w:rsidRPr="00A67405">
              <w:t>0</w:t>
            </w:r>
          </w:p>
        </w:tc>
      </w:tr>
      <w:tr w:rsidR="00BE57F4" w:rsidRPr="00A67405" w14:paraId="01825B9B" w14:textId="77777777" w:rsidTr="0002386E">
        <w:trPr>
          <w:trHeight w:val="285"/>
          <w:jc w:val="center"/>
        </w:trPr>
        <w:tc>
          <w:tcPr>
            <w:tcW w:w="1260" w:type="dxa"/>
            <w:noWrap/>
            <w:vAlign w:val="bottom"/>
            <w:hideMark/>
          </w:tcPr>
          <w:p w14:paraId="6B94C526" w14:textId="77777777" w:rsidR="00BE57F4" w:rsidRPr="00A67405" w:rsidRDefault="00BE57F4" w:rsidP="00CD4F3A">
            <w:pPr>
              <w:pStyle w:val="TableText"/>
            </w:pPr>
            <w:r w:rsidRPr="00A67405">
              <w:t>Bus 27</w:t>
            </w:r>
          </w:p>
        </w:tc>
        <w:tc>
          <w:tcPr>
            <w:tcW w:w="308" w:type="dxa"/>
            <w:noWrap/>
            <w:vAlign w:val="bottom"/>
            <w:hideMark/>
          </w:tcPr>
          <w:p w14:paraId="455C2A35" w14:textId="77777777" w:rsidR="00BE57F4" w:rsidRPr="00A67405" w:rsidRDefault="00BE57F4" w:rsidP="00CD4F3A">
            <w:pPr>
              <w:pStyle w:val="TableText"/>
            </w:pPr>
            <w:r w:rsidRPr="00A67405">
              <w:t>1</w:t>
            </w:r>
          </w:p>
        </w:tc>
        <w:tc>
          <w:tcPr>
            <w:tcW w:w="901" w:type="dxa"/>
            <w:noWrap/>
            <w:vAlign w:val="bottom"/>
            <w:hideMark/>
          </w:tcPr>
          <w:p w14:paraId="7BCC0034" w14:textId="77777777" w:rsidR="00BE57F4" w:rsidRPr="00A67405" w:rsidRDefault="00BE57F4" w:rsidP="00CD4F3A">
            <w:pPr>
              <w:pStyle w:val="TableText"/>
            </w:pPr>
            <w:r w:rsidRPr="00A67405">
              <w:t>0.9176</w:t>
            </w:r>
          </w:p>
        </w:tc>
        <w:tc>
          <w:tcPr>
            <w:tcW w:w="901" w:type="dxa"/>
            <w:noWrap/>
            <w:vAlign w:val="bottom"/>
            <w:hideMark/>
          </w:tcPr>
          <w:p w14:paraId="5C30B9A2" w14:textId="77777777" w:rsidR="00BE57F4" w:rsidRPr="00A67405" w:rsidRDefault="00BE57F4" w:rsidP="00CD4F3A">
            <w:pPr>
              <w:pStyle w:val="TableText"/>
            </w:pPr>
            <w:r w:rsidRPr="00A67405">
              <w:t>0.91915</w:t>
            </w:r>
          </w:p>
        </w:tc>
        <w:tc>
          <w:tcPr>
            <w:tcW w:w="901" w:type="dxa"/>
            <w:noWrap/>
            <w:vAlign w:val="bottom"/>
            <w:hideMark/>
          </w:tcPr>
          <w:p w14:paraId="544E67AC" w14:textId="77777777" w:rsidR="00BE57F4" w:rsidRPr="00A67405" w:rsidRDefault="00BE57F4" w:rsidP="00CD4F3A">
            <w:pPr>
              <w:pStyle w:val="TableText"/>
            </w:pPr>
            <w:r w:rsidRPr="00A67405">
              <w:t>0.904637</w:t>
            </w:r>
          </w:p>
        </w:tc>
        <w:tc>
          <w:tcPr>
            <w:tcW w:w="901" w:type="dxa"/>
            <w:noWrap/>
            <w:vAlign w:val="bottom"/>
            <w:hideMark/>
          </w:tcPr>
          <w:p w14:paraId="5EEC19EF" w14:textId="77777777" w:rsidR="00BE57F4" w:rsidRPr="00A67405" w:rsidRDefault="00BE57F4" w:rsidP="00CD4F3A">
            <w:pPr>
              <w:pStyle w:val="TableText"/>
            </w:pPr>
            <w:r w:rsidRPr="00A67405">
              <w:t>0.877069</w:t>
            </w:r>
          </w:p>
        </w:tc>
        <w:tc>
          <w:tcPr>
            <w:tcW w:w="901" w:type="dxa"/>
            <w:noWrap/>
            <w:vAlign w:val="bottom"/>
            <w:hideMark/>
          </w:tcPr>
          <w:p w14:paraId="22ABC79C" w14:textId="77777777" w:rsidR="00BE57F4" w:rsidRPr="00A67405" w:rsidRDefault="00BE57F4" w:rsidP="00CD4F3A">
            <w:pPr>
              <w:pStyle w:val="TableText"/>
            </w:pPr>
            <w:r w:rsidRPr="00A67405">
              <w:t>0.83335</w:t>
            </w:r>
          </w:p>
        </w:tc>
        <w:tc>
          <w:tcPr>
            <w:tcW w:w="901" w:type="dxa"/>
            <w:noWrap/>
            <w:vAlign w:val="bottom"/>
            <w:hideMark/>
          </w:tcPr>
          <w:p w14:paraId="331560B9" w14:textId="77777777" w:rsidR="00BE57F4" w:rsidRPr="00A67405" w:rsidRDefault="00BE57F4" w:rsidP="00CD4F3A">
            <w:pPr>
              <w:pStyle w:val="TableText"/>
            </w:pPr>
            <w:r w:rsidRPr="00A67405">
              <w:t>0.772811</w:t>
            </w:r>
          </w:p>
        </w:tc>
        <w:tc>
          <w:tcPr>
            <w:tcW w:w="901" w:type="dxa"/>
            <w:noWrap/>
            <w:vAlign w:val="bottom"/>
            <w:hideMark/>
          </w:tcPr>
          <w:p w14:paraId="562C63C2" w14:textId="77777777" w:rsidR="00BE57F4" w:rsidRPr="00A67405" w:rsidRDefault="00BE57F4" w:rsidP="00CD4F3A">
            <w:pPr>
              <w:pStyle w:val="TableText"/>
            </w:pPr>
            <w:r w:rsidRPr="00A67405">
              <w:t>0.590156</w:t>
            </w:r>
          </w:p>
        </w:tc>
        <w:tc>
          <w:tcPr>
            <w:tcW w:w="536" w:type="dxa"/>
          </w:tcPr>
          <w:p w14:paraId="7FFBFF69" w14:textId="77777777" w:rsidR="00BE57F4" w:rsidRPr="00A67405" w:rsidRDefault="00BE57F4" w:rsidP="00CD4F3A">
            <w:pPr>
              <w:pStyle w:val="TableText"/>
            </w:pPr>
            <w:r w:rsidRPr="00A67405">
              <w:t>0</w:t>
            </w:r>
          </w:p>
        </w:tc>
      </w:tr>
      <w:tr w:rsidR="00BE57F4" w:rsidRPr="00A67405" w14:paraId="604A0869" w14:textId="77777777" w:rsidTr="0002386E">
        <w:trPr>
          <w:trHeight w:val="285"/>
          <w:jc w:val="center"/>
        </w:trPr>
        <w:tc>
          <w:tcPr>
            <w:tcW w:w="1260" w:type="dxa"/>
            <w:noWrap/>
            <w:vAlign w:val="bottom"/>
            <w:hideMark/>
          </w:tcPr>
          <w:p w14:paraId="0100F18D" w14:textId="77777777" w:rsidR="00BE57F4" w:rsidRPr="00A67405" w:rsidRDefault="00BE57F4" w:rsidP="00CD4F3A">
            <w:pPr>
              <w:pStyle w:val="TableText"/>
            </w:pPr>
            <w:r w:rsidRPr="00A67405">
              <w:t>Bus 28</w:t>
            </w:r>
          </w:p>
        </w:tc>
        <w:tc>
          <w:tcPr>
            <w:tcW w:w="308" w:type="dxa"/>
            <w:noWrap/>
            <w:vAlign w:val="bottom"/>
            <w:hideMark/>
          </w:tcPr>
          <w:p w14:paraId="1C3F5018" w14:textId="77777777" w:rsidR="00BE57F4" w:rsidRPr="00A67405" w:rsidRDefault="00BE57F4" w:rsidP="00CD4F3A">
            <w:pPr>
              <w:pStyle w:val="TableText"/>
            </w:pPr>
            <w:r w:rsidRPr="00A67405">
              <w:t>1</w:t>
            </w:r>
          </w:p>
        </w:tc>
        <w:tc>
          <w:tcPr>
            <w:tcW w:w="901" w:type="dxa"/>
            <w:noWrap/>
            <w:vAlign w:val="bottom"/>
            <w:hideMark/>
          </w:tcPr>
          <w:p w14:paraId="43F06B97" w14:textId="77777777" w:rsidR="00BE57F4" w:rsidRPr="00A67405" w:rsidRDefault="00BE57F4" w:rsidP="00CD4F3A">
            <w:pPr>
              <w:pStyle w:val="TableText"/>
            </w:pPr>
            <w:r w:rsidRPr="00A67405">
              <w:t>0.949787</w:t>
            </w:r>
          </w:p>
        </w:tc>
        <w:tc>
          <w:tcPr>
            <w:tcW w:w="901" w:type="dxa"/>
            <w:noWrap/>
            <w:vAlign w:val="bottom"/>
            <w:hideMark/>
          </w:tcPr>
          <w:p w14:paraId="795C5A41" w14:textId="77777777" w:rsidR="00BE57F4" w:rsidRPr="00A67405" w:rsidRDefault="00BE57F4" w:rsidP="00CD4F3A">
            <w:pPr>
              <w:pStyle w:val="TableText"/>
            </w:pPr>
            <w:r w:rsidRPr="00A67405">
              <w:t>0.952203</w:t>
            </w:r>
          </w:p>
        </w:tc>
        <w:tc>
          <w:tcPr>
            <w:tcW w:w="901" w:type="dxa"/>
            <w:noWrap/>
            <w:vAlign w:val="bottom"/>
            <w:hideMark/>
          </w:tcPr>
          <w:p w14:paraId="66FF6267" w14:textId="77777777" w:rsidR="00BE57F4" w:rsidRPr="00A67405" w:rsidRDefault="00BE57F4" w:rsidP="00CD4F3A">
            <w:pPr>
              <w:pStyle w:val="TableText"/>
            </w:pPr>
            <w:r w:rsidRPr="00A67405">
              <w:t>0.944299</w:t>
            </w:r>
          </w:p>
        </w:tc>
        <w:tc>
          <w:tcPr>
            <w:tcW w:w="901" w:type="dxa"/>
            <w:noWrap/>
            <w:vAlign w:val="bottom"/>
            <w:hideMark/>
          </w:tcPr>
          <w:p w14:paraId="6E6EEDBF" w14:textId="77777777" w:rsidR="00BE57F4" w:rsidRPr="00A67405" w:rsidRDefault="00BE57F4" w:rsidP="00CD4F3A">
            <w:pPr>
              <w:pStyle w:val="TableText"/>
            </w:pPr>
            <w:r w:rsidRPr="00A67405">
              <w:t>0.929475</w:t>
            </w:r>
          </w:p>
        </w:tc>
        <w:tc>
          <w:tcPr>
            <w:tcW w:w="901" w:type="dxa"/>
            <w:noWrap/>
            <w:vAlign w:val="bottom"/>
            <w:hideMark/>
          </w:tcPr>
          <w:p w14:paraId="30A39A8B" w14:textId="77777777" w:rsidR="00BE57F4" w:rsidRPr="00A67405" w:rsidRDefault="00BE57F4" w:rsidP="00CD4F3A">
            <w:pPr>
              <w:pStyle w:val="TableText"/>
            </w:pPr>
            <w:r w:rsidRPr="00A67405">
              <w:t>0.90638</w:t>
            </w:r>
          </w:p>
        </w:tc>
        <w:tc>
          <w:tcPr>
            <w:tcW w:w="901" w:type="dxa"/>
            <w:noWrap/>
            <w:vAlign w:val="bottom"/>
            <w:hideMark/>
          </w:tcPr>
          <w:p w14:paraId="0F6C9E8A" w14:textId="77777777" w:rsidR="00BE57F4" w:rsidRPr="00A67405" w:rsidRDefault="00BE57F4" w:rsidP="00CD4F3A">
            <w:pPr>
              <w:pStyle w:val="TableText"/>
            </w:pPr>
            <w:r w:rsidRPr="00A67405">
              <w:t>0.875134</w:t>
            </w:r>
          </w:p>
        </w:tc>
        <w:tc>
          <w:tcPr>
            <w:tcW w:w="901" w:type="dxa"/>
            <w:noWrap/>
            <w:vAlign w:val="bottom"/>
            <w:hideMark/>
          </w:tcPr>
          <w:p w14:paraId="550AD804" w14:textId="77777777" w:rsidR="00BE57F4" w:rsidRPr="00A67405" w:rsidRDefault="00BE57F4" w:rsidP="00CD4F3A">
            <w:pPr>
              <w:pStyle w:val="TableText"/>
            </w:pPr>
            <w:r w:rsidRPr="00A67405">
              <w:t>0.790465</w:t>
            </w:r>
          </w:p>
        </w:tc>
        <w:tc>
          <w:tcPr>
            <w:tcW w:w="536" w:type="dxa"/>
          </w:tcPr>
          <w:p w14:paraId="1C0E0106" w14:textId="77777777" w:rsidR="00BE57F4" w:rsidRPr="00A67405" w:rsidRDefault="00BE57F4" w:rsidP="00CD4F3A">
            <w:pPr>
              <w:pStyle w:val="TableText"/>
            </w:pPr>
            <w:r w:rsidRPr="00A67405">
              <w:t>0</w:t>
            </w:r>
          </w:p>
        </w:tc>
      </w:tr>
      <w:tr w:rsidR="00BE57F4" w:rsidRPr="00A67405" w14:paraId="7D0EA6BF" w14:textId="77777777" w:rsidTr="0002386E">
        <w:trPr>
          <w:trHeight w:val="285"/>
          <w:jc w:val="center"/>
        </w:trPr>
        <w:tc>
          <w:tcPr>
            <w:tcW w:w="1260" w:type="dxa"/>
            <w:noWrap/>
            <w:vAlign w:val="bottom"/>
            <w:hideMark/>
          </w:tcPr>
          <w:p w14:paraId="13319E0E" w14:textId="77777777" w:rsidR="00BE57F4" w:rsidRPr="00A67405" w:rsidRDefault="00BE57F4" w:rsidP="00CD4F3A">
            <w:pPr>
              <w:pStyle w:val="TableText"/>
            </w:pPr>
            <w:r w:rsidRPr="00A67405">
              <w:t>Bus 29</w:t>
            </w:r>
          </w:p>
        </w:tc>
        <w:tc>
          <w:tcPr>
            <w:tcW w:w="308" w:type="dxa"/>
            <w:noWrap/>
            <w:vAlign w:val="bottom"/>
            <w:hideMark/>
          </w:tcPr>
          <w:p w14:paraId="718946DD" w14:textId="77777777" w:rsidR="00BE57F4" w:rsidRPr="00A67405" w:rsidRDefault="00BE57F4" w:rsidP="00CD4F3A">
            <w:pPr>
              <w:pStyle w:val="TableText"/>
            </w:pPr>
            <w:r w:rsidRPr="00A67405">
              <w:t>1</w:t>
            </w:r>
          </w:p>
        </w:tc>
        <w:tc>
          <w:tcPr>
            <w:tcW w:w="901" w:type="dxa"/>
            <w:noWrap/>
            <w:vAlign w:val="bottom"/>
            <w:hideMark/>
          </w:tcPr>
          <w:p w14:paraId="3A708CF0" w14:textId="77777777" w:rsidR="00BE57F4" w:rsidRPr="00A67405" w:rsidRDefault="00BE57F4" w:rsidP="00CD4F3A">
            <w:pPr>
              <w:pStyle w:val="TableText"/>
            </w:pPr>
            <w:r w:rsidRPr="00A67405">
              <w:t>0.962451</w:t>
            </w:r>
          </w:p>
        </w:tc>
        <w:tc>
          <w:tcPr>
            <w:tcW w:w="901" w:type="dxa"/>
            <w:noWrap/>
            <w:vAlign w:val="bottom"/>
            <w:hideMark/>
          </w:tcPr>
          <w:p w14:paraId="0ADBA862" w14:textId="77777777" w:rsidR="00BE57F4" w:rsidRPr="00A67405" w:rsidRDefault="00BE57F4" w:rsidP="00CD4F3A">
            <w:pPr>
              <w:pStyle w:val="TableText"/>
            </w:pPr>
            <w:r w:rsidRPr="00A67405">
              <w:t>0.965361</w:t>
            </w:r>
          </w:p>
        </w:tc>
        <w:tc>
          <w:tcPr>
            <w:tcW w:w="901" w:type="dxa"/>
            <w:noWrap/>
            <w:vAlign w:val="bottom"/>
            <w:hideMark/>
          </w:tcPr>
          <w:p w14:paraId="27D77F3C" w14:textId="77777777" w:rsidR="00BE57F4" w:rsidRPr="00A67405" w:rsidRDefault="00BE57F4" w:rsidP="00CD4F3A">
            <w:pPr>
              <w:pStyle w:val="TableText"/>
            </w:pPr>
            <w:r w:rsidRPr="00A67405">
              <w:t>0.960277</w:t>
            </w:r>
          </w:p>
        </w:tc>
        <w:tc>
          <w:tcPr>
            <w:tcW w:w="901" w:type="dxa"/>
            <w:noWrap/>
            <w:vAlign w:val="bottom"/>
            <w:hideMark/>
          </w:tcPr>
          <w:p w14:paraId="1138ED27" w14:textId="77777777" w:rsidR="00BE57F4" w:rsidRPr="00A67405" w:rsidRDefault="00BE57F4" w:rsidP="00CD4F3A">
            <w:pPr>
              <w:pStyle w:val="TableText"/>
            </w:pPr>
            <w:r w:rsidRPr="00A67405">
              <w:t>0.950203</w:t>
            </w:r>
          </w:p>
        </w:tc>
        <w:tc>
          <w:tcPr>
            <w:tcW w:w="901" w:type="dxa"/>
            <w:noWrap/>
            <w:vAlign w:val="bottom"/>
            <w:hideMark/>
          </w:tcPr>
          <w:p w14:paraId="4FEEA82A" w14:textId="77777777" w:rsidR="00BE57F4" w:rsidRPr="00A67405" w:rsidRDefault="00BE57F4" w:rsidP="00CD4F3A">
            <w:pPr>
              <w:pStyle w:val="TableText"/>
            </w:pPr>
            <w:r w:rsidRPr="00A67405">
              <w:t>0.934363</w:t>
            </w:r>
          </w:p>
        </w:tc>
        <w:tc>
          <w:tcPr>
            <w:tcW w:w="901" w:type="dxa"/>
            <w:noWrap/>
            <w:vAlign w:val="bottom"/>
            <w:hideMark/>
          </w:tcPr>
          <w:p w14:paraId="11B6398A" w14:textId="77777777" w:rsidR="00BE57F4" w:rsidRPr="00A67405" w:rsidRDefault="00BE57F4" w:rsidP="00CD4F3A">
            <w:pPr>
              <w:pStyle w:val="TableText"/>
            </w:pPr>
            <w:r w:rsidRPr="00A67405">
              <w:t>0.912936</w:t>
            </w:r>
          </w:p>
        </w:tc>
        <w:tc>
          <w:tcPr>
            <w:tcW w:w="901" w:type="dxa"/>
            <w:noWrap/>
            <w:vAlign w:val="bottom"/>
            <w:hideMark/>
          </w:tcPr>
          <w:p w14:paraId="16CA144A" w14:textId="77777777" w:rsidR="00BE57F4" w:rsidRPr="00A67405" w:rsidRDefault="00BE57F4" w:rsidP="00CD4F3A">
            <w:pPr>
              <w:pStyle w:val="TableText"/>
            </w:pPr>
            <w:r w:rsidRPr="00A67405">
              <w:t>0.854944</w:t>
            </w:r>
          </w:p>
        </w:tc>
        <w:tc>
          <w:tcPr>
            <w:tcW w:w="536" w:type="dxa"/>
          </w:tcPr>
          <w:p w14:paraId="6179145A" w14:textId="77777777" w:rsidR="00BE57F4" w:rsidRPr="00A67405" w:rsidRDefault="00BE57F4" w:rsidP="00CD4F3A">
            <w:pPr>
              <w:pStyle w:val="TableText"/>
            </w:pPr>
            <w:r w:rsidRPr="00A67405">
              <w:t>0</w:t>
            </w:r>
          </w:p>
        </w:tc>
      </w:tr>
      <w:tr w:rsidR="00BE57F4" w:rsidRPr="00A67405" w14:paraId="0C981758" w14:textId="77777777" w:rsidTr="0002386E">
        <w:trPr>
          <w:trHeight w:val="285"/>
          <w:jc w:val="center"/>
        </w:trPr>
        <w:tc>
          <w:tcPr>
            <w:tcW w:w="1260" w:type="dxa"/>
            <w:noWrap/>
            <w:vAlign w:val="bottom"/>
            <w:hideMark/>
          </w:tcPr>
          <w:p w14:paraId="361FD65D" w14:textId="77777777" w:rsidR="00BE57F4" w:rsidRPr="00A67405" w:rsidRDefault="00BE57F4" w:rsidP="00CD4F3A">
            <w:pPr>
              <w:pStyle w:val="TableText"/>
            </w:pPr>
            <w:r w:rsidRPr="00A67405">
              <w:t>Bus 31</w:t>
            </w:r>
          </w:p>
        </w:tc>
        <w:tc>
          <w:tcPr>
            <w:tcW w:w="308" w:type="dxa"/>
            <w:noWrap/>
            <w:vAlign w:val="bottom"/>
            <w:hideMark/>
          </w:tcPr>
          <w:p w14:paraId="7E6F73B1" w14:textId="77777777" w:rsidR="00BE57F4" w:rsidRPr="00A67405" w:rsidRDefault="00BE57F4" w:rsidP="00CD4F3A">
            <w:pPr>
              <w:pStyle w:val="TableText"/>
            </w:pPr>
            <w:r w:rsidRPr="00A67405">
              <w:t>1</w:t>
            </w:r>
          </w:p>
        </w:tc>
        <w:tc>
          <w:tcPr>
            <w:tcW w:w="901" w:type="dxa"/>
            <w:noWrap/>
            <w:vAlign w:val="bottom"/>
            <w:hideMark/>
          </w:tcPr>
          <w:p w14:paraId="14B63933" w14:textId="77777777" w:rsidR="00BE57F4" w:rsidRPr="00A67405" w:rsidRDefault="00BE57F4" w:rsidP="00CD4F3A">
            <w:pPr>
              <w:pStyle w:val="TableText"/>
            </w:pPr>
            <w:r w:rsidRPr="00A67405">
              <w:t>1</w:t>
            </w:r>
          </w:p>
        </w:tc>
        <w:tc>
          <w:tcPr>
            <w:tcW w:w="901" w:type="dxa"/>
            <w:noWrap/>
            <w:vAlign w:val="bottom"/>
            <w:hideMark/>
          </w:tcPr>
          <w:p w14:paraId="2DBD2295" w14:textId="77777777" w:rsidR="00BE57F4" w:rsidRPr="00A67405" w:rsidRDefault="00BE57F4" w:rsidP="00CD4F3A">
            <w:pPr>
              <w:pStyle w:val="TableText"/>
            </w:pPr>
            <w:r w:rsidRPr="00A67405">
              <w:t>1</w:t>
            </w:r>
          </w:p>
        </w:tc>
        <w:tc>
          <w:tcPr>
            <w:tcW w:w="901" w:type="dxa"/>
            <w:noWrap/>
            <w:vAlign w:val="bottom"/>
            <w:hideMark/>
          </w:tcPr>
          <w:p w14:paraId="4BE48BCA" w14:textId="77777777" w:rsidR="00BE57F4" w:rsidRPr="00A67405" w:rsidRDefault="00BE57F4" w:rsidP="00CD4F3A">
            <w:pPr>
              <w:pStyle w:val="TableText"/>
            </w:pPr>
            <w:r w:rsidRPr="00A67405">
              <w:t>1</w:t>
            </w:r>
          </w:p>
        </w:tc>
        <w:tc>
          <w:tcPr>
            <w:tcW w:w="901" w:type="dxa"/>
            <w:noWrap/>
            <w:vAlign w:val="bottom"/>
            <w:hideMark/>
          </w:tcPr>
          <w:p w14:paraId="19D3A02C" w14:textId="77777777" w:rsidR="00BE57F4" w:rsidRPr="00A67405" w:rsidRDefault="00BE57F4" w:rsidP="00CD4F3A">
            <w:pPr>
              <w:pStyle w:val="TableText"/>
            </w:pPr>
            <w:r w:rsidRPr="00A67405">
              <w:t>1</w:t>
            </w:r>
          </w:p>
        </w:tc>
        <w:tc>
          <w:tcPr>
            <w:tcW w:w="901" w:type="dxa"/>
            <w:noWrap/>
            <w:vAlign w:val="bottom"/>
            <w:hideMark/>
          </w:tcPr>
          <w:p w14:paraId="66B47F04" w14:textId="77777777" w:rsidR="00BE57F4" w:rsidRPr="00A67405" w:rsidRDefault="00BE57F4" w:rsidP="00CD4F3A">
            <w:pPr>
              <w:pStyle w:val="TableText"/>
            </w:pPr>
            <w:r w:rsidRPr="00A67405">
              <w:t>1</w:t>
            </w:r>
          </w:p>
        </w:tc>
        <w:tc>
          <w:tcPr>
            <w:tcW w:w="901" w:type="dxa"/>
            <w:noWrap/>
            <w:vAlign w:val="bottom"/>
            <w:hideMark/>
          </w:tcPr>
          <w:p w14:paraId="35799DC9" w14:textId="77777777" w:rsidR="00BE57F4" w:rsidRPr="00A67405" w:rsidRDefault="00BE57F4" w:rsidP="00CD4F3A">
            <w:pPr>
              <w:pStyle w:val="TableText"/>
            </w:pPr>
            <w:r w:rsidRPr="00A67405">
              <w:t>1</w:t>
            </w:r>
          </w:p>
        </w:tc>
        <w:tc>
          <w:tcPr>
            <w:tcW w:w="901" w:type="dxa"/>
            <w:noWrap/>
            <w:vAlign w:val="bottom"/>
            <w:hideMark/>
          </w:tcPr>
          <w:p w14:paraId="15A6FFFD" w14:textId="77777777" w:rsidR="00BE57F4" w:rsidRPr="00A67405" w:rsidRDefault="00BE57F4" w:rsidP="00CD4F3A">
            <w:pPr>
              <w:pStyle w:val="TableText"/>
            </w:pPr>
            <w:r w:rsidRPr="00A67405">
              <w:t>0.637087</w:t>
            </w:r>
          </w:p>
        </w:tc>
        <w:tc>
          <w:tcPr>
            <w:tcW w:w="536" w:type="dxa"/>
          </w:tcPr>
          <w:p w14:paraId="42B749D4" w14:textId="77777777" w:rsidR="00BE57F4" w:rsidRPr="00A67405" w:rsidRDefault="00BE57F4" w:rsidP="00CD4F3A">
            <w:pPr>
              <w:pStyle w:val="TableText"/>
            </w:pPr>
            <w:r w:rsidRPr="00A67405">
              <w:t>0</w:t>
            </w:r>
          </w:p>
        </w:tc>
      </w:tr>
    </w:tbl>
    <w:p w14:paraId="41C44FD4" w14:textId="528845DE" w:rsidR="00BE57F4" w:rsidRPr="00A67405" w:rsidRDefault="00BE57F4" w:rsidP="00CD4F3A">
      <w:pPr>
        <w:pStyle w:val="Caption"/>
        <w:spacing w:line="240" w:lineRule="auto"/>
      </w:pPr>
      <w:bookmarkStart w:id="230" w:name="_Ref230193951"/>
      <w:bookmarkStart w:id="231" w:name="_Toc230198677"/>
      <w:bookmarkStart w:id="232" w:name="_Toc233735309"/>
      <w:r w:rsidRPr="00A67405">
        <w:t xml:space="preserve">Table </w:t>
      </w:r>
      <w:fldSimple w:instr=" SEQ Table \* ARABIC ">
        <w:r w:rsidR="00753DAF" w:rsidRPr="00A67405">
          <w:rPr>
            <w:noProof/>
          </w:rPr>
          <w:t>15</w:t>
        </w:r>
      </w:fldSimple>
      <w:bookmarkEnd w:id="230"/>
      <w:r w:rsidRPr="00A67405">
        <w:t>: The value of SDVPI of different buses for 83% renewables in IEEE 39 bus system.</w:t>
      </w:r>
      <w:bookmarkEnd w:id="231"/>
      <w:bookmarkEnd w:id="232"/>
    </w:p>
    <w:tbl>
      <w:tblPr>
        <w:tblW w:w="8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875"/>
        <w:gridCol w:w="1053"/>
        <w:gridCol w:w="1053"/>
        <w:gridCol w:w="1053"/>
        <w:gridCol w:w="1053"/>
        <w:gridCol w:w="1053"/>
        <w:gridCol w:w="1020"/>
      </w:tblGrid>
      <w:tr w:rsidR="00BE57F4" w:rsidRPr="00A67405" w14:paraId="3C34710B" w14:textId="77777777" w:rsidTr="0002386E">
        <w:trPr>
          <w:trHeight w:val="285"/>
          <w:jc w:val="center"/>
        </w:trPr>
        <w:tc>
          <w:tcPr>
            <w:tcW w:w="1165" w:type="dxa"/>
            <w:shd w:val="clear" w:color="auto" w:fill="000000" w:themeFill="text1"/>
            <w:noWrap/>
            <w:vAlign w:val="bottom"/>
          </w:tcPr>
          <w:p w14:paraId="23374F16" w14:textId="77777777" w:rsidR="00BE57F4" w:rsidRPr="00A67405" w:rsidRDefault="00BE57F4" w:rsidP="00CD4F3A">
            <w:pPr>
              <w:pStyle w:val="TableText"/>
            </w:pPr>
            <w:r w:rsidRPr="00A67405">
              <w:rPr>
                <w:color w:val="FFFFFF" w:themeColor="background1"/>
              </w:rPr>
              <w:t>Bus \ Scaling</w:t>
            </w:r>
          </w:p>
        </w:tc>
        <w:tc>
          <w:tcPr>
            <w:tcW w:w="875" w:type="dxa"/>
            <w:shd w:val="clear" w:color="auto" w:fill="000000" w:themeFill="text1"/>
            <w:noWrap/>
            <w:vAlign w:val="bottom"/>
          </w:tcPr>
          <w:p w14:paraId="1BE1B505" w14:textId="77777777" w:rsidR="00BE57F4" w:rsidRPr="00A67405" w:rsidRDefault="00BE57F4" w:rsidP="00CD4F3A">
            <w:pPr>
              <w:pStyle w:val="TableText"/>
            </w:pPr>
            <w:r w:rsidRPr="00A67405">
              <w:rPr>
                <w:color w:val="FFFFFF" w:themeColor="background1"/>
              </w:rPr>
              <w:t>0</w:t>
            </w:r>
          </w:p>
        </w:tc>
        <w:tc>
          <w:tcPr>
            <w:tcW w:w="1053" w:type="dxa"/>
            <w:shd w:val="clear" w:color="auto" w:fill="000000" w:themeFill="text1"/>
            <w:noWrap/>
            <w:vAlign w:val="bottom"/>
          </w:tcPr>
          <w:p w14:paraId="3CEA32DE" w14:textId="77777777" w:rsidR="00BE57F4" w:rsidRPr="00A67405" w:rsidRDefault="00BE57F4" w:rsidP="00CD4F3A">
            <w:pPr>
              <w:pStyle w:val="TableText"/>
            </w:pPr>
            <w:r w:rsidRPr="00A67405">
              <w:rPr>
                <w:color w:val="FFFFFF" w:themeColor="background1"/>
              </w:rPr>
              <w:t>0.05</w:t>
            </w:r>
          </w:p>
        </w:tc>
        <w:tc>
          <w:tcPr>
            <w:tcW w:w="1053" w:type="dxa"/>
            <w:shd w:val="clear" w:color="auto" w:fill="000000" w:themeFill="text1"/>
            <w:noWrap/>
            <w:vAlign w:val="bottom"/>
          </w:tcPr>
          <w:p w14:paraId="7FAE555F" w14:textId="77777777" w:rsidR="00BE57F4" w:rsidRPr="00A67405" w:rsidRDefault="00BE57F4" w:rsidP="00CD4F3A">
            <w:pPr>
              <w:pStyle w:val="TableText"/>
            </w:pPr>
            <w:r w:rsidRPr="00A67405">
              <w:rPr>
                <w:color w:val="FFFFFF" w:themeColor="background1"/>
              </w:rPr>
              <w:t>0.11</w:t>
            </w:r>
          </w:p>
        </w:tc>
        <w:tc>
          <w:tcPr>
            <w:tcW w:w="1053" w:type="dxa"/>
            <w:shd w:val="clear" w:color="auto" w:fill="000000" w:themeFill="text1"/>
            <w:noWrap/>
            <w:vAlign w:val="bottom"/>
          </w:tcPr>
          <w:p w14:paraId="5E0E1ED6" w14:textId="77777777" w:rsidR="00BE57F4" w:rsidRPr="00A67405" w:rsidRDefault="00BE57F4" w:rsidP="00CD4F3A">
            <w:pPr>
              <w:pStyle w:val="TableText"/>
            </w:pPr>
            <w:r w:rsidRPr="00A67405">
              <w:rPr>
                <w:color w:val="FFFFFF" w:themeColor="background1"/>
              </w:rPr>
              <w:t>0.18</w:t>
            </w:r>
          </w:p>
        </w:tc>
        <w:tc>
          <w:tcPr>
            <w:tcW w:w="1053" w:type="dxa"/>
            <w:shd w:val="clear" w:color="auto" w:fill="000000" w:themeFill="text1"/>
            <w:noWrap/>
            <w:vAlign w:val="bottom"/>
          </w:tcPr>
          <w:p w14:paraId="5EC1E55C" w14:textId="77777777" w:rsidR="00BE57F4" w:rsidRPr="00A67405" w:rsidRDefault="00BE57F4" w:rsidP="00CD4F3A">
            <w:pPr>
              <w:pStyle w:val="TableText"/>
            </w:pPr>
            <w:r w:rsidRPr="00A67405">
              <w:rPr>
                <w:color w:val="FFFFFF" w:themeColor="background1"/>
              </w:rPr>
              <w:t>0.26</w:t>
            </w:r>
          </w:p>
        </w:tc>
        <w:tc>
          <w:tcPr>
            <w:tcW w:w="1053" w:type="dxa"/>
            <w:shd w:val="clear" w:color="auto" w:fill="000000" w:themeFill="text1"/>
            <w:noWrap/>
            <w:vAlign w:val="bottom"/>
          </w:tcPr>
          <w:p w14:paraId="4F88F0A8" w14:textId="77777777" w:rsidR="00BE57F4" w:rsidRPr="00A67405" w:rsidRDefault="00BE57F4" w:rsidP="00CD4F3A">
            <w:pPr>
              <w:pStyle w:val="TableText"/>
            </w:pPr>
            <w:r w:rsidRPr="00A67405">
              <w:rPr>
                <w:color w:val="FFFFFF" w:themeColor="background1"/>
              </w:rPr>
              <w:t>0.29</w:t>
            </w:r>
          </w:p>
        </w:tc>
        <w:tc>
          <w:tcPr>
            <w:tcW w:w="1020" w:type="dxa"/>
            <w:shd w:val="clear" w:color="auto" w:fill="000000" w:themeFill="text1"/>
            <w:noWrap/>
            <w:vAlign w:val="bottom"/>
          </w:tcPr>
          <w:p w14:paraId="53854EFF" w14:textId="77777777" w:rsidR="00BE57F4" w:rsidRPr="00A67405" w:rsidRDefault="00BE57F4" w:rsidP="00CD4F3A">
            <w:pPr>
              <w:pStyle w:val="TableText"/>
            </w:pPr>
            <w:r w:rsidRPr="00A67405">
              <w:rPr>
                <w:color w:val="FFFFFF" w:themeColor="background1"/>
              </w:rPr>
              <w:t>0.30</w:t>
            </w:r>
          </w:p>
        </w:tc>
      </w:tr>
      <w:tr w:rsidR="00BE57F4" w:rsidRPr="00A67405" w14:paraId="60A6BD7B" w14:textId="77777777" w:rsidTr="0002386E">
        <w:trPr>
          <w:trHeight w:val="285"/>
          <w:jc w:val="center"/>
        </w:trPr>
        <w:tc>
          <w:tcPr>
            <w:tcW w:w="1165" w:type="dxa"/>
            <w:noWrap/>
            <w:vAlign w:val="bottom"/>
          </w:tcPr>
          <w:p w14:paraId="42E175C2" w14:textId="77777777" w:rsidR="00BE57F4" w:rsidRPr="00A67405" w:rsidRDefault="00BE57F4" w:rsidP="00CD4F3A">
            <w:pPr>
              <w:pStyle w:val="TableText"/>
            </w:pPr>
            <w:r w:rsidRPr="00A67405">
              <w:t>Bus 03</w:t>
            </w:r>
          </w:p>
        </w:tc>
        <w:tc>
          <w:tcPr>
            <w:tcW w:w="875" w:type="dxa"/>
            <w:noWrap/>
            <w:vAlign w:val="bottom"/>
          </w:tcPr>
          <w:p w14:paraId="5E6F673F" w14:textId="77777777" w:rsidR="00BE57F4" w:rsidRPr="00A67405" w:rsidRDefault="00BE57F4" w:rsidP="00CD4F3A">
            <w:pPr>
              <w:pStyle w:val="TableText"/>
            </w:pPr>
            <w:r w:rsidRPr="00A67405">
              <w:t>1</w:t>
            </w:r>
          </w:p>
        </w:tc>
        <w:tc>
          <w:tcPr>
            <w:tcW w:w="1053" w:type="dxa"/>
            <w:noWrap/>
            <w:vAlign w:val="bottom"/>
          </w:tcPr>
          <w:p w14:paraId="72D8B892" w14:textId="77777777" w:rsidR="00BE57F4" w:rsidRPr="00A67405" w:rsidRDefault="00BE57F4" w:rsidP="00CD4F3A">
            <w:pPr>
              <w:pStyle w:val="TableText"/>
            </w:pPr>
            <w:r w:rsidRPr="00A67405">
              <w:t>0.904062</w:t>
            </w:r>
          </w:p>
        </w:tc>
        <w:tc>
          <w:tcPr>
            <w:tcW w:w="1053" w:type="dxa"/>
            <w:noWrap/>
            <w:vAlign w:val="bottom"/>
          </w:tcPr>
          <w:p w14:paraId="7F2DAD53" w14:textId="77777777" w:rsidR="00BE57F4" w:rsidRPr="00A67405" w:rsidRDefault="00BE57F4" w:rsidP="00CD4F3A">
            <w:pPr>
              <w:pStyle w:val="TableText"/>
            </w:pPr>
            <w:r w:rsidRPr="00A67405">
              <w:t>0.869642</w:t>
            </w:r>
          </w:p>
        </w:tc>
        <w:tc>
          <w:tcPr>
            <w:tcW w:w="1053" w:type="dxa"/>
            <w:noWrap/>
            <w:vAlign w:val="bottom"/>
          </w:tcPr>
          <w:p w14:paraId="165F45C3" w14:textId="77777777" w:rsidR="00BE57F4" w:rsidRPr="00A67405" w:rsidRDefault="00BE57F4" w:rsidP="00CD4F3A">
            <w:pPr>
              <w:pStyle w:val="TableText"/>
            </w:pPr>
            <w:r w:rsidRPr="00A67405">
              <w:t>0.817594</w:t>
            </w:r>
          </w:p>
        </w:tc>
        <w:tc>
          <w:tcPr>
            <w:tcW w:w="1053" w:type="dxa"/>
            <w:noWrap/>
            <w:vAlign w:val="bottom"/>
          </w:tcPr>
          <w:p w14:paraId="60040003" w14:textId="77777777" w:rsidR="00BE57F4" w:rsidRPr="00A67405" w:rsidRDefault="00BE57F4" w:rsidP="00CD4F3A">
            <w:pPr>
              <w:pStyle w:val="TableText"/>
            </w:pPr>
            <w:r w:rsidRPr="00A67405">
              <w:t>0.634936</w:t>
            </w:r>
          </w:p>
        </w:tc>
        <w:tc>
          <w:tcPr>
            <w:tcW w:w="1053" w:type="dxa"/>
            <w:noWrap/>
            <w:vAlign w:val="bottom"/>
          </w:tcPr>
          <w:p w14:paraId="14815972" w14:textId="77777777" w:rsidR="00BE57F4" w:rsidRPr="00A67405" w:rsidRDefault="00BE57F4" w:rsidP="00CD4F3A">
            <w:pPr>
              <w:pStyle w:val="TableText"/>
            </w:pPr>
            <w:r w:rsidRPr="00A67405">
              <w:t>0.56235</w:t>
            </w:r>
          </w:p>
        </w:tc>
        <w:tc>
          <w:tcPr>
            <w:tcW w:w="1020" w:type="dxa"/>
            <w:noWrap/>
            <w:vAlign w:val="bottom"/>
          </w:tcPr>
          <w:p w14:paraId="41512289" w14:textId="77777777" w:rsidR="00BE57F4" w:rsidRPr="00A67405" w:rsidRDefault="00BE57F4" w:rsidP="00CD4F3A">
            <w:pPr>
              <w:pStyle w:val="TableText"/>
            </w:pPr>
            <w:r w:rsidRPr="00A67405">
              <w:t>0</w:t>
            </w:r>
          </w:p>
        </w:tc>
      </w:tr>
      <w:tr w:rsidR="00BE57F4" w:rsidRPr="00A67405" w14:paraId="5641080A" w14:textId="77777777" w:rsidTr="0002386E">
        <w:trPr>
          <w:trHeight w:val="285"/>
          <w:jc w:val="center"/>
        </w:trPr>
        <w:tc>
          <w:tcPr>
            <w:tcW w:w="1165" w:type="dxa"/>
            <w:noWrap/>
            <w:vAlign w:val="bottom"/>
            <w:hideMark/>
          </w:tcPr>
          <w:p w14:paraId="77BFFE1C" w14:textId="77777777" w:rsidR="00BE57F4" w:rsidRPr="00A67405" w:rsidRDefault="00BE57F4" w:rsidP="00CD4F3A">
            <w:pPr>
              <w:pStyle w:val="TableText"/>
            </w:pPr>
            <w:r w:rsidRPr="00A67405">
              <w:t>Bus 04</w:t>
            </w:r>
          </w:p>
        </w:tc>
        <w:tc>
          <w:tcPr>
            <w:tcW w:w="875" w:type="dxa"/>
            <w:noWrap/>
            <w:vAlign w:val="bottom"/>
            <w:hideMark/>
          </w:tcPr>
          <w:p w14:paraId="1B845DA1" w14:textId="77777777" w:rsidR="00BE57F4" w:rsidRPr="00A67405" w:rsidRDefault="00BE57F4" w:rsidP="00CD4F3A">
            <w:pPr>
              <w:pStyle w:val="TableText"/>
            </w:pPr>
            <w:r w:rsidRPr="00A67405">
              <w:t>1</w:t>
            </w:r>
          </w:p>
        </w:tc>
        <w:tc>
          <w:tcPr>
            <w:tcW w:w="1053" w:type="dxa"/>
            <w:noWrap/>
            <w:vAlign w:val="bottom"/>
            <w:hideMark/>
          </w:tcPr>
          <w:p w14:paraId="40089ADE" w14:textId="77777777" w:rsidR="00BE57F4" w:rsidRPr="00A67405" w:rsidRDefault="00BE57F4" w:rsidP="00CD4F3A">
            <w:pPr>
              <w:pStyle w:val="TableText"/>
            </w:pPr>
            <w:r w:rsidRPr="00A67405">
              <w:t>0.873448</w:t>
            </w:r>
          </w:p>
        </w:tc>
        <w:tc>
          <w:tcPr>
            <w:tcW w:w="1053" w:type="dxa"/>
            <w:noWrap/>
            <w:vAlign w:val="bottom"/>
            <w:hideMark/>
          </w:tcPr>
          <w:p w14:paraId="252A0507" w14:textId="77777777" w:rsidR="00BE57F4" w:rsidRPr="00A67405" w:rsidRDefault="00BE57F4" w:rsidP="00CD4F3A">
            <w:pPr>
              <w:pStyle w:val="TableText"/>
            </w:pPr>
            <w:r w:rsidRPr="00A67405">
              <w:t>0.833569</w:t>
            </w:r>
          </w:p>
        </w:tc>
        <w:tc>
          <w:tcPr>
            <w:tcW w:w="1053" w:type="dxa"/>
            <w:noWrap/>
            <w:vAlign w:val="bottom"/>
            <w:hideMark/>
          </w:tcPr>
          <w:p w14:paraId="580F90DE" w14:textId="77777777" w:rsidR="00BE57F4" w:rsidRPr="00A67405" w:rsidRDefault="00BE57F4" w:rsidP="00CD4F3A">
            <w:pPr>
              <w:pStyle w:val="TableText"/>
            </w:pPr>
            <w:r w:rsidRPr="00A67405">
              <w:t>0.773422</w:t>
            </w:r>
          </w:p>
        </w:tc>
        <w:tc>
          <w:tcPr>
            <w:tcW w:w="1053" w:type="dxa"/>
            <w:noWrap/>
            <w:vAlign w:val="bottom"/>
            <w:hideMark/>
          </w:tcPr>
          <w:p w14:paraId="68357EBF" w14:textId="77777777" w:rsidR="00BE57F4" w:rsidRPr="00A67405" w:rsidRDefault="00BE57F4" w:rsidP="00CD4F3A">
            <w:pPr>
              <w:pStyle w:val="TableText"/>
            </w:pPr>
            <w:r w:rsidRPr="00A67405">
              <w:t>0.508194</w:t>
            </w:r>
          </w:p>
        </w:tc>
        <w:tc>
          <w:tcPr>
            <w:tcW w:w="1053" w:type="dxa"/>
            <w:noWrap/>
            <w:vAlign w:val="bottom"/>
            <w:hideMark/>
          </w:tcPr>
          <w:p w14:paraId="674C4704" w14:textId="77777777" w:rsidR="00BE57F4" w:rsidRPr="00A67405" w:rsidRDefault="00BE57F4" w:rsidP="00CD4F3A">
            <w:pPr>
              <w:pStyle w:val="TableText"/>
            </w:pPr>
            <w:r w:rsidRPr="00A67405">
              <w:t>0.382172</w:t>
            </w:r>
          </w:p>
        </w:tc>
        <w:tc>
          <w:tcPr>
            <w:tcW w:w="1020" w:type="dxa"/>
            <w:noWrap/>
            <w:vAlign w:val="bottom"/>
            <w:hideMark/>
          </w:tcPr>
          <w:p w14:paraId="744D584A" w14:textId="77777777" w:rsidR="00BE57F4" w:rsidRPr="00A67405" w:rsidRDefault="00BE57F4" w:rsidP="00CD4F3A">
            <w:pPr>
              <w:pStyle w:val="TableText"/>
            </w:pPr>
            <w:r w:rsidRPr="00A67405">
              <w:t>0</w:t>
            </w:r>
          </w:p>
        </w:tc>
      </w:tr>
      <w:tr w:rsidR="00BE57F4" w:rsidRPr="00A67405" w14:paraId="36F193AE" w14:textId="77777777" w:rsidTr="0002386E">
        <w:trPr>
          <w:trHeight w:val="285"/>
          <w:jc w:val="center"/>
        </w:trPr>
        <w:tc>
          <w:tcPr>
            <w:tcW w:w="1165" w:type="dxa"/>
            <w:noWrap/>
            <w:vAlign w:val="bottom"/>
            <w:hideMark/>
          </w:tcPr>
          <w:p w14:paraId="17DE5CE6" w14:textId="77777777" w:rsidR="00BE57F4" w:rsidRPr="00A67405" w:rsidRDefault="00BE57F4" w:rsidP="00CD4F3A">
            <w:pPr>
              <w:pStyle w:val="TableText"/>
            </w:pPr>
            <w:r w:rsidRPr="00A67405">
              <w:t>Bus 07</w:t>
            </w:r>
          </w:p>
        </w:tc>
        <w:tc>
          <w:tcPr>
            <w:tcW w:w="875" w:type="dxa"/>
            <w:noWrap/>
            <w:vAlign w:val="bottom"/>
            <w:hideMark/>
          </w:tcPr>
          <w:p w14:paraId="489EA14C" w14:textId="77777777" w:rsidR="00BE57F4" w:rsidRPr="00A67405" w:rsidRDefault="00BE57F4" w:rsidP="00CD4F3A">
            <w:pPr>
              <w:pStyle w:val="TableText"/>
            </w:pPr>
            <w:r w:rsidRPr="00A67405">
              <w:t>1</w:t>
            </w:r>
          </w:p>
        </w:tc>
        <w:tc>
          <w:tcPr>
            <w:tcW w:w="1053" w:type="dxa"/>
            <w:noWrap/>
            <w:vAlign w:val="bottom"/>
            <w:hideMark/>
          </w:tcPr>
          <w:p w14:paraId="089EADDD" w14:textId="77777777" w:rsidR="00BE57F4" w:rsidRPr="00A67405" w:rsidRDefault="00BE57F4" w:rsidP="00CD4F3A">
            <w:pPr>
              <w:pStyle w:val="TableText"/>
            </w:pPr>
            <w:r w:rsidRPr="00A67405">
              <w:t>0.866834</w:t>
            </w:r>
          </w:p>
        </w:tc>
        <w:tc>
          <w:tcPr>
            <w:tcW w:w="1053" w:type="dxa"/>
            <w:noWrap/>
            <w:vAlign w:val="bottom"/>
            <w:hideMark/>
          </w:tcPr>
          <w:p w14:paraId="4A80B52D" w14:textId="77777777" w:rsidR="00BE57F4" w:rsidRPr="00A67405" w:rsidRDefault="00BE57F4" w:rsidP="00CD4F3A">
            <w:pPr>
              <w:pStyle w:val="TableText"/>
            </w:pPr>
            <w:r w:rsidRPr="00A67405">
              <w:t>0.821189</w:t>
            </w:r>
          </w:p>
        </w:tc>
        <w:tc>
          <w:tcPr>
            <w:tcW w:w="1053" w:type="dxa"/>
            <w:noWrap/>
            <w:vAlign w:val="bottom"/>
            <w:hideMark/>
          </w:tcPr>
          <w:p w14:paraId="46B35A89" w14:textId="77777777" w:rsidR="00BE57F4" w:rsidRPr="00A67405" w:rsidRDefault="00BE57F4" w:rsidP="00CD4F3A">
            <w:pPr>
              <w:pStyle w:val="TableText"/>
            </w:pPr>
            <w:r w:rsidRPr="00A67405">
              <w:t>0.751364</w:t>
            </w:r>
          </w:p>
        </w:tc>
        <w:tc>
          <w:tcPr>
            <w:tcW w:w="1053" w:type="dxa"/>
            <w:noWrap/>
            <w:vAlign w:val="bottom"/>
            <w:hideMark/>
          </w:tcPr>
          <w:p w14:paraId="69A515C7" w14:textId="77777777" w:rsidR="00BE57F4" w:rsidRPr="00A67405" w:rsidRDefault="00BE57F4" w:rsidP="00CD4F3A">
            <w:pPr>
              <w:pStyle w:val="TableText"/>
            </w:pPr>
            <w:r w:rsidRPr="00A67405">
              <w:t>0.439376</w:t>
            </w:r>
          </w:p>
        </w:tc>
        <w:tc>
          <w:tcPr>
            <w:tcW w:w="1053" w:type="dxa"/>
            <w:noWrap/>
            <w:vAlign w:val="bottom"/>
            <w:hideMark/>
          </w:tcPr>
          <w:p w14:paraId="7D417597" w14:textId="77777777" w:rsidR="00BE57F4" w:rsidRPr="00A67405" w:rsidRDefault="00BE57F4" w:rsidP="00CD4F3A">
            <w:pPr>
              <w:pStyle w:val="TableText"/>
            </w:pPr>
            <w:r w:rsidRPr="00A67405">
              <w:t>0.284613</w:t>
            </w:r>
          </w:p>
        </w:tc>
        <w:tc>
          <w:tcPr>
            <w:tcW w:w="1020" w:type="dxa"/>
            <w:noWrap/>
            <w:vAlign w:val="bottom"/>
            <w:hideMark/>
          </w:tcPr>
          <w:p w14:paraId="53491D30" w14:textId="77777777" w:rsidR="00BE57F4" w:rsidRPr="00A67405" w:rsidRDefault="00BE57F4" w:rsidP="00CD4F3A">
            <w:pPr>
              <w:pStyle w:val="TableText"/>
            </w:pPr>
            <w:r w:rsidRPr="00A67405">
              <w:t>0</w:t>
            </w:r>
          </w:p>
        </w:tc>
      </w:tr>
      <w:tr w:rsidR="00BE57F4" w:rsidRPr="00A67405" w14:paraId="31A13FB2" w14:textId="77777777" w:rsidTr="0002386E">
        <w:trPr>
          <w:trHeight w:val="285"/>
          <w:jc w:val="center"/>
        </w:trPr>
        <w:tc>
          <w:tcPr>
            <w:tcW w:w="1165" w:type="dxa"/>
            <w:noWrap/>
            <w:vAlign w:val="bottom"/>
            <w:hideMark/>
          </w:tcPr>
          <w:p w14:paraId="6CBB3A7F" w14:textId="77777777" w:rsidR="00BE57F4" w:rsidRPr="00A67405" w:rsidRDefault="00BE57F4" w:rsidP="00CD4F3A">
            <w:pPr>
              <w:pStyle w:val="TableText"/>
            </w:pPr>
            <w:r w:rsidRPr="00A67405">
              <w:t>Bus 08</w:t>
            </w:r>
          </w:p>
        </w:tc>
        <w:tc>
          <w:tcPr>
            <w:tcW w:w="875" w:type="dxa"/>
            <w:noWrap/>
            <w:vAlign w:val="bottom"/>
            <w:hideMark/>
          </w:tcPr>
          <w:p w14:paraId="65C0147E" w14:textId="77777777" w:rsidR="00BE57F4" w:rsidRPr="00A67405" w:rsidRDefault="00BE57F4" w:rsidP="00CD4F3A">
            <w:pPr>
              <w:pStyle w:val="TableText"/>
            </w:pPr>
            <w:r w:rsidRPr="00A67405">
              <w:t>1</w:t>
            </w:r>
          </w:p>
        </w:tc>
        <w:tc>
          <w:tcPr>
            <w:tcW w:w="1053" w:type="dxa"/>
            <w:noWrap/>
            <w:vAlign w:val="bottom"/>
            <w:hideMark/>
          </w:tcPr>
          <w:p w14:paraId="14DF1771" w14:textId="77777777" w:rsidR="00BE57F4" w:rsidRPr="00A67405" w:rsidRDefault="00BE57F4" w:rsidP="00CD4F3A">
            <w:pPr>
              <w:pStyle w:val="TableText"/>
            </w:pPr>
            <w:r w:rsidRPr="00A67405">
              <w:t>0.862454</w:t>
            </w:r>
          </w:p>
        </w:tc>
        <w:tc>
          <w:tcPr>
            <w:tcW w:w="1053" w:type="dxa"/>
            <w:noWrap/>
            <w:vAlign w:val="bottom"/>
            <w:hideMark/>
          </w:tcPr>
          <w:p w14:paraId="4D931295" w14:textId="77777777" w:rsidR="00BE57F4" w:rsidRPr="00A67405" w:rsidRDefault="00BE57F4" w:rsidP="00CD4F3A">
            <w:pPr>
              <w:pStyle w:val="TableText"/>
            </w:pPr>
            <w:r w:rsidRPr="00A67405">
              <w:t>0.814338</w:t>
            </w:r>
          </w:p>
        </w:tc>
        <w:tc>
          <w:tcPr>
            <w:tcW w:w="1053" w:type="dxa"/>
            <w:noWrap/>
            <w:vAlign w:val="bottom"/>
            <w:hideMark/>
          </w:tcPr>
          <w:p w14:paraId="1E3CB160" w14:textId="77777777" w:rsidR="00BE57F4" w:rsidRPr="00A67405" w:rsidRDefault="00BE57F4" w:rsidP="00CD4F3A">
            <w:pPr>
              <w:pStyle w:val="TableText"/>
            </w:pPr>
            <w:r w:rsidRPr="00A67405">
              <w:t>0.740505</w:t>
            </w:r>
          </w:p>
        </w:tc>
        <w:tc>
          <w:tcPr>
            <w:tcW w:w="1053" w:type="dxa"/>
            <w:noWrap/>
            <w:vAlign w:val="bottom"/>
            <w:hideMark/>
          </w:tcPr>
          <w:p w14:paraId="196D8226" w14:textId="77777777" w:rsidR="00BE57F4" w:rsidRPr="00A67405" w:rsidRDefault="00BE57F4" w:rsidP="00CD4F3A">
            <w:pPr>
              <w:pStyle w:val="TableText"/>
            </w:pPr>
            <w:r w:rsidRPr="00A67405">
              <w:t>0.426818</w:t>
            </w:r>
          </w:p>
        </w:tc>
        <w:tc>
          <w:tcPr>
            <w:tcW w:w="1053" w:type="dxa"/>
            <w:noWrap/>
            <w:vAlign w:val="bottom"/>
            <w:hideMark/>
          </w:tcPr>
          <w:p w14:paraId="1926B038" w14:textId="77777777" w:rsidR="00BE57F4" w:rsidRPr="00A67405" w:rsidRDefault="00BE57F4" w:rsidP="00CD4F3A">
            <w:pPr>
              <w:pStyle w:val="TableText"/>
            </w:pPr>
            <w:r w:rsidRPr="00A67405">
              <w:t>0.270699</w:t>
            </w:r>
          </w:p>
        </w:tc>
        <w:tc>
          <w:tcPr>
            <w:tcW w:w="1020" w:type="dxa"/>
            <w:noWrap/>
            <w:vAlign w:val="bottom"/>
            <w:hideMark/>
          </w:tcPr>
          <w:p w14:paraId="7C430199" w14:textId="77777777" w:rsidR="00BE57F4" w:rsidRPr="00A67405" w:rsidRDefault="00BE57F4" w:rsidP="00CD4F3A">
            <w:pPr>
              <w:pStyle w:val="TableText"/>
            </w:pPr>
            <w:r w:rsidRPr="00A67405">
              <w:t>0</w:t>
            </w:r>
          </w:p>
        </w:tc>
      </w:tr>
      <w:tr w:rsidR="00BE57F4" w:rsidRPr="00A67405" w14:paraId="19F4E043" w14:textId="77777777" w:rsidTr="0002386E">
        <w:trPr>
          <w:trHeight w:val="285"/>
          <w:jc w:val="center"/>
        </w:trPr>
        <w:tc>
          <w:tcPr>
            <w:tcW w:w="1165" w:type="dxa"/>
            <w:noWrap/>
            <w:vAlign w:val="bottom"/>
            <w:hideMark/>
          </w:tcPr>
          <w:p w14:paraId="121565E9" w14:textId="77777777" w:rsidR="00BE57F4" w:rsidRPr="00A67405" w:rsidRDefault="00BE57F4" w:rsidP="00CD4F3A">
            <w:pPr>
              <w:pStyle w:val="TableText"/>
            </w:pPr>
            <w:r w:rsidRPr="00A67405">
              <w:t>Bus 12</w:t>
            </w:r>
          </w:p>
        </w:tc>
        <w:tc>
          <w:tcPr>
            <w:tcW w:w="875" w:type="dxa"/>
            <w:noWrap/>
            <w:vAlign w:val="bottom"/>
            <w:hideMark/>
          </w:tcPr>
          <w:p w14:paraId="59F351BE" w14:textId="77777777" w:rsidR="00BE57F4" w:rsidRPr="00A67405" w:rsidRDefault="00BE57F4" w:rsidP="00CD4F3A">
            <w:pPr>
              <w:pStyle w:val="TableText"/>
            </w:pPr>
            <w:r w:rsidRPr="00A67405">
              <w:t>1</w:t>
            </w:r>
          </w:p>
        </w:tc>
        <w:tc>
          <w:tcPr>
            <w:tcW w:w="1053" w:type="dxa"/>
            <w:noWrap/>
            <w:vAlign w:val="bottom"/>
            <w:hideMark/>
          </w:tcPr>
          <w:p w14:paraId="6693C568" w14:textId="77777777" w:rsidR="00BE57F4" w:rsidRPr="00A67405" w:rsidRDefault="00BE57F4" w:rsidP="00CD4F3A">
            <w:pPr>
              <w:pStyle w:val="TableText"/>
            </w:pPr>
            <w:r w:rsidRPr="00A67405">
              <w:t>0.870709</w:t>
            </w:r>
          </w:p>
        </w:tc>
        <w:tc>
          <w:tcPr>
            <w:tcW w:w="1053" w:type="dxa"/>
            <w:noWrap/>
            <w:vAlign w:val="bottom"/>
            <w:hideMark/>
          </w:tcPr>
          <w:p w14:paraId="4E090963" w14:textId="77777777" w:rsidR="00BE57F4" w:rsidRPr="00A67405" w:rsidRDefault="00BE57F4" w:rsidP="00CD4F3A">
            <w:pPr>
              <w:pStyle w:val="TableText"/>
            </w:pPr>
            <w:r w:rsidRPr="00A67405">
              <w:t>0.832969</w:t>
            </w:r>
          </w:p>
        </w:tc>
        <w:tc>
          <w:tcPr>
            <w:tcW w:w="1053" w:type="dxa"/>
            <w:noWrap/>
            <w:vAlign w:val="bottom"/>
            <w:hideMark/>
          </w:tcPr>
          <w:p w14:paraId="4BB9F64D" w14:textId="77777777" w:rsidR="00BE57F4" w:rsidRPr="00A67405" w:rsidRDefault="00BE57F4" w:rsidP="00CD4F3A">
            <w:pPr>
              <w:pStyle w:val="TableText"/>
            </w:pPr>
            <w:r w:rsidRPr="00A67405">
              <w:t>0.77637</w:t>
            </w:r>
          </w:p>
        </w:tc>
        <w:tc>
          <w:tcPr>
            <w:tcW w:w="1053" w:type="dxa"/>
            <w:noWrap/>
            <w:vAlign w:val="bottom"/>
            <w:hideMark/>
          </w:tcPr>
          <w:p w14:paraId="382AD1EC" w14:textId="77777777" w:rsidR="00BE57F4" w:rsidRPr="00A67405" w:rsidRDefault="00BE57F4" w:rsidP="00CD4F3A">
            <w:pPr>
              <w:pStyle w:val="TableText"/>
            </w:pPr>
            <w:r w:rsidRPr="00A67405">
              <w:t>0.475723</w:t>
            </w:r>
          </w:p>
        </w:tc>
        <w:tc>
          <w:tcPr>
            <w:tcW w:w="1053" w:type="dxa"/>
            <w:noWrap/>
            <w:vAlign w:val="bottom"/>
            <w:hideMark/>
          </w:tcPr>
          <w:p w14:paraId="5DC41E6E" w14:textId="77777777" w:rsidR="00BE57F4" w:rsidRPr="00A67405" w:rsidRDefault="00BE57F4" w:rsidP="00CD4F3A">
            <w:pPr>
              <w:pStyle w:val="TableText"/>
            </w:pPr>
            <w:r w:rsidRPr="00A67405">
              <w:t>0.325399</w:t>
            </w:r>
          </w:p>
        </w:tc>
        <w:tc>
          <w:tcPr>
            <w:tcW w:w="1020" w:type="dxa"/>
            <w:noWrap/>
            <w:vAlign w:val="bottom"/>
            <w:hideMark/>
          </w:tcPr>
          <w:p w14:paraId="47D037AE" w14:textId="77777777" w:rsidR="00BE57F4" w:rsidRPr="00A67405" w:rsidRDefault="00BE57F4" w:rsidP="00CD4F3A">
            <w:pPr>
              <w:pStyle w:val="TableText"/>
            </w:pPr>
            <w:r w:rsidRPr="00A67405">
              <w:t>0</w:t>
            </w:r>
          </w:p>
        </w:tc>
      </w:tr>
      <w:tr w:rsidR="00BE57F4" w:rsidRPr="00A67405" w14:paraId="1A7F4995" w14:textId="77777777" w:rsidTr="0002386E">
        <w:trPr>
          <w:trHeight w:val="285"/>
          <w:jc w:val="center"/>
        </w:trPr>
        <w:tc>
          <w:tcPr>
            <w:tcW w:w="1165" w:type="dxa"/>
            <w:noWrap/>
            <w:vAlign w:val="bottom"/>
            <w:hideMark/>
          </w:tcPr>
          <w:p w14:paraId="624C19D8" w14:textId="77777777" w:rsidR="00BE57F4" w:rsidRPr="00A67405" w:rsidRDefault="00BE57F4" w:rsidP="00CD4F3A">
            <w:pPr>
              <w:pStyle w:val="TableText"/>
            </w:pPr>
            <w:r w:rsidRPr="00A67405">
              <w:lastRenderedPageBreak/>
              <w:t>Bus 15</w:t>
            </w:r>
          </w:p>
        </w:tc>
        <w:tc>
          <w:tcPr>
            <w:tcW w:w="875" w:type="dxa"/>
            <w:noWrap/>
            <w:vAlign w:val="bottom"/>
            <w:hideMark/>
          </w:tcPr>
          <w:p w14:paraId="1C885374" w14:textId="77777777" w:rsidR="00BE57F4" w:rsidRPr="00A67405" w:rsidRDefault="00BE57F4" w:rsidP="00CD4F3A">
            <w:pPr>
              <w:pStyle w:val="TableText"/>
            </w:pPr>
            <w:r w:rsidRPr="00A67405">
              <w:t>1</w:t>
            </w:r>
          </w:p>
        </w:tc>
        <w:tc>
          <w:tcPr>
            <w:tcW w:w="1053" w:type="dxa"/>
            <w:noWrap/>
            <w:vAlign w:val="bottom"/>
            <w:hideMark/>
          </w:tcPr>
          <w:p w14:paraId="34F656C4" w14:textId="77777777" w:rsidR="00BE57F4" w:rsidRPr="00A67405" w:rsidRDefault="00BE57F4" w:rsidP="00CD4F3A">
            <w:pPr>
              <w:pStyle w:val="TableText"/>
            </w:pPr>
            <w:r w:rsidRPr="00A67405">
              <w:t>0.887999</w:t>
            </w:r>
          </w:p>
        </w:tc>
        <w:tc>
          <w:tcPr>
            <w:tcW w:w="1053" w:type="dxa"/>
            <w:noWrap/>
            <w:vAlign w:val="bottom"/>
            <w:hideMark/>
          </w:tcPr>
          <w:p w14:paraId="696B7DEF" w14:textId="77777777" w:rsidR="00BE57F4" w:rsidRPr="00A67405" w:rsidRDefault="00BE57F4" w:rsidP="00CD4F3A">
            <w:pPr>
              <w:pStyle w:val="TableText"/>
            </w:pPr>
            <w:r w:rsidRPr="00A67405">
              <w:t>0.855578</w:t>
            </w:r>
          </w:p>
        </w:tc>
        <w:tc>
          <w:tcPr>
            <w:tcW w:w="1053" w:type="dxa"/>
            <w:noWrap/>
            <w:vAlign w:val="bottom"/>
            <w:hideMark/>
          </w:tcPr>
          <w:p w14:paraId="5BCB26C5" w14:textId="77777777" w:rsidR="00BE57F4" w:rsidRPr="00A67405" w:rsidRDefault="00BE57F4" w:rsidP="00CD4F3A">
            <w:pPr>
              <w:pStyle w:val="TableText"/>
            </w:pPr>
            <w:r w:rsidRPr="00A67405">
              <w:t>0.808046</w:t>
            </w:r>
          </w:p>
        </w:tc>
        <w:tc>
          <w:tcPr>
            <w:tcW w:w="1053" w:type="dxa"/>
            <w:noWrap/>
            <w:vAlign w:val="bottom"/>
            <w:hideMark/>
          </w:tcPr>
          <w:p w14:paraId="1B9B3174" w14:textId="77777777" w:rsidR="00BE57F4" w:rsidRPr="00A67405" w:rsidRDefault="00BE57F4" w:rsidP="00CD4F3A">
            <w:pPr>
              <w:pStyle w:val="TableText"/>
            </w:pPr>
            <w:r w:rsidRPr="00A67405">
              <w:t>0.620023</w:t>
            </w:r>
          </w:p>
        </w:tc>
        <w:tc>
          <w:tcPr>
            <w:tcW w:w="1053" w:type="dxa"/>
            <w:noWrap/>
            <w:vAlign w:val="bottom"/>
            <w:hideMark/>
          </w:tcPr>
          <w:p w14:paraId="2BC4F979" w14:textId="77777777" w:rsidR="00BE57F4" w:rsidRPr="00A67405" w:rsidRDefault="00BE57F4" w:rsidP="00CD4F3A">
            <w:pPr>
              <w:pStyle w:val="TableText"/>
            </w:pPr>
            <w:r w:rsidRPr="00A67405">
              <w:t>0.527753</w:t>
            </w:r>
          </w:p>
        </w:tc>
        <w:tc>
          <w:tcPr>
            <w:tcW w:w="1020" w:type="dxa"/>
            <w:noWrap/>
            <w:vAlign w:val="bottom"/>
            <w:hideMark/>
          </w:tcPr>
          <w:p w14:paraId="3EA351A0" w14:textId="77777777" w:rsidR="00BE57F4" w:rsidRPr="00A67405" w:rsidRDefault="00BE57F4" w:rsidP="00CD4F3A">
            <w:pPr>
              <w:pStyle w:val="TableText"/>
            </w:pPr>
            <w:r w:rsidRPr="00A67405">
              <w:t>0</w:t>
            </w:r>
          </w:p>
        </w:tc>
      </w:tr>
      <w:tr w:rsidR="00BE57F4" w:rsidRPr="00A67405" w14:paraId="13D3D2DD" w14:textId="77777777" w:rsidTr="0002386E">
        <w:trPr>
          <w:trHeight w:val="285"/>
          <w:jc w:val="center"/>
        </w:trPr>
        <w:tc>
          <w:tcPr>
            <w:tcW w:w="1165" w:type="dxa"/>
            <w:noWrap/>
            <w:vAlign w:val="bottom"/>
            <w:hideMark/>
          </w:tcPr>
          <w:p w14:paraId="2036A688" w14:textId="77777777" w:rsidR="00BE57F4" w:rsidRPr="00A67405" w:rsidRDefault="00BE57F4" w:rsidP="00CD4F3A">
            <w:pPr>
              <w:pStyle w:val="TableText"/>
            </w:pPr>
            <w:r w:rsidRPr="00A67405">
              <w:t>Bus 16</w:t>
            </w:r>
          </w:p>
        </w:tc>
        <w:tc>
          <w:tcPr>
            <w:tcW w:w="875" w:type="dxa"/>
            <w:noWrap/>
            <w:vAlign w:val="bottom"/>
            <w:hideMark/>
          </w:tcPr>
          <w:p w14:paraId="6B9F7B3B" w14:textId="77777777" w:rsidR="00BE57F4" w:rsidRPr="00A67405" w:rsidRDefault="00BE57F4" w:rsidP="00CD4F3A">
            <w:pPr>
              <w:pStyle w:val="TableText"/>
            </w:pPr>
            <w:r w:rsidRPr="00A67405">
              <w:t>1</w:t>
            </w:r>
          </w:p>
        </w:tc>
        <w:tc>
          <w:tcPr>
            <w:tcW w:w="1053" w:type="dxa"/>
            <w:noWrap/>
            <w:vAlign w:val="bottom"/>
            <w:hideMark/>
          </w:tcPr>
          <w:p w14:paraId="60477FBE" w14:textId="77777777" w:rsidR="00BE57F4" w:rsidRPr="00A67405" w:rsidRDefault="00BE57F4" w:rsidP="00CD4F3A">
            <w:pPr>
              <w:pStyle w:val="TableText"/>
            </w:pPr>
            <w:r w:rsidRPr="00A67405">
              <w:t>0.91044</w:t>
            </w:r>
          </w:p>
        </w:tc>
        <w:tc>
          <w:tcPr>
            <w:tcW w:w="1053" w:type="dxa"/>
            <w:noWrap/>
            <w:vAlign w:val="bottom"/>
            <w:hideMark/>
          </w:tcPr>
          <w:p w14:paraId="31FC78DC" w14:textId="77777777" w:rsidR="00BE57F4" w:rsidRPr="00A67405" w:rsidRDefault="00BE57F4" w:rsidP="00CD4F3A">
            <w:pPr>
              <w:pStyle w:val="TableText"/>
            </w:pPr>
            <w:r w:rsidRPr="00A67405">
              <w:t>0.883744</w:t>
            </w:r>
          </w:p>
        </w:tc>
        <w:tc>
          <w:tcPr>
            <w:tcW w:w="1053" w:type="dxa"/>
            <w:noWrap/>
            <w:vAlign w:val="bottom"/>
            <w:hideMark/>
          </w:tcPr>
          <w:p w14:paraId="3DB56BC9" w14:textId="77777777" w:rsidR="00BE57F4" w:rsidRPr="00A67405" w:rsidRDefault="00BE57F4" w:rsidP="00CD4F3A">
            <w:pPr>
              <w:pStyle w:val="TableText"/>
            </w:pPr>
            <w:r w:rsidRPr="00A67405">
              <w:t>0.84501</w:t>
            </w:r>
          </w:p>
        </w:tc>
        <w:tc>
          <w:tcPr>
            <w:tcW w:w="1053" w:type="dxa"/>
            <w:noWrap/>
            <w:vAlign w:val="bottom"/>
            <w:hideMark/>
          </w:tcPr>
          <w:p w14:paraId="73F4CC04" w14:textId="77777777" w:rsidR="00BE57F4" w:rsidRPr="00A67405" w:rsidRDefault="00BE57F4" w:rsidP="00CD4F3A">
            <w:pPr>
              <w:pStyle w:val="TableText"/>
            </w:pPr>
            <w:r w:rsidRPr="00A67405">
              <w:t>0.700465</w:t>
            </w:r>
          </w:p>
        </w:tc>
        <w:tc>
          <w:tcPr>
            <w:tcW w:w="1053" w:type="dxa"/>
            <w:noWrap/>
            <w:vAlign w:val="bottom"/>
            <w:hideMark/>
          </w:tcPr>
          <w:p w14:paraId="1143B908" w14:textId="77777777" w:rsidR="00BE57F4" w:rsidRPr="00A67405" w:rsidRDefault="00BE57F4" w:rsidP="00CD4F3A">
            <w:pPr>
              <w:pStyle w:val="TableText"/>
            </w:pPr>
            <w:r w:rsidRPr="00A67405">
              <w:t>0.628653</w:t>
            </w:r>
          </w:p>
        </w:tc>
        <w:tc>
          <w:tcPr>
            <w:tcW w:w="1020" w:type="dxa"/>
            <w:noWrap/>
            <w:vAlign w:val="bottom"/>
            <w:hideMark/>
          </w:tcPr>
          <w:p w14:paraId="6E1E19E2" w14:textId="77777777" w:rsidR="00BE57F4" w:rsidRPr="00A67405" w:rsidRDefault="00BE57F4" w:rsidP="00CD4F3A">
            <w:pPr>
              <w:pStyle w:val="TableText"/>
            </w:pPr>
            <w:r w:rsidRPr="00A67405">
              <w:t>0</w:t>
            </w:r>
          </w:p>
        </w:tc>
      </w:tr>
      <w:tr w:rsidR="00BE57F4" w:rsidRPr="00A67405" w14:paraId="0BE16382" w14:textId="77777777" w:rsidTr="0002386E">
        <w:trPr>
          <w:trHeight w:val="285"/>
          <w:jc w:val="center"/>
        </w:trPr>
        <w:tc>
          <w:tcPr>
            <w:tcW w:w="1165" w:type="dxa"/>
            <w:noWrap/>
            <w:vAlign w:val="bottom"/>
            <w:hideMark/>
          </w:tcPr>
          <w:p w14:paraId="404D2128" w14:textId="77777777" w:rsidR="00BE57F4" w:rsidRPr="00A67405" w:rsidRDefault="00BE57F4" w:rsidP="00CD4F3A">
            <w:pPr>
              <w:pStyle w:val="TableText"/>
            </w:pPr>
            <w:r w:rsidRPr="00A67405">
              <w:t>Bus 18</w:t>
            </w:r>
          </w:p>
        </w:tc>
        <w:tc>
          <w:tcPr>
            <w:tcW w:w="875" w:type="dxa"/>
            <w:noWrap/>
            <w:vAlign w:val="bottom"/>
            <w:hideMark/>
          </w:tcPr>
          <w:p w14:paraId="69FDD033" w14:textId="77777777" w:rsidR="00BE57F4" w:rsidRPr="00A67405" w:rsidRDefault="00BE57F4" w:rsidP="00CD4F3A">
            <w:pPr>
              <w:pStyle w:val="TableText"/>
            </w:pPr>
            <w:r w:rsidRPr="00A67405">
              <w:t>1</w:t>
            </w:r>
          </w:p>
        </w:tc>
        <w:tc>
          <w:tcPr>
            <w:tcW w:w="1053" w:type="dxa"/>
            <w:noWrap/>
            <w:vAlign w:val="bottom"/>
            <w:hideMark/>
          </w:tcPr>
          <w:p w14:paraId="4929181B" w14:textId="77777777" w:rsidR="00BE57F4" w:rsidRPr="00A67405" w:rsidRDefault="00BE57F4" w:rsidP="00CD4F3A">
            <w:pPr>
              <w:pStyle w:val="TableText"/>
            </w:pPr>
            <w:r w:rsidRPr="00A67405">
              <w:t>0.901167</w:t>
            </w:r>
          </w:p>
        </w:tc>
        <w:tc>
          <w:tcPr>
            <w:tcW w:w="1053" w:type="dxa"/>
            <w:noWrap/>
            <w:vAlign w:val="bottom"/>
            <w:hideMark/>
          </w:tcPr>
          <w:p w14:paraId="488EAD02" w14:textId="77777777" w:rsidR="00BE57F4" w:rsidRPr="00A67405" w:rsidRDefault="00BE57F4" w:rsidP="00CD4F3A">
            <w:pPr>
              <w:pStyle w:val="TableText"/>
            </w:pPr>
            <w:r w:rsidRPr="00A67405">
              <w:t>0.868675</w:t>
            </w:r>
          </w:p>
        </w:tc>
        <w:tc>
          <w:tcPr>
            <w:tcW w:w="1053" w:type="dxa"/>
            <w:noWrap/>
            <w:vAlign w:val="bottom"/>
            <w:hideMark/>
          </w:tcPr>
          <w:p w14:paraId="24900077" w14:textId="77777777" w:rsidR="00BE57F4" w:rsidRPr="00A67405" w:rsidRDefault="00BE57F4" w:rsidP="00CD4F3A">
            <w:pPr>
              <w:pStyle w:val="TableText"/>
            </w:pPr>
            <w:r w:rsidRPr="00A67405">
              <w:t>0.820239</w:t>
            </w:r>
          </w:p>
        </w:tc>
        <w:tc>
          <w:tcPr>
            <w:tcW w:w="1053" w:type="dxa"/>
            <w:noWrap/>
            <w:vAlign w:val="bottom"/>
            <w:hideMark/>
          </w:tcPr>
          <w:p w14:paraId="436EADCC" w14:textId="77777777" w:rsidR="00BE57F4" w:rsidRPr="00A67405" w:rsidRDefault="00BE57F4" w:rsidP="00CD4F3A">
            <w:pPr>
              <w:pStyle w:val="TableText"/>
            </w:pPr>
            <w:r w:rsidRPr="00A67405">
              <w:t>0.653194</w:t>
            </w:r>
          </w:p>
        </w:tc>
        <w:tc>
          <w:tcPr>
            <w:tcW w:w="1053" w:type="dxa"/>
            <w:noWrap/>
            <w:vAlign w:val="bottom"/>
            <w:hideMark/>
          </w:tcPr>
          <w:p w14:paraId="080E396A" w14:textId="77777777" w:rsidR="00BE57F4" w:rsidRPr="00A67405" w:rsidRDefault="00BE57F4" w:rsidP="00CD4F3A">
            <w:pPr>
              <w:pStyle w:val="TableText"/>
            </w:pPr>
            <w:r w:rsidRPr="00A67405">
              <w:t>0.582252</w:t>
            </w:r>
          </w:p>
        </w:tc>
        <w:tc>
          <w:tcPr>
            <w:tcW w:w="1020" w:type="dxa"/>
            <w:noWrap/>
            <w:vAlign w:val="bottom"/>
            <w:hideMark/>
          </w:tcPr>
          <w:p w14:paraId="24BD43DE" w14:textId="77777777" w:rsidR="00BE57F4" w:rsidRPr="00A67405" w:rsidRDefault="00BE57F4" w:rsidP="00CD4F3A">
            <w:pPr>
              <w:pStyle w:val="TableText"/>
            </w:pPr>
            <w:r w:rsidRPr="00A67405">
              <w:t>0</w:t>
            </w:r>
          </w:p>
        </w:tc>
      </w:tr>
      <w:tr w:rsidR="00BE57F4" w:rsidRPr="00A67405" w14:paraId="409ED905" w14:textId="77777777" w:rsidTr="0002386E">
        <w:trPr>
          <w:trHeight w:val="285"/>
          <w:jc w:val="center"/>
        </w:trPr>
        <w:tc>
          <w:tcPr>
            <w:tcW w:w="1165" w:type="dxa"/>
            <w:noWrap/>
            <w:vAlign w:val="bottom"/>
            <w:hideMark/>
          </w:tcPr>
          <w:p w14:paraId="60B32D1E" w14:textId="77777777" w:rsidR="00BE57F4" w:rsidRPr="00A67405" w:rsidRDefault="00BE57F4" w:rsidP="00CD4F3A">
            <w:pPr>
              <w:pStyle w:val="TableText"/>
            </w:pPr>
            <w:r w:rsidRPr="00A67405">
              <w:t>Bus 20</w:t>
            </w:r>
          </w:p>
        </w:tc>
        <w:tc>
          <w:tcPr>
            <w:tcW w:w="875" w:type="dxa"/>
            <w:noWrap/>
            <w:vAlign w:val="bottom"/>
            <w:hideMark/>
          </w:tcPr>
          <w:p w14:paraId="54D6CF42" w14:textId="77777777" w:rsidR="00BE57F4" w:rsidRPr="00A67405" w:rsidRDefault="00BE57F4" w:rsidP="00CD4F3A">
            <w:pPr>
              <w:pStyle w:val="TableText"/>
            </w:pPr>
            <w:r w:rsidRPr="00A67405">
              <w:t>1</w:t>
            </w:r>
          </w:p>
        </w:tc>
        <w:tc>
          <w:tcPr>
            <w:tcW w:w="1053" w:type="dxa"/>
            <w:noWrap/>
            <w:vAlign w:val="bottom"/>
            <w:hideMark/>
          </w:tcPr>
          <w:p w14:paraId="4FD9FE61" w14:textId="77777777" w:rsidR="00BE57F4" w:rsidRPr="00A67405" w:rsidRDefault="00BE57F4" w:rsidP="00CD4F3A">
            <w:pPr>
              <w:pStyle w:val="TableText"/>
            </w:pPr>
            <w:r w:rsidRPr="00A67405">
              <w:t>0.910433</w:t>
            </w:r>
          </w:p>
        </w:tc>
        <w:tc>
          <w:tcPr>
            <w:tcW w:w="1053" w:type="dxa"/>
            <w:noWrap/>
            <w:vAlign w:val="bottom"/>
            <w:hideMark/>
          </w:tcPr>
          <w:p w14:paraId="79009C30" w14:textId="77777777" w:rsidR="00BE57F4" w:rsidRPr="00A67405" w:rsidRDefault="00BE57F4" w:rsidP="00CD4F3A">
            <w:pPr>
              <w:pStyle w:val="TableText"/>
            </w:pPr>
            <w:r w:rsidRPr="00A67405">
              <w:t>0.884736</w:t>
            </w:r>
          </w:p>
        </w:tc>
        <w:tc>
          <w:tcPr>
            <w:tcW w:w="1053" w:type="dxa"/>
            <w:noWrap/>
            <w:vAlign w:val="bottom"/>
            <w:hideMark/>
          </w:tcPr>
          <w:p w14:paraId="2774CC2F" w14:textId="77777777" w:rsidR="00BE57F4" w:rsidRPr="00A67405" w:rsidRDefault="00BE57F4" w:rsidP="00CD4F3A">
            <w:pPr>
              <w:pStyle w:val="TableText"/>
            </w:pPr>
            <w:r w:rsidRPr="00A67405">
              <w:t>0.852542</w:t>
            </w:r>
          </w:p>
        </w:tc>
        <w:tc>
          <w:tcPr>
            <w:tcW w:w="1053" w:type="dxa"/>
            <w:noWrap/>
            <w:vAlign w:val="bottom"/>
            <w:hideMark/>
          </w:tcPr>
          <w:p w14:paraId="46C9EC88" w14:textId="77777777" w:rsidR="00BE57F4" w:rsidRPr="00A67405" w:rsidRDefault="00BE57F4" w:rsidP="00CD4F3A">
            <w:pPr>
              <w:pStyle w:val="TableText"/>
            </w:pPr>
            <w:r w:rsidRPr="00A67405">
              <w:t>0.756153</w:t>
            </w:r>
          </w:p>
        </w:tc>
        <w:tc>
          <w:tcPr>
            <w:tcW w:w="1053" w:type="dxa"/>
            <w:noWrap/>
            <w:vAlign w:val="bottom"/>
            <w:hideMark/>
          </w:tcPr>
          <w:p w14:paraId="4B8405DB" w14:textId="77777777" w:rsidR="00BE57F4" w:rsidRPr="00A67405" w:rsidRDefault="00BE57F4" w:rsidP="00CD4F3A">
            <w:pPr>
              <w:pStyle w:val="TableText"/>
            </w:pPr>
            <w:r w:rsidRPr="00A67405">
              <w:t>0.671422</w:t>
            </w:r>
          </w:p>
        </w:tc>
        <w:tc>
          <w:tcPr>
            <w:tcW w:w="1020" w:type="dxa"/>
            <w:noWrap/>
            <w:vAlign w:val="bottom"/>
            <w:hideMark/>
          </w:tcPr>
          <w:p w14:paraId="22E18458" w14:textId="77777777" w:rsidR="00BE57F4" w:rsidRPr="00A67405" w:rsidRDefault="00BE57F4" w:rsidP="00CD4F3A">
            <w:pPr>
              <w:pStyle w:val="TableText"/>
            </w:pPr>
            <w:r w:rsidRPr="00A67405">
              <w:t>0</w:t>
            </w:r>
          </w:p>
        </w:tc>
      </w:tr>
      <w:tr w:rsidR="00BE57F4" w:rsidRPr="00A67405" w14:paraId="3606FD53" w14:textId="77777777" w:rsidTr="0002386E">
        <w:trPr>
          <w:trHeight w:val="285"/>
          <w:jc w:val="center"/>
        </w:trPr>
        <w:tc>
          <w:tcPr>
            <w:tcW w:w="1165" w:type="dxa"/>
            <w:noWrap/>
            <w:vAlign w:val="bottom"/>
            <w:hideMark/>
          </w:tcPr>
          <w:p w14:paraId="28F85F5F" w14:textId="77777777" w:rsidR="00BE57F4" w:rsidRPr="00A67405" w:rsidRDefault="00BE57F4" w:rsidP="00CD4F3A">
            <w:pPr>
              <w:pStyle w:val="TableText"/>
            </w:pPr>
            <w:r w:rsidRPr="00A67405">
              <w:t>Bus 21</w:t>
            </w:r>
          </w:p>
        </w:tc>
        <w:tc>
          <w:tcPr>
            <w:tcW w:w="875" w:type="dxa"/>
            <w:noWrap/>
            <w:vAlign w:val="bottom"/>
            <w:hideMark/>
          </w:tcPr>
          <w:p w14:paraId="5B6F8F16" w14:textId="77777777" w:rsidR="00BE57F4" w:rsidRPr="00A67405" w:rsidRDefault="00BE57F4" w:rsidP="00CD4F3A">
            <w:pPr>
              <w:pStyle w:val="TableText"/>
            </w:pPr>
            <w:r w:rsidRPr="00A67405">
              <w:t>1</w:t>
            </w:r>
          </w:p>
        </w:tc>
        <w:tc>
          <w:tcPr>
            <w:tcW w:w="1053" w:type="dxa"/>
            <w:noWrap/>
            <w:vAlign w:val="bottom"/>
            <w:hideMark/>
          </w:tcPr>
          <w:p w14:paraId="61D11515" w14:textId="77777777" w:rsidR="00BE57F4" w:rsidRPr="00A67405" w:rsidRDefault="00BE57F4" w:rsidP="00CD4F3A">
            <w:pPr>
              <w:pStyle w:val="TableText"/>
            </w:pPr>
            <w:r w:rsidRPr="00A67405">
              <w:t>0.920921</w:t>
            </w:r>
          </w:p>
        </w:tc>
        <w:tc>
          <w:tcPr>
            <w:tcW w:w="1053" w:type="dxa"/>
            <w:noWrap/>
            <w:vAlign w:val="bottom"/>
            <w:hideMark/>
          </w:tcPr>
          <w:p w14:paraId="2D22BB85" w14:textId="77777777" w:rsidR="00BE57F4" w:rsidRPr="00A67405" w:rsidRDefault="00BE57F4" w:rsidP="00CD4F3A">
            <w:pPr>
              <w:pStyle w:val="TableText"/>
            </w:pPr>
            <w:r w:rsidRPr="00A67405">
              <w:t>0.89927</w:t>
            </w:r>
          </w:p>
        </w:tc>
        <w:tc>
          <w:tcPr>
            <w:tcW w:w="1053" w:type="dxa"/>
            <w:noWrap/>
            <w:vAlign w:val="bottom"/>
            <w:hideMark/>
          </w:tcPr>
          <w:p w14:paraId="28809E95" w14:textId="77777777" w:rsidR="00BE57F4" w:rsidRPr="00A67405" w:rsidRDefault="00BE57F4" w:rsidP="00CD4F3A">
            <w:pPr>
              <w:pStyle w:val="TableText"/>
            </w:pPr>
            <w:r w:rsidRPr="00A67405">
              <w:t>0.868142</w:t>
            </w:r>
          </w:p>
        </w:tc>
        <w:tc>
          <w:tcPr>
            <w:tcW w:w="1053" w:type="dxa"/>
            <w:noWrap/>
            <w:vAlign w:val="bottom"/>
            <w:hideMark/>
          </w:tcPr>
          <w:p w14:paraId="6950759F" w14:textId="77777777" w:rsidR="00BE57F4" w:rsidRPr="00A67405" w:rsidRDefault="00BE57F4" w:rsidP="00CD4F3A">
            <w:pPr>
              <w:pStyle w:val="TableText"/>
            </w:pPr>
            <w:r w:rsidRPr="00A67405">
              <w:t>0.745509</w:t>
            </w:r>
          </w:p>
        </w:tc>
        <w:tc>
          <w:tcPr>
            <w:tcW w:w="1053" w:type="dxa"/>
            <w:noWrap/>
            <w:vAlign w:val="bottom"/>
            <w:hideMark/>
          </w:tcPr>
          <w:p w14:paraId="4EBD3724" w14:textId="77777777" w:rsidR="00BE57F4" w:rsidRPr="00A67405" w:rsidRDefault="00BE57F4" w:rsidP="00CD4F3A">
            <w:pPr>
              <w:pStyle w:val="TableText"/>
            </w:pPr>
            <w:r w:rsidRPr="00A67405">
              <w:t>0.688159</w:t>
            </w:r>
          </w:p>
        </w:tc>
        <w:tc>
          <w:tcPr>
            <w:tcW w:w="1020" w:type="dxa"/>
            <w:noWrap/>
            <w:vAlign w:val="bottom"/>
            <w:hideMark/>
          </w:tcPr>
          <w:p w14:paraId="4BF94CE0" w14:textId="77777777" w:rsidR="00BE57F4" w:rsidRPr="00A67405" w:rsidRDefault="00BE57F4" w:rsidP="00CD4F3A">
            <w:pPr>
              <w:pStyle w:val="TableText"/>
            </w:pPr>
            <w:r w:rsidRPr="00A67405">
              <w:t>0</w:t>
            </w:r>
          </w:p>
        </w:tc>
      </w:tr>
      <w:tr w:rsidR="00BE57F4" w:rsidRPr="00A67405" w14:paraId="361D13C7" w14:textId="77777777" w:rsidTr="0002386E">
        <w:trPr>
          <w:trHeight w:val="285"/>
          <w:jc w:val="center"/>
        </w:trPr>
        <w:tc>
          <w:tcPr>
            <w:tcW w:w="1165" w:type="dxa"/>
            <w:noWrap/>
            <w:vAlign w:val="bottom"/>
            <w:hideMark/>
          </w:tcPr>
          <w:p w14:paraId="45312BB9" w14:textId="77777777" w:rsidR="00BE57F4" w:rsidRPr="00A67405" w:rsidRDefault="00BE57F4" w:rsidP="00CD4F3A">
            <w:pPr>
              <w:pStyle w:val="TableText"/>
            </w:pPr>
            <w:r w:rsidRPr="00A67405">
              <w:t>Bus 23</w:t>
            </w:r>
          </w:p>
        </w:tc>
        <w:tc>
          <w:tcPr>
            <w:tcW w:w="875" w:type="dxa"/>
            <w:noWrap/>
            <w:vAlign w:val="bottom"/>
            <w:hideMark/>
          </w:tcPr>
          <w:p w14:paraId="0A67387E" w14:textId="77777777" w:rsidR="00BE57F4" w:rsidRPr="00A67405" w:rsidRDefault="00BE57F4" w:rsidP="00CD4F3A">
            <w:pPr>
              <w:pStyle w:val="TableText"/>
            </w:pPr>
            <w:r w:rsidRPr="00A67405">
              <w:t>1</w:t>
            </w:r>
          </w:p>
        </w:tc>
        <w:tc>
          <w:tcPr>
            <w:tcW w:w="1053" w:type="dxa"/>
            <w:noWrap/>
            <w:vAlign w:val="bottom"/>
            <w:hideMark/>
          </w:tcPr>
          <w:p w14:paraId="34EEFCE9" w14:textId="77777777" w:rsidR="00BE57F4" w:rsidRPr="00A67405" w:rsidRDefault="00BE57F4" w:rsidP="00CD4F3A">
            <w:pPr>
              <w:pStyle w:val="TableText"/>
            </w:pPr>
            <w:r w:rsidRPr="00A67405">
              <w:t>0.946979</w:t>
            </w:r>
          </w:p>
        </w:tc>
        <w:tc>
          <w:tcPr>
            <w:tcW w:w="1053" w:type="dxa"/>
            <w:noWrap/>
            <w:vAlign w:val="bottom"/>
            <w:hideMark/>
          </w:tcPr>
          <w:p w14:paraId="4F6946E4" w14:textId="77777777" w:rsidR="00BE57F4" w:rsidRPr="00A67405" w:rsidRDefault="00BE57F4" w:rsidP="00CD4F3A">
            <w:pPr>
              <w:pStyle w:val="TableText"/>
            </w:pPr>
            <w:r w:rsidRPr="00A67405">
              <w:t>0.932888</w:t>
            </w:r>
          </w:p>
        </w:tc>
        <w:tc>
          <w:tcPr>
            <w:tcW w:w="1053" w:type="dxa"/>
            <w:noWrap/>
            <w:vAlign w:val="bottom"/>
            <w:hideMark/>
          </w:tcPr>
          <w:p w14:paraId="14D18746" w14:textId="77777777" w:rsidR="00BE57F4" w:rsidRPr="00A67405" w:rsidRDefault="00BE57F4" w:rsidP="00CD4F3A">
            <w:pPr>
              <w:pStyle w:val="TableText"/>
            </w:pPr>
            <w:r w:rsidRPr="00A67405">
              <w:t>0.912749</w:t>
            </w:r>
          </w:p>
        </w:tc>
        <w:tc>
          <w:tcPr>
            <w:tcW w:w="1053" w:type="dxa"/>
            <w:noWrap/>
            <w:vAlign w:val="bottom"/>
            <w:hideMark/>
          </w:tcPr>
          <w:p w14:paraId="453F583A" w14:textId="77777777" w:rsidR="00BE57F4" w:rsidRPr="00A67405" w:rsidRDefault="00BE57F4" w:rsidP="00CD4F3A">
            <w:pPr>
              <w:pStyle w:val="TableText"/>
            </w:pPr>
            <w:r w:rsidRPr="00A67405">
              <w:t>0.826067</w:t>
            </w:r>
          </w:p>
        </w:tc>
        <w:tc>
          <w:tcPr>
            <w:tcW w:w="1053" w:type="dxa"/>
            <w:noWrap/>
            <w:vAlign w:val="bottom"/>
            <w:hideMark/>
          </w:tcPr>
          <w:p w14:paraId="2A289412" w14:textId="77777777" w:rsidR="00BE57F4" w:rsidRPr="00A67405" w:rsidRDefault="00BE57F4" w:rsidP="00CD4F3A">
            <w:pPr>
              <w:pStyle w:val="TableText"/>
            </w:pPr>
            <w:r w:rsidRPr="00A67405">
              <w:t>0.802926</w:t>
            </w:r>
          </w:p>
        </w:tc>
        <w:tc>
          <w:tcPr>
            <w:tcW w:w="1020" w:type="dxa"/>
            <w:noWrap/>
            <w:vAlign w:val="bottom"/>
            <w:hideMark/>
          </w:tcPr>
          <w:p w14:paraId="71C538B3" w14:textId="77777777" w:rsidR="00BE57F4" w:rsidRPr="00A67405" w:rsidRDefault="00BE57F4" w:rsidP="00CD4F3A">
            <w:pPr>
              <w:pStyle w:val="TableText"/>
            </w:pPr>
            <w:r w:rsidRPr="00A67405">
              <w:t>0</w:t>
            </w:r>
          </w:p>
        </w:tc>
      </w:tr>
      <w:tr w:rsidR="00BE57F4" w:rsidRPr="00A67405" w14:paraId="7833862E" w14:textId="77777777" w:rsidTr="0002386E">
        <w:trPr>
          <w:trHeight w:val="285"/>
          <w:jc w:val="center"/>
        </w:trPr>
        <w:tc>
          <w:tcPr>
            <w:tcW w:w="1165" w:type="dxa"/>
            <w:noWrap/>
            <w:vAlign w:val="bottom"/>
            <w:hideMark/>
          </w:tcPr>
          <w:p w14:paraId="148C90BD" w14:textId="77777777" w:rsidR="00BE57F4" w:rsidRPr="00A67405" w:rsidRDefault="00BE57F4" w:rsidP="00CD4F3A">
            <w:pPr>
              <w:pStyle w:val="TableText"/>
            </w:pPr>
            <w:r w:rsidRPr="00A67405">
              <w:t>Bus 24</w:t>
            </w:r>
          </w:p>
        </w:tc>
        <w:tc>
          <w:tcPr>
            <w:tcW w:w="875" w:type="dxa"/>
            <w:noWrap/>
            <w:vAlign w:val="bottom"/>
            <w:hideMark/>
          </w:tcPr>
          <w:p w14:paraId="6F995529" w14:textId="77777777" w:rsidR="00BE57F4" w:rsidRPr="00A67405" w:rsidRDefault="00BE57F4" w:rsidP="00CD4F3A">
            <w:pPr>
              <w:pStyle w:val="TableText"/>
            </w:pPr>
            <w:r w:rsidRPr="00A67405">
              <w:t>1</w:t>
            </w:r>
          </w:p>
        </w:tc>
        <w:tc>
          <w:tcPr>
            <w:tcW w:w="1053" w:type="dxa"/>
            <w:noWrap/>
            <w:vAlign w:val="bottom"/>
            <w:hideMark/>
          </w:tcPr>
          <w:p w14:paraId="6864F011" w14:textId="77777777" w:rsidR="00BE57F4" w:rsidRPr="00A67405" w:rsidRDefault="00BE57F4" w:rsidP="00CD4F3A">
            <w:pPr>
              <w:pStyle w:val="TableText"/>
            </w:pPr>
            <w:r w:rsidRPr="00A67405">
              <w:t>0.920357</w:t>
            </w:r>
          </w:p>
        </w:tc>
        <w:tc>
          <w:tcPr>
            <w:tcW w:w="1053" w:type="dxa"/>
            <w:noWrap/>
            <w:vAlign w:val="bottom"/>
            <w:hideMark/>
          </w:tcPr>
          <w:p w14:paraId="035AA4DB" w14:textId="77777777" w:rsidR="00BE57F4" w:rsidRPr="00A67405" w:rsidRDefault="00BE57F4" w:rsidP="00CD4F3A">
            <w:pPr>
              <w:pStyle w:val="TableText"/>
            </w:pPr>
            <w:r w:rsidRPr="00A67405">
              <w:t>0.896016</w:t>
            </w:r>
          </w:p>
        </w:tc>
        <w:tc>
          <w:tcPr>
            <w:tcW w:w="1053" w:type="dxa"/>
            <w:noWrap/>
            <w:vAlign w:val="bottom"/>
            <w:hideMark/>
          </w:tcPr>
          <w:p w14:paraId="47730F85" w14:textId="77777777" w:rsidR="00BE57F4" w:rsidRPr="00A67405" w:rsidRDefault="00BE57F4" w:rsidP="00CD4F3A">
            <w:pPr>
              <w:pStyle w:val="TableText"/>
            </w:pPr>
            <w:r w:rsidRPr="00A67405">
              <w:t>0.860677</w:t>
            </w:r>
          </w:p>
        </w:tc>
        <w:tc>
          <w:tcPr>
            <w:tcW w:w="1053" w:type="dxa"/>
            <w:noWrap/>
            <w:vAlign w:val="bottom"/>
            <w:hideMark/>
          </w:tcPr>
          <w:p w14:paraId="2427305E" w14:textId="77777777" w:rsidR="00BE57F4" w:rsidRPr="00A67405" w:rsidRDefault="00BE57F4" w:rsidP="00CD4F3A">
            <w:pPr>
              <w:pStyle w:val="TableText"/>
            </w:pPr>
            <w:r w:rsidRPr="00A67405">
              <w:t>0.725494</w:t>
            </w:r>
          </w:p>
        </w:tc>
        <w:tc>
          <w:tcPr>
            <w:tcW w:w="1053" w:type="dxa"/>
            <w:noWrap/>
            <w:vAlign w:val="bottom"/>
            <w:hideMark/>
          </w:tcPr>
          <w:p w14:paraId="0E7751D4" w14:textId="77777777" w:rsidR="00BE57F4" w:rsidRPr="00A67405" w:rsidRDefault="00BE57F4" w:rsidP="00CD4F3A">
            <w:pPr>
              <w:pStyle w:val="TableText"/>
            </w:pPr>
            <w:r w:rsidRPr="00A67405">
              <w:t>0.661083</w:t>
            </w:r>
          </w:p>
        </w:tc>
        <w:tc>
          <w:tcPr>
            <w:tcW w:w="1020" w:type="dxa"/>
            <w:noWrap/>
            <w:vAlign w:val="bottom"/>
            <w:hideMark/>
          </w:tcPr>
          <w:p w14:paraId="128AF707" w14:textId="77777777" w:rsidR="00BE57F4" w:rsidRPr="00A67405" w:rsidRDefault="00BE57F4" w:rsidP="00CD4F3A">
            <w:pPr>
              <w:pStyle w:val="TableText"/>
            </w:pPr>
            <w:r w:rsidRPr="00A67405">
              <w:t>0</w:t>
            </w:r>
          </w:p>
        </w:tc>
      </w:tr>
      <w:tr w:rsidR="00BE57F4" w:rsidRPr="00A67405" w14:paraId="2924508D" w14:textId="77777777" w:rsidTr="0002386E">
        <w:trPr>
          <w:trHeight w:val="285"/>
          <w:jc w:val="center"/>
        </w:trPr>
        <w:tc>
          <w:tcPr>
            <w:tcW w:w="1165" w:type="dxa"/>
            <w:noWrap/>
            <w:vAlign w:val="bottom"/>
            <w:hideMark/>
          </w:tcPr>
          <w:p w14:paraId="6BAF8D37" w14:textId="77777777" w:rsidR="00BE57F4" w:rsidRPr="00A67405" w:rsidRDefault="00BE57F4" w:rsidP="00CD4F3A">
            <w:pPr>
              <w:pStyle w:val="TableText"/>
            </w:pPr>
            <w:r w:rsidRPr="00A67405">
              <w:t>Bus 25</w:t>
            </w:r>
          </w:p>
        </w:tc>
        <w:tc>
          <w:tcPr>
            <w:tcW w:w="875" w:type="dxa"/>
            <w:noWrap/>
            <w:vAlign w:val="bottom"/>
            <w:hideMark/>
          </w:tcPr>
          <w:p w14:paraId="48C97695" w14:textId="77777777" w:rsidR="00BE57F4" w:rsidRPr="00A67405" w:rsidRDefault="00BE57F4" w:rsidP="00CD4F3A">
            <w:pPr>
              <w:pStyle w:val="TableText"/>
            </w:pPr>
            <w:r w:rsidRPr="00A67405">
              <w:t>1</w:t>
            </w:r>
          </w:p>
        </w:tc>
        <w:tc>
          <w:tcPr>
            <w:tcW w:w="1053" w:type="dxa"/>
            <w:noWrap/>
            <w:vAlign w:val="bottom"/>
            <w:hideMark/>
          </w:tcPr>
          <w:p w14:paraId="73D718DA" w14:textId="77777777" w:rsidR="00BE57F4" w:rsidRPr="00A67405" w:rsidRDefault="00BE57F4" w:rsidP="00CD4F3A">
            <w:pPr>
              <w:pStyle w:val="TableText"/>
            </w:pPr>
            <w:r w:rsidRPr="00A67405">
              <w:t>0.90467</w:t>
            </w:r>
          </w:p>
        </w:tc>
        <w:tc>
          <w:tcPr>
            <w:tcW w:w="1053" w:type="dxa"/>
            <w:noWrap/>
            <w:vAlign w:val="bottom"/>
            <w:hideMark/>
          </w:tcPr>
          <w:p w14:paraId="1DE16486" w14:textId="77777777" w:rsidR="00BE57F4" w:rsidRPr="00A67405" w:rsidRDefault="00BE57F4" w:rsidP="00CD4F3A">
            <w:pPr>
              <w:pStyle w:val="TableText"/>
            </w:pPr>
            <w:r w:rsidRPr="00A67405">
              <w:t>0.875749</w:t>
            </w:r>
          </w:p>
        </w:tc>
        <w:tc>
          <w:tcPr>
            <w:tcW w:w="1053" w:type="dxa"/>
            <w:noWrap/>
            <w:vAlign w:val="bottom"/>
            <w:hideMark/>
          </w:tcPr>
          <w:p w14:paraId="6ADA2FEF" w14:textId="77777777" w:rsidR="00BE57F4" w:rsidRPr="00A67405" w:rsidRDefault="00BE57F4" w:rsidP="00CD4F3A">
            <w:pPr>
              <w:pStyle w:val="TableText"/>
            </w:pPr>
            <w:r w:rsidRPr="00A67405">
              <w:t>0.8325</w:t>
            </w:r>
          </w:p>
        </w:tc>
        <w:tc>
          <w:tcPr>
            <w:tcW w:w="1053" w:type="dxa"/>
            <w:noWrap/>
            <w:vAlign w:val="bottom"/>
            <w:hideMark/>
          </w:tcPr>
          <w:p w14:paraId="4F6DDA0F" w14:textId="77777777" w:rsidR="00BE57F4" w:rsidRPr="00A67405" w:rsidRDefault="00BE57F4" w:rsidP="00CD4F3A">
            <w:pPr>
              <w:pStyle w:val="TableText"/>
            </w:pPr>
            <w:r w:rsidRPr="00A67405">
              <w:t>0.716721</w:t>
            </w:r>
          </w:p>
        </w:tc>
        <w:tc>
          <w:tcPr>
            <w:tcW w:w="1053" w:type="dxa"/>
            <w:noWrap/>
            <w:vAlign w:val="bottom"/>
            <w:hideMark/>
          </w:tcPr>
          <w:p w14:paraId="44536391" w14:textId="77777777" w:rsidR="00BE57F4" w:rsidRPr="00A67405" w:rsidRDefault="00BE57F4" w:rsidP="00CD4F3A">
            <w:pPr>
              <w:pStyle w:val="TableText"/>
            </w:pPr>
            <w:r w:rsidRPr="00A67405">
              <w:t>0.700263</w:t>
            </w:r>
          </w:p>
        </w:tc>
        <w:tc>
          <w:tcPr>
            <w:tcW w:w="1020" w:type="dxa"/>
            <w:noWrap/>
            <w:vAlign w:val="bottom"/>
            <w:hideMark/>
          </w:tcPr>
          <w:p w14:paraId="4E1F7DA7" w14:textId="77777777" w:rsidR="00BE57F4" w:rsidRPr="00A67405" w:rsidRDefault="00BE57F4" w:rsidP="00CD4F3A">
            <w:pPr>
              <w:pStyle w:val="TableText"/>
            </w:pPr>
            <w:r w:rsidRPr="00A67405">
              <w:t>0</w:t>
            </w:r>
          </w:p>
        </w:tc>
      </w:tr>
      <w:tr w:rsidR="00BE57F4" w:rsidRPr="00A67405" w14:paraId="325B3DFF" w14:textId="77777777" w:rsidTr="0002386E">
        <w:trPr>
          <w:trHeight w:val="285"/>
          <w:jc w:val="center"/>
        </w:trPr>
        <w:tc>
          <w:tcPr>
            <w:tcW w:w="1165" w:type="dxa"/>
            <w:noWrap/>
            <w:vAlign w:val="bottom"/>
            <w:hideMark/>
          </w:tcPr>
          <w:p w14:paraId="713305BD" w14:textId="77777777" w:rsidR="00BE57F4" w:rsidRPr="00A67405" w:rsidRDefault="00BE57F4" w:rsidP="00CD4F3A">
            <w:pPr>
              <w:pStyle w:val="TableText"/>
            </w:pPr>
            <w:r w:rsidRPr="00A67405">
              <w:t>Bus 26</w:t>
            </w:r>
          </w:p>
        </w:tc>
        <w:tc>
          <w:tcPr>
            <w:tcW w:w="875" w:type="dxa"/>
            <w:noWrap/>
            <w:vAlign w:val="bottom"/>
            <w:hideMark/>
          </w:tcPr>
          <w:p w14:paraId="4D701FAA" w14:textId="77777777" w:rsidR="00BE57F4" w:rsidRPr="00A67405" w:rsidRDefault="00BE57F4" w:rsidP="00CD4F3A">
            <w:pPr>
              <w:pStyle w:val="TableText"/>
            </w:pPr>
            <w:r w:rsidRPr="00A67405">
              <w:t>1</w:t>
            </w:r>
          </w:p>
        </w:tc>
        <w:tc>
          <w:tcPr>
            <w:tcW w:w="1053" w:type="dxa"/>
            <w:noWrap/>
            <w:vAlign w:val="bottom"/>
            <w:hideMark/>
          </w:tcPr>
          <w:p w14:paraId="617BAE46" w14:textId="77777777" w:rsidR="00BE57F4" w:rsidRPr="00A67405" w:rsidRDefault="00BE57F4" w:rsidP="00CD4F3A">
            <w:pPr>
              <w:pStyle w:val="TableText"/>
            </w:pPr>
            <w:r w:rsidRPr="00A67405">
              <w:t>0.905757</w:t>
            </w:r>
          </w:p>
        </w:tc>
        <w:tc>
          <w:tcPr>
            <w:tcW w:w="1053" w:type="dxa"/>
            <w:noWrap/>
            <w:vAlign w:val="bottom"/>
            <w:hideMark/>
          </w:tcPr>
          <w:p w14:paraId="60D99463" w14:textId="77777777" w:rsidR="00BE57F4" w:rsidRPr="00A67405" w:rsidRDefault="00BE57F4" w:rsidP="00CD4F3A">
            <w:pPr>
              <w:pStyle w:val="TableText"/>
            </w:pPr>
            <w:r w:rsidRPr="00A67405">
              <w:t>0.878352</w:t>
            </w:r>
          </w:p>
        </w:tc>
        <w:tc>
          <w:tcPr>
            <w:tcW w:w="1053" w:type="dxa"/>
            <w:noWrap/>
            <w:vAlign w:val="bottom"/>
            <w:hideMark/>
          </w:tcPr>
          <w:p w14:paraId="161E7575" w14:textId="77777777" w:rsidR="00BE57F4" w:rsidRPr="00A67405" w:rsidRDefault="00BE57F4" w:rsidP="00CD4F3A">
            <w:pPr>
              <w:pStyle w:val="TableText"/>
            </w:pPr>
            <w:r w:rsidRPr="00A67405">
              <w:t>0.837883</w:t>
            </w:r>
          </w:p>
        </w:tc>
        <w:tc>
          <w:tcPr>
            <w:tcW w:w="1053" w:type="dxa"/>
            <w:noWrap/>
            <w:vAlign w:val="bottom"/>
            <w:hideMark/>
          </w:tcPr>
          <w:p w14:paraId="298CB4AA" w14:textId="77777777" w:rsidR="00BE57F4" w:rsidRPr="00A67405" w:rsidRDefault="00BE57F4" w:rsidP="00CD4F3A">
            <w:pPr>
              <w:pStyle w:val="TableText"/>
            </w:pPr>
            <w:r w:rsidRPr="00A67405">
              <w:t>0.719822</w:t>
            </w:r>
          </w:p>
        </w:tc>
        <w:tc>
          <w:tcPr>
            <w:tcW w:w="1053" w:type="dxa"/>
            <w:noWrap/>
            <w:vAlign w:val="bottom"/>
            <w:hideMark/>
          </w:tcPr>
          <w:p w14:paraId="15FBA937" w14:textId="77777777" w:rsidR="00BE57F4" w:rsidRPr="00A67405" w:rsidRDefault="00BE57F4" w:rsidP="00CD4F3A">
            <w:pPr>
              <w:pStyle w:val="TableText"/>
            </w:pPr>
            <w:r w:rsidRPr="00A67405">
              <w:t>0.681973</w:t>
            </w:r>
          </w:p>
        </w:tc>
        <w:tc>
          <w:tcPr>
            <w:tcW w:w="1020" w:type="dxa"/>
            <w:noWrap/>
            <w:vAlign w:val="bottom"/>
            <w:hideMark/>
          </w:tcPr>
          <w:p w14:paraId="72975315" w14:textId="77777777" w:rsidR="00BE57F4" w:rsidRPr="00A67405" w:rsidRDefault="00BE57F4" w:rsidP="00CD4F3A">
            <w:pPr>
              <w:pStyle w:val="TableText"/>
            </w:pPr>
            <w:r w:rsidRPr="00A67405">
              <w:t>0</w:t>
            </w:r>
          </w:p>
        </w:tc>
      </w:tr>
      <w:tr w:rsidR="00BE57F4" w:rsidRPr="00A67405" w14:paraId="78FB5340" w14:textId="77777777" w:rsidTr="0002386E">
        <w:trPr>
          <w:trHeight w:val="285"/>
          <w:jc w:val="center"/>
        </w:trPr>
        <w:tc>
          <w:tcPr>
            <w:tcW w:w="1165" w:type="dxa"/>
            <w:noWrap/>
            <w:vAlign w:val="bottom"/>
            <w:hideMark/>
          </w:tcPr>
          <w:p w14:paraId="716632BB" w14:textId="77777777" w:rsidR="00BE57F4" w:rsidRPr="00A67405" w:rsidRDefault="00BE57F4" w:rsidP="00CD4F3A">
            <w:pPr>
              <w:pStyle w:val="TableText"/>
            </w:pPr>
            <w:r w:rsidRPr="00A67405">
              <w:t>Bus 27</w:t>
            </w:r>
          </w:p>
        </w:tc>
        <w:tc>
          <w:tcPr>
            <w:tcW w:w="875" w:type="dxa"/>
            <w:noWrap/>
            <w:vAlign w:val="bottom"/>
            <w:hideMark/>
          </w:tcPr>
          <w:p w14:paraId="78B51AA1" w14:textId="77777777" w:rsidR="00BE57F4" w:rsidRPr="00A67405" w:rsidRDefault="00BE57F4" w:rsidP="00CD4F3A">
            <w:pPr>
              <w:pStyle w:val="TableText"/>
            </w:pPr>
            <w:r w:rsidRPr="00A67405">
              <w:t>1</w:t>
            </w:r>
          </w:p>
        </w:tc>
        <w:tc>
          <w:tcPr>
            <w:tcW w:w="1053" w:type="dxa"/>
            <w:noWrap/>
            <w:vAlign w:val="bottom"/>
            <w:hideMark/>
          </w:tcPr>
          <w:p w14:paraId="56CB8581" w14:textId="77777777" w:rsidR="00BE57F4" w:rsidRPr="00A67405" w:rsidRDefault="00BE57F4" w:rsidP="00CD4F3A">
            <w:pPr>
              <w:pStyle w:val="TableText"/>
            </w:pPr>
            <w:r w:rsidRPr="00A67405">
              <w:t>0.894941</w:t>
            </w:r>
          </w:p>
        </w:tc>
        <w:tc>
          <w:tcPr>
            <w:tcW w:w="1053" w:type="dxa"/>
            <w:noWrap/>
            <w:vAlign w:val="bottom"/>
            <w:hideMark/>
          </w:tcPr>
          <w:p w14:paraId="58CD78CF" w14:textId="77777777" w:rsidR="00BE57F4" w:rsidRPr="00A67405" w:rsidRDefault="00BE57F4" w:rsidP="00CD4F3A">
            <w:pPr>
              <w:pStyle w:val="TableText"/>
            </w:pPr>
            <w:r w:rsidRPr="00A67405">
              <w:t>0.864874</w:t>
            </w:r>
          </w:p>
        </w:tc>
        <w:tc>
          <w:tcPr>
            <w:tcW w:w="1053" w:type="dxa"/>
            <w:noWrap/>
            <w:vAlign w:val="bottom"/>
            <w:hideMark/>
          </w:tcPr>
          <w:p w14:paraId="5DA079F5" w14:textId="77777777" w:rsidR="00BE57F4" w:rsidRPr="00A67405" w:rsidRDefault="00BE57F4" w:rsidP="00CD4F3A">
            <w:pPr>
              <w:pStyle w:val="TableText"/>
            </w:pPr>
            <w:r w:rsidRPr="00A67405">
              <w:t>0.820631</w:t>
            </w:r>
          </w:p>
        </w:tc>
        <w:tc>
          <w:tcPr>
            <w:tcW w:w="1053" w:type="dxa"/>
            <w:noWrap/>
            <w:vAlign w:val="bottom"/>
            <w:hideMark/>
          </w:tcPr>
          <w:p w14:paraId="7073A742" w14:textId="77777777" w:rsidR="00BE57F4" w:rsidRPr="00A67405" w:rsidRDefault="00BE57F4" w:rsidP="00CD4F3A">
            <w:pPr>
              <w:pStyle w:val="TableText"/>
            </w:pPr>
            <w:r w:rsidRPr="00A67405">
              <w:t>0.682265</w:t>
            </w:r>
          </w:p>
        </w:tc>
        <w:tc>
          <w:tcPr>
            <w:tcW w:w="1053" w:type="dxa"/>
            <w:noWrap/>
            <w:vAlign w:val="bottom"/>
            <w:hideMark/>
          </w:tcPr>
          <w:p w14:paraId="1FE48777" w14:textId="77777777" w:rsidR="00BE57F4" w:rsidRPr="00A67405" w:rsidRDefault="00BE57F4" w:rsidP="00CD4F3A">
            <w:pPr>
              <w:pStyle w:val="TableText"/>
            </w:pPr>
            <w:r w:rsidRPr="00A67405">
              <w:t>0.62879</w:t>
            </w:r>
          </w:p>
        </w:tc>
        <w:tc>
          <w:tcPr>
            <w:tcW w:w="1020" w:type="dxa"/>
            <w:noWrap/>
            <w:vAlign w:val="bottom"/>
            <w:hideMark/>
          </w:tcPr>
          <w:p w14:paraId="1D2D96B5" w14:textId="77777777" w:rsidR="00BE57F4" w:rsidRPr="00A67405" w:rsidRDefault="00BE57F4" w:rsidP="00CD4F3A">
            <w:pPr>
              <w:pStyle w:val="TableText"/>
            </w:pPr>
            <w:r w:rsidRPr="00A67405">
              <w:t>0</w:t>
            </w:r>
          </w:p>
        </w:tc>
      </w:tr>
      <w:tr w:rsidR="00BE57F4" w:rsidRPr="00A67405" w14:paraId="1FAFE4A7" w14:textId="77777777" w:rsidTr="0002386E">
        <w:trPr>
          <w:trHeight w:val="285"/>
          <w:jc w:val="center"/>
        </w:trPr>
        <w:tc>
          <w:tcPr>
            <w:tcW w:w="1165" w:type="dxa"/>
            <w:noWrap/>
            <w:vAlign w:val="bottom"/>
            <w:hideMark/>
          </w:tcPr>
          <w:p w14:paraId="5CB5B29D" w14:textId="77777777" w:rsidR="00BE57F4" w:rsidRPr="00A67405" w:rsidRDefault="00BE57F4" w:rsidP="00CD4F3A">
            <w:pPr>
              <w:pStyle w:val="TableText"/>
            </w:pPr>
            <w:r w:rsidRPr="00A67405">
              <w:t>Bus 28</w:t>
            </w:r>
          </w:p>
        </w:tc>
        <w:tc>
          <w:tcPr>
            <w:tcW w:w="875" w:type="dxa"/>
            <w:noWrap/>
            <w:vAlign w:val="bottom"/>
            <w:hideMark/>
          </w:tcPr>
          <w:p w14:paraId="41920E52" w14:textId="77777777" w:rsidR="00BE57F4" w:rsidRPr="00A67405" w:rsidRDefault="00BE57F4" w:rsidP="00CD4F3A">
            <w:pPr>
              <w:pStyle w:val="TableText"/>
            </w:pPr>
            <w:r w:rsidRPr="00A67405">
              <w:t>1</w:t>
            </w:r>
          </w:p>
        </w:tc>
        <w:tc>
          <w:tcPr>
            <w:tcW w:w="1053" w:type="dxa"/>
            <w:noWrap/>
            <w:vAlign w:val="bottom"/>
            <w:hideMark/>
          </w:tcPr>
          <w:p w14:paraId="1B3C3F1A" w14:textId="77777777" w:rsidR="00BE57F4" w:rsidRPr="00A67405" w:rsidRDefault="00BE57F4" w:rsidP="00CD4F3A">
            <w:pPr>
              <w:pStyle w:val="TableText"/>
            </w:pPr>
            <w:r w:rsidRPr="00A67405">
              <w:t>0.935801</w:t>
            </w:r>
          </w:p>
        </w:tc>
        <w:tc>
          <w:tcPr>
            <w:tcW w:w="1053" w:type="dxa"/>
            <w:noWrap/>
            <w:vAlign w:val="bottom"/>
            <w:hideMark/>
          </w:tcPr>
          <w:p w14:paraId="714D7DB7" w14:textId="77777777" w:rsidR="00BE57F4" w:rsidRPr="00A67405" w:rsidRDefault="00BE57F4" w:rsidP="00CD4F3A">
            <w:pPr>
              <w:pStyle w:val="TableText"/>
            </w:pPr>
            <w:r w:rsidRPr="00A67405">
              <w:t>0.918195</w:t>
            </w:r>
          </w:p>
        </w:tc>
        <w:tc>
          <w:tcPr>
            <w:tcW w:w="1053" w:type="dxa"/>
            <w:noWrap/>
            <w:vAlign w:val="bottom"/>
            <w:hideMark/>
          </w:tcPr>
          <w:p w14:paraId="44DCDB4D" w14:textId="77777777" w:rsidR="00BE57F4" w:rsidRPr="00A67405" w:rsidRDefault="00BE57F4" w:rsidP="00CD4F3A">
            <w:pPr>
              <w:pStyle w:val="TableText"/>
            </w:pPr>
            <w:r w:rsidRPr="00A67405">
              <w:t>0.892472</w:t>
            </w:r>
          </w:p>
        </w:tc>
        <w:tc>
          <w:tcPr>
            <w:tcW w:w="1053" w:type="dxa"/>
            <w:noWrap/>
            <w:vAlign w:val="bottom"/>
            <w:hideMark/>
          </w:tcPr>
          <w:p w14:paraId="67D602B2" w14:textId="77777777" w:rsidR="00BE57F4" w:rsidRPr="00A67405" w:rsidRDefault="00BE57F4" w:rsidP="00CD4F3A">
            <w:pPr>
              <w:pStyle w:val="TableText"/>
            </w:pPr>
            <w:r w:rsidRPr="00A67405">
              <w:t>0.819231</w:t>
            </w:r>
          </w:p>
        </w:tc>
        <w:tc>
          <w:tcPr>
            <w:tcW w:w="1053" w:type="dxa"/>
            <w:noWrap/>
            <w:vAlign w:val="bottom"/>
            <w:hideMark/>
          </w:tcPr>
          <w:p w14:paraId="18324BD2" w14:textId="77777777" w:rsidR="00BE57F4" w:rsidRPr="00A67405" w:rsidRDefault="00BE57F4" w:rsidP="00CD4F3A">
            <w:pPr>
              <w:pStyle w:val="TableText"/>
            </w:pPr>
            <w:r w:rsidRPr="00A67405">
              <w:t>0.795997</w:t>
            </w:r>
          </w:p>
        </w:tc>
        <w:tc>
          <w:tcPr>
            <w:tcW w:w="1020" w:type="dxa"/>
            <w:noWrap/>
            <w:vAlign w:val="bottom"/>
            <w:hideMark/>
          </w:tcPr>
          <w:p w14:paraId="5C937301" w14:textId="77777777" w:rsidR="00BE57F4" w:rsidRPr="00A67405" w:rsidRDefault="00BE57F4" w:rsidP="00CD4F3A">
            <w:pPr>
              <w:pStyle w:val="TableText"/>
            </w:pPr>
            <w:r w:rsidRPr="00A67405">
              <w:t>0</w:t>
            </w:r>
          </w:p>
        </w:tc>
      </w:tr>
      <w:tr w:rsidR="00BE57F4" w:rsidRPr="00A67405" w14:paraId="6AE97A2D" w14:textId="77777777" w:rsidTr="0002386E">
        <w:trPr>
          <w:trHeight w:val="285"/>
          <w:jc w:val="center"/>
        </w:trPr>
        <w:tc>
          <w:tcPr>
            <w:tcW w:w="1165" w:type="dxa"/>
            <w:noWrap/>
            <w:vAlign w:val="bottom"/>
            <w:hideMark/>
          </w:tcPr>
          <w:p w14:paraId="39E394BD" w14:textId="77777777" w:rsidR="00BE57F4" w:rsidRPr="00A67405" w:rsidRDefault="00BE57F4" w:rsidP="00CD4F3A">
            <w:pPr>
              <w:pStyle w:val="TableText"/>
            </w:pPr>
            <w:r w:rsidRPr="00A67405">
              <w:t>Bus 29</w:t>
            </w:r>
          </w:p>
        </w:tc>
        <w:tc>
          <w:tcPr>
            <w:tcW w:w="875" w:type="dxa"/>
            <w:noWrap/>
            <w:vAlign w:val="bottom"/>
            <w:hideMark/>
          </w:tcPr>
          <w:p w14:paraId="6ACDE7BB" w14:textId="77777777" w:rsidR="00BE57F4" w:rsidRPr="00A67405" w:rsidRDefault="00BE57F4" w:rsidP="00CD4F3A">
            <w:pPr>
              <w:pStyle w:val="TableText"/>
            </w:pPr>
            <w:r w:rsidRPr="00A67405">
              <w:t>1</w:t>
            </w:r>
          </w:p>
        </w:tc>
        <w:tc>
          <w:tcPr>
            <w:tcW w:w="1053" w:type="dxa"/>
            <w:noWrap/>
            <w:vAlign w:val="bottom"/>
            <w:hideMark/>
          </w:tcPr>
          <w:p w14:paraId="783FDF4D" w14:textId="77777777" w:rsidR="00BE57F4" w:rsidRPr="00A67405" w:rsidRDefault="00BE57F4" w:rsidP="00CD4F3A">
            <w:pPr>
              <w:pStyle w:val="TableText"/>
            </w:pPr>
            <w:r w:rsidRPr="00A67405">
              <w:t>0.950706</w:t>
            </w:r>
          </w:p>
        </w:tc>
        <w:tc>
          <w:tcPr>
            <w:tcW w:w="1053" w:type="dxa"/>
            <w:noWrap/>
            <w:vAlign w:val="bottom"/>
            <w:hideMark/>
          </w:tcPr>
          <w:p w14:paraId="45667C3E" w14:textId="77777777" w:rsidR="00BE57F4" w:rsidRPr="00A67405" w:rsidRDefault="00BE57F4" w:rsidP="00CD4F3A">
            <w:pPr>
              <w:pStyle w:val="TableText"/>
            </w:pPr>
            <w:r w:rsidRPr="00A67405">
              <w:t>0.937236</w:t>
            </w:r>
          </w:p>
        </w:tc>
        <w:tc>
          <w:tcPr>
            <w:tcW w:w="1053" w:type="dxa"/>
            <w:noWrap/>
            <w:vAlign w:val="bottom"/>
            <w:hideMark/>
          </w:tcPr>
          <w:p w14:paraId="07B92653" w14:textId="77777777" w:rsidR="00BE57F4" w:rsidRPr="00A67405" w:rsidRDefault="00BE57F4" w:rsidP="00CD4F3A">
            <w:pPr>
              <w:pStyle w:val="TableText"/>
            </w:pPr>
            <w:r w:rsidRPr="00A67405">
              <w:t>0.917588</w:t>
            </w:r>
          </w:p>
        </w:tc>
        <w:tc>
          <w:tcPr>
            <w:tcW w:w="1053" w:type="dxa"/>
            <w:noWrap/>
            <w:vAlign w:val="bottom"/>
            <w:hideMark/>
          </w:tcPr>
          <w:p w14:paraId="650002C9" w14:textId="77777777" w:rsidR="00BE57F4" w:rsidRPr="00A67405" w:rsidRDefault="00BE57F4" w:rsidP="00CD4F3A">
            <w:pPr>
              <w:pStyle w:val="TableText"/>
            </w:pPr>
            <w:r w:rsidRPr="00A67405">
              <w:t>0.861482</w:t>
            </w:r>
          </w:p>
        </w:tc>
        <w:tc>
          <w:tcPr>
            <w:tcW w:w="1053" w:type="dxa"/>
            <w:noWrap/>
            <w:vAlign w:val="bottom"/>
            <w:hideMark/>
          </w:tcPr>
          <w:p w14:paraId="4C77C18B" w14:textId="77777777" w:rsidR="00BE57F4" w:rsidRPr="00A67405" w:rsidRDefault="00BE57F4" w:rsidP="00CD4F3A">
            <w:pPr>
              <w:pStyle w:val="TableText"/>
            </w:pPr>
            <w:r w:rsidRPr="00A67405">
              <w:t>0.843754</w:t>
            </w:r>
          </w:p>
        </w:tc>
        <w:tc>
          <w:tcPr>
            <w:tcW w:w="1020" w:type="dxa"/>
            <w:noWrap/>
            <w:vAlign w:val="bottom"/>
            <w:hideMark/>
          </w:tcPr>
          <w:p w14:paraId="2948DA3F" w14:textId="77777777" w:rsidR="00BE57F4" w:rsidRPr="00A67405" w:rsidRDefault="00BE57F4" w:rsidP="00CD4F3A">
            <w:pPr>
              <w:pStyle w:val="TableText"/>
            </w:pPr>
            <w:r w:rsidRPr="00A67405">
              <w:t>0</w:t>
            </w:r>
          </w:p>
        </w:tc>
      </w:tr>
      <w:tr w:rsidR="00BE57F4" w:rsidRPr="00A67405" w14:paraId="191F3A93" w14:textId="77777777" w:rsidTr="0002386E">
        <w:trPr>
          <w:trHeight w:val="285"/>
          <w:jc w:val="center"/>
        </w:trPr>
        <w:tc>
          <w:tcPr>
            <w:tcW w:w="1165" w:type="dxa"/>
            <w:noWrap/>
            <w:vAlign w:val="bottom"/>
            <w:hideMark/>
          </w:tcPr>
          <w:p w14:paraId="1A0101A4" w14:textId="77777777" w:rsidR="00BE57F4" w:rsidRPr="00A67405" w:rsidRDefault="00BE57F4" w:rsidP="00CD4F3A">
            <w:pPr>
              <w:pStyle w:val="TableText"/>
            </w:pPr>
            <w:r w:rsidRPr="00A67405">
              <w:t>Bus 31</w:t>
            </w:r>
          </w:p>
        </w:tc>
        <w:tc>
          <w:tcPr>
            <w:tcW w:w="875" w:type="dxa"/>
            <w:noWrap/>
            <w:vAlign w:val="bottom"/>
            <w:hideMark/>
          </w:tcPr>
          <w:p w14:paraId="33A8BCA2" w14:textId="77777777" w:rsidR="00BE57F4" w:rsidRPr="00A67405" w:rsidRDefault="00BE57F4" w:rsidP="00CD4F3A">
            <w:pPr>
              <w:pStyle w:val="TableText"/>
            </w:pPr>
            <w:r w:rsidRPr="00A67405">
              <w:t>1</w:t>
            </w:r>
          </w:p>
        </w:tc>
        <w:tc>
          <w:tcPr>
            <w:tcW w:w="1053" w:type="dxa"/>
            <w:noWrap/>
            <w:vAlign w:val="bottom"/>
            <w:hideMark/>
          </w:tcPr>
          <w:p w14:paraId="6B595456" w14:textId="77777777" w:rsidR="00BE57F4" w:rsidRPr="00A67405" w:rsidRDefault="00BE57F4" w:rsidP="00CD4F3A">
            <w:pPr>
              <w:pStyle w:val="TableText"/>
            </w:pPr>
            <w:r w:rsidRPr="00A67405">
              <w:t>0.974157</w:t>
            </w:r>
          </w:p>
        </w:tc>
        <w:tc>
          <w:tcPr>
            <w:tcW w:w="1053" w:type="dxa"/>
            <w:noWrap/>
            <w:vAlign w:val="bottom"/>
            <w:hideMark/>
          </w:tcPr>
          <w:p w14:paraId="5D055E01" w14:textId="77777777" w:rsidR="00BE57F4" w:rsidRPr="00A67405" w:rsidRDefault="00BE57F4" w:rsidP="00CD4F3A">
            <w:pPr>
              <w:pStyle w:val="TableText"/>
            </w:pPr>
            <w:r w:rsidRPr="00A67405">
              <w:t>0.965324</w:t>
            </w:r>
          </w:p>
        </w:tc>
        <w:tc>
          <w:tcPr>
            <w:tcW w:w="1053" w:type="dxa"/>
            <w:noWrap/>
            <w:vAlign w:val="bottom"/>
            <w:hideMark/>
          </w:tcPr>
          <w:p w14:paraId="31F42275" w14:textId="77777777" w:rsidR="00BE57F4" w:rsidRPr="00A67405" w:rsidRDefault="00BE57F4" w:rsidP="00CD4F3A">
            <w:pPr>
              <w:pStyle w:val="TableText"/>
            </w:pPr>
            <w:r w:rsidRPr="00A67405">
              <w:t>0.951973</w:t>
            </w:r>
          </w:p>
        </w:tc>
        <w:tc>
          <w:tcPr>
            <w:tcW w:w="1053" w:type="dxa"/>
            <w:noWrap/>
            <w:vAlign w:val="bottom"/>
            <w:hideMark/>
          </w:tcPr>
          <w:p w14:paraId="7DDAB106" w14:textId="77777777" w:rsidR="00BE57F4" w:rsidRPr="00A67405" w:rsidRDefault="00BE57F4" w:rsidP="00CD4F3A">
            <w:pPr>
              <w:pStyle w:val="TableText"/>
            </w:pPr>
            <w:r w:rsidRPr="00A67405">
              <w:t>0.631246</w:t>
            </w:r>
          </w:p>
        </w:tc>
        <w:tc>
          <w:tcPr>
            <w:tcW w:w="1053" w:type="dxa"/>
            <w:noWrap/>
            <w:vAlign w:val="bottom"/>
            <w:hideMark/>
          </w:tcPr>
          <w:p w14:paraId="49C6412B" w14:textId="77777777" w:rsidR="00BE57F4" w:rsidRPr="00A67405" w:rsidRDefault="00BE57F4" w:rsidP="00CD4F3A">
            <w:pPr>
              <w:pStyle w:val="TableText"/>
            </w:pPr>
            <w:r w:rsidRPr="00A67405">
              <w:t>0.486798</w:t>
            </w:r>
          </w:p>
        </w:tc>
        <w:tc>
          <w:tcPr>
            <w:tcW w:w="1020" w:type="dxa"/>
            <w:noWrap/>
            <w:vAlign w:val="bottom"/>
            <w:hideMark/>
          </w:tcPr>
          <w:p w14:paraId="55BEF08D" w14:textId="77777777" w:rsidR="00BE57F4" w:rsidRPr="00A67405" w:rsidRDefault="00BE57F4" w:rsidP="00CD4F3A">
            <w:pPr>
              <w:pStyle w:val="TableText"/>
            </w:pPr>
            <w:r w:rsidRPr="00A67405">
              <w:t>0</w:t>
            </w:r>
          </w:p>
        </w:tc>
      </w:tr>
    </w:tbl>
    <w:p w14:paraId="5E16DBB6" w14:textId="6C050574" w:rsidR="00BE57F4" w:rsidRPr="00A67405" w:rsidRDefault="00BE57F4" w:rsidP="0038339E">
      <w:pPr>
        <w:pStyle w:val="ListNumber"/>
        <w:numPr>
          <w:ilvl w:val="0"/>
          <w:numId w:val="0"/>
        </w:numPr>
        <w:tabs>
          <w:tab w:val="clear" w:pos="397"/>
          <w:tab w:val="left" w:pos="0"/>
        </w:tabs>
        <w:spacing w:after="0"/>
        <w:rPr>
          <w:rFonts w:asciiTheme="minorHAnsi" w:hAnsiTheme="minorHAnsi" w:cstheme="minorBidi"/>
        </w:rPr>
      </w:pPr>
      <w:r w:rsidRPr="00A67405">
        <w:rPr>
          <w:rFonts w:asciiTheme="minorHAnsi" w:hAnsiTheme="minorHAnsi" w:cstheme="minorBidi"/>
        </w:rPr>
        <w:fldChar w:fldCharType="begin"/>
      </w:r>
      <w:r w:rsidRPr="00A67405">
        <w:rPr>
          <w:rFonts w:asciiTheme="minorHAnsi" w:hAnsiTheme="minorHAnsi" w:cstheme="minorBidi"/>
        </w:rPr>
        <w:instrText xml:space="preserve"> REF _Ref230193943 \h </w:instrText>
      </w:r>
      <w:r w:rsidR="00A67405" w:rsidRPr="00A67405">
        <w:rPr>
          <w:rFonts w:asciiTheme="minorHAnsi" w:hAnsiTheme="minorHAnsi" w:cstheme="minorBidi"/>
        </w:rPr>
        <w:instrText xml:space="preserve"> \* MERGEFORMAT </w:instrText>
      </w:r>
      <w:r w:rsidRPr="00A67405">
        <w:rPr>
          <w:rFonts w:asciiTheme="minorHAnsi" w:hAnsiTheme="minorHAnsi" w:cstheme="minorBidi"/>
        </w:rPr>
      </w:r>
      <w:r w:rsidRPr="00A67405">
        <w:rPr>
          <w:rFonts w:asciiTheme="minorHAnsi" w:hAnsiTheme="minorHAnsi" w:cstheme="minorBidi"/>
        </w:rPr>
        <w:fldChar w:fldCharType="separate"/>
      </w:r>
      <w:r w:rsidR="00753DAF" w:rsidRPr="00A67405">
        <w:t xml:space="preserve">Table </w:t>
      </w:r>
      <w:r w:rsidR="00753DAF" w:rsidRPr="00A67405">
        <w:rPr>
          <w:noProof/>
        </w:rPr>
        <w:t>14</w:t>
      </w:r>
      <w:r w:rsidRPr="00A67405">
        <w:rPr>
          <w:rFonts w:asciiTheme="minorHAnsi" w:hAnsiTheme="minorHAnsi" w:cstheme="minorBidi"/>
        </w:rPr>
        <w:fldChar w:fldCharType="end"/>
      </w:r>
      <w:r w:rsidRPr="00A67405">
        <w:rPr>
          <w:rFonts w:asciiTheme="minorHAnsi" w:hAnsiTheme="minorHAnsi" w:cstheme="minorBidi"/>
        </w:rPr>
        <w:t xml:space="preserve"> and </w:t>
      </w:r>
      <w:r w:rsidRPr="00A67405">
        <w:rPr>
          <w:rFonts w:asciiTheme="minorHAnsi" w:hAnsiTheme="minorHAnsi" w:cstheme="minorBidi"/>
        </w:rPr>
        <w:fldChar w:fldCharType="begin"/>
      </w:r>
      <w:r w:rsidRPr="00A67405">
        <w:rPr>
          <w:rFonts w:asciiTheme="minorHAnsi" w:hAnsiTheme="minorHAnsi" w:cstheme="minorBidi"/>
        </w:rPr>
        <w:instrText xml:space="preserve"> REF _Ref230193951 \h </w:instrText>
      </w:r>
      <w:r w:rsidR="00A67405" w:rsidRPr="00A67405">
        <w:rPr>
          <w:rFonts w:asciiTheme="minorHAnsi" w:hAnsiTheme="minorHAnsi" w:cstheme="minorBidi"/>
        </w:rPr>
        <w:instrText xml:space="preserve"> \* MERGEFORMAT </w:instrText>
      </w:r>
      <w:r w:rsidRPr="00A67405">
        <w:rPr>
          <w:rFonts w:asciiTheme="minorHAnsi" w:hAnsiTheme="minorHAnsi" w:cstheme="minorBidi"/>
        </w:rPr>
      </w:r>
      <w:r w:rsidRPr="00A67405">
        <w:rPr>
          <w:rFonts w:asciiTheme="minorHAnsi" w:hAnsiTheme="minorHAnsi" w:cstheme="minorBidi"/>
        </w:rPr>
        <w:fldChar w:fldCharType="separate"/>
      </w:r>
      <w:r w:rsidR="00753DAF" w:rsidRPr="00A67405">
        <w:t xml:space="preserve">Table </w:t>
      </w:r>
      <w:r w:rsidR="00753DAF" w:rsidRPr="00A67405">
        <w:rPr>
          <w:noProof/>
        </w:rPr>
        <w:t>15</w:t>
      </w:r>
      <w:r w:rsidRPr="00A67405">
        <w:rPr>
          <w:rFonts w:asciiTheme="minorHAnsi" w:hAnsiTheme="minorHAnsi" w:cstheme="minorBidi"/>
        </w:rPr>
        <w:fldChar w:fldCharType="end"/>
      </w:r>
      <w:r w:rsidRPr="00A67405">
        <w:rPr>
          <w:rFonts w:asciiTheme="minorHAnsi" w:hAnsiTheme="minorHAnsi" w:cstheme="minorBidi"/>
        </w:rPr>
        <w:t xml:space="preserve"> demonstrate that increasing renewable penetration levels lead to a reduction in the maximum </w:t>
      </w:r>
      <w:proofErr w:type="spellStart"/>
      <w:r w:rsidRPr="00A67405">
        <w:rPr>
          <w:rFonts w:asciiTheme="minorHAnsi" w:hAnsiTheme="minorHAnsi" w:cstheme="minorBidi"/>
        </w:rPr>
        <w:t>loadability</w:t>
      </w:r>
      <w:proofErr w:type="spellEnd"/>
      <w:r w:rsidRPr="00A67405">
        <w:rPr>
          <w:rFonts w:asciiTheme="minorHAnsi" w:hAnsiTheme="minorHAnsi" w:cstheme="minorBidi"/>
        </w:rPr>
        <w:t xml:space="preserve"> points of the system. For instance, in the 0% renewable scenario, the calculated SDVPI attains its highest and lowest values at the base load condition and at 156% </w:t>
      </w:r>
      <w:proofErr w:type="spellStart"/>
      <w:r w:rsidRPr="00A67405">
        <w:rPr>
          <w:rFonts w:asciiTheme="minorHAnsi" w:hAnsiTheme="minorHAnsi" w:cstheme="minorBidi"/>
        </w:rPr>
        <w:t>loadability</w:t>
      </w:r>
      <w:proofErr w:type="spellEnd"/>
      <w:r w:rsidRPr="00A67405">
        <w:rPr>
          <w:rFonts w:asciiTheme="minorHAnsi" w:hAnsiTheme="minorHAnsi" w:cstheme="minorBidi"/>
        </w:rPr>
        <w:t xml:space="preserve">, respectively. In this scenario, the proposed SDVPI successfully identifies the maximum operating limit at 156% </w:t>
      </w:r>
      <w:proofErr w:type="spellStart"/>
      <w:r w:rsidRPr="00A67405">
        <w:rPr>
          <w:rFonts w:asciiTheme="minorHAnsi" w:hAnsiTheme="minorHAnsi" w:cstheme="minorBidi"/>
        </w:rPr>
        <w:t>loadability</w:t>
      </w:r>
      <w:proofErr w:type="spellEnd"/>
      <w:r w:rsidRPr="00A67405">
        <w:rPr>
          <w:rFonts w:asciiTheme="minorHAnsi" w:hAnsiTheme="minorHAnsi" w:cstheme="minorBidi"/>
        </w:rPr>
        <w:t xml:space="preserve">, as well as the voltage collapse point at 157% </w:t>
      </w:r>
      <w:proofErr w:type="spellStart"/>
      <w:r w:rsidRPr="00A67405">
        <w:rPr>
          <w:rFonts w:asciiTheme="minorHAnsi" w:hAnsiTheme="minorHAnsi" w:cstheme="minorBidi"/>
        </w:rPr>
        <w:t>loadability</w:t>
      </w:r>
      <w:proofErr w:type="spellEnd"/>
      <w:r w:rsidRPr="00A67405">
        <w:rPr>
          <w:rFonts w:asciiTheme="minorHAnsi" w:hAnsiTheme="minorHAnsi" w:cstheme="minorBidi"/>
        </w:rPr>
        <w:t>.</w:t>
      </w:r>
    </w:p>
    <w:p w14:paraId="2DF7CBCE" w14:textId="77777777" w:rsidR="00BE57F4" w:rsidRPr="00A67405" w:rsidRDefault="00BE57F4" w:rsidP="0038339E">
      <w:pPr>
        <w:pStyle w:val="BodyText"/>
        <w:spacing w:after="0"/>
        <w:rPr>
          <w:rFonts w:asciiTheme="minorHAnsi" w:hAnsiTheme="minorHAnsi" w:cstheme="minorBidi"/>
          <w:lang w:val="en-US"/>
        </w:rPr>
      </w:pPr>
      <w:r w:rsidRPr="00A67405">
        <w:rPr>
          <w:rFonts w:asciiTheme="minorHAnsi" w:hAnsiTheme="minorHAnsi" w:cstheme="minorBidi"/>
          <w:lang w:val="en-US"/>
        </w:rPr>
        <w:t xml:space="preserve">Another notable observation is the behaviour of SDVPI on individual buses. For a given bus (e.g., Bus 12), SDVPI values decrease as the </w:t>
      </w:r>
      <w:proofErr w:type="spellStart"/>
      <w:r w:rsidRPr="00A67405">
        <w:rPr>
          <w:rFonts w:asciiTheme="minorHAnsi" w:hAnsiTheme="minorHAnsi" w:cstheme="minorBidi"/>
          <w:lang w:val="en-US"/>
        </w:rPr>
        <w:t>loadability</w:t>
      </w:r>
      <w:proofErr w:type="spellEnd"/>
      <w:r w:rsidRPr="00A67405">
        <w:rPr>
          <w:rFonts w:asciiTheme="minorHAnsi" w:hAnsiTheme="minorHAnsi" w:cstheme="minorBidi"/>
          <w:lang w:val="en-US"/>
        </w:rPr>
        <w:t xml:space="preserve"> level increases, which is likely associated with voltage degradation due to increased </w:t>
      </w:r>
      <w:proofErr w:type="spellStart"/>
      <w:r w:rsidRPr="00A67405">
        <w:rPr>
          <w:rFonts w:asciiTheme="minorHAnsi" w:hAnsiTheme="minorHAnsi" w:cstheme="minorBidi"/>
          <w:lang w:val="en-US"/>
        </w:rPr>
        <w:t>loadability</w:t>
      </w:r>
      <w:proofErr w:type="spellEnd"/>
      <w:r w:rsidRPr="00A67405">
        <w:rPr>
          <w:rFonts w:asciiTheme="minorHAnsi" w:hAnsiTheme="minorHAnsi" w:cstheme="minorBidi"/>
          <w:lang w:val="en-US"/>
        </w:rPr>
        <w:t xml:space="preserve"> points. Similarly, with increasing renewable penetration, the SDVPI declines for the same bus and operating condition. For example, at Bus 12 and 126% </w:t>
      </w:r>
      <w:proofErr w:type="spellStart"/>
      <w:r w:rsidRPr="00A67405">
        <w:rPr>
          <w:rFonts w:asciiTheme="minorHAnsi" w:hAnsiTheme="minorHAnsi" w:cstheme="minorBidi"/>
          <w:lang w:val="en-US"/>
        </w:rPr>
        <w:t>loadability</w:t>
      </w:r>
      <w:proofErr w:type="spellEnd"/>
      <w:r w:rsidRPr="00A67405">
        <w:rPr>
          <w:rFonts w:asciiTheme="minorHAnsi" w:hAnsiTheme="minorHAnsi" w:cstheme="minorBidi"/>
          <w:lang w:val="en-US"/>
        </w:rPr>
        <w:t>, the SDVPI decreases significantly from 0.846878 in the 0% renewable case to 0.475723 at 83% renewable penetration levels. This trend indicates that increased integration of IBRs reduces reactive power support, leading to weaker SDVS which is an effect effectively captured by the proposed SDVPI.</w:t>
      </w:r>
    </w:p>
    <w:p w14:paraId="16526CE3" w14:textId="733FC7A1" w:rsidR="00BE57F4" w:rsidRDefault="00BE57F4" w:rsidP="0038339E">
      <w:pPr>
        <w:pStyle w:val="ListNumber"/>
        <w:numPr>
          <w:ilvl w:val="0"/>
          <w:numId w:val="0"/>
        </w:numPr>
        <w:tabs>
          <w:tab w:val="clear" w:pos="397"/>
          <w:tab w:val="left" w:pos="0"/>
        </w:tabs>
        <w:spacing w:after="0"/>
        <w:jc w:val="both"/>
        <w:rPr>
          <w:color w:val="auto"/>
          <w:szCs w:val="24"/>
        </w:rPr>
      </w:pPr>
      <w:r w:rsidRPr="00A67405">
        <w:rPr>
          <w:rFonts w:asciiTheme="minorHAnsi" w:hAnsiTheme="minorHAnsi" w:cstheme="minorBidi"/>
        </w:rPr>
        <w:fldChar w:fldCharType="begin"/>
      </w:r>
      <w:r w:rsidRPr="00A67405">
        <w:rPr>
          <w:rFonts w:asciiTheme="minorHAnsi" w:hAnsiTheme="minorHAnsi" w:cstheme="minorBidi"/>
        </w:rPr>
        <w:instrText xml:space="preserve"> REF _Ref230192276 \h </w:instrText>
      </w:r>
      <w:r w:rsidR="00A67405">
        <w:rPr>
          <w:rFonts w:asciiTheme="minorHAnsi" w:hAnsiTheme="minorHAnsi" w:cstheme="minorBidi"/>
        </w:rPr>
        <w:instrText xml:space="preserve"> \* MERGEFORMAT </w:instrText>
      </w:r>
      <w:r w:rsidRPr="00A67405">
        <w:rPr>
          <w:rFonts w:asciiTheme="minorHAnsi" w:hAnsiTheme="minorHAnsi" w:cstheme="minorBidi"/>
        </w:rPr>
      </w:r>
      <w:r w:rsidRPr="00A67405">
        <w:rPr>
          <w:rFonts w:asciiTheme="minorHAnsi" w:hAnsiTheme="minorHAnsi" w:cstheme="minorBidi"/>
        </w:rPr>
        <w:fldChar w:fldCharType="separate"/>
      </w:r>
      <w:r w:rsidR="00753DAF" w:rsidRPr="00A67405">
        <w:t xml:space="preserve">Figure </w:t>
      </w:r>
      <w:r w:rsidR="00753DAF" w:rsidRPr="00A67405">
        <w:rPr>
          <w:noProof/>
        </w:rPr>
        <w:t>45</w:t>
      </w:r>
      <w:r w:rsidRPr="00A67405">
        <w:rPr>
          <w:rFonts w:asciiTheme="minorHAnsi" w:hAnsiTheme="minorHAnsi" w:cstheme="minorBidi"/>
        </w:rPr>
        <w:fldChar w:fldCharType="end"/>
      </w:r>
      <w:r w:rsidRPr="00A67405">
        <w:rPr>
          <w:rFonts w:asciiTheme="minorHAnsi" w:hAnsiTheme="minorHAnsi" w:cstheme="minorBidi"/>
        </w:rPr>
        <w:t xml:space="preserve">(a) and </w:t>
      </w:r>
      <w:r w:rsidRPr="00A67405">
        <w:rPr>
          <w:rFonts w:asciiTheme="minorHAnsi" w:hAnsiTheme="minorHAnsi" w:cstheme="minorBidi"/>
        </w:rPr>
        <w:fldChar w:fldCharType="begin"/>
      </w:r>
      <w:r w:rsidRPr="00A67405">
        <w:rPr>
          <w:rFonts w:asciiTheme="minorHAnsi" w:hAnsiTheme="minorHAnsi" w:cstheme="minorBidi"/>
        </w:rPr>
        <w:instrText xml:space="preserve"> REF _Ref230192276 \h </w:instrText>
      </w:r>
      <w:r w:rsidR="00A67405">
        <w:rPr>
          <w:rFonts w:asciiTheme="minorHAnsi" w:hAnsiTheme="minorHAnsi" w:cstheme="minorBidi"/>
        </w:rPr>
        <w:instrText xml:space="preserve"> \* MERGEFORMAT </w:instrText>
      </w:r>
      <w:r w:rsidRPr="00A67405">
        <w:rPr>
          <w:rFonts w:asciiTheme="minorHAnsi" w:hAnsiTheme="minorHAnsi" w:cstheme="minorBidi"/>
        </w:rPr>
      </w:r>
      <w:r w:rsidRPr="00A67405">
        <w:rPr>
          <w:rFonts w:asciiTheme="minorHAnsi" w:hAnsiTheme="minorHAnsi" w:cstheme="minorBidi"/>
        </w:rPr>
        <w:fldChar w:fldCharType="separate"/>
      </w:r>
      <w:r w:rsidR="00753DAF" w:rsidRPr="00A67405">
        <w:t xml:space="preserve">Figure </w:t>
      </w:r>
      <w:r w:rsidR="00753DAF" w:rsidRPr="00A67405">
        <w:rPr>
          <w:noProof/>
        </w:rPr>
        <w:t>45</w:t>
      </w:r>
      <w:r w:rsidRPr="00A67405">
        <w:rPr>
          <w:rFonts w:asciiTheme="minorHAnsi" w:hAnsiTheme="minorHAnsi" w:cstheme="minorBidi"/>
        </w:rPr>
        <w:fldChar w:fldCharType="end"/>
      </w:r>
      <w:r w:rsidRPr="00A67405">
        <w:rPr>
          <w:rFonts w:asciiTheme="minorHAnsi" w:hAnsiTheme="minorHAnsi" w:cstheme="minorBidi"/>
        </w:rPr>
        <w:t xml:space="preserve">(b) show the value of SDVPI for some selected buses for 0% and 83% renewables, respectively. For </w:t>
      </w:r>
      <w:r w:rsidR="002F4B88">
        <w:rPr>
          <w:rFonts w:asciiTheme="minorHAnsi" w:hAnsiTheme="minorHAnsi" w:cstheme="minorBidi"/>
        </w:rPr>
        <w:t xml:space="preserve">the </w:t>
      </w:r>
      <w:r w:rsidRPr="00A67405">
        <w:rPr>
          <w:rFonts w:asciiTheme="minorHAnsi" w:hAnsiTheme="minorHAnsi" w:cstheme="minorBidi"/>
        </w:rPr>
        <w:t xml:space="preserve">rest of the renewable cases tabulated in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Table 3 to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Table </w:t>
      </w:r>
      <w:r w:rsidR="00A170BA">
        <w:rPr>
          <w:rFonts w:asciiTheme="minorHAnsi" w:hAnsiTheme="minorHAnsi" w:cstheme="minorBidi"/>
        </w:rPr>
        <w:t>10</w:t>
      </w:r>
      <w:r w:rsidRPr="00547C88">
        <w:rPr>
          <w:rFonts w:asciiTheme="minorHAnsi" w:hAnsiTheme="minorHAnsi" w:cstheme="minorBidi"/>
        </w:rPr>
        <w:t xml:space="preserve"> </w:t>
      </w:r>
      <w:r w:rsidRPr="00547C88">
        <w:rPr>
          <w:color w:val="auto"/>
          <w:szCs w:val="24"/>
        </w:rPr>
        <w:t>in Appendix A1</w:t>
      </w:r>
      <w:r w:rsidRPr="00547C88">
        <w:rPr>
          <w:rFonts w:asciiTheme="minorHAnsi" w:hAnsiTheme="minorHAnsi" w:cstheme="minorBidi"/>
        </w:rPr>
        <w:t>, the value</w:t>
      </w:r>
      <w:r w:rsidR="002F4B88">
        <w:rPr>
          <w:rFonts w:asciiTheme="minorHAnsi" w:hAnsiTheme="minorHAnsi" w:cstheme="minorBidi"/>
        </w:rPr>
        <w:t>s</w:t>
      </w:r>
      <w:r w:rsidRPr="00547C88">
        <w:rPr>
          <w:rFonts w:asciiTheme="minorHAnsi" w:hAnsiTheme="minorHAnsi" w:cstheme="minorBidi"/>
        </w:rPr>
        <w:t xml:space="preserve"> of SDVPI of the selected buses </w:t>
      </w:r>
      <w:r w:rsidR="002F4B88">
        <w:rPr>
          <w:rFonts w:asciiTheme="minorHAnsi" w:hAnsiTheme="minorHAnsi" w:cstheme="minorBidi"/>
        </w:rPr>
        <w:t xml:space="preserve">are </w:t>
      </w:r>
      <w:r w:rsidRPr="00547C88">
        <w:rPr>
          <w:rFonts w:asciiTheme="minorHAnsi" w:hAnsiTheme="minorHAnsi" w:cstheme="minorBidi"/>
        </w:rPr>
        <w:t>show</w:t>
      </w:r>
      <w:r w:rsidR="002F4B88">
        <w:rPr>
          <w:rFonts w:asciiTheme="minorHAnsi" w:hAnsiTheme="minorHAnsi" w:cstheme="minorBidi"/>
        </w:rPr>
        <w:t>n</w:t>
      </w:r>
      <w:r w:rsidRPr="00547C88">
        <w:rPr>
          <w:rFonts w:asciiTheme="minorHAnsi" w:hAnsiTheme="minorHAnsi" w:cstheme="minorBidi"/>
        </w:rPr>
        <w:t xml:space="preserve"> in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w:t>
      </w:r>
      <w:r w:rsidRPr="00547C88">
        <w:rPr>
          <w:color w:val="auto"/>
          <w:szCs w:val="24"/>
        </w:rPr>
        <w:t>Figure 1 in Appendix A1, respectively.</w:t>
      </w:r>
      <w:r w:rsidRPr="00E26611">
        <w:rPr>
          <w:color w:val="auto"/>
          <w:szCs w:val="24"/>
        </w:rPr>
        <w:t xml:space="preserve"> </w:t>
      </w:r>
    </w:p>
    <w:p w14:paraId="03E96561" w14:textId="77777777" w:rsidR="008F41FB" w:rsidRDefault="008F41FB" w:rsidP="008F41FB">
      <w:pPr>
        <w:pStyle w:val="BodyText"/>
        <w:rPr>
          <w:highlight w:val="yellow"/>
        </w:rPr>
      </w:pPr>
    </w:p>
    <w:p w14:paraId="36EBBD66" w14:textId="77777777" w:rsidR="008F41FB" w:rsidRPr="008F41FB" w:rsidRDefault="008F41FB" w:rsidP="008F41FB">
      <w:pPr>
        <w:pStyle w:val="BodyText"/>
        <w:rPr>
          <w:highlight w:val="yellow"/>
        </w:rPr>
      </w:pPr>
    </w:p>
    <w:p w14:paraId="73280C24" w14:textId="77777777" w:rsidR="00BE57F4" w:rsidRPr="00262C24" w:rsidRDefault="00BE57F4" w:rsidP="00CD4F3A">
      <w:pPr>
        <w:pStyle w:val="ListNumber"/>
        <w:numPr>
          <w:ilvl w:val="0"/>
          <w:numId w:val="0"/>
        </w:numPr>
        <w:tabs>
          <w:tab w:val="clear" w:pos="397"/>
          <w:tab w:val="left" w:pos="0"/>
        </w:tabs>
        <w:spacing w:line="240" w:lineRule="auto"/>
        <w:jc w:val="both"/>
        <w:rPr>
          <w:color w:val="auto"/>
          <w:szCs w:val="24"/>
        </w:rPr>
      </w:pPr>
      <w:r w:rsidRPr="00262C24">
        <w:rPr>
          <w:noProof/>
        </w:rPr>
        <w:lastRenderedPageBreak/>
        <w:drawing>
          <wp:inline distT="0" distB="0" distL="0" distR="0" wp14:anchorId="6AB79C2B" wp14:editId="20EEFE95">
            <wp:extent cx="2981325" cy="1701436"/>
            <wp:effectExtent l="0" t="0" r="0" b="0"/>
            <wp:docPr id="12491426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7">
                      <a:extLst>
                        <a:ext uri="{28A0092B-C50C-407E-A947-70E740481C1C}">
                          <a14:useLocalDpi xmlns:a14="http://schemas.microsoft.com/office/drawing/2010/main" val="0"/>
                        </a:ext>
                      </a:extLst>
                    </a:blip>
                    <a:srcRect r="1404"/>
                    <a:stretch>
                      <a:fillRect/>
                    </a:stretch>
                  </pic:blipFill>
                  <pic:spPr bwMode="auto">
                    <a:xfrm>
                      <a:off x="0" y="0"/>
                      <a:ext cx="2993349" cy="1708298"/>
                    </a:xfrm>
                    <a:prstGeom prst="rect">
                      <a:avLst/>
                    </a:prstGeom>
                    <a:noFill/>
                    <a:ln>
                      <a:noFill/>
                    </a:ln>
                    <a:extLst>
                      <a:ext uri="{53640926-AAD7-44D8-BBD7-CCE9431645EC}">
                        <a14:shadowObscured xmlns:a14="http://schemas.microsoft.com/office/drawing/2010/main"/>
                      </a:ext>
                    </a:extLst>
                  </pic:spPr>
                </pic:pic>
              </a:graphicData>
            </a:graphic>
          </wp:inline>
        </w:drawing>
      </w:r>
      <w:r w:rsidRPr="00262C24">
        <w:rPr>
          <w:color w:val="auto"/>
          <w:szCs w:val="24"/>
        </w:rPr>
        <w:t xml:space="preserve"> </w:t>
      </w:r>
      <w:r w:rsidRPr="00262C24">
        <w:rPr>
          <w:noProof/>
        </w:rPr>
        <w:drawing>
          <wp:inline distT="0" distB="0" distL="0" distR="0" wp14:anchorId="0BA94F42" wp14:editId="79524222">
            <wp:extent cx="3060700" cy="1692292"/>
            <wp:effectExtent l="0" t="0" r="6350" b="3175"/>
            <wp:docPr id="20267660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8">
                      <a:extLst>
                        <a:ext uri="{28A0092B-C50C-407E-A947-70E740481C1C}">
                          <a14:useLocalDpi xmlns:a14="http://schemas.microsoft.com/office/drawing/2010/main" val="0"/>
                        </a:ext>
                      </a:extLst>
                    </a:blip>
                    <a:srcRect l="1369" r="1542" b="2941"/>
                    <a:stretch>
                      <a:fillRect/>
                    </a:stretch>
                  </pic:blipFill>
                  <pic:spPr bwMode="auto">
                    <a:xfrm>
                      <a:off x="0" y="0"/>
                      <a:ext cx="3067703" cy="1696164"/>
                    </a:xfrm>
                    <a:prstGeom prst="rect">
                      <a:avLst/>
                    </a:prstGeom>
                    <a:noFill/>
                    <a:ln>
                      <a:noFill/>
                    </a:ln>
                    <a:extLst>
                      <a:ext uri="{53640926-AAD7-44D8-BBD7-CCE9431645EC}">
                        <a14:shadowObscured xmlns:a14="http://schemas.microsoft.com/office/drawing/2010/main"/>
                      </a:ext>
                    </a:extLst>
                  </pic:spPr>
                </pic:pic>
              </a:graphicData>
            </a:graphic>
          </wp:inline>
        </w:drawing>
      </w:r>
    </w:p>
    <w:p w14:paraId="6266AC73" w14:textId="4378E1D7" w:rsidR="00BE57F4" w:rsidRPr="00262C24" w:rsidRDefault="003C43BF" w:rsidP="00CD4F3A">
      <w:pPr>
        <w:pStyle w:val="BodyText"/>
        <w:spacing w:line="240" w:lineRule="auto"/>
        <w:ind w:left="270"/>
        <w:jc w:val="center"/>
        <w:rPr>
          <w:sz w:val="20"/>
          <w:szCs w:val="20"/>
        </w:rPr>
      </w:pPr>
      <w:r w:rsidRPr="00262C24">
        <w:rPr>
          <w:sz w:val="20"/>
          <w:szCs w:val="20"/>
        </w:rPr>
        <w:t>(a)</w:t>
      </w:r>
      <w:r w:rsidR="00BE57F4" w:rsidRPr="00262C24">
        <w:rPr>
          <w:sz w:val="20"/>
          <w:szCs w:val="20"/>
        </w:rPr>
        <w:t xml:space="preserve">                                                                                     </w:t>
      </w:r>
      <w:proofErr w:type="gramStart"/>
      <w:r w:rsidR="00BE57F4" w:rsidRPr="00262C24">
        <w:rPr>
          <w:sz w:val="20"/>
          <w:szCs w:val="20"/>
        </w:rPr>
        <w:t xml:space="preserve">   (</w:t>
      </w:r>
      <w:proofErr w:type="gramEnd"/>
      <w:r w:rsidR="00BE57F4" w:rsidRPr="00262C24">
        <w:rPr>
          <w:sz w:val="20"/>
          <w:szCs w:val="20"/>
        </w:rPr>
        <w:t>b)</w:t>
      </w:r>
    </w:p>
    <w:p w14:paraId="17F29CDC" w14:textId="130BB3EF" w:rsidR="00BE57F4" w:rsidRPr="003F2E39" w:rsidRDefault="00BE57F4" w:rsidP="00CD4F3A">
      <w:pPr>
        <w:pStyle w:val="Caption"/>
        <w:spacing w:line="240" w:lineRule="auto"/>
        <w:jc w:val="both"/>
        <w:rPr>
          <w:b w:val="0"/>
          <w:bCs w:val="0"/>
          <w:highlight w:val="yellow"/>
        </w:rPr>
      </w:pPr>
      <w:bookmarkStart w:id="233" w:name="_Ref230192276"/>
      <w:bookmarkStart w:id="234" w:name="_Toc230198636"/>
      <w:bookmarkStart w:id="235" w:name="_Toc233735051"/>
      <w:r w:rsidRPr="00E27D3B">
        <w:t xml:space="preserve">Figure </w:t>
      </w:r>
      <w:fldSimple w:instr=" SEQ Figure \* ARABIC ">
        <w:r w:rsidR="00A85006">
          <w:rPr>
            <w:noProof/>
          </w:rPr>
          <w:t>45</w:t>
        </w:r>
      </w:fldSimple>
      <w:bookmarkEnd w:id="233"/>
      <w:r w:rsidRPr="00627948">
        <w:t>: The value of SDVPI for the selected buses for (a) 0% renewables in IEEE 39 bus system, (</w:t>
      </w:r>
      <w:r w:rsidR="0093207C">
        <w:t>b</w:t>
      </w:r>
      <w:r w:rsidRPr="00627948">
        <w:t>) 83% renewables in IEEE 39 bus system.</w:t>
      </w:r>
      <w:bookmarkEnd w:id="234"/>
      <w:bookmarkEnd w:id="235"/>
    </w:p>
    <w:p w14:paraId="517858AC" w14:textId="17286C4F" w:rsidR="00BE57F4" w:rsidRPr="00E26611" w:rsidRDefault="00BE57F4" w:rsidP="0038339E">
      <w:pPr>
        <w:pStyle w:val="ListNumber"/>
        <w:numPr>
          <w:ilvl w:val="0"/>
          <w:numId w:val="0"/>
        </w:numPr>
        <w:tabs>
          <w:tab w:val="clear" w:pos="397"/>
          <w:tab w:val="left" w:pos="0"/>
        </w:tabs>
        <w:spacing w:after="0"/>
        <w:rPr>
          <w:rFonts w:asciiTheme="minorHAnsi" w:hAnsiTheme="minorHAnsi" w:cstheme="minorBidi"/>
        </w:rPr>
      </w:pPr>
      <w:r w:rsidRPr="00E26611">
        <w:rPr>
          <w:rFonts w:asciiTheme="minorHAnsi" w:hAnsiTheme="minorHAnsi" w:cstheme="minorBidi"/>
        </w:rPr>
        <w:fldChar w:fldCharType="begin"/>
      </w:r>
      <w:r w:rsidRPr="00E26611">
        <w:rPr>
          <w:rFonts w:asciiTheme="minorHAnsi" w:hAnsiTheme="minorHAnsi" w:cstheme="minorBidi"/>
        </w:rPr>
        <w:instrText xml:space="preserve"> REF _Ref230192276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45</w:t>
      </w:r>
      <w:r w:rsidRPr="00E26611">
        <w:rPr>
          <w:rFonts w:asciiTheme="minorHAnsi" w:hAnsiTheme="minorHAnsi" w:cstheme="minorBidi"/>
        </w:rPr>
        <w:fldChar w:fldCharType="end"/>
      </w:r>
      <w:r w:rsidRPr="00E26611">
        <w:rPr>
          <w:rFonts w:asciiTheme="minorHAnsi" w:hAnsiTheme="minorHAnsi" w:cstheme="minorBidi"/>
        </w:rPr>
        <w:t xml:space="preserve">(a) and </w:t>
      </w:r>
      <w:r w:rsidRPr="00E26611">
        <w:rPr>
          <w:rFonts w:asciiTheme="minorHAnsi" w:hAnsiTheme="minorHAnsi" w:cstheme="minorBidi"/>
        </w:rPr>
        <w:fldChar w:fldCharType="begin"/>
      </w:r>
      <w:r w:rsidRPr="00E26611">
        <w:rPr>
          <w:rFonts w:asciiTheme="minorHAnsi" w:hAnsiTheme="minorHAnsi" w:cstheme="minorBidi"/>
        </w:rPr>
        <w:instrText xml:space="preserve"> REF _Ref230192276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45</w:t>
      </w:r>
      <w:r w:rsidRPr="00E26611">
        <w:rPr>
          <w:rFonts w:asciiTheme="minorHAnsi" w:hAnsiTheme="minorHAnsi" w:cstheme="minorBidi"/>
        </w:rPr>
        <w:fldChar w:fldCharType="end"/>
      </w:r>
      <w:r w:rsidRPr="00E26611">
        <w:rPr>
          <w:rFonts w:asciiTheme="minorHAnsi" w:hAnsiTheme="minorHAnsi" w:cstheme="minorBidi"/>
        </w:rPr>
        <w:t xml:space="preserve">(b) illustrate the impact of varying </w:t>
      </w:r>
      <w:proofErr w:type="spellStart"/>
      <w:r w:rsidRPr="00E26611">
        <w:rPr>
          <w:rFonts w:asciiTheme="minorHAnsi" w:hAnsiTheme="minorHAnsi" w:cstheme="minorBidi"/>
        </w:rPr>
        <w:t>loadability</w:t>
      </w:r>
      <w:proofErr w:type="spellEnd"/>
      <w:r w:rsidRPr="00E26611">
        <w:rPr>
          <w:rFonts w:asciiTheme="minorHAnsi" w:hAnsiTheme="minorHAnsi" w:cstheme="minorBidi"/>
        </w:rPr>
        <w:t xml:space="preserve"> levels on the post-step response as captured by the proposed SDVPI for the 0% and 83% renewable scenarios, respectively. These results provide insight into the relative robustness of individual buses against small disturbances under different levels of renewable penetration. The observed trends are consistent with established findings in the literature, where increased integration of IBRs reduces system strength, and weakens voltage resilience, thereby increasing the sensitivity of voltage profiles to load and network variations.</w:t>
      </w:r>
    </w:p>
    <w:p w14:paraId="10EE9388" w14:textId="30B92C1E" w:rsidR="00BE57F4" w:rsidRPr="00E26611" w:rsidRDefault="00BE57F4" w:rsidP="0038339E">
      <w:pPr>
        <w:pStyle w:val="ListNumber"/>
        <w:numPr>
          <w:ilvl w:val="0"/>
          <w:numId w:val="0"/>
        </w:numPr>
        <w:tabs>
          <w:tab w:val="clear" w:pos="397"/>
          <w:tab w:val="left" w:pos="0"/>
        </w:tabs>
        <w:spacing w:after="0"/>
        <w:rPr>
          <w:rFonts w:asciiTheme="minorHAnsi" w:hAnsiTheme="minorHAnsi" w:cstheme="minorBidi"/>
        </w:rPr>
      </w:pPr>
      <w:r w:rsidRPr="00E26611">
        <w:rPr>
          <w:rFonts w:asciiTheme="minorHAnsi" w:hAnsiTheme="minorHAnsi" w:cstheme="minorBidi"/>
        </w:rPr>
        <w:t xml:space="preserve">The proposed SDVPI also quantifies the degradation in bus-level voltage stability when transitioning between operating scenarios, such as from 0% to 83% renewable penetration. This comparison highlights the impact of higher IBR penetration in reducing locally available reactive power support and weakening the system’s Q–V characteristics, resulting in reduced voltage stability margins. From a dynamic standpoint, interactions between power electronic converters, control systems, and network impedance further increase sensitivity to small disturbances under high renewable penetration. The results from </w:t>
      </w:r>
      <w:r w:rsidRPr="00E26611">
        <w:rPr>
          <w:rFonts w:asciiTheme="minorHAnsi" w:hAnsiTheme="minorHAnsi" w:cstheme="minorBidi"/>
        </w:rPr>
        <w:fldChar w:fldCharType="begin"/>
      </w:r>
      <w:r w:rsidRPr="00E26611">
        <w:rPr>
          <w:rFonts w:asciiTheme="minorHAnsi" w:hAnsiTheme="minorHAnsi" w:cstheme="minorBidi"/>
        </w:rPr>
        <w:instrText xml:space="preserve"> REF _Ref230192276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45</w:t>
      </w:r>
      <w:r w:rsidRPr="00E26611">
        <w:rPr>
          <w:rFonts w:asciiTheme="minorHAnsi" w:hAnsiTheme="minorHAnsi" w:cstheme="minorBidi"/>
        </w:rPr>
        <w:fldChar w:fldCharType="end"/>
      </w:r>
      <w:r w:rsidRPr="00E26611">
        <w:rPr>
          <w:rFonts w:asciiTheme="minorHAnsi" w:hAnsiTheme="minorHAnsi" w:cstheme="minorBidi"/>
        </w:rPr>
        <w:t xml:space="preserve">(a) and </w:t>
      </w:r>
      <w:r w:rsidRPr="00E26611">
        <w:rPr>
          <w:rFonts w:asciiTheme="minorHAnsi" w:hAnsiTheme="minorHAnsi" w:cstheme="minorBidi"/>
        </w:rPr>
        <w:fldChar w:fldCharType="begin"/>
      </w:r>
      <w:r w:rsidRPr="00E26611">
        <w:rPr>
          <w:rFonts w:asciiTheme="minorHAnsi" w:hAnsiTheme="minorHAnsi" w:cstheme="minorBidi"/>
        </w:rPr>
        <w:instrText xml:space="preserve"> REF _Ref230192276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45</w:t>
      </w:r>
      <w:r w:rsidRPr="00E26611">
        <w:rPr>
          <w:rFonts w:asciiTheme="minorHAnsi" w:hAnsiTheme="minorHAnsi" w:cstheme="minorBidi"/>
        </w:rPr>
        <w:fldChar w:fldCharType="end"/>
      </w:r>
      <w:r w:rsidRPr="00E26611">
        <w:rPr>
          <w:rFonts w:asciiTheme="minorHAnsi" w:hAnsiTheme="minorHAnsi" w:cstheme="minorBidi"/>
        </w:rPr>
        <w:t xml:space="preserve">(b) demonstrate that the proposed SDVPI captures the progressive deterioration of voltage stability with increasing </w:t>
      </w:r>
      <w:proofErr w:type="spellStart"/>
      <w:r w:rsidRPr="00E26611">
        <w:rPr>
          <w:rFonts w:asciiTheme="minorHAnsi" w:hAnsiTheme="minorHAnsi" w:cstheme="minorBidi"/>
        </w:rPr>
        <w:t>loadability</w:t>
      </w:r>
      <w:proofErr w:type="spellEnd"/>
      <w:r w:rsidRPr="00E26611">
        <w:rPr>
          <w:rFonts w:asciiTheme="minorHAnsi" w:hAnsiTheme="minorHAnsi" w:cstheme="minorBidi"/>
        </w:rPr>
        <w:t xml:space="preserve"> while also distinguishing the impact of high renewable penetration on individual bus robustness, enabling clear identification of buses that exhibit the greatest reduction in voltage stability margins under high IBR integration.</w:t>
      </w:r>
    </w:p>
    <w:p w14:paraId="2B9E821A" w14:textId="406321CE" w:rsidR="00BE57F4" w:rsidRPr="003F2E39" w:rsidRDefault="00BE57F4" w:rsidP="0038339E">
      <w:pPr>
        <w:pStyle w:val="ListNumber"/>
        <w:numPr>
          <w:ilvl w:val="0"/>
          <w:numId w:val="0"/>
        </w:numPr>
        <w:tabs>
          <w:tab w:val="clear" w:pos="397"/>
          <w:tab w:val="left" w:pos="0"/>
        </w:tabs>
        <w:spacing w:after="0"/>
        <w:rPr>
          <w:color w:val="auto"/>
          <w:szCs w:val="24"/>
          <w:highlight w:val="yellow"/>
        </w:rPr>
      </w:pPr>
      <w:r w:rsidRPr="00E26611">
        <w:t xml:space="preserve">Furthermore, the feature of the proposed SDVPI is capable of identify the weakest bus at individual </w:t>
      </w:r>
      <w:proofErr w:type="spellStart"/>
      <w:r w:rsidRPr="00E26611">
        <w:rPr>
          <w:rFonts w:asciiTheme="minorHAnsi" w:hAnsiTheme="minorHAnsi" w:cstheme="minorBidi"/>
        </w:rPr>
        <w:t>loadability</w:t>
      </w:r>
      <w:proofErr w:type="spellEnd"/>
      <w:r w:rsidRPr="00E26611">
        <w:rPr>
          <w:rFonts w:asciiTheme="minorHAnsi" w:hAnsiTheme="minorHAnsi" w:cstheme="minorBidi"/>
        </w:rPr>
        <w:t xml:space="preserve"> is illustrated through </w:t>
      </w:r>
      <w:r w:rsidRPr="00E26611">
        <w:rPr>
          <w:rFonts w:asciiTheme="minorHAnsi" w:hAnsiTheme="minorHAnsi" w:cstheme="minorBidi"/>
        </w:rPr>
        <w:fldChar w:fldCharType="begin"/>
      </w:r>
      <w:r w:rsidRPr="00E26611">
        <w:rPr>
          <w:rFonts w:asciiTheme="minorHAnsi" w:hAnsiTheme="minorHAnsi" w:cstheme="minorBidi"/>
        </w:rPr>
        <w:instrText xml:space="preserve"> REF _Ref230192355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46</w:t>
      </w:r>
      <w:r w:rsidRPr="00E26611">
        <w:rPr>
          <w:rFonts w:asciiTheme="minorHAnsi" w:hAnsiTheme="minorHAnsi" w:cstheme="minorBidi"/>
        </w:rPr>
        <w:fldChar w:fldCharType="end"/>
      </w:r>
      <w:r w:rsidRPr="00E26611">
        <w:rPr>
          <w:rFonts w:asciiTheme="minorHAnsi" w:hAnsiTheme="minorHAnsi" w:cstheme="minorBidi"/>
        </w:rPr>
        <w:t xml:space="preserve">(a) and </w:t>
      </w:r>
      <w:r w:rsidRPr="00E26611">
        <w:rPr>
          <w:rFonts w:asciiTheme="minorHAnsi" w:hAnsiTheme="minorHAnsi" w:cstheme="minorBidi"/>
        </w:rPr>
        <w:fldChar w:fldCharType="begin"/>
      </w:r>
      <w:r w:rsidRPr="00E26611">
        <w:rPr>
          <w:rFonts w:asciiTheme="minorHAnsi" w:hAnsiTheme="minorHAnsi" w:cstheme="minorBidi"/>
        </w:rPr>
        <w:instrText xml:space="preserve"> REF _Ref230192355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Figure </w:t>
      </w:r>
      <w:r w:rsidR="00753DAF" w:rsidRPr="00E26611">
        <w:rPr>
          <w:noProof/>
        </w:rPr>
        <w:t>46</w:t>
      </w:r>
      <w:r w:rsidRPr="00E26611">
        <w:rPr>
          <w:rFonts w:asciiTheme="minorHAnsi" w:hAnsiTheme="minorHAnsi" w:cstheme="minorBidi"/>
        </w:rPr>
        <w:fldChar w:fldCharType="end"/>
      </w:r>
      <w:r w:rsidRPr="00E26611">
        <w:rPr>
          <w:rFonts w:asciiTheme="minorHAnsi" w:hAnsiTheme="minorHAnsi" w:cstheme="minorBidi"/>
        </w:rPr>
        <w:t xml:space="preserve">(b), respectively. For rest of the renewable cases tabulated in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Table 3 to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Table </w:t>
      </w:r>
      <w:r w:rsidR="00A170BA">
        <w:rPr>
          <w:rFonts w:asciiTheme="minorHAnsi" w:hAnsiTheme="minorHAnsi" w:cstheme="minorBidi"/>
        </w:rPr>
        <w:t>10</w:t>
      </w:r>
      <w:r w:rsidRPr="00547C88">
        <w:rPr>
          <w:rFonts w:asciiTheme="minorHAnsi" w:hAnsiTheme="minorHAnsi" w:cstheme="minorBidi"/>
        </w:rPr>
        <w:t xml:space="preserve"> </w:t>
      </w:r>
      <w:r w:rsidRPr="00547C88">
        <w:rPr>
          <w:color w:val="auto"/>
          <w:szCs w:val="24"/>
        </w:rPr>
        <w:t>in Appendix A1</w:t>
      </w:r>
      <w:r w:rsidRPr="00547C88">
        <w:rPr>
          <w:rFonts w:asciiTheme="minorHAnsi" w:hAnsiTheme="minorHAnsi" w:cstheme="minorBidi"/>
        </w:rPr>
        <w:t xml:space="preserve">, the </w:t>
      </w:r>
      <w:proofErr w:type="spellStart"/>
      <w:r w:rsidRPr="00547C88">
        <w:t>capablity</w:t>
      </w:r>
      <w:proofErr w:type="spellEnd"/>
      <w:r w:rsidRPr="00547C88">
        <w:t xml:space="preserve"> of identify the weakest bus at individual </w:t>
      </w:r>
      <w:proofErr w:type="spellStart"/>
      <w:r w:rsidRPr="00547C88">
        <w:rPr>
          <w:rFonts w:asciiTheme="minorHAnsi" w:hAnsiTheme="minorHAnsi" w:cstheme="minorBidi"/>
        </w:rPr>
        <w:t>loadability</w:t>
      </w:r>
      <w:proofErr w:type="spellEnd"/>
      <w:r w:rsidRPr="00547C88">
        <w:rPr>
          <w:rFonts w:asciiTheme="minorHAnsi" w:hAnsiTheme="minorHAnsi" w:cstheme="minorBidi"/>
        </w:rPr>
        <w:t xml:space="preserve"> is shown in </w:t>
      </w:r>
      <w:proofErr w:type="spellStart"/>
      <w:r w:rsidRPr="00547C88">
        <w:rPr>
          <w:rFonts w:asciiTheme="minorHAnsi" w:hAnsiTheme="minorHAnsi" w:cstheme="minorBidi"/>
        </w:rPr>
        <w:t>Apx</w:t>
      </w:r>
      <w:proofErr w:type="spellEnd"/>
      <w:r w:rsidRPr="00547C88">
        <w:rPr>
          <w:rFonts w:asciiTheme="minorHAnsi" w:hAnsiTheme="minorHAnsi" w:cstheme="minorBidi"/>
        </w:rPr>
        <w:t xml:space="preserve"> </w:t>
      </w:r>
      <w:r w:rsidRPr="00547C88">
        <w:rPr>
          <w:color w:val="auto"/>
          <w:szCs w:val="24"/>
        </w:rPr>
        <w:t xml:space="preserve">Figure 2 in Appendix A1, respectively. </w:t>
      </w:r>
    </w:p>
    <w:p w14:paraId="7AF1F409" w14:textId="77777777" w:rsidR="00BE57F4" w:rsidRPr="00E26611" w:rsidRDefault="00BE57F4" w:rsidP="00CD4F3A">
      <w:pPr>
        <w:pStyle w:val="ListNumber"/>
        <w:numPr>
          <w:ilvl w:val="0"/>
          <w:numId w:val="0"/>
        </w:numPr>
        <w:tabs>
          <w:tab w:val="clear" w:pos="397"/>
          <w:tab w:val="left" w:pos="0"/>
        </w:tabs>
        <w:spacing w:line="240" w:lineRule="auto"/>
        <w:jc w:val="both"/>
        <w:rPr>
          <w:color w:val="auto"/>
          <w:szCs w:val="24"/>
        </w:rPr>
      </w:pPr>
      <w:r w:rsidRPr="00E26611">
        <w:rPr>
          <w:noProof/>
        </w:rPr>
        <w:lastRenderedPageBreak/>
        <w:drawing>
          <wp:inline distT="0" distB="0" distL="0" distR="0" wp14:anchorId="63C0042A" wp14:editId="586CBC29">
            <wp:extent cx="2847207" cy="1888636"/>
            <wp:effectExtent l="0" t="0" r="0" b="0"/>
            <wp:docPr id="206165108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9">
                      <a:extLst>
                        <a:ext uri="{28A0092B-C50C-407E-A947-70E740481C1C}">
                          <a14:useLocalDpi xmlns:a14="http://schemas.microsoft.com/office/drawing/2010/main" val="0"/>
                        </a:ext>
                      </a:extLst>
                    </a:blip>
                    <a:srcRect r="3832"/>
                    <a:stretch>
                      <a:fillRect/>
                    </a:stretch>
                  </pic:blipFill>
                  <pic:spPr bwMode="auto">
                    <a:xfrm>
                      <a:off x="0" y="0"/>
                      <a:ext cx="2853528" cy="1892829"/>
                    </a:xfrm>
                    <a:prstGeom prst="rect">
                      <a:avLst/>
                    </a:prstGeom>
                    <a:noFill/>
                    <a:ln>
                      <a:noFill/>
                    </a:ln>
                    <a:extLst>
                      <a:ext uri="{53640926-AAD7-44D8-BBD7-CCE9431645EC}">
                        <a14:shadowObscured xmlns:a14="http://schemas.microsoft.com/office/drawing/2010/main"/>
                      </a:ext>
                    </a:extLst>
                  </pic:spPr>
                </pic:pic>
              </a:graphicData>
            </a:graphic>
          </wp:inline>
        </w:drawing>
      </w:r>
      <w:r w:rsidRPr="00E26611">
        <w:rPr>
          <w:color w:val="auto"/>
          <w:szCs w:val="24"/>
        </w:rPr>
        <w:t xml:space="preserve">  </w:t>
      </w:r>
      <w:r w:rsidRPr="00E26611">
        <w:rPr>
          <w:noProof/>
        </w:rPr>
        <w:drawing>
          <wp:inline distT="0" distB="0" distL="0" distR="0" wp14:anchorId="5E7B693A" wp14:editId="3F80CB55">
            <wp:extent cx="2836571" cy="1528589"/>
            <wp:effectExtent l="0" t="0" r="1905" b="0"/>
            <wp:docPr id="147781394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0">
                      <a:extLst>
                        <a:ext uri="{28A0092B-C50C-407E-A947-70E740481C1C}">
                          <a14:useLocalDpi xmlns:a14="http://schemas.microsoft.com/office/drawing/2010/main" val="0"/>
                        </a:ext>
                      </a:extLst>
                    </a:blip>
                    <a:srcRect r="4042"/>
                    <a:stretch>
                      <a:fillRect/>
                    </a:stretch>
                  </pic:blipFill>
                  <pic:spPr bwMode="auto">
                    <a:xfrm>
                      <a:off x="0" y="0"/>
                      <a:ext cx="2856130" cy="1539129"/>
                    </a:xfrm>
                    <a:prstGeom prst="rect">
                      <a:avLst/>
                    </a:prstGeom>
                    <a:noFill/>
                    <a:ln>
                      <a:noFill/>
                    </a:ln>
                    <a:extLst>
                      <a:ext uri="{53640926-AAD7-44D8-BBD7-CCE9431645EC}">
                        <a14:shadowObscured xmlns:a14="http://schemas.microsoft.com/office/drawing/2010/main"/>
                      </a:ext>
                    </a:extLst>
                  </pic:spPr>
                </pic:pic>
              </a:graphicData>
            </a:graphic>
          </wp:inline>
        </w:drawing>
      </w:r>
    </w:p>
    <w:p w14:paraId="2F2C003F" w14:textId="77777777" w:rsidR="00BE57F4" w:rsidRPr="00E26611" w:rsidRDefault="00BE57F4" w:rsidP="00CD4F3A">
      <w:pPr>
        <w:pStyle w:val="BodyText"/>
        <w:spacing w:line="240" w:lineRule="auto"/>
        <w:ind w:left="270"/>
        <w:jc w:val="center"/>
        <w:rPr>
          <w:sz w:val="20"/>
          <w:szCs w:val="20"/>
        </w:rPr>
      </w:pPr>
      <w:r w:rsidRPr="00E26611">
        <w:rPr>
          <w:sz w:val="20"/>
          <w:szCs w:val="20"/>
        </w:rPr>
        <w:t xml:space="preserve">(a)                                                                                     </w:t>
      </w:r>
      <w:proofErr w:type="gramStart"/>
      <w:r w:rsidRPr="00E26611">
        <w:rPr>
          <w:sz w:val="20"/>
          <w:szCs w:val="20"/>
        </w:rPr>
        <w:t xml:space="preserve">   (</w:t>
      </w:r>
      <w:proofErr w:type="gramEnd"/>
      <w:r w:rsidRPr="00E26611">
        <w:rPr>
          <w:sz w:val="20"/>
          <w:szCs w:val="20"/>
        </w:rPr>
        <w:t>b)</w:t>
      </w:r>
    </w:p>
    <w:p w14:paraId="461237D8" w14:textId="42A4F0F9" w:rsidR="00BE57F4" w:rsidRPr="00E26611" w:rsidRDefault="00BE57F4" w:rsidP="00CD4F3A">
      <w:pPr>
        <w:pStyle w:val="Caption"/>
        <w:spacing w:line="240" w:lineRule="auto"/>
        <w:rPr>
          <w:b w:val="0"/>
          <w:bCs w:val="0"/>
        </w:rPr>
      </w:pPr>
      <w:bookmarkStart w:id="236" w:name="_Ref230192355"/>
      <w:bookmarkStart w:id="237" w:name="_Toc230198637"/>
      <w:bookmarkStart w:id="238" w:name="_Toc233735052"/>
      <w:r w:rsidRPr="00E26611">
        <w:t xml:space="preserve">Figure </w:t>
      </w:r>
      <w:fldSimple w:instr=" SEQ Figure \* ARABIC ">
        <w:r w:rsidR="00A85006" w:rsidRPr="00E26611">
          <w:rPr>
            <w:noProof/>
          </w:rPr>
          <w:t>46</w:t>
        </w:r>
      </w:fldSimple>
      <w:bookmarkEnd w:id="236"/>
      <w:r w:rsidRPr="00E26611">
        <w:t xml:space="preserve">: The value of SDVPI for the weakest buses for </w:t>
      </w:r>
      <w:r w:rsidR="007A75BC" w:rsidRPr="00E26611">
        <w:t xml:space="preserve">different </w:t>
      </w:r>
      <w:proofErr w:type="spellStart"/>
      <w:r w:rsidR="007A75BC" w:rsidRPr="00E26611">
        <w:t>loadability</w:t>
      </w:r>
      <w:proofErr w:type="spellEnd"/>
      <w:r w:rsidRPr="00E26611">
        <w:t xml:space="preserve"> point for (</w:t>
      </w:r>
      <w:r w:rsidR="007C73F3">
        <w:t>a</w:t>
      </w:r>
      <w:r w:rsidRPr="00E26611">
        <w:t>) 0% renewables in IEEE 39 bus system, (</w:t>
      </w:r>
      <w:r w:rsidR="007C73F3">
        <w:t>b</w:t>
      </w:r>
      <w:r w:rsidRPr="00E26611">
        <w:t>) 83% renewables in IEEE 39 bus system.</w:t>
      </w:r>
      <w:bookmarkEnd w:id="237"/>
      <w:bookmarkEnd w:id="238"/>
    </w:p>
    <w:p w14:paraId="43F533D5" w14:textId="054F25CC" w:rsidR="00BE57F4" w:rsidRPr="00E26611" w:rsidRDefault="00BE57F4" w:rsidP="00187A2F">
      <w:pPr>
        <w:pStyle w:val="BodyText"/>
        <w:spacing w:after="0"/>
      </w:pPr>
      <w:r w:rsidRPr="00E26611">
        <w:fldChar w:fldCharType="begin"/>
      </w:r>
      <w:r w:rsidRPr="00E26611">
        <w:instrText xml:space="preserve"> REF _Ref230192355 \h </w:instrText>
      </w:r>
      <w:r w:rsidR="00E26611">
        <w:instrText xml:space="preserve"> \* MERGEFORMAT </w:instrText>
      </w:r>
      <w:r w:rsidRPr="00E26611">
        <w:fldChar w:fldCharType="separate"/>
      </w:r>
      <w:r w:rsidR="00753DAF" w:rsidRPr="00E26611">
        <w:t xml:space="preserve">Figure </w:t>
      </w:r>
      <w:r w:rsidR="00753DAF" w:rsidRPr="00E26611">
        <w:rPr>
          <w:noProof/>
        </w:rPr>
        <w:t>46</w:t>
      </w:r>
      <w:r w:rsidRPr="00E26611">
        <w:fldChar w:fldCharType="end"/>
      </w:r>
      <w:r w:rsidRPr="00E26611">
        <w:t xml:space="preserve">(a) and </w:t>
      </w:r>
      <w:r w:rsidRPr="00E26611">
        <w:fldChar w:fldCharType="begin"/>
      </w:r>
      <w:r w:rsidRPr="00E26611">
        <w:instrText xml:space="preserve"> REF _Ref230192355 \h </w:instrText>
      </w:r>
      <w:r w:rsidR="00E26611">
        <w:instrText xml:space="preserve"> \* MERGEFORMAT </w:instrText>
      </w:r>
      <w:r w:rsidRPr="00E26611">
        <w:fldChar w:fldCharType="separate"/>
      </w:r>
      <w:r w:rsidR="00753DAF" w:rsidRPr="00E26611">
        <w:t xml:space="preserve">Figure </w:t>
      </w:r>
      <w:r w:rsidR="00753DAF" w:rsidRPr="00E26611">
        <w:rPr>
          <w:noProof/>
        </w:rPr>
        <w:t>46</w:t>
      </w:r>
      <w:r w:rsidRPr="00E26611">
        <w:fldChar w:fldCharType="end"/>
      </w:r>
      <w:r w:rsidRPr="00E26611">
        <w:t xml:space="preserve">(b) are derived from the minimum SDVPI values, representing the weakest bus with respect to small-disturbance robustness for each </w:t>
      </w:r>
      <w:proofErr w:type="spellStart"/>
      <w:r w:rsidRPr="00E26611">
        <w:t>loadability</w:t>
      </w:r>
      <w:proofErr w:type="spellEnd"/>
      <w:r w:rsidRPr="00E26611">
        <w:t xml:space="preserve"> point under the 0% and 83% renewable penetration scenarios. These figures effectively highlight the most vulnerable operating conditions in the system by identifying the worst-performing bus responses across the studied range of renewable penetration levels.</w:t>
      </w:r>
    </w:p>
    <w:p w14:paraId="30D24E78" w14:textId="1AE70401" w:rsidR="00BE57F4" w:rsidRPr="00E26611" w:rsidRDefault="00BE57F4" w:rsidP="00187A2F">
      <w:pPr>
        <w:pStyle w:val="BodyText"/>
        <w:spacing w:after="0"/>
      </w:pPr>
      <w:r w:rsidRPr="00E26611">
        <w:fldChar w:fldCharType="begin"/>
      </w:r>
      <w:r w:rsidRPr="00E26611">
        <w:instrText xml:space="preserve"> REF _Ref230192419 \h  \* MERGEFORMAT </w:instrText>
      </w:r>
      <w:r w:rsidRPr="00E26611">
        <w:fldChar w:fldCharType="separate"/>
      </w:r>
      <w:r w:rsidR="00753DAF" w:rsidRPr="00E26611">
        <w:t>Figure 47</w:t>
      </w:r>
      <w:r w:rsidRPr="00E26611">
        <w:fldChar w:fldCharType="end"/>
      </w:r>
      <w:r w:rsidRPr="00E26611">
        <w:t xml:space="preserve"> presents the trajectory of overall small-signal voltage robustness degradation with respect to increasing </w:t>
      </w:r>
      <w:proofErr w:type="spellStart"/>
      <w:r w:rsidRPr="00E26611">
        <w:t>loadability</w:t>
      </w:r>
      <w:proofErr w:type="spellEnd"/>
      <w:r w:rsidRPr="00E26611">
        <w:t>, based on the proposed SDVPI formulation. It also enables a comparative assessment of system behaviour under different renewable penetration levels, illustrating how voltage stability margins evolve as loading conditions change.</w:t>
      </w:r>
    </w:p>
    <w:p w14:paraId="0F190E24" w14:textId="77777777" w:rsidR="00BE57F4" w:rsidRPr="00E26611" w:rsidRDefault="00BE57F4" w:rsidP="00CD4F3A">
      <w:pPr>
        <w:pStyle w:val="BodyText"/>
        <w:spacing w:line="240" w:lineRule="auto"/>
        <w:rPr>
          <w:b/>
          <w:bCs/>
          <w:color w:val="757579" w:themeColor="accent3"/>
          <w:sz w:val="20"/>
          <w:szCs w:val="18"/>
        </w:rPr>
      </w:pPr>
      <w:r w:rsidRPr="00E26611">
        <w:rPr>
          <w:noProof/>
        </w:rPr>
        <w:drawing>
          <wp:inline distT="0" distB="0" distL="0" distR="0" wp14:anchorId="4B055FFC" wp14:editId="284013CD">
            <wp:extent cx="5640019" cy="2264864"/>
            <wp:effectExtent l="0" t="0" r="0" b="0"/>
            <wp:docPr id="29847455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71220" cy="2277394"/>
                    </a:xfrm>
                    <a:prstGeom prst="rect">
                      <a:avLst/>
                    </a:prstGeom>
                    <a:noFill/>
                    <a:ln>
                      <a:noFill/>
                    </a:ln>
                  </pic:spPr>
                </pic:pic>
              </a:graphicData>
            </a:graphic>
          </wp:inline>
        </w:drawing>
      </w:r>
    </w:p>
    <w:p w14:paraId="4F402590" w14:textId="487D359C" w:rsidR="00BE57F4" w:rsidRPr="00F06ADD" w:rsidRDefault="00BE57F4" w:rsidP="00F06ADD">
      <w:pPr>
        <w:pStyle w:val="Caption"/>
        <w:spacing w:line="240" w:lineRule="auto"/>
      </w:pPr>
      <w:bookmarkStart w:id="239" w:name="_Ref230192419"/>
      <w:bookmarkStart w:id="240" w:name="_Toc230198638"/>
      <w:bookmarkStart w:id="241" w:name="_Toc233735053"/>
      <w:r w:rsidRPr="00E26611">
        <w:t xml:space="preserve">Figure </w:t>
      </w:r>
      <w:r w:rsidRPr="00F06ADD">
        <w:fldChar w:fldCharType="begin"/>
      </w:r>
      <w:r w:rsidRPr="00E26611">
        <w:instrText xml:space="preserve"> SEQ Figure \* ARABIC </w:instrText>
      </w:r>
      <w:r w:rsidRPr="00F06ADD">
        <w:fldChar w:fldCharType="separate"/>
      </w:r>
      <w:r w:rsidR="00A85006" w:rsidRPr="00E26611">
        <w:t>47</w:t>
      </w:r>
      <w:r w:rsidRPr="00F06ADD">
        <w:fldChar w:fldCharType="end"/>
      </w:r>
      <w:bookmarkEnd w:id="239"/>
      <w:r w:rsidRPr="00E26611">
        <w:t>: Comparison of small signal robustness for different renewable generation levels through the proposed SDVPI.</w:t>
      </w:r>
      <w:bookmarkEnd w:id="240"/>
      <w:bookmarkEnd w:id="241"/>
    </w:p>
    <w:p w14:paraId="6AEDDEC6" w14:textId="10A1E85A" w:rsidR="00BE57F4" w:rsidRPr="00442E52" w:rsidRDefault="00BE57F4" w:rsidP="00187A2F">
      <w:pPr>
        <w:pStyle w:val="BodyText"/>
        <w:spacing w:after="0"/>
      </w:pPr>
      <w:r w:rsidRPr="00E26611">
        <w:rPr>
          <w:rFonts w:asciiTheme="minorHAnsi" w:hAnsiTheme="minorHAnsi" w:cstheme="minorBidi"/>
        </w:rPr>
        <w:t xml:space="preserve">From </w:t>
      </w:r>
      <w:r w:rsidRPr="00E26611">
        <w:rPr>
          <w:rFonts w:asciiTheme="minorHAnsi" w:hAnsiTheme="minorHAnsi" w:cstheme="minorBidi"/>
        </w:rPr>
        <w:fldChar w:fldCharType="begin"/>
      </w:r>
      <w:r w:rsidRPr="00E26611">
        <w:rPr>
          <w:rFonts w:asciiTheme="minorHAnsi" w:hAnsiTheme="minorHAnsi" w:cstheme="minorBidi"/>
        </w:rPr>
        <w:instrText xml:space="preserve"> REF _Ref230192419 \h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rPr>
          <w:rFonts w:asciiTheme="minorHAnsi" w:hAnsiTheme="minorHAnsi" w:cstheme="minorBidi"/>
        </w:rPr>
        <w:t>Figure 47</w:t>
      </w:r>
      <w:r w:rsidRPr="00E26611">
        <w:rPr>
          <w:rFonts w:asciiTheme="minorHAnsi" w:hAnsiTheme="minorHAnsi" w:cstheme="minorBidi"/>
        </w:rPr>
        <w:fldChar w:fldCharType="end"/>
      </w:r>
      <w:r w:rsidRPr="00E26611">
        <w:rPr>
          <w:rFonts w:asciiTheme="minorHAnsi" w:hAnsiTheme="minorHAnsi" w:cstheme="minorBidi"/>
        </w:rPr>
        <w:t>, it can be observed that the 83% renewable penetration scenario reaches the voltage instability point more rapidly and sharply compared to other renewable cases. This accelerated deterioration is primarily attributed to reduced reactive power support and the increased influence of IBRs, which collectively weaken system voltage regulation capability and reduce overall SDVS margins.</w:t>
      </w:r>
    </w:p>
    <w:p w14:paraId="42884D7D" w14:textId="77777777" w:rsidR="00BE57F4" w:rsidRDefault="00BE57F4" w:rsidP="00CD4F3A">
      <w:pPr>
        <w:pStyle w:val="Heading2"/>
      </w:pPr>
      <w:bookmarkStart w:id="242" w:name="_Toc230256839"/>
      <w:bookmarkStart w:id="243" w:name="_Toc233734311"/>
      <w:r w:rsidRPr="005F047E">
        <w:lastRenderedPageBreak/>
        <w:t>Develo</w:t>
      </w:r>
      <w:r>
        <w:t>pment of</w:t>
      </w:r>
      <w:r w:rsidRPr="005F047E">
        <w:t xml:space="preserve"> </w:t>
      </w:r>
      <w:r>
        <w:t>Small Signal</w:t>
      </w:r>
      <w:r w:rsidRPr="005F047E">
        <w:t xml:space="preserve"> Stability Ind</w:t>
      </w:r>
      <w:r>
        <w:t>ex</w:t>
      </w:r>
      <w:bookmarkEnd w:id="242"/>
      <w:bookmarkEnd w:id="243"/>
    </w:p>
    <w:p w14:paraId="02117C1F" w14:textId="77777777" w:rsidR="00BE57F4" w:rsidRPr="006D4CE6" w:rsidRDefault="00BE57F4" w:rsidP="00187A2F">
      <w:pPr>
        <w:pStyle w:val="BodyText"/>
        <w:spacing w:after="0"/>
      </w:pPr>
      <w:r w:rsidRPr="006D4CE6">
        <w:t xml:space="preserve">This section describes the </w:t>
      </w:r>
      <w:r>
        <w:t>m</w:t>
      </w:r>
      <w:r w:rsidRPr="006D4CE6">
        <w:t xml:space="preserve">ethodology and </w:t>
      </w:r>
      <w:r>
        <w:t>m</w:t>
      </w:r>
      <w:r w:rsidRPr="006D4CE6">
        <w:t xml:space="preserve">athematical </w:t>
      </w:r>
      <w:r>
        <w:t>f</w:t>
      </w:r>
      <w:r w:rsidRPr="006D4CE6">
        <w:t xml:space="preserve">ormulation of the </w:t>
      </w:r>
      <w:r>
        <w:t>p</w:t>
      </w:r>
      <w:r w:rsidRPr="006D4CE6">
        <w:t>roposed SSOASI, followed by the performance analysis and discussion of the obtained results.</w:t>
      </w:r>
    </w:p>
    <w:p w14:paraId="73D35E37" w14:textId="77777777" w:rsidR="00BE57F4" w:rsidRPr="005F047E" w:rsidRDefault="00BE57F4" w:rsidP="00CD4F3A">
      <w:pPr>
        <w:pStyle w:val="Heading3"/>
      </w:pPr>
      <w:r w:rsidRPr="006D4CE6">
        <w:t>Methodology</w:t>
      </w:r>
      <w:r>
        <w:t xml:space="preserve"> and </w:t>
      </w:r>
      <w:r w:rsidRPr="006D4CE6">
        <w:t xml:space="preserve">Mathematical Formulation of </w:t>
      </w:r>
      <w:r w:rsidRPr="007E44B1">
        <w:t xml:space="preserve">the Proposed </w:t>
      </w:r>
      <w:r w:rsidRPr="006D4CE6">
        <w:t>SSOASI</w:t>
      </w:r>
    </w:p>
    <w:p w14:paraId="0ED26397" w14:textId="09A67C3B" w:rsidR="00BE57F4" w:rsidRPr="00E26611" w:rsidRDefault="00BE57F4" w:rsidP="00187A2F">
      <w:pPr>
        <w:pStyle w:val="BodyText"/>
        <w:spacing w:after="0"/>
        <w:rPr>
          <w:rFonts w:asciiTheme="minorHAnsi" w:hAnsiTheme="minorHAnsi" w:cstheme="minorHAnsi"/>
        </w:rPr>
      </w:pPr>
      <w:r w:rsidRPr="00E26611">
        <w:rPr>
          <w:rFonts w:asciiTheme="minorHAnsi" w:hAnsiTheme="minorHAnsi" w:cstheme="minorHAnsi"/>
        </w:rPr>
        <w:t xml:space="preserve">The proposed SSOASI can be explained by considering the distribution of system modes in the complex plane as shown in </w:t>
      </w:r>
      <w:r w:rsidRPr="00E26611">
        <w:rPr>
          <w:rFonts w:asciiTheme="minorHAnsi" w:hAnsiTheme="minorHAnsi" w:cstheme="minorHAnsi"/>
        </w:rPr>
        <w:fldChar w:fldCharType="begin"/>
      </w:r>
      <w:r w:rsidRPr="00E26611">
        <w:rPr>
          <w:rFonts w:asciiTheme="minorHAnsi" w:hAnsiTheme="minorHAnsi" w:cstheme="minorHAnsi"/>
        </w:rPr>
        <w:instrText xml:space="preserve"> REF _Ref230192511 \h  \* MERGEFORMAT </w:instrText>
      </w:r>
      <w:r w:rsidRPr="00E26611">
        <w:rPr>
          <w:rFonts w:asciiTheme="minorHAnsi" w:hAnsiTheme="minorHAnsi" w:cstheme="minorHAnsi"/>
        </w:rPr>
      </w:r>
      <w:r w:rsidRPr="00E26611">
        <w:rPr>
          <w:rFonts w:asciiTheme="minorHAnsi" w:hAnsiTheme="minorHAnsi" w:cstheme="minorHAnsi"/>
        </w:rPr>
        <w:fldChar w:fldCharType="separate"/>
      </w:r>
      <w:r w:rsidR="00753DAF" w:rsidRPr="00E26611">
        <w:rPr>
          <w:rFonts w:asciiTheme="minorHAnsi" w:hAnsiTheme="minorHAnsi" w:cstheme="minorHAnsi"/>
        </w:rPr>
        <w:t>Figure 48</w:t>
      </w:r>
      <w:r w:rsidRPr="00E26611">
        <w:rPr>
          <w:rFonts w:asciiTheme="minorHAnsi" w:hAnsiTheme="minorHAnsi" w:cstheme="minorHAnsi"/>
        </w:rPr>
        <w:fldChar w:fldCharType="end"/>
      </w:r>
      <w:r w:rsidRPr="00E26611">
        <w:rPr>
          <w:rFonts w:asciiTheme="minorHAnsi" w:hAnsiTheme="minorHAnsi" w:cstheme="minorHAnsi"/>
        </w:rPr>
        <w:t xml:space="preserve"> [27]. If the eigenvalue corresponding to the most critical mode lies far to the left in the complex plane (denoted as ϒ₁), the system is considered secure. Following a contingency, system security decreases as modal damping is reduced and the eigenvalue (ϒ₂) shifts closer to the line representing the minimum permissible damping level. </w:t>
      </w:r>
    </w:p>
    <w:p w14:paraId="384348C9" w14:textId="77777777" w:rsidR="00BE57F4" w:rsidRPr="00E26611" w:rsidRDefault="00BE57F4" w:rsidP="00405372">
      <w:pPr>
        <w:spacing w:after="0"/>
        <w:jc w:val="center"/>
        <w:rPr>
          <w:rFonts w:asciiTheme="minorHAnsi" w:eastAsia="Times New Roman" w:hAnsiTheme="minorHAnsi" w:cstheme="minorHAnsi"/>
          <w:color w:val="242021"/>
          <w:lang w:val="en-US" w:eastAsia="en-US"/>
        </w:rPr>
      </w:pPr>
      <w:r w:rsidRPr="00E26611">
        <w:rPr>
          <w:noProof/>
        </w:rPr>
        <w:drawing>
          <wp:inline distT="0" distB="0" distL="0" distR="0" wp14:anchorId="3D445D5D" wp14:editId="26AA7E3E">
            <wp:extent cx="2725988" cy="2064926"/>
            <wp:effectExtent l="0" t="0" r="0" b="0"/>
            <wp:docPr id="167903052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40103" cy="2075618"/>
                    </a:xfrm>
                    <a:prstGeom prst="rect">
                      <a:avLst/>
                    </a:prstGeom>
                    <a:noFill/>
                    <a:ln>
                      <a:noFill/>
                    </a:ln>
                  </pic:spPr>
                </pic:pic>
              </a:graphicData>
            </a:graphic>
          </wp:inline>
        </w:drawing>
      </w:r>
    </w:p>
    <w:p w14:paraId="69596354" w14:textId="1C369EA5" w:rsidR="00BE57F4" w:rsidRPr="008F41FB" w:rsidRDefault="00BE57F4" w:rsidP="008F41FB">
      <w:pPr>
        <w:pStyle w:val="Caption"/>
        <w:spacing w:line="240" w:lineRule="auto"/>
      </w:pPr>
      <w:bookmarkStart w:id="244" w:name="_Ref230192511"/>
      <w:bookmarkStart w:id="245" w:name="_Toc230198639"/>
      <w:bookmarkStart w:id="246" w:name="_Toc233735054"/>
      <w:r w:rsidRPr="00E26611">
        <w:t xml:space="preserve">Figure </w:t>
      </w:r>
      <w:r w:rsidRPr="00F06ADD">
        <w:fldChar w:fldCharType="begin"/>
      </w:r>
      <w:r w:rsidRPr="00E26611">
        <w:instrText xml:space="preserve"> SEQ Figure \* ARABIC </w:instrText>
      </w:r>
      <w:r w:rsidRPr="00F06ADD">
        <w:fldChar w:fldCharType="separate"/>
      </w:r>
      <w:r w:rsidR="00A85006" w:rsidRPr="00E26611">
        <w:t>48</w:t>
      </w:r>
      <w:r w:rsidRPr="00F06ADD">
        <w:fldChar w:fldCharType="end"/>
      </w:r>
      <w:bookmarkEnd w:id="244"/>
      <w:r w:rsidRPr="00E26611">
        <w:t>: Illustration of small signal security, insecurity and unitability area.</w:t>
      </w:r>
      <w:bookmarkEnd w:id="245"/>
      <w:bookmarkEnd w:id="246"/>
    </w:p>
    <w:p w14:paraId="2544755E" w14:textId="77777777" w:rsidR="00BE57F4" w:rsidRPr="00E26611" w:rsidRDefault="00BE57F4" w:rsidP="00187A2F">
      <w:pPr>
        <w:pStyle w:val="BodyText"/>
        <w:spacing w:after="0"/>
        <w:rPr>
          <w:rFonts w:asciiTheme="minorHAnsi" w:hAnsiTheme="minorHAnsi" w:cstheme="minorHAnsi"/>
        </w:rPr>
      </w:pPr>
      <w:r w:rsidRPr="00E26611">
        <w:rPr>
          <w:rFonts w:asciiTheme="minorHAnsi" w:hAnsiTheme="minorHAnsi" w:cstheme="minorHAnsi"/>
        </w:rPr>
        <w:t>The system becomes small-signal insecure when the modal damping (ϒ₃) falls below this minimum threshold, placing the eigenvalue within the region bounded by the minimum damping limit (</w:t>
      </w:r>
      <w:proofErr w:type="spellStart"/>
      <w:r w:rsidRPr="00E26611">
        <w:rPr>
          <w:rFonts w:asciiTheme="minorHAnsi" w:hAnsiTheme="minorHAnsi" w:cstheme="minorHAnsi"/>
        </w:rPr>
        <w:t>ζM</w:t>
      </w:r>
      <w:proofErr w:type="spellEnd"/>
      <w:r w:rsidRPr="00E26611">
        <w:rPr>
          <w:rFonts w:asciiTheme="minorHAnsi" w:hAnsiTheme="minorHAnsi" w:cstheme="minorHAnsi"/>
        </w:rPr>
        <w:t>ᵢₙ) and the absolute damping limit (</w:t>
      </w:r>
      <w:proofErr w:type="spellStart"/>
      <w:r w:rsidRPr="00E26611">
        <w:rPr>
          <w:rFonts w:asciiTheme="minorHAnsi" w:hAnsiTheme="minorHAnsi" w:cstheme="minorHAnsi"/>
        </w:rPr>
        <w:t>ζ</w:t>
      </w:r>
      <w:r w:rsidRPr="00E26611">
        <w:rPr>
          <w:rFonts w:asciiTheme="minorHAnsi" w:hAnsiTheme="minorHAnsi" w:cstheme="minorHAnsi"/>
          <w:vertAlign w:val="subscript"/>
        </w:rPr>
        <w:t>Abs</w:t>
      </w:r>
      <w:proofErr w:type="spellEnd"/>
      <w:r w:rsidRPr="00E26611">
        <w:rPr>
          <w:rFonts w:asciiTheme="minorHAnsi" w:hAnsiTheme="minorHAnsi" w:cstheme="minorHAnsi"/>
        </w:rPr>
        <w:t xml:space="preserve"> = 0%). If the modal damping drops below the absolute damping limit (</w:t>
      </w:r>
      <w:proofErr w:type="spellStart"/>
      <w:r w:rsidRPr="00E26611">
        <w:rPr>
          <w:rFonts w:asciiTheme="minorHAnsi" w:hAnsiTheme="minorHAnsi" w:cstheme="minorHAnsi"/>
        </w:rPr>
        <w:t>ζ</w:t>
      </w:r>
      <w:r w:rsidRPr="00E26611">
        <w:rPr>
          <w:rFonts w:asciiTheme="minorHAnsi" w:hAnsiTheme="minorHAnsi" w:cstheme="minorHAnsi"/>
          <w:vertAlign w:val="subscript"/>
        </w:rPr>
        <w:t>Abs</w:t>
      </w:r>
      <w:proofErr w:type="spellEnd"/>
      <w:r w:rsidRPr="00E26611">
        <w:rPr>
          <w:rFonts w:asciiTheme="minorHAnsi" w:hAnsiTheme="minorHAnsi" w:cstheme="minorHAnsi"/>
        </w:rPr>
        <w:t xml:space="preserve"> = 0%), the system becomes unstable, with the eigenvalue (ϒ₄) entering the right half of the complex plane.</w:t>
      </w:r>
    </w:p>
    <w:p w14:paraId="4E57678C" w14:textId="170544BE" w:rsidR="00BE57F4" w:rsidRPr="00E26611" w:rsidRDefault="00BE57F4" w:rsidP="00187A2F">
      <w:pPr>
        <w:pStyle w:val="BodyText"/>
        <w:spacing w:after="0"/>
        <w:rPr>
          <w:rFonts w:asciiTheme="minorHAnsi" w:hAnsiTheme="minorHAnsi" w:cstheme="minorHAnsi"/>
        </w:rPr>
      </w:pPr>
      <w:r w:rsidRPr="00E26611">
        <w:rPr>
          <w:rFonts w:asciiTheme="minorHAnsi" w:hAnsiTheme="minorHAnsi" w:cstheme="minorHAnsi"/>
        </w:rPr>
        <w:t xml:space="preserve">Let ζ denote the damping ratio of the most critical oscillatory mode at a given operating condition of the power system. The proposed SSOASI is formulated based on damping ratio (say ζᵢ) in relation to the minimum acceptable damping threshold, ζₘᵢₙ. This threshold is system-specific and is typically chosen within the range of 3–5% </w:t>
      </w:r>
      <w:r w:rsidRPr="00E26611">
        <w:rPr>
          <w:rFonts w:asciiTheme="minorHAnsi" w:hAnsiTheme="minorHAnsi" w:cstheme="minorHAnsi"/>
        </w:rPr>
        <w:fldChar w:fldCharType="begin"/>
      </w:r>
      <w:r w:rsidRPr="00E26611">
        <w:rPr>
          <w:rFonts w:asciiTheme="minorHAnsi" w:hAnsiTheme="minorHAnsi" w:cstheme="minorHAnsi"/>
        </w:rPr>
        <w:instrText xml:space="preserve"> REF _Ref230198335 \r \h </w:instrText>
      </w:r>
      <w:r w:rsidR="00E26611" w:rsidRPr="00E26611">
        <w:rPr>
          <w:rFonts w:asciiTheme="minorHAnsi" w:hAnsiTheme="minorHAnsi" w:cstheme="minorHAnsi"/>
        </w:rPr>
        <w:instrText xml:space="preserve"> \* MERGEFORMAT </w:instrText>
      </w:r>
      <w:r w:rsidRPr="00E26611">
        <w:rPr>
          <w:rFonts w:asciiTheme="minorHAnsi" w:hAnsiTheme="minorHAnsi" w:cstheme="minorHAnsi"/>
        </w:rPr>
      </w:r>
      <w:r w:rsidRPr="00E26611">
        <w:rPr>
          <w:rFonts w:asciiTheme="minorHAnsi" w:hAnsiTheme="minorHAnsi" w:cstheme="minorHAnsi"/>
        </w:rPr>
        <w:fldChar w:fldCharType="separate"/>
      </w:r>
      <w:r w:rsidR="00A3389A" w:rsidRPr="00E26611">
        <w:rPr>
          <w:rFonts w:asciiTheme="minorHAnsi" w:hAnsiTheme="minorHAnsi" w:cstheme="minorHAnsi"/>
        </w:rPr>
        <w:t>[77]</w:t>
      </w:r>
      <w:r w:rsidRPr="00E26611">
        <w:rPr>
          <w:rFonts w:asciiTheme="minorHAnsi" w:hAnsiTheme="minorHAnsi" w:cstheme="minorHAnsi"/>
        </w:rPr>
        <w:fldChar w:fldCharType="end"/>
      </w:r>
      <w:r w:rsidRPr="00E26611">
        <w:rPr>
          <w:rFonts w:asciiTheme="minorHAnsi" w:hAnsiTheme="minorHAnsi" w:cstheme="minorHAnsi"/>
        </w:rPr>
        <w:t xml:space="preserve">. Accordingly, the SSOASI is expressed as given in (18): </w:t>
      </w:r>
    </w:p>
    <w:p w14:paraId="0A2C3BE1" w14:textId="77777777" w:rsidR="00BE57F4" w:rsidRPr="00E26611" w:rsidRDefault="00BE57F4" w:rsidP="00405372">
      <w:pPr>
        <w:pStyle w:val="BodyText"/>
        <w:spacing w:line="240" w:lineRule="auto"/>
        <w:jc w:val="right"/>
        <w:rPr>
          <w:rFonts w:asciiTheme="minorHAnsi" w:hAnsiTheme="minorHAnsi" w:cstheme="minorHAnsi"/>
        </w:rPr>
      </w:pPr>
      <m:oMath>
        <m:r>
          <m:rPr>
            <m:sty m:val="p"/>
          </m:rPr>
          <w:rPr>
            <w:rFonts w:ascii="Cambria Math" w:hAnsi="Cambria Math" w:cstheme="minorHAnsi"/>
          </w:rPr>
          <m:t>SSOASI =</m:t>
        </m:r>
        <m:d>
          <m:dPr>
            <m:begChr m:val="{"/>
            <m:endChr m:val=""/>
            <m:ctrlPr>
              <w:rPr>
                <w:rFonts w:ascii="Cambria Math" w:hAnsi="Cambria Math" w:cstheme="minorHAnsi"/>
              </w:rPr>
            </m:ctrlPr>
          </m:dPr>
          <m:e>
            <m:eqArr>
              <m:eqArrPr>
                <m:ctrlPr>
                  <w:rPr>
                    <w:rFonts w:ascii="Cambria Math" w:hAnsi="Cambria Math" w:cstheme="minorHAnsi"/>
                  </w:rPr>
                </m:ctrlPr>
              </m:eqArrPr>
              <m:e>
                <m:func>
                  <m:funcPr>
                    <m:ctrlPr>
                      <w:rPr>
                        <w:rFonts w:ascii="Cambria Math" w:hAnsi="Cambria Math" w:cstheme="minorHAnsi"/>
                      </w:rPr>
                    </m:ctrlPr>
                  </m:funcPr>
                  <m:fName>
                    <m:r>
                      <m:rPr>
                        <m:sty m:val="p"/>
                      </m:rPr>
                      <w:rPr>
                        <w:rFonts w:ascii="Cambria Math" w:hAnsi="Cambria Math" w:cstheme="minorHAnsi"/>
                      </w:rPr>
                      <m:t>max</m:t>
                    </m:r>
                  </m:fName>
                  <m:e>
                    <m:d>
                      <m:dPr>
                        <m:begChr m:val="["/>
                        <m:endChr m:val="]"/>
                        <m:ctrlPr>
                          <w:rPr>
                            <w:rFonts w:ascii="Cambria Math" w:hAnsi="Cambria Math" w:cstheme="minorHAnsi"/>
                          </w:rPr>
                        </m:ctrlPr>
                      </m:dPr>
                      <m:e>
                        <m:r>
                          <m:rPr>
                            <m:sty m:val="p"/>
                          </m:rPr>
                          <w:rPr>
                            <w:rFonts w:ascii="Cambria Math" w:hAnsi="Cambria Math" w:cstheme="minorHAnsi"/>
                          </w:rPr>
                          <m:t>0, 1-</m:t>
                        </m:r>
                        <m:sSup>
                          <m:sSupPr>
                            <m:ctrlPr>
                              <w:rPr>
                                <w:rFonts w:ascii="Cambria Math" w:hAnsi="Cambria Math" w:cstheme="minorHAnsi"/>
                              </w:rPr>
                            </m:ctrlPr>
                          </m:sSupPr>
                          <m:e>
                            <m:d>
                              <m:dPr>
                                <m:ctrlPr>
                                  <w:rPr>
                                    <w:rFonts w:ascii="Cambria Math" w:hAnsi="Cambria Math" w:cstheme="minorHAnsi"/>
                                  </w:rPr>
                                </m:ctrlPr>
                              </m:dPr>
                              <m:e>
                                <m:f>
                                  <m:fPr>
                                    <m:ctrlPr>
                                      <w:rPr>
                                        <w:rFonts w:ascii="Cambria Math" w:hAnsiTheme="minorHAnsi" w:cstheme="minorHAnsi"/>
                                      </w:rPr>
                                    </m:ctrlPr>
                                  </m:fPr>
                                  <m:num>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i</m:t>
                                        </m:r>
                                      </m:sub>
                                    </m:sSub>
                                    <m:ctrlPr>
                                      <w:rPr>
                                        <w:rFonts w:ascii="Cambria Math" w:hAnsi="Cambria Math" w:cstheme="minorHAnsi"/>
                                      </w:rPr>
                                    </m:ctrlPr>
                                  </m:num>
                                  <m:den>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Min</m:t>
                                        </m:r>
                                      </m:sub>
                                    </m:sSub>
                                  </m:den>
                                </m:f>
                              </m:e>
                            </m:d>
                          </m:e>
                          <m:sup>
                            <m:r>
                              <m:rPr>
                                <m:sty m:val="p"/>
                              </m:rPr>
                              <w:rPr>
                                <w:rFonts w:ascii="Cambria Math" w:hAnsi="Cambria Math" w:cstheme="minorHAnsi"/>
                              </w:rPr>
                              <m:t>-</m:t>
                            </m:r>
                            <m:r>
                              <w:rPr>
                                <w:rFonts w:ascii="Cambria Math" w:hAnsi="Cambria Math" w:cstheme="minorHAnsi"/>
                              </w:rPr>
                              <m:t>n</m:t>
                            </m:r>
                          </m:sup>
                        </m:sSup>
                      </m:e>
                    </m:d>
                    <m:r>
                      <m:rPr>
                        <m:sty m:val="p"/>
                      </m:rPr>
                      <w:rPr>
                        <w:rFonts w:ascii="Cambria Math" w:hAnsi="Cambria Math" w:cstheme="minorHAnsi"/>
                      </w:rPr>
                      <m:t xml:space="preserve">         </m:t>
                    </m:r>
                    <m:r>
                      <w:rPr>
                        <w:rFonts w:ascii="Cambria Math" w:hAnsi="Cambria Math" w:cstheme="minorHAnsi"/>
                      </w:rPr>
                      <m:t>if</m:t>
                    </m:r>
                    <m:r>
                      <m:rPr>
                        <m:sty m:val="p"/>
                      </m:rP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i</m:t>
                        </m:r>
                      </m:sub>
                    </m:sSub>
                    <m:r>
                      <m:rPr>
                        <m:sty m:val="p"/>
                      </m:rPr>
                      <w:rPr>
                        <w:rFonts w:ascii="Cambria Math" w:hAnsi="Cambria Math" w:cstheme="minorHAnsi"/>
                      </w:rPr>
                      <m:t>&gt;</m:t>
                    </m:r>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Min</m:t>
                        </m:r>
                      </m:sub>
                    </m:sSub>
                    <m:r>
                      <m:rPr>
                        <m:sty m:val="p"/>
                      </m:rPr>
                      <w:rPr>
                        <w:rFonts w:ascii="Cambria Math" w:hAnsi="Cambria Math" w:cstheme="minorHAnsi"/>
                      </w:rPr>
                      <m:t xml:space="preserve"> </m:t>
                    </m:r>
                  </m:e>
                </m:func>
              </m:e>
              <m:e>
                <m:r>
                  <m:rPr>
                    <m:sty m:val="p"/>
                  </m:rPr>
                  <w:rPr>
                    <w:rFonts w:ascii="Cambria Math" w:hAnsi="Cambria Math" w:cstheme="minorHAnsi"/>
                  </w:rPr>
                  <m:t xml:space="preserve">0                                             </m:t>
                </m:r>
                <m:r>
                  <w:rPr>
                    <w:rFonts w:ascii="Cambria Math" w:hAnsi="Cambria Math" w:cstheme="minorHAnsi"/>
                  </w:rPr>
                  <m:t>if</m:t>
                </m:r>
                <m:r>
                  <m:rPr>
                    <m:sty m:val="p"/>
                  </m:rP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i</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ζ</m:t>
                    </m:r>
                  </m:e>
                  <m:sub>
                    <m:r>
                      <m:rPr>
                        <m:sty m:val="p"/>
                      </m:rPr>
                      <w:rPr>
                        <w:rFonts w:ascii="Cambria Math" w:hAnsi="Cambria Math" w:cstheme="minorHAnsi"/>
                      </w:rPr>
                      <m:t>Min</m:t>
                    </m:r>
                  </m:sub>
                </m:sSub>
              </m:e>
            </m:eqArr>
          </m:e>
        </m:d>
      </m:oMath>
      <w:r w:rsidRPr="00E26611">
        <w:rPr>
          <w:rFonts w:asciiTheme="minorHAnsi" w:hAnsiTheme="minorHAnsi" w:cstheme="minorHAnsi"/>
        </w:rPr>
        <w:t xml:space="preserve">                                                 (18)    </w:t>
      </w:r>
    </w:p>
    <w:p w14:paraId="5E01EE4B" w14:textId="77777777" w:rsidR="00BE57F4" w:rsidRPr="00E26611" w:rsidRDefault="00BE57F4" w:rsidP="00187A2F">
      <w:pPr>
        <w:pStyle w:val="BodyText"/>
        <w:spacing w:after="0"/>
        <w:rPr>
          <w:rFonts w:asciiTheme="minorHAnsi" w:hAnsiTheme="minorHAnsi" w:cstheme="minorHAnsi"/>
        </w:rPr>
      </w:pPr>
      <w:r w:rsidRPr="00E26611">
        <w:rPr>
          <w:rFonts w:asciiTheme="minorHAnsi" w:hAnsiTheme="minorHAnsi" w:cstheme="minorHAnsi"/>
          <w:lang w:val="en-US"/>
        </w:rPr>
        <w:t xml:space="preserve">Here, </w:t>
      </w:r>
      <w:r w:rsidRPr="00E26611">
        <w:rPr>
          <w:rFonts w:asciiTheme="minorHAnsi" w:hAnsiTheme="minorHAnsi" w:cstheme="minorHAnsi"/>
          <w:i/>
          <w:iCs/>
          <w:lang w:val="en-US"/>
        </w:rPr>
        <w:t>n</w:t>
      </w:r>
      <w:r w:rsidRPr="00E26611">
        <w:rPr>
          <w:rFonts w:asciiTheme="minorHAnsi" w:hAnsiTheme="minorHAnsi" w:cstheme="minorHAnsi"/>
          <w:lang w:val="en-US"/>
        </w:rPr>
        <w:t xml:space="preserve"> denotes the index norm. The </w:t>
      </w:r>
      <m:oMath>
        <m:r>
          <m:rPr>
            <m:sty m:val="p"/>
          </m:rPr>
          <w:rPr>
            <w:rFonts w:ascii="Cambria Math" w:hAnsi="Cambria Math" w:cstheme="minorHAnsi"/>
          </w:rPr>
          <m:t xml:space="preserve">SSOASI </m:t>
        </m:r>
      </m:oMath>
      <w:r w:rsidRPr="00E26611">
        <w:rPr>
          <w:rFonts w:asciiTheme="minorHAnsi" w:hAnsiTheme="minorHAnsi" w:cstheme="minorHAnsi"/>
          <w:lang w:val="en-US"/>
        </w:rPr>
        <w:t xml:space="preserve">varies from values close to 0, when the damping ratio approaches its minimum allowable limit (ζₘᵢₙ), to 1, corresponding to a fully damped oscillatory response. Power systems exhibit varying degrees of dynamic behaviour: in some cases, disturbances significantly impact oscillatory modes, whereas in others the effect is minimal. To accommodate this variation, the sensitivity of the index can be tuned by appropriately selecting the norm </w:t>
      </w:r>
      <w:r w:rsidRPr="00E26611">
        <w:rPr>
          <w:rFonts w:asciiTheme="minorHAnsi" w:hAnsiTheme="minorHAnsi" w:cstheme="minorHAnsi"/>
          <w:i/>
          <w:iCs/>
          <w:lang w:val="en-US"/>
        </w:rPr>
        <w:t>n</w:t>
      </w:r>
      <w:r w:rsidRPr="00E26611">
        <w:rPr>
          <w:rFonts w:asciiTheme="minorHAnsi" w:hAnsiTheme="minorHAnsi" w:cstheme="minorHAnsi"/>
          <w:lang w:val="en-US"/>
        </w:rPr>
        <w:t xml:space="preserve">. </w:t>
      </w:r>
      <w:r w:rsidRPr="00E26611">
        <w:rPr>
          <w:rFonts w:asciiTheme="minorHAnsi" w:hAnsiTheme="minorHAnsi" w:cstheme="minorHAnsi"/>
        </w:rPr>
        <w:t>The choice of the norm depends on the specific objectives of the study and may be determined based on engineering judgement or informed by system sensitivity analyses.</w:t>
      </w:r>
    </w:p>
    <w:p w14:paraId="572357C1" w14:textId="3E9CAA86" w:rsidR="00BE57F4" w:rsidRPr="00E26611" w:rsidRDefault="00BE57F4" w:rsidP="00187A2F">
      <w:pPr>
        <w:pStyle w:val="BodyText"/>
        <w:spacing w:after="0"/>
        <w:rPr>
          <w:rFonts w:asciiTheme="minorHAnsi" w:eastAsia="Times New Roman" w:hAnsiTheme="minorHAnsi" w:cstheme="minorHAnsi"/>
          <w:color w:val="242021"/>
          <w:lang w:val="en-US" w:eastAsia="en-US"/>
        </w:rPr>
      </w:pPr>
      <w:r w:rsidRPr="00E26611">
        <w:rPr>
          <w:rFonts w:asciiTheme="minorHAnsi" w:hAnsiTheme="minorHAnsi" w:cstheme="minorHAnsi"/>
          <w:lang w:val="en-US"/>
        </w:rPr>
        <w:lastRenderedPageBreak/>
        <w:t xml:space="preserve">In this study, the norm </w:t>
      </w:r>
      <w:r w:rsidRPr="00E26611">
        <w:rPr>
          <w:rFonts w:asciiTheme="minorHAnsi" w:hAnsiTheme="minorHAnsi" w:cstheme="minorHAnsi"/>
          <w:i/>
          <w:iCs/>
          <w:lang w:val="en-US"/>
        </w:rPr>
        <w:t>n</w:t>
      </w:r>
      <w:r w:rsidRPr="00E26611">
        <w:rPr>
          <w:rFonts w:asciiTheme="minorHAnsi" w:hAnsiTheme="minorHAnsi" w:cstheme="minorHAnsi"/>
          <w:lang w:val="en-US"/>
        </w:rPr>
        <w:t xml:space="preserve"> is set to 1.38. This value is selected to satisfy the criterion whereby the index equals 0.5 at a damping ratio of 5% and reduces to 0 at the minimum permissible damping level of 3%. This criterion reflects typical damping ranges and is considered adequate for the purposes of this work; however, alternative applications may adopt different values of </w:t>
      </w:r>
      <w:r w:rsidRPr="00E26611">
        <w:rPr>
          <w:rFonts w:asciiTheme="minorHAnsi" w:hAnsiTheme="minorHAnsi" w:cstheme="minorHAnsi"/>
          <w:i/>
          <w:iCs/>
          <w:lang w:val="en-US"/>
        </w:rPr>
        <w:t>n</w:t>
      </w:r>
      <w:r w:rsidRPr="00E26611">
        <w:rPr>
          <w:rFonts w:asciiTheme="minorHAnsi" w:hAnsiTheme="minorHAnsi" w:cstheme="minorHAnsi"/>
          <w:lang w:val="en-US"/>
        </w:rPr>
        <w:t xml:space="preserve"> as required. The variation of </w:t>
      </w:r>
      <m:oMath>
        <m:r>
          <m:rPr>
            <m:sty m:val="p"/>
          </m:rPr>
          <w:rPr>
            <w:rFonts w:ascii="Cambria Math" w:hAnsi="Cambria Math" w:cstheme="minorHAnsi"/>
          </w:rPr>
          <m:t xml:space="preserve">SSOASI </m:t>
        </m:r>
      </m:oMath>
      <w:r w:rsidRPr="00E26611">
        <w:rPr>
          <w:rFonts w:asciiTheme="minorHAnsi" w:hAnsiTheme="minorHAnsi" w:cstheme="minorHAnsi"/>
          <w:lang w:val="en-US"/>
        </w:rPr>
        <w:t xml:space="preserve">with respect to damping is illustrated in </w:t>
      </w:r>
      <w:r w:rsidRPr="00E26611">
        <w:rPr>
          <w:rFonts w:asciiTheme="minorHAnsi" w:hAnsiTheme="minorHAnsi" w:cstheme="minorHAnsi"/>
          <w:lang w:val="en-US"/>
        </w:rPr>
        <w:fldChar w:fldCharType="begin"/>
      </w:r>
      <w:r w:rsidRPr="00E26611">
        <w:rPr>
          <w:rFonts w:asciiTheme="minorHAnsi" w:hAnsiTheme="minorHAnsi" w:cstheme="minorHAnsi"/>
          <w:lang w:val="en-US"/>
        </w:rPr>
        <w:instrText xml:space="preserve"> REF _Ref230192540 \h  \* MERGEFORMAT </w:instrText>
      </w:r>
      <w:r w:rsidRPr="00E26611">
        <w:rPr>
          <w:rFonts w:asciiTheme="minorHAnsi" w:hAnsiTheme="minorHAnsi" w:cstheme="minorHAnsi"/>
          <w:lang w:val="en-US"/>
        </w:rPr>
      </w:r>
      <w:r w:rsidRPr="00E26611">
        <w:rPr>
          <w:rFonts w:asciiTheme="minorHAnsi" w:hAnsiTheme="minorHAnsi" w:cstheme="minorHAnsi"/>
          <w:lang w:val="en-US"/>
        </w:rPr>
        <w:fldChar w:fldCharType="separate"/>
      </w:r>
      <w:r w:rsidR="00753DAF" w:rsidRPr="00E26611">
        <w:rPr>
          <w:rFonts w:asciiTheme="minorHAnsi" w:hAnsiTheme="minorHAnsi" w:cstheme="minorHAnsi"/>
          <w:lang w:val="en-US"/>
        </w:rPr>
        <w:t>Figure 49</w:t>
      </w:r>
      <w:r w:rsidRPr="00E26611">
        <w:rPr>
          <w:rFonts w:asciiTheme="minorHAnsi" w:hAnsiTheme="minorHAnsi" w:cstheme="minorHAnsi"/>
          <w:lang w:val="en-US"/>
        </w:rPr>
        <w:fldChar w:fldCharType="end"/>
      </w:r>
      <w:r w:rsidRPr="00E26611">
        <w:rPr>
          <w:rFonts w:asciiTheme="minorHAnsi" w:hAnsiTheme="minorHAnsi" w:cstheme="minorHAnsi"/>
          <w:lang w:val="en-US"/>
        </w:rPr>
        <w:t xml:space="preserve">, which presents a continuous damping trajectory and demonstrates the smooth </w:t>
      </w:r>
      <w:r w:rsidR="00CA742E" w:rsidRPr="00E26611">
        <w:rPr>
          <w:rFonts w:asciiTheme="minorHAnsi" w:hAnsiTheme="minorHAnsi" w:cstheme="minorHAnsi"/>
          <w:lang w:val="en-US"/>
        </w:rPr>
        <w:t>behavior</w:t>
      </w:r>
      <w:r w:rsidRPr="00E26611">
        <w:rPr>
          <w:rFonts w:asciiTheme="minorHAnsi" w:hAnsiTheme="minorHAnsi" w:cstheme="minorHAnsi"/>
          <w:lang w:val="en-US"/>
        </w:rPr>
        <w:t xml:space="preserve"> of the index. Based on the </w:t>
      </w:r>
      <m:oMath>
        <m:r>
          <m:rPr>
            <m:sty m:val="p"/>
          </m:rPr>
          <w:rPr>
            <w:rFonts w:ascii="Cambria Math" w:hAnsi="Cambria Math" w:cstheme="minorHAnsi"/>
          </w:rPr>
          <m:t>SSOASI</m:t>
        </m:r>
      </m:oMath>
      <w:r w:rsidRPr="00E26611">
        <w:rPr>
          <w:rFonts w:asciiTheme="minorHAnsi" w:hAnsiTheme="minorHAnsi" w:cstheme="minorHAnsi"/>
          <w:lang w:val="en-US"/>
        </w:rPr>
        <w:t xml:space="preserve">, the critical small-signal security condition can be identified: a value of 1 indicates a highly secure system, values within the range (0, 1) indicate acceptable small-signal security, and a value of 0 signifies an insecure system. </w:t>
      </w:r>
    </w:p>
    <w:p w14:paraId="01EA6D05" w14:textId="77777777" w:rsidR="00BE57F4" w:rsidRPr="00E26611" w:rsidRDefault="00BE57F4" w:rsidP="00464081">
      <w:pPr>
        <w:spacing w:after="0"/>
        <w:jc w:val="center"/>
        <w:rPr>
          <w:rFonts w:asciiTheme="minorHAnsi" w:eastAsia="Times New Roman" w:hAnsiTheme="minorHAnsi" w:cstheme="minorHAnsi"/>
          <w:color w:val="242021"/>
          <w:lang w:val="en-US" w:eastAsia="en-US"/>
        </w:rPr>
      </w:pPr>
      <w:r w:rsidRPr="00E26611">
        <w:rPr>
          <w:noProof/>
        </w:rPr>
        <w:drawing>
          <wp:inline distT="0" distB="0" distL="0" distR="0" wp14:anchorId="643F9378" wp14:editId="76093E88">
            <wp:extent cx="3752697" cy="2081243"/>
            <wp:effectExtent l="0" t="0" r="0" b="0"/>
            <wp:docPr id="42404593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60051" cy="2085322"/>
                    </a:xfrm>
                    <a:prstGeom prst="rect">
                      <a:avLst/>
                    </a:prstGeom>
                    <a:noFill/>
                    <a:ln>
                      <a:noFill/>
                    </a:ln>
                  </pic:spPr>
                </pic:pic>
              </a:graphicData>
            </a:graphic>
          </wp:inline>
        </w:drawing>
      </w:r>
    </w:p>
    <w:p w14:paraId="54C368DA" w14:textId="1741C5E9" w:rsidR="00BE57F4" w:rsidRPr="008F41FB" w:rsidRDefault="00BE57F4" w:rsidP="008F41FB">
      <w:pPr>
        <w:pStyle w:val="Caption"/>
        <w:spacing w:line="240" w:lineRule="auto"/>
      </w:pPr>
      <w:bookmarkStart w:id="247" w:name="_Ref230192540"/>
      <w:bookmarkStart w:id="248" w:name="_Toc230198640"/>
      <w:bookmarkStart w:id="249" w:name="_Toc233735055"/>
      <w:r w:rsidRPr="00E26611">
        <w:t xml:space="preserve">Figure </w:t>
      </w:r>
      <w:r w:rsidRPr="00F06ADD">
        <w:fldChar w:fldCharType="begin"/>
      </w:r>
      <w:r w:rsidRPr="00E26611">
        <w:instrText xml:space="preserve"> SEQ Figure \* ARABIC </w:instrText>
      </w:r>
      <w:r w:rsidRPr="00F06ADD">
        <w:fldChar w:fldCharType="separate"/>
      </w:r>
      <w:r w:rsidR="00A85006" w:rsidRPr="00E26611">
        <w:t>49</w:t>
      </w:r>
      <w:r w:rsidRPr="00F06ADD">
        <w:fldChar w:fldCharType="end"/>
      </w:r>
      <w:bookmarkEnd w:id="247"/>
      <w:r w:rsidRPr="00E26611">
        <w:t>: Small signal security index versus mode damping.</w:t>
      </w:r>
      <w:bookmarkEnd w:id="248"/>
      <w:bookmarkEnd w:id="249"/>
    </w:p>
    <w:p w14:paraId="679A4803" w14:textId="4F4C5399" w:rsidR="00BE57F4" w:rsidRPr="00E26611" w:rsidRDefault="00BE57F4" w:rsidP="00CD4F3A">
      <w:pPr>
        <w:pStyle w:val="Heading3"/>
        <w:ind w:left="1134" w:hanging="1134"/>
      </w:pPr>
      <w:r w:rsidRPr="00E26611">
        <w:t xml:space="preserve">Performance Analysis of the </w:t>
      </w:r>
      <w:r w:rsidR="00187A2F">
        <w:t>P</w:t>
      </w:r>
      <w:r w:rsidRPr="00E26611">
        <w:t>roposed SSOASI</w:t>
      </w:r>
    </w:p>
    <w:p w14:paraId="52A2A7A8" w14:textId="77777777" w:rsidR="00121195" w:rsidRDefault="00BE57F4" w:rsidP="00187A2F">
      <w:pPr>
        <w:pStyle w:val="ListNumber"/>
        <w:numPr>
          <w:ilvl w:val="0"/>
          <w:numId w:val="0"/>
        </w:numPr>
        <w:tabs>
          <w:tab w:val="clear" w:pos="397"/>
          <w:tab w:val="left" w:pos="0"/>
        </w:tabs>
        <w:spacing w:after="0"/>
        <w:rPr>
          <w:color w:val="auto"/>
          <w:szCs w:val="24"/>
        </w:rPr>
      </w:pPr>
      <w:r w:rsidRPr="00E26611">
        <w:t xml:space="preserve">The same generation scenario as tabulated in </w:t>
      </w:r>
      <w:r w:rsidRPr="00E26611">
        <w:fldChar w:fldCharType="begin"/>
      </w:r>
      <w:r w:rsidRPr="00E26611">
        <w:instrText xml:space="preserve"> REF _Ref230193922 \h </w:instrText>
      </w:r>
      <w:r w:rsidR="00E26611" w:rsidRPr="00E26611">
        <w:instrText xml:space="preserve"> \* MERGEFORMAT </w:instrText>
      </w:r>
      <w:r w:rsidRPr="00E26611">
        <w:fldChar w:fldCharType="separate"/>
      </w:r>
      <w:r w:rsidR="00753DAF" w:rsidRPr="00E26611">
        <w:t xml:space="preserve">Table </w:t>
      </w:r>
      <w:r w:rsidR="00753DAF" w:rsidRPr="00E26611">
        <w:rPr>
          <w:noProof/>
        </w:rPr>
        <w:t>13</w:t>
      </w:r>
      <w:r w:rsidRPr="00E26611">
        <w:fldChar w:fldCharType="end"/>
      </w:r>
      <w:r w:rsidRPr="00E26611">
        <w:t xml:space="preserve"> is considered for this section. </w:t>
      </w:r>
      <w:r w:rsidRPr="00E26611">
        <w:rPr>
          <w:rFonts w:asciiTheme="minorHAnsi" w:hAnsiTheme="minorHAnsi" w:cstheme="minorBidi"/>
        </w:rPr>
        <w:fldChar w:fldCharType="begin"/>
      </w:r>
      <w:r w:rsidRPr="00E26611">
        <w:instrText xml:space="preserve"> REF _Ref230194034 \h </w:instrText>
      </w:r>
      <w:r w:rsidR="00E26611" w:rsidRPr="00E26611">
        <w:rPr>
          <w:rFonts w:asciiTheme="minorHAnsi" w:hAnsiTheme="minorHAnsi" w:cstheme="minorBidi"/>
        </w:rPr>
        <w:instrText xml:space="preserve"> \* MERGEFORMAT </w:instrText>
      </w:r>
      <w:r w:rsidRPr="00E26611">
        <w:rPr>
          <w:rFonts w:asciiTheme="minorHAnsi" w:hAnsiTheme="minorHAnsi" w:cstheme="minorBidi"/>
        </w:rPr>
      </w:r>
      <w:r w:rsidRPr="00E26611">
        <w:rPr>
          <w:rFonts w:asciiTheme="minorHAnsi" w:hAnsiTheme="minorHAnsi" w:cstheme="minorBidi"/>
        </w:rPr>
        <w:fldChar w:fldCharType="separate"/>
      </w:r>
      <w:r w:rsidR="00753DAF" w:rsidRPr="00E26611">
        <w:t xml:space="preserve">Table </w:t>
      </w:r>
      <w:r w:rsidR="00753DAF" w:rsidRPr="00E26611">
        <w:rPr>
          <w:noProof/>
        </w:rPr>
        <w:t>16</w:t>
      </w:r>
      <w:r w:rsidRPr="00E26611">
        <w:rPr>
          <w:rFonts w:asciiTheme="minorHAnsi" w:hAnsiTheme="minorHAnsi" w:cstheme="minorBidi"/>
        </w:rPr>
        <w:fldChar w:fldCharType="end"/>
      </w:r>
      <w:r w:rsidRPr="00E26611">
        <w:rPr>
          <w:rFonts w:asciiTheme="minorHAnsi" w:hAnsiTheme="minorHAnsi" w:cstheme="minorBidi"/>
        </w:rPr>
        <w:t xml:space="preserve"> show the value of SSOASI </w:t>
      </w:r>
      <w:r w:rsidRPr="00E26611">
        <w:t xml:space="preserve">different level of renewables </w:t>
      </w:r>
      <w:r w:rsidRPr="00E26611">
        <w:rPr>
          <w:rFonts w:asciiTheme="minorHAnsi" w:hAnsiTheme="minorHAnsi" w:cstheme="minorBidi"/>
        </w:rPr>
        <w:t>from 0% to 83%, respectively</w:t>
      </w:r>
      <w:r w:rsidRPr="00E26611">
        <w:rPr>
          <w:color w:val="auto"/>
          <w:szCs w:val="24"/>
        </w:rPr>
        <w:t>.</w:t>
      </w:r>
    </w:p>
    <w:p w14:paraId="0438A176" w14:textId="77777777" w:rsidR="00121195" w:rsidRPr="00E26611" w:rsidRDefault="00121195" w:rsidP="00187A2F">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lang w:val="en-US"/>
        </w:rPr>
        <w:fldChar w:fldCharType="begin"/>
      </w:r>
      <w:r w:rsidRPr="00E26611">
        <w:rPr>
          <w:rFonts w:asciiTheme="minorHAnsi" w:hAnsiTheme="minorHAnsi" w:cstheme="minorBidi"/>
          <w:lang w:val="en-US"/>
        </w:rPr>
        <w:instrText xml:space="preserve"> REF _Ref230194034 \h  \* MERGEFORMAT </w:instrText>
      </w:r>
      <w:r w:rsidRPr="00E26611">
        <w:rPr>
          <w:rFonts w:asciiTheme="minorHAnsi" w:hAnsiTheme="minorHAnsi" w:cstheme="minorBidi"/>
          <w:lang w:val="en-US"/>
        </w:rPr>
      </w:r>
      <w:r w:rsidRPr="00E26611">
        <w:rPr>
          <w:rFonts w:asciiTheme="minorHAnsi" w:hAnsiTheme="minorHAnsi" w:cstheme="minorBidi"/>
          <w:lang w:val="en-US"/>
        </w:rPr>
        <w:fldChar w:fldCharType="separate"/>
      </w:r>
      <w:r w:rsidRPr="00E26611">
        <w:t xml:space="preserve">Table </w:t>
      </w:r>
      <w:r w:rsidRPr="00E26611">
        <w:rPr>
          <w:noProof/>
        </w:rPr>
        <w:t>16</w:t>
      </w:r>
      <w:r w:rsidRPr="00E26611">
        <w:rPr>
          <w:rFonts w:asciiTheme="minorHAnsi" w:hAnsiTheme="minorHAnsi" w:cstheme="minorBidi"/>
          <w:lang w:val="en-US"/>
        </w:rPr>
        <w:fldChar w:fldCharType="end"/>
      </w:r>
      <w:r w:rsidRPr="00E26611">
        <w:rPr>
          <w:rFonts w:asciiTheme="minorHAnsi" w:hAnsiTheme="minorHAnsi" w:cstheme="minorBidi"/>
          <w:lang w:val="en-US"/>
        </w:rPr>
        <w:t xml:space="preserve"> demonstrates that increasing renewable penetration levels lead to a reduction in the damping ratio, which directly translates to a decrease in the proposed SSOASI of the system. This trend is fundamentally driven by the progressive replacement of SGs with IBRs. Unlike SGs, which inherently provide rotational inertia and natural damping through electromechanical dynamics, IBRs are governed by fast control systems with limited or no intrinsic inertia. As a result, the system’s ability to naturally damp oscillations </w:t>
      </w:r>
      <w:proofErr w:type="gramStart"/>
      <w:r w:rsidRPr="00E26611">
        <w:rPr>
          <w:rFonts w:asciiTheme="minorHAnsi" w:hAnsiTheme="minorHAnsi" w:cstheme="minorBidi"/>
          <w:lang w:val="en-US"/>
        </w:rPr>
        <w:t>is</w:t>
      </w:r>
      <w:proofErr w:type="gramEnd"/>
      <w:r w:rsidRPr="00E26611">
        <w:rPr>
          <w:rFonts w:asciiTheme="minorHAnsi" w:hAnsiTheme="minorHAnsi" w:cstheme="minorBidi"/>
          <w:lang w:val="en-US"/>
        </w:rPr>
        <w:t xml:space="preserve"> weakened as renewable penetration increases.</w:t>
      </w:r>
    </w:p>
    <w:p w14:paraId="388F32D5" w14:textId="6ADF9541" w:rsidR="00400A65" w:rsidRPr="00187A2F" w:rsidRDefault="00121195" w:rsidP="00187A2F">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lang w:val="en-US"/>
        </w:rPr>
        <w:t xml:space="preserve">For instance, in the 0% renewable scenario, the system is dominated by SGs, and the calculated SSOASI attains the highest distance (0.55299231) from the minimum allowable limit (ζₘᵢₙ = 3%), indicating a highly secure small-signal stability condition. In this case, strong </w:t>
      </w:r>
      <w:proofErr w:type="spellStart"/>
      <w:r w:rsidRPr="00E26611">
        <w:rPr>
          <w:rFonts w:asciiTheme="minorHAnsi" w:hAnsiTheme="minorHAnsi" w:cstheme="minorBidi"/>
          <w:lang w:val="en-US"/>
        </w:rPr>
        <w:t>synchronising</w:t>
      </w:r>
      <w:proofErr w:type="spellEnd"/>
      <w:r w:rsidRPr="00E26611">
        <w:rPr>
          <w:rFonts w:asciiTheme="minorHAnsi" w:hAnsiTheme="minorHAnsi" w:cstheme="minorBidi"/>
          <w:lang w:val="en-US"/>
        </w:rPr>
        <w:t xml:space="preserve"> and damping torque contributions ensure that oscillatory modes are well-damped. </w:t>
      </w:r>
    </w:p>
    <w:p w14:paraId="6323F744" w14:textId="6F0DDA1A" w:rsidR="00BE57F4" w:rsidRPr="00E26611" w:rsidRDefault="00BE57F4" w:rsidP="00CD4F3A">
      <w:pPr>
        <w:pStyle w:val="Caption"/>
        <w:spacing w:line="240" w:lineRule="auto"/>
      </w:pPr>
      <w:bookmarkStart w:id="250" w:name="_Ref230194034"/>
      <w:bookmarkStart w:id="251" w:name="_Toc230198678"/>
      <w:bookmarkStart w:id="252" w:name="_Toc233735310"/>
      <w:r w:rsidRPr="00E26611">
        <w:t xml:space="preserve">Table </w:t>
      </w:r>
      <w:fldSimple w:instr=" SEQ Table \* ARABIC ">
        <w:r w:rsidR="00753DAF" w:rsidRPr="00E26611">
          <w:rPr>
            <w:noProof/>
          </w:rPr>
          <w:t>16</w:t>
        </w:r>
      </w:fldSimple>
      <w:bookmarkEnd w:id="250"/>
      <w:r w:rsidRPr="00E26611">
        <w:t>: The value of SSOASI for different level of renewables in IEEE 39 bus system.</w:t>
      </w:r>
      <w:bookmarkEnd w:id="251"/>
      <w:bookmarkEnd w:id="252"/>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2520"/>
        <w:gridCol w:w="2970"/>
        <w:gridCol w:w="1260"/>
        <w:gridCol w:w="1350"/>
      </w:tblGrid>
      <w:tr w:rsidR="00BE57F4" w:rsidRPr="00E26611" w14:paraId="16CFC638" w14:textId="77777777" w:rsidTr="0002386E">
        <w:trPr>
          <w:trHeight w:val="285"/>
          <w:jc w:val="center"/>
        </w:trPr>
        <w:tc>
          <w:tcPr>
            <w:tcW w:w="895" w:type="dxa"/>
            <w:shd w:val="clear" w:color="auto" w:fill="000000" w:themeFill="text1"/>
            <w:noWrap/>
            <w:vAlign w:val="bottom"/>
            <w:hideMark/>
          </w:tcPr>
          <w:p w14:paraId="75D1C730"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Scenario/</w:t>
            </w:r>
          </w:p>
          <w:p w14:paraId="0BD37454"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Renewable</w:t>
            </w:r>
          </w:p>
        </w:tc>
        <w:tc>
          <w:tcPr>
            <w:tcW w:w="2520" w:type="dxa"/>
            <w:shd w:val="clear" w:color="auto" w:fill="000000" w:themeFill="text1"/>
            <w:noWrap/>
            <w:vAlign w:val="bottom"/>
            <w:hideMark/>
          </w:tcPr>
          <w:p w14:paraId="4A225F9B"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Critical Damping Eigen Values</w:t>
            </w:r>
          </w:p>
        </w:tc>
        <w:tc>
          <w:tcPr>
            <w:tcW w:w="2970" w:type="dxa"/>
            <w:shd w:val="clear" w:color="auto" w:fill="000000" w:themeFill="text1"/>
            <w:noWrap/>
            <w:vAlign w:val="bottom"/>
            <w:hideMark/>
          </w:tcPr>
          <w:p w14:paraId="23BA93C7"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Unstable Eigen Values (No. of Modes)</w:t>
            </w:r>
          </w:p>
        </w:tc>
        <w:tc>
          <w:tcPr>
            <w:tcW w:w="1260" w:type="dxa"/>
            <w:shd w:val="clear" w:color="auto" w:fill="000000" w:themeFill="text1"/>
            <w:noWrap/>
            <w:vAlign w:val="bottom"/>
            <w:hideMark/>
          </w:tcPr>
          <w:p w14:paraId="47C4044C"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Damping Ratio</w:t>
            </w:r>
          </w:p>
        </w:tc>
        <w:tc>
          <w:tcPr>
            <w:tcW w:w="1350" w:type="dxa"/>
            <w:shd w:val="clear" w:color="auto" w:fill="000000" w:themeFill="text1"/>
            <w:noWrap/>
            <w:vAlign w:val="bottom"/>
            <w:hideMark/>
          </w:tcPr>
          <w:p w14:paraId="45E5AAA1" w14:textId="77777777" w:rsidR="00BE57F4" w:rsidRPr="00E26611" w:rsidRDefault="00BE57F4" w:rsidP="00CD4F3A">
            <w:pPr>
              <w:pStyle w:val="TableText"/>
              <w:rPr>
                <w:rFonts w:asciiTheme="minorHAnsi" w:hAnsiTheme="minorHAnsi" w:cstheme="minorHAnsi"/>
                <w:color w:val="FFFFFF" w:themeColor="background1"/>
                <w:szCs w:val="18"/>
              </w:rPr>
            </w:pPr>
            <w:r w:rsidRPr="00E26611">
              <w:rPr>
                <w:rFonts w:asciiTheme="minorHAnsi" w:hAnsiTheme="minorHAnsi" w:cstheme="minorHAnsi"/>
                <w:color w:val="FFFFFF" w:themeColor="background1"/>
                <w:szCs w:val="18"/>
              </w:rPr>
              <w:t xml:space="preserve">SSOASI </w:t>
            </w:r>
          </w:p>
        </w:tc>
      </w:tr>
      <w:tr w:rsidR="00BE57F4" w:rsidRPr="00E26611" w14:paraId="1474200A" w14:textId="77777777" w:rsidTr="0002386E">
        <w:trPr>
          <w:trHeight w:val="285"/>
          <w:jc w:val="center"/>
        </w:trPr>
        <w:tc>
          <w:tcPr>
            <w:tcW w:w="895" w:type="dxa"/>
            <w:noWrap/>
            <w:vAlign w:val="bottom"/>
          </w:tcPr>
          <w:p w14:paraId="3BF4231E"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Base</w:t>
            </w:r>
          </w:p>
        </w:tc>
        <w:tc>
          <w:tcPr>
            <w:tcW w:w="2520" w:type="dxa"/>
            <w:noWrap/>
            <w:vAlign w:val="bottom"/>
            <w:hideMark/>
          </w:tcPr>
          <w:p w14:paraId="1FF4086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 xml:space="preserve">-0.3817425471±7.0896651176j </w:t>
            </w:r>
          </w:p>
        </w:tc>
        <w:tc>
          <w:tcPr>
            <w:tcW w:w="2970" w:type="dxa"/>
            <w:noWrap/>
            <w:vAlign w:val="bottom"/>
            <w:hideMark/>
          </w:tcPr>
          <w:p w14:paraId="6FF2E401"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5421E7FC"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33CD7E7F"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5.376704718</w:t>
            </w:r>
          </w:p>
        </w:tc>
        <w:tc>
          <w:tcPr>
            <w:tcW w:w="1350" w:type="dxa"/>
            <w:noWrap/>
            <w:vAlign w:val="bottom"/>
            <w:hideMark/>
          </w:tcPr>
          <w:p w14:paraId="6D7AA0B5"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0.55299231</w:t>
            </w:r>
          </w:p>
        </w:tc>
      </w:tr>
      <w:tr w:rsidR="00BE57F4" w:rsidRPr="00E26611" w14:paraId="31B5066B" w14:textId="77777777" w:rsidTr="0002386E">
        <w:trPr>
          <w:trHeight w:val="285"/>
          <w:jc w:val="center"/>
        </w:trPr>
        <w:tc>
          <w:tcPr>
            <w:tcW w:w="895" w:type="dxa"/>
            <w:noWrap/>
            <w:vAlign w:val="bottom"/>
          </w:tcPr>
          <w:p w14:paraId="45FDE2D8"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6%</w:t>
            </w:r>
          </w:p>
        </w:tc>
        <w:tc>
          <w:tcPr>
            <w:tcW w:w="2520" w:type="dxa"/>
            <w:noWrap/>
            <w:vAlign w:val="bottom"/>
            <w:hideMark/>
          </w:tcPr>
          <w:p w14:paraId="37F44FB0"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-0.44776703671±10.95513756j</w:t>
            </w:r>
          </w:p>
        </w:tc>
        <w:tc>
          <w:tcPr>
            <w:tcW w:w="2970" w:type="dxa"/>
            <w:noWrap/>
            <w:vAlign w:val="bottom"/>
            <w:hideMark/>
          </w:tcPr>
          <w:p w14:paraId="32A1D6E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05BE05BB"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65EE980B"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4.083869196</w:t>
            </w:r>
          </w:p>
        </w:tc>
        <w:tc>
          <w:tcPr>
            <w:tcW w:w="1350" w:type="dxa"/>
            <w:noWrap/>
            <w:vAlign w:val="bottom"/>
            <w:hideMark/>
          </w:tcPr>
          <w:p w14:paraId="0D4BD848"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0.34664651</w:t>
            </w:r>
          </w:p>
        </w:tc>
      </w:tr>
      <w:tr w:rsidR="00BE57F4" w:rsidRPr="00E26611" w14:paraId="364CA079" w14:textId="77777777" w:rsidTr="0002386E">
        <w:trPr>
          <w:trHeight w:val="285"/>
          <w:jc w:val="center"/>
        </w:trPr>
        <w:tc>
          <w:tcPr>
            <w:tcW w:w="895" w:type="dxa"/>
            <w:noWrap/>
            <w:vAlign w:val="bottom"/>
          </w:tcPr>
          <w:p w14:paraId="08C3FC8F"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lastRenderedPageBreak/>
              <w:t>13%</w:t>
            </w:r>
          </w:p>
        </w:tc>
        <w:tc>
          <w:tcPr>
            <w:tcW w:w="2520" w:type="dxa"/>
            <w:noWrap/>
            <w:vAlign w:val="bottom"/>
            <w:hideMark/>
          </w:tcPr>
          <w:p w14:paraId="61BCAA93"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-0.441710973±10.97700483j</w:t>
            </w:r>
          </w:p>
        </w:tc>
        <w:tc>
          <w:tcPr>
            <w:tcW w:w="2970" w:type="dxa"/>
            <w:noWrap/>
            <w:vAlign w:val="bottom"/>
            <w:hideMark/>
          </w:tcPr>
          <w:p w14:paraId="1DE8C530"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05E1789D"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35DCDF0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4.020712362</w:t>
            </w:r>
          </w:p>
        </w:tc>
        <w:tc>
          <w:tcPr>
            <w:tcW w:w="1350" w:type="dxa"/>
            <w:noWrap/>
            <w:vAlign w:val="bottom"/>
            <w:hideMark/>
          </w:tcPr>
          <w:p w14:paraId="7564C7A9"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0.332441724</w:t>
            </w:r>
          </w:p>
        </w:tc>
      </w:tr>
      <w:tr w:rsidR="00BE57F4" w:rsidRPr="00E26611" w14:paraId="15324A0A" w14:textId="77777777" w:rsidTr="0002386E">
        <w:trPr>
          <w:trHeight w:val="285"/>
          <w:jc w:val="center"/>
        </w:trPr>
        <w:tc>
          <w:tcPr>
            <w:tcW w:w="895" w:type="dxa"/>
            <w:noWrap/>
            <w:vAlign w:val="bottom"/>
          </w:tcPr>
          <w:p w14:paraId="34B5020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26%</w:t>
            </w:r>
          </w:p>
        </w:tc>
        <w:tc>
          <w:tcPr>
            <w:tcW w:w="2520" w:type="dxa"/>
            <w:noWrap/>
            <w:vAlign w:val="bottom"/>
            <w:hideMark/>
          </w:tcPr>
          <w:p w14:paraId="1F1B5F4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-0.432167891±10.99358397j</w:t>
            </w:r>
          </w:p>
        </w:tc>
        <w:tc>
          <w:tcPr>
            <w:tcW w:w="2970" w:type="dxa"/>
            <w:noWrap/>
            <w:vAlign w:val="bottom"/>
            <w:hideMark/>
          </w:tcPr>
          <w:p w14:paraId="7822B1A8"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660660D5"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1DBDAD50"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3.928057982</w:t>
            </w:r>
          </w:p>
        </w:tc>
        <w:tc>
          <w:tcPr>
            <w:tcW w:w="1350" w:type="dxa"/>
            <w:noWrap/>
            <w:vAlign w:val="bottom"/>
            <w:hideMark/>
          </w:tcPr>
          <w:p w14:paraId="10AE990D"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0.310614978</w:t>
            </w:r>
          </w:p>
        </w:tc>
      </w:tr>
      <w:tr w:rsidR="00BE57F4" w:rsidRPr="00E26611" w14:paraId="69F3845D" w14:textId="77777777" w:rsidTr="0002386E">
        <w:trPr>
          <w:trHeight w:val="285"/>
          <w:jc w:val="center"/>
        </w:trPr>
        <w:tc>
          <w:tcPr>
            <w:tcW w:w="895" w:type="dxa"/>
            <w:noWrap/>
            <w:vAlign w:val="bottom"/>
          </w:tcPr>
          <w:p w14:paraId="454F0B98"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35%</w:t>
            </w:r>
          </w:p>
        </w:tc>
        <w:tc>
          <w:tcPr>
            <w:tcW w:w="2520" w:type="dxa"/>
            <w:noWrap/>
            <w:vAlign w:val="bottom"/>
            <w:hideMark/>
          </w:tcPr>
          <w:p w14:paraId="047C954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-0.432049252±10.9967628j</w:t>
            </w:r>
          </w:p>
        </w:tc>
        <w:tc>
          <w:tcPr>
            <w:tcW w:w="2970" w:type="dxa"/>
            <w:noWrap/>
            <w:vAlign w:val="bottom"/>
            <w:hideMark/>
          </w:tcPr>
          <w:p w14:paraId="3A7743BF"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0C6EBB6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0F17F6B3"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3.925847892</w:t>
            </w:r>
          </w:p>
        </w:tc>
        <w:tc>
          <w:tcPr>
            <w:tcW w:w="1350" w:type="dxa"/>
            <w:noWrap/>
            <w:vAlign w:val="bottom"/>
            <w:hideMark/>
          </w:tcPr>
          <w:p w14:paraId="255FDECF"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0.310079349</w:t>
            </w:r>
          </w:p>
        </w:tc>
      </w:tr>
      <w:tr w:rsidR="00BE57F4" w:rsidRPr="00E26611" w14:paraId="2C6DF8CA" w14:textId="77777777" w:rsidTr="0002386E">
        <w:trPr>
          <w:trHeight w:val="285"/>
          <w:jc w:val="center"/>
        </w:trPr>
        <w:tc>
          <w:tcPr>
            <w:tcW w:w="895" w:type="dxa"/>
            <w:noWrap/>
            <w:vAlign w:val="bottom"/>
          </w:tcPr>
          <w:p w14:paraId="3E29C378"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44%</w:t>
            </w:r>
          </w:p>
        </w:tc>
        <w:tc>
          <w:tcPr>
            <w:tcW w:w="2520" w:type="dxa"/>
            <w:noWrap/>
            <w:vAlign w:val="bottom"/>
            <w:hideMark/>
          </w:tcPr>
          <w:p w14:paraId="633CAAB5"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-0.431536658±10.99496814j</w:t>
            </w:r>
          </w:p>
        </w:tc>
        <w:tc>
          <w:tcPr>
            <w:tcW w:w="2970" w:type="dxa"/>
            <w:noWrap/>
            <w:vAlign w:val="bottom"/>
            <w:hideMark/>
          </w:tcPr>
          <w:p w14:paraId="296DD2F9"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p w14:paraId="75435F8A"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c>
          <w:tcPr>
            <w:tcW w:w="1260" w:type="dxa"/>
            <w:noWrap/>
            <w:vAlign w:val="bottom"/>
            <w:hideMark/>
          </w:tcPr>
          <w:p w14:paraId="34B51D1B"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3.92183639</w:t>
            </w:r>
          </w:p>
        </w:tc>
        <w:tc>
          <w:tcPr>
            <w:tcW w:w="1350" w:type="dxa"/>
            <w:noWrap/>
            <w:vAlign w:val="bottom"/>
            <w:hideMark/>
          </w:tcPr>
          <w:p w14:paraId="232A64E9"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0.309105301</w:t>
            </w:r>
          </w:p>
        </w:tc>
      </w:tr>
      <w:tr w:rsidR="00BE57F4" w:rsidRPr="00E26611" w14:paraId="0EEC0950" w14:textId="77777777" w:rsidTr="0002386E">
        <w:trPr>
          <w:trHeight w:val="285"/>
          <w:jc w:val="center"/>
        </w:trPr>
        <w:tc>
          <w:tcPr>
            <w:tcW w:w="895" w:type="dxa"/>
            <w:noWrap/>
            <w:vAlign w:val="bottom"/>
          </w:tcPr>
          <w:p w14:paraId="11EE356D"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52%</w:t>
            </w:r>
          </w:p>
        </w:tc>
        <w:tc>
          <w:tcPr>
            <w:tcW w:w="2520" w:type="dxa"/>
            <w:noWrap/>
            <w:vAlign w:val="bottom"/>
          </w:tcPr>
          <w:p w14:paraId="7A845A7B" w14:textId="77777777" w:rsidR="00BE57F4" w:rsidRPr="00E26611" w:rsidRDefault="00BE57F4" w:rsidP="00CD4F3A">
            <w:pPr>
              <w:pStyle w:val="TableText"/>
              <w:rPr>
                <w:rFonts w:asciiTheme="minorHAnsi" w:hAnsiTheme="minorHAnsi" w:cstheme="minorHAnsi"/>
                <w:szCs w:val="18"/>
              </w:rPr>
            </w:pPr>
          </w:p>
        </w:tc>
        <w:tc>
          <w:tcPr>
            <w:tcW w:w="2970" w:type="dxa"/>
            <w:noWrap/>
            <w:vAlign w:val="bottom"/>
            <w:hideMark/>
          </w:tcPr>
          <w:p w14:paraId="42901041"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 xml:space="preserve">189.2999444±350.0624359j </w:t>
            </w:r>
          </w:p>
          <w:p w14:paraId="2BCC52EC"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(02)</w:t>
            </w:r>
          </w:p>
        </w:tc>
        <w:tc>
          <w:tcPr>
            <w:tcW w:w="1260" w:type="dxa"/>
            <w:noWrap/>
            <w:vAlign w:val="bottom"/>
            <w:hideMark/>
          </w:tcPr>
          <w:p w14:paraId="5896023F"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-47.56667727</w:t>
            </w:r>
          </w:p>
        </w:tc>
        <w:tc>
          <w:tcPr>
            <w:tcW w:w="1350" w:type="dxa"/>
            <w:noWrap/>
            <w:vAlign w:val="bottom"/>
            <w:hideMark/>
          </w:tcPr>
          <w:p w14:paraId="0DE114EA"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r>
      <w:tr w:rsidR="00BE57F4" w:rsidRPr="00E26611" w14:paraId="1A274563" w14:textId="77777777" w:rsidTr="0002386E">
        <w:trPr>
          <w:trHeight w:val="285"/>
          <w:jc w:val="center"/>
        </w:trPr>
        <w:tc>
          <w:tcPr>
            <w:tcW w:w="895" w:type="dxa"/>
            <w:noWrap/>
            <w:vAlign w:val="bottom"/>
          </w:tcPr>
          <w:p w14:paraId="102DED4D"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63%</w:t>
            </w:r>
          </w:p>
        </w:tc>
        <w:tc>
          <w:tcPr>
            <w:tcW w:w="2520" w:type="dxa"/>
            <w:noWrap/>
            <w:vAlign w:val="bottom"/>
          </w:tcPr>
          <w:p w14:paraId="4CF54F08" w14:textId="77777777" w:rsidR="00BE57F4" w:rsidRPr="00E26611" w:rsidRDefault="00BE57F4" w:rsidP="00CD4F3A">
            <w:pPr>
              <w:pStyle w:val="TableText"/>
              <w:rPr>
                <w:rFonts w:asciiTheme="minorHAnsi" w:hAnsiTheme="minorHAnsi" w:cstheme="minorHAnsi"/>
                <w:szCs w:val="18"/>
              </w:rPr>
            </w:pPr>
          </w:p>
        </w:tc>
        <w:tc>
          <w:tcPr>
            <w:tcW w:w="2970" w:type="dxa"/>
            <w:noWrap/>
            <w:vAlign w:val="bottom"/>
            <w:hideMark/>
          </w:tcPr>
          <w:p w14:paraId="79E5B840"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 xml:space="preserve">1174.14369+0j; 116.7517524+0j </w:t>
            </w:r>
          </w:p>
          <w:p w14:paraId="7CDA60FD"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(02)</w:t>
            </w:r>
          </w:p>
        </w:tc>
        <w:tc>
          <w:tcPr>
            <w:tcW w:w="1260" w:type="dxa"/>
            <w:noWrap/>
            <w:vAlign w:val="bottom"/>
            <w:hideMark/>
          </w:tcPr>
          <w:p w14:paraId="60C7BFEC"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-100</w:t>
            </w:r>
          </w:p>
        </w:tc>
        <w:tc>
          <w:tcPr>
            <w:tcW w:w="1350" w:type="dxa"/>
            <w:noWrap/>
            <w:vAlign w:val="bottom"/>
            <w:hideMark/>
          </w:tcPr>
          <w:p w14:paraId="6A1A9DDE"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r>
      <w:tr w:rsidR="00BE57F4" w:rsidRPr="00E26611" w14:paraId="31D435A2" w14:textId="77777777" w:rsidTr="0002386E">
        <w:trPr>
          <w:trHeight w:val="285"/>
          <w:jc w:val="center"/>
        </w:trPr>
        <w:tc>
          <w:tcPr>
            <w:tcW w:w="895" w:type="dxa"/>
            <w:noWrap/>
            <w:vAlign w:val="bottom"/>
          </w:tcPr>
          <w:p w14:paraId="6F9DA47A"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72%</w:t>
            </w:r>
          </w:p>
        </w:tc>
        <w:tc>
          <w:tcPr>
            <w:tcW w:w="2520" w:type="dxa"/>
            <w:noWrap/>
            <w:vAlign w:val="bottom"/>
          </w:tcPr>
          <w:p w14:paraId="0DBBE165" w14:textId="77777777" w:rsidR="00BE57F4" w:rsidRPr="00E26611" w:rsidRDefault="00BE57F4" w:rsidP="00CD4F3A">
            <w:pPr>
              <w:pStyle w:val="TableText"/>
              <w:rPr>
                <w:rFonts w:asciiTheme="minorHAnsi" w:hAnsiTheme="minorHAnsi" w:cstheme="minorHAnsi"/>
                <w:szCs w:val="18"/>
              </w:rPr>
            </w:pPr>
          </w:p>
        </w:tc>
        <w:tc>
          <w:tcPr>
            <w:tcW w:w="2970" w:type="dxa"/>
            <w:noWrap/>
            <w:vAlign w:val="bottom"/>
            <w:hideMark/>
          </w:tcPr>
          <w:p w14:paraId="7BC2A9F1"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 xml:space="preserve">2238.7664599+0j; 53.984357575+0j </w:t>
            </w:r>
          </w:p>
          <w:p w14:paraId="75FE82FA"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(02)</w:t>
            </w:r>
          </w:p>
        </w:tc>
        <w:tc>
          <w:tcPr>
            <w:tcW w:w="1260" w:type="dxa"/>
            <w:noWrap/>
            <w:vAlign w:val="bottom"/>
            <w:hideMark/>
          </w:tcPr>
          <w:p w14:paraId="3FF3978C"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-100</w:t>
            </w:r>
          </w:p>
        </w:tc>
        <w:tc>
          <w:tcPr>
            <w:tcW w:w="1350" w:type="dxa"/>
            <w:noWrap/>
            <w:vAlign w:val="bottom"/>
            <w:hideMark/>
          </w:tcPr>
          <w:p w14:paraId="7F09B0E5"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r>
      <w:tr w:rsidR="00BE57F4" w:rsidRPr="00E26611" w14:paraId="3D944013" w14:textId="77777777" w:rsidTr="0002386E">
        <w:trPr>
          <w:trHeight w:val="285"/>
          <w:jc w:val="center"/>
        </w:trPr>
        <w:tc>
          <w:tcPr>
            <w:tcW w:w="895" w:type="dxa"/>
            <w:noWrap/>
            <w:vAlign w:val="bottom"/>
          </w:tcPr>
          <w:p w14:paraId="351A45D1"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83%</w:t>
            </w:r>
          </w:p>
        </w:tc>
        <w:tc>
          <w:tcPr>
            <w:tcW w:w="2520" w:type="dxa"/>
            <w:noWrap/>
            <w:vAlign w:val="bottom"/>
          </w:tcPr>
          <w:p w14:paraId="4BF54515" w14:textId="77777777" w:rsidR="00BE57F4" w:rsidRPr="00E26611" w:rsidRDefault="00BE57F4" w:rsidP="00CD4F3A">
            <w:pPr>
              <w:pStyle w:val="TableText"/>
              <w:rPr>
                <w:rFonts w:asciiTheme="minorHAnsi" w:hAnsiTheme="minorHAnsi" w:cstheme="minorHAnsi"/>
                <w:szCs w:val="18"/>
              </w:rPr>
            </w:pPr>
          </w:p>
        </w:tc>
        <w:tc>
          <w:tcPr>
            <w:tcW w:w="2970" w:type="dxa"/>
            <w:noWrap/>
            <w:vAlign w:val="bottom"/>
            <w:hideMark/>
          </w:tcPr>
          <w:p w14:paraId="1B680E86"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 xml:space="preserve">4066.3293171+0j; 10.432335466+0j </w:t>
            </w:r>
          </w:p>
          <w:p w14:paraId="0201E0A2"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(02)</w:t>
            </w:r>
          </w:p>
        </w:tc>
        <w:tc>
          <w:tcPr>
            <w:tcW w:w="1260" w:type="dxa"/>
            <w:noWrap/>
            <w:vAlign w:val="bottom"/>
            <w:hideMark/>
          </w:tcPr>
          <w:p w14:paraId="1D1351F0"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-100</w:t>
            </w:r>
          </w:p>
        </w:tc>
        <w:tc>
          <w:tcPr>
            <w:tcW w:w="1350" w:type="dxa"/>
            <w:noWrap/>
            <w:vAlign w:val="bottom"/>
            <w:hideMark/>
          </w:tcPr>
          <w:p w14:paraId="093B28AE" w14:textId="77777777" w:rsidR="00BE57F4" w:rsidRPr="00E26611" w:rsidRDefault="00BE57F4" w:rsidP="00CD4F3A">
            <w:pPr>
              <w:pStyle w:val="TableText"/>
              <w:rPr>
                <w:rFonts w:asciiTheme="minorHAnsi" w:hAnsiTheme="minorHAnsi" w:cstheme="minorHAnsi"/>
                <w:szCs w:val="18"/>
              </w:rPr>
            </w:pPr>
            <w:r w:rsidRPr="00E26611">
              <w:rPr>
                <w:rFonts w:asciiTheme="minorHAnsi" w:hAnsiTheme="minorHAnsi" w:cstheme="minorHAnsi"/>
                <w:szCs w:val="18"/>
              </w:rPr>
              <w:t>0</w:t>
            </w:r>
          </w:p>
        </w:tc>
      </w:tr>
    </w:tbl>
    <w:p w14:paraId="7B6B00D3" w14:textId="77777777" w:rsidR="00BE57F4" w:rsidRPr="00E26611" w:rsidRDefault="00BE57F4" w:rsidP="00CD4F3A">
      <w:pPr>
        <w:pStyle w:val="ListNumber"/>
        <w:numPr>
          <w:ilvl w:val="0"/>
          <w:numId w:val="0"/>
        </w:numPr>
        <w:tabs>
          <w:tab w:val="clear" w:pos="397"/>
          <w:tab w:val="left" w:pos="0"/>
        </w:tabs>
        <w:spacing w:line="240" w:lineRule="auto"/>
        <w:rPr>
          <w:rFonts w:asciiTheme="minorHAnsi" w:hAnsiTheme="minorHAnsi" w:cstheme="minorBidi"/>
        </w:rPr>
      </w:pPr>
    </w:p>
    <w:p w14:paraId="33930F2C" w14:textId="77777777"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lang w:val="en-US"/>
        </w:rPr>
        <w:t>However, as IBRs increase, several interacting factors contribute to the degradation of damping:</w:t>
      </w:r>
    </w:p>
    <w:p w14:paraId="2BB9EB1E" w14:textId="77777777"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b/>
          <w:bCs/>
          <w:i/>
          <w:iCs/>
          <w:lang w:val="en-US"/>
        </w:rPr>
        <w:t>Reduction in system inertia:</w:t>
      </w:r>
      <w:r w:rsidRPr="00E26611">
        <w:rPr>
          <w:rFonts w:asciiTheme="minorHAnsi" w:hAnsiTheme="minorHAnsi" w:cstheme="minorBidi"/>
          <w:lang w:val="en-US"/>
        </w:rPr>
        <w:t xml:space="preserve"> The displacement of synchronous machines reduces overall system inertia, leading to faster and less </w:t>
      </w:r>
      <w:proofErr w:type="gramStart"/>
      <w:r w:rsidRPr="00E26611">
        <w:rPr>
          <w:rFonts w:asciiTheme="minorHAnsi" w:hAnsiTheme="minorHAnsi" w:cstheme="minorBidi"/>
          <w:lang w:val="en-US"/>
        </w:rPr>
        <w:t>damped</w:t>
      </w:r>
      <w:proofErr w:type="gramEnd"/>
      <w:r w:rsidRPr="00E26611">
        <w:rPr>
          <w:rFonts w:asciiTheme="minorHAnsi" w:hAnsiTheme="minorHAnsi" w:cstheme="minorBidi"/>
          <w:lang w:val="en-US"/>
        </w:rPr>
        <w:t xml:space="preserve"> dynamic responses. </w:t>
      </w:r>
    </w:p>
    <w:p w14:paraId="167DB977" w14:textId="77777777"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b/>
          <w:bCs/>
          <w:i/>
          <w:iCs/>
          <w:lang w:val="en-US"/>
        </w:rPr>
        <w:t>Control-dominated dynamics:</w:t>
      </w:r>
      <w:r w:rsidRPr="00E26611">
        <w:rPr>
          <w:rFonts w:asciiTheme="minorHAnsi" w:hAnsiTheme="minorHAnsi" w:cstheme="minorBidi"/>
          <w:lang w:val="en-US"/>
        </w:rPr>
        <w:t xml:space="preserve"> IBRs introduce tightly coupled control loops (e.g., PLLs, outer power loops, voltage regulators), which can interact with network dynamics and create poorly damped or even unstable modes. </w:t>
      </w:r>
    </w:p>
    <w:p w14:paraId="7040BC5B" w14:textId="77777777"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b/>
          <w:bCs/>
          <w:i/>
          <w:iCs/>
          <w:lang w:val="en-US"/>
        </w:rPr>
        <w:t>Weaker grid conditions (low SCR):</w:t>
      </w:r>
      <w:r w:rsidRPr="00E26611">
        <w:rPr>
          <w:rFonts w:asciiTheme="minorHAnsi" w:hAnsiTheme="minorHAnsi" w:cstheme="minorBidi"/>
          <w:lang w:val="en-US"/>
        </w:rPr>
        <w:t xml:space="preserve"> Higher renewable penetration is often associated with lower SCR, increasing network impedance, which reduces stability margins. </w:t>
      </w:r>
    </w:p>
    <w:p w14:paraId="7E86DCC0" w14:textId="77777777"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b/>
          <w:bCs/>
          <w:i/>
          <w:iCs/>
          <w:lang w:val="en-US"/>
        </w:rPr>
        <w:t>Inter-IBR interactions:</w:t>
      </w:r>
      <w:r w:rsidRPr="00E26611">
        <w:rPr>
          <w:rFonts w:asciiTheme="minorHAnsi" w:hAnsiTheme="minorHAnsi" w:cstheme="minorBidi"/>
          <w:lang w:val="en-US"/>
        </w:rPr>
        <w:t xml:space="preserve"> As more inverters are connected, their control systems can interact with each other, leading to oscillatory modes that are not present in conventional systems. </w:t>
      </w:r>
    </w:p>
    <w:p w14:paraId="16CFAEF5" w14:textId="1812A798" w:rsidR="00BE57F4" w:rsidRPr="00E26611" w:rsidRDefault="00BE57F4" w:rsidP="00C348DA">
      <w:pPr>
        <w:pStyle w:val="ListNumber"/>
        <w:numPr>
          <w:ilvl w:val="0"/>
          <w:numId w:val="0"/>
        </w:numPr>
        <w:tabs>
          <w:tab w:val="clear" w:pos="397"/>
          <w:tab w:val="left" w:pos="0"/>
          <w:tab w:val="left" w:pos="360"/>
        </w:tabs>
        <w:spacing w:after="0"/>
        <w:rPr>
          <w:rFonts w:asciiTheme="minorHAnsi" w:hAnsiTheme="minorHAnsi" w:cstheme="minorBidi"/>
          <w:lang w:val="en-US"/>
        </w:rPr>
      </w:pPr>
      <w:r w:rsidRPr="00E26611">
        <w:rPr>
          <w:rFonts w:asciiTheme="minorHAnsi" w:hAnsiTheme="minorHAnsi" w:cstheme="minorBidi"/>
          <w:lang w:val="en-US"/>
        </w:rPr>
        <w:t xml:space="preserve">With the gradual increase in renewable penetration, the damping ratio moves closer to the insecure region, as depicted in </w:t>
      </w:r>
      <w:r w:rsidRPr="00E26611">
        <w:rPr>
          <w:rFonts w:asciiTheme="minorHAnsi" w:hAnsiTheme="minorHAnsi" w:cstheme="minorBidi"/>
          <w:lang w:val="en-US"/>
        </w:rPr>
        <w:fldChar w:fldCharType="begin"/>
      </w:r>
      <w:r w:rsidRPr="00E26611">
        <w:rPr>
          <w:rFonts w:asciiTheme="minorHAnsi" w:hAnsiTheme="minorHAnsi" w:cstheme="minorBidi"/>
          <w:lang w:val="en-US"/>
        </w:rPr>
        <w:instrText xml:space="preserve"> REF _Ref230192511 \h  \* MERGEFORMAT </w:instrText>
      </w:r>
      <w:r w:rsidRPr="00E26611">
        <w:rPr>
          <w:rFonts w:asciiTheme="minorHAnsi" w:hAnsiTheme="minorHAnsi" w:cstheme="minorBidi"/>
          <w:lang w:val="en-US"/>
        </w:rPr>
      </w:r>
      <w:r w:rsidRPr="00E26611">
        <w:rPr>
          <w:rFonts w:asciiTheme="minorHAnsi" w:hAnsiTheme="minorHAnsi" w:cstheme="minorBidi"/>
          <w:lang w:val="en-US"/>
        </w:rPr>
        <w:fldChar w:fldCharType="separate"/>
      </w:r>
      <w:r w:rsidR="00753DAF" w:rsidRPr="00E26611">
        <w:rPr>
          <w:rFonts w:asciiTheme="minorHAnsi" w:hAnsiTheme="minorHAnsi" w:cstheme="minorBidi"/>
          <w:lang w:val="en-US"/>
        </w:rPr>
        <w:t>Figure 48</w:t>
      </w:r>
      <w:r w:rsidRPr="00E26611">
        <w:rPr>
          <w:rFonts w:asciiTheme="minorHAnsi" w:hAnsiTheme="minorHAnsi" w:cstheme="minorBidi"/>
          <w:lang w:val="en-US"/>
        </w:rPr>
        <w:fldChar w:fldCharType="end"/>
      </w:r>
      <w:r w:rsidRPr="00E26611">
        <w:rPr>
          <w:rFonts w:asciiTheme="minorHAnsi" w:hAnsiTheme="minorHAnsi" w:cstheme="minorBidi"/>
          <w:lang w:val="en-US"/>
        </w:rPr>
        <w:t>. Consequently, the security margin captured by the proposed SSOASI also decreases. For renewable penetration levels between 52% and 83%, the damping ratio falls below the minimum allowable limit (ζₘᵢₙ = 3%). Therefore, according to (18), the SSOASI becomes zero (0), indicating that the system is small-signal unstable under these conditions.</w:t>
      </w:r>
    </w:p>
    <w:p w14:paraId="3877B490" w14:textId="77777777" w:rsidR="00BE57F4" w:rsidRPr="00E26611" w:rsidRDefault="00BE57F4" w:rsidP="00C348DA">
      <w:pPr>
        <w:pStyle w:val="ListNumber"/>
        <w:numPr>
          <w:ilvl w:val="0"/>
          <w:numId w:val="0"/>
        </w:numPr>
        <w:tabs>
          <w:tab w:val="clear" w:pos="397"/>
          <w:tab w:val="left" w:pos="0"/>
        </w:tabs>
        <w:spacing w:after="0"/>
      </w:pPr>
      <w:r w:rsidRPr="00E26611">
        <w:rPr>
          <w:rFonts w:asciiTheme="minorHAnsi" w:hAnsiTheme="minorHAnsi" w:cstheme="minorBidi"/>
          <w:lang w:val="en-US"/>
        </w:rPr>
        <w:t>In summary, the proposed SSOASI effectively quantifies the evolving dynamic signature of the system from a small-signal stability perspective. It captures the reduction in damping, providing a meaningful indicator of stability degradation in high-renewable power systems.</w:t>
      </w:r>
    </w:p>
    <w:p w14:paraId="7DDEB485" w14:textId="77777777" w:rsidR="003F13E5" w:rsidRPr="00E26611" w:rsidRDefault="00BE57F4" w:rsidP="00CD4F3A">
      <w:pPr>
        <w:pStyle w:val="Heading2"/>
      </w:pPr>
      <w:bookmarkStart w:id="253" w:name="_Toc230256840"/>
      <w:bookmarkStart w:id="254" w:name="_Toc233734312"/>
      <w:r w:rsidRPr="00E26611">
        <w:t>Chapter Summary</w:t>
      </w:r>
      <w:bookmarkEnd w:id="253"/>
      <w:bookmarkEnd w:id="254"/>
      <w:r w:rsidRPr="00E26611">
        <w:t xml:space="preserve"> </w:t>
      </w:r>
    </w:p>
    <w:p w14:paraId="6D48586A" w14:textId="53CA639A" w:rsidR="00195D25" w:rsidRPr="003F13E5" w:rsidRDefault="00BE57F4" w:rsidP="00C348DA">
      <w:pPr>
        <w:pStyle w:val="BodyText"/>
        <w:spacing w:after="0"/>
        <w:rPr>
          <w:color w:val="001D34" w:themeColor="accent2"/>
        </w:rPr>
      </w:pPr>
      <w:r w:rsidRPr="00E26611">
        <w:t>This</w:t>
      </w:r>
      <w:r w:rsidRPr="00E26611">
        <w:rPr>
          <w:lang w:val="en-US" w:eastAsia="en-US"/>
        </w:rPr>
        <w:t xml:space="preserve"> chapter develops voltage and small-signal stability indices for </w:t>
      </w:r>
      <w:proofErr w:type="spellStart"/>
      <w:r w:rsidRPr="00E26611">
        <w:rPr>
          <w:lang w:val="en-US" w:eastAsia="en-US"/>
        </w:rPr>
        <w:t>characterising</w:t>
      </w:r>
      <w:proofErr w:type="spellEnd"/>
      <w:r w:rsidRPr="00E26611">
        <w:rPr>
          <w:lang w:val="en-US" w:eastAsia="en-US"/>
        </w:rPr>
        <w:t xml:space="preserve"> the dynamic behaviour of modern power systems, particularly inverter-dominated networks.  For large </w:t>
      </w:r>
      <w:r w:rsidRPr="00E26611">
        <w:rPr>
          <w:lang w:val="en-US" w:eastAsia="en-US"/>
        </w:rPr>
        <w:lastRenderedPageBreak/>
        <w:t>disturbances, the Dynamic Voltage Resilience Index (DVRI) and its system-level extension (</w:t>
      </w:r>
      <w:proofErr w:type="spellStart"/>
      <w:r w:rsidRPr="00E26611">
        <w:rPr>
          <w:lang w:val="en-US" w:eastAsia="en-US"/>
        </w:rPr>
        <w:t>sysDVRI</w:t>
      </w:r>
      <w:proofErr w:type="spellEnd"/>
      <w:r w:rsidRPr="00E26611">
        <w:rPr>
          <w:lang w:val="en-US" w:eastAsia="en-US"/>
        </w:rPr>
        <w:t>) model voltage stability as a vector quantity, enabling simultaneous assessment of short- and long-term responses while systematically distinguishing oscillatory and non-oscillatory recovery patterns; case studies on the NEM Area 5 system confirm their reliability, scalability, and interpretability under high renewable penetration and composite loading. For small disturbances, the Small-Disturbance Voltage Proximity Index (SDVPI), derived from adaptive continuation load flow, quantifies proximity to voltage collapse and identifies weak buses by capturing nonlinear load–voltage relationships. Complementing this, the Small-Signal Operating Area Security Index (SSOASI) translates eigenvalue-based analysis into a single oscillatory security metric using a minimum damping threshold, effectively reflecting the degradation of damping associated with increased renewable penetration, reduced inertia, and intensified control interactions. Collectively, these indices provide an integrated and practical framework for stability assessment in both operational and planning contexts.</w:t>
      </w:r>
      <w:r w:rsidR="00195D25" w:rsidRPr="00E27D3B">
        <w:br w:type="page"/>
      </w:r>
    </w:p>
    <w:bookmarkStart w:id="255" w:name="_Toc233734313" w:displacedByCustomXml="next"/>
    <w:sdt>
      <w:sdtPr>
        <w:rPr>
          <w:rStyle w:val="PartNumber"/>
          <w:b/>
          <w:bCs/>
          <w:sz w:val="24"/>
          <w:szCs w:val="24"/>
        </w:rPr>
        <w:id w:val="647482553"/>
        <w:docPartObj>
          <w:docPartGallery w:val="Cover Pages"/>
        </w:docPartObj>
      </w:sdtPr>
      <w:sdtEndPr>
        <w:rPr>
          <w:rStyle w:val="DefaultParagraphFont"/>
          <w:b w:val="0"/>
          <w:bCs w:val="0"/>
          <w:color w:val="000000"/>
        </w:rPr>
      </w:sdtEndPr>
      <w:sdtContent>
        <w:sdt>
          <w:sdtPr>
            <w:rPr>
              <w:rStyle w:val="PartNumber"/>
              <w:b/>
              <w:bCs/>
              <w:sz w:val="24"/>
              <w:szCs w:val="24"/>
            </w:rPr>
            <w:id w:val="1240129615"/>
            <w:docPartObj>
              <w:docPartGallery w:val="Cover Pages"/>
            </w:docPartObj>
          </w:sdtPr>
          <w:sdtEndPr>
            <w:rPr>
              <w:rStyle w:val="DefaultParagraphFont"/>
              <w:b w:val="0"/>
              <w:bCs w:val="0"/>
              <w:color w:val="757579" w:themeColor="accent3"/>
              <w:sz w:val="80"/>
              <w:szCs w:val="80"/>
            </w:rPr>
          </w:sdtEndPr>
          <w:sdtContent>
            <w:p w14:paraId="085BC8F7" w14:textId="14C19DCD" w:rsidR="00B734D7" w:rsidRPr="00E27D3B" w:rsidRDefault="00B734D7" w:rsidP="00CD4F3A">
              <w:pPr>
                <w:pStyle w:val="PartTitle"/>
              </w:pPr>
              <w:r w:rsidRPr="00E27D3B">
                <w:rPr>
                  <w:rStyle w:val="PartNumber"/>
                </w:rPr>
                <w:t>Part II</w:t>
              </w:r>
              <w:r w:rsidRPr="00E27D3B">
                <w:rPr>
                  <w:rStyle w:val="PartNumber"/>
                </w:rPr>
                <w:tab/>
              </w:r>
              <w:r w:rsidR="00A91CF0" w:rsidRPr="00E27D3B">
                <w:t>Voltage Stability</w:t>
              </w:r>
            </w:p>
          </w:sdtContent>
        </w:sdt>
        <w:bookmarkEnd w:id="255" w:displacedByCustomXml="prev"/>
        <w:p w14:paraId="4439632D" w14:textId="77777777" w:rsidR="00B734D7" w:rsidRPr="00E27D3B" w:rsidRDefault="00B734D7"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568128" behindDoc="1" locked="0" layoutInCell="1" allowOverlap="1" wp14:anchorId="40E5F286" wp14:editId="5C3CEB5F">
                    <wp:simplePos x="0" y="0"/>
                    <wp:positionH relativeFrom="page">
                      <wp:posOffset>0</wp:posOffset>
                    </wp:positionH>
                    <wp:positionV relativeFrom="page">
                      <wp:align>bottom</wp:align>
                    </wp:positionV>
                    <wp:extent cx="7596000" cy="5400000"/>
                    <wp:effectExtent l="0" t="0" r="5080" b="0"/>
                    <wp:wrapNone/>
                    <wp:docPr id="2082730458" name="Text Box 20827304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1317716959"/>
                                  <w:picture/>
                                </w:sdtPr>
                                <w:sdtEndPr/>
                                <w:sdtContent>
                                  <w:p w14:paraId="02AAD16E" w14:textId="77777777" w:rsidR="00B734D7" w:rsidRDefault="00B734D7" w:rsidP="00B734D7">
                                    <w:r>
                                      <w:rPr>
                                        <w:noProof/>
                                      </w:rPr>
                                      <w:drawing>
                                        <wp:inline distT="0" distB="0" distL="0" distR="0" wp14:anchorId="6E312AD2" wp14:editId="6F44AD87">
                                          <wp:extent cx="7635600" cy="5426540"/>
                                          <wp:effectExtent l="0" t="0" r="3810" b="3175"/>
                                          <wp:docPr id="174179281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5F286" id="Text Box 2082730458" o:spid="_x0000_s1051" type="#_x0000_t202" alt="&quot;&quot;" style="position:absolute;margin-left:0;margin-top:0;width:598.1pt;height:425.2pt;z-index:-2517483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" fillcolor="#00a9ce [3204]" stroked="f" strokeweight=".5pt">
                    <v:textbox inset="0,0,0,0">
                      <w:txbxContent>
                        <w:sdt>
                          <w:sdtPr>
                            <w:id w:val="-1317716959"/>
                            <w:picture/>
                          </w:sdtPr>
                          <w:sdtEndPr/>
                          <w:sdtContent>
                            <w:p w14:paraId="02AAD16E" w14:textId="77777777" w:rsidR="00B734D7" w:rsidRDefault="00B734D7" w:rsidP="00B734D7">
                              <w:r>
                                <w:rPr>
                                  <w:noProof/>
                                </w:rPr>
                                <w:drawing>
                                  <wp:inline distT="0" distB="0" distL="0" distR="0" wp14:anchorId="6E312AD2" wp14:editId="6F44AD87">
                                    <wp:extent cx="7635600" cy="5426540"/>
                                    <wp:effectExtent l="0" t="0" r="3810" b="3175"/>
                                    <wp:docPr id="174179281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576320" behindDoc="1" locked="1" layoutInCell="1" allowOverlap="1" wp14:anchorId="209D2C9C" wp14:editId="281E823D">
                    <wp:simplePos x="0" y="0"/>
                    <wp:positionH relativeFrom="page">
                      <wp:align>left</wp:align>
                    </wp:positionH>
                    <wp:positionV relativeFrom="page">
                      <wp:align>top</wp:align>
                    </wp:positionV>
                    <wp:extent cx="7559675" cy="5345430"/>
                    <wp:effectExtent l="0" t="0" r="3175" b="7620"/>
                    <wp:wrapNone/>
                    <wp:docPr id="153231907"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0EE94" id="Rectangle 85" o:spid="_x0000_s1026" alt="&quot;&quot;" style="position:absolute;margin-left:0;margin-top:0;width:595.25pt;height:420.9pt;z-index:-25174016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42EB0917" w14:textId="77777777" w:rsidR="00A31EEA" w:rsidRPr="00E27D3B" w:rsidRDefault="004C6D16" w:rsidP="00CD4F3A">
      <w:pPr>
        <w:pStyle w:val="Heading1"/>
        <w:spacing w:line="240" w:lineRule="auto"/>
      </w:pPr>
      <w:bookmarkStart w:id="256" w:name="_Toc233734314"/>
      <w:r w:rsidRPr="00E27D3B">
        <w:lastRenderedPageBreak/>
        <w:t xml:space="preserve">Large-Disturbance Voltage </w:t>
      </w:r>
      <w:r w:rsidR="00A31EEA" w:rsidRPr="00E27D3B">
        <w:t>Stability</w:t>
      </w:r>
      <w:bookmarkEnd w:id="256"/>
      <w:r w:rsidR="00A31EEA" w:rsidRPr="00E27D3B">
        <w:t xml:space="preserve"> </w:t>
      </w:r>
    </w:p>
    <w:p w14:paraId="4DC8874E" w14:textId="77777777" w:rsidR="00A31EEA" w:rsidRPr="00E27D3B" w:rsidRDefault="00A31EEA" w:rsidP="00CD4F3A">
      <w:pPr>
        <w:pStyle w:val="Heading2"/>
      </w:pPr>
      <w:bookmarkStart w:id="257" w:name="_Toc224235073"/>
      <w:bookmarkStart w:id="258" w:name="_Toc233734315"/>
      <w:r>
        <w:t>Introduction</w:t>
      </w:r>
      <w:bookmarkEnd w:id="257"/>
      <w:bookmarkEnd w:id="258"/>
    </w:p>
    <w:p w14:paraId="20FB8DE9" w14:textId="131BA21D" w:rsidR="00A31EEA" w:rsidRPr="00E27D3B" w:rsidRDefault="00A31EEA" w:rsidP="00020F18">
      <w:pPr>
        <w:pStyle w:val="BodyText"/>
        <w:spacing w:after="0"/>
      </w:pPr>
      <w:r w:rsidRPr="00E27D3B">
        <w:t>Voltage stability refers to the ability of a power system to maintain steady voltages close to nominal values at all buses in the system after being subjected to a disturbance</w:t>
      </w:r>
      <w:r w:rsidR="002E2A80">
        <w:fldChar w:fldCharType="begin"/>
      </w:r>
      <w:r w:rsidR="002E2A80">
        <w:instrText xml:space="preserve"> REF _Ref230445245 \w \h </w:instrText>
      </w:r>
      <w:r w:rsidR="00CD4F3A">
        <w:instrText xml:space="preserve"> \* MERGEFORMAT </w:instrText>
      </w:r>
      <w:r w:rsidR="002E2A80">
        <w:fldChar w:fldCharType="separate"/>
      </w:r>
      <w:r w:rsidR="002E2A80">
        <w:t>[78]</w:t>
      </w:r>
      <w:r w:rsidR="002E2A80">
        <w:fldChar w:fldCharType="end"/>
      </w:r>
      <w:r w:rsidRPr="00E27D3B">
        <w:t xml:space="preserve">. Australian Energy Market Operator (AEMO) defines voltage stability as the ability of a power system to maintain or recover voltage magnitudes to acceptable levels after a contingency event. Moreover, voltage instability refers to a part of the power system experiencing uncontrolled sustained increase or decrease in voltage over time, which is called a run-away condition. Similarly, instability can be in the form of sustained or undamped oscillatory behaviour over time in a part of power system </w:t>
      </w:r>
      <w:r w:rsidRPr="00E27D3B">
        <w:fldChar w:fldCharType="begin"/>
      </w:r>
      <w:r w:rsidRPr="00E27D3B">
        <w:instrText xml:space="preserve"> REF _Ref224203595 \n \h </w:instrText>
      </w:r>
      <w:r>
        <w:instrText xml:space="preserve"> \* MERGEFORMAT </w:instrText>
      </w:r>
      <w:r w:rsidRPr="00E27D3B">
        <w:fldChar w:fldCharType="separate"/>
      </w:r>
      <w:r w:rsidR="00AD37CE">
        <w:t>[79]</w:t>
      </w:r>
      <w:r w:rsidRPr="00E27D3B">
        <w:fldChar w:fldCharType="end"/>
      </w:r>
      <w:r w:rsidRPr="00E27D3B">
        <w:t xml:space="preserve">. </w:t>
      </w:r>
      <w:r w:rsidRPr="00234426">
        <w:t>Voltage stability classification</w:t>
      </w:r>
      <w:r>
        <w:t xml:space="preserve"> in </w:t>
      </w:r>
      <w:r>
        <w:fldChar w:fldCharType="begin"/>
      </w:r>
      <w:r>
        <w:instrText xml:space="preserve"> REF _Ref223642650 \h </w:instrText>
      </w:r>
      <w:r w:rsidR="00CD4F3A">
        <w:instrText xml:space="preserve"> \* MERGEFORMAT </w:instrText>
      </w:r>
      <w:r>
        <w:fldChar w:fldCharType="separate"/>
      </w:r>
      <w:r w:rsidR="00AD37CE" w:rsidRPr="00E27D3B">
        <w:t xml:space="preserve">Figure </w:t>
      </w:r>
      <w:r w:rsidR="00AD37CE">
        <w:rPr>
          <w:noProof/>
        </w:rPr>
        <w:t>1</w:t>
      </w:r>
      <w:r>
        <w:fldChar w:fldCharType="end"/>
      </w:r>
      <w:r>
        <w:t xml:space="preserve"> </w:t>
      </w:r>
      <w:r w:rsidRPr="00234426">
        <w:t xml:space="preserve">shows that it can be caused by a large-disturbance or a small-disturbance. </w:t>
      </w:r>
      <w:r w:rsidRPr="00E27D3B">
        <w:t>Large disturbance can cause instability in short-term or long-term</w:t>
      </w:r>
      <w:r w:rsidR="00614580">
        <w:t xml:space="preserve"> </w:t>
      </w:r>
      <w:r w:rsidR="00614580">
        <w:fldChar w:fldCharType="begin"/>
      </w:r>
      <w:r w:rsidR="00614580">
        <w:instrText xml:space="preserve"> REF _Ref223637497 \r \h </w:instrText>
      </w:r>
      <w:r w:rsidR="00CD4F3A">
        <w:instrText xml:space="preserve"> \* MERGEFORMAT </w:instrText>
      </w:r>
      <w:r w:rsidR="00614580">
        <w:fldChar w:fldCharType="separate"/>
      </w:r>
      <w:r w:rsidR="00614580">
        <w:t>[1]</w:t>
      </w:r>
      <w:r w:rsidR="00614580">
        <w:fldChar w:fldCharType="end"/>
      </w:r>
      <w:r w:rsidR="00DE3F44">
        <w:t>.</w:t>
      </w:r>
    </w:p>
    <w:p w14:paraId="6D7FDD90" w14:textId="77777777" w:rsidR="00A31EEA" w:rsidRPr="00E27D3B" w:rsidRDefault="00A31EEA" w:rsidP="00020F18">
      <w:pPr>
        <w:spacing w:after="0"/>
        <w:rPr>
          <w:sz w:val="24"/>
          <w:szCs w:val="24"/>
        </w:rPr>
      </w:pPr>
      <w:r w:rsidRPr="00E27D3B">
        <w:rPr>
          <w:sz w:val="24"/>
          <w:szCs w:val="24"/>
        </w:rPr>
        <w:t>Large-disturbance voltage stability refers to the system’s ability to maintain steady voltages following large disturbances such as:</w:t>
      </w:r>
    </w:p>
    <w:p w14:paraId="5D63C6CF" w14:textId="77777777" w:rsidR="00A31EEA" w:rsidRPr="00E27D3B" w:rsidRDefault="00A31EEA" w:rsidP="00CD4F3A">
      <w:pPr>
        <w:pStyle w:val="ListBullet2"/>
        <w:numPr>
          <w:ilvl w:val="1"/>
          <w:numId w:val="67"/>
        </w:numPr>
        <w:spacing w:before="0" w:after="120" w:line="240" w:lineRule="auto"/>
        <w:ind w:left="714" w:hanging="357"/>
      </w:pPr>
      <w:r w:rsidRPr="00E27D3B">
        <w:t xml:space="preserve">system faults (e.g. bus faults), </w:t>
      </w:r>
    </w:p>
    <w:p w14:paraId="57CEE9CF" w14:textId="1BB9067F" w:rsidR="00A31EEA" w:rsidRPr="00E27D3B" w:rsidRDefault="00A31EEA" w:rsidP="00CD4F3A">
      <w:pPr>
        <w:pStyle w:val="ListBullet2"/>
        <w:numPr>
          <w:ilvl w:val="1"/>
          <w:numId w:val="67"/>
        </w:numPr>
        <w:spacing w:before="0" w:after="120" w:line="240" w:lineRule="auto"/>
        <w:ind w:left="714" w:hanging="357"/>
      </w:pPr>
      <w:r w:rsidRPr="00E27D3B">
        <w:t xml:space="preserve">loss of generation (even a cloud cover in case of PV generation can cause loss of PV generation due to extreme dip in voltage-based trip of distributed PV </w:t>
      </w:r>
      <w:r w:rsidR="00CF0556">
        <w:fldChar w:fldCharType="begin"/>
      </w:r>
      <w:r w:rsidR="00CF0556">
        <w:instrText xml:space="preserve"> REF _Ref230443608 \w \h </w:instrText>
      </w:r>
      <w:r w:rsidR="00EE3391">
        <w:instrText xml:space="preserve"> \* MERGEFORMAT </w:instrText>
      </w:r>
      <w:r w:rsidR="00CF0556">
        <w:fldChar w:fldCharType="separate"/>
      </w:r>
      <w:r w:rsidR="006854A3">
        <w:t>[80]</w:t>
      </w:r>
      <w:r w:rsidR="00CF0556">
        <w:fldChar w:fldCharType="end"/>
      </w:r>
      <w:r w:rsidRPr="00E27D3B">
        <w:t xml:space="preserve">, </w:t>
      </w:r>
    </w:p>
    <w:p w14:paraId="37EC98A5" w14:textId="77777777" w:rsidR="00A31EEA" w:rsidRPr="00E27D3B" w:rsidRDefault="00A31EEA" w:rsidP="00CD4F3A">
      <w:pPr>
        <w:pStyle w:val="ListBullet2"/>
        <w:numPr>
          <w:ilvl w:val="1"/>
          <w:numId w:val="67"/>
        </w:numPr>
        <w:spacing w:before="0" w:after="120" w:line="240" w:lineRule="auto"/>
        <w:ind w:left="714" w:hanging="357"/>
      </w:pPr>
      <w:r w:rsidRPr="00E27D3B">
        <w:t xml:space="preserve">or circuit contingencies. </w:t>
      </w:r>
    </w:p>
    <w:p w14:paraId="0AA8C1BE" w14:textId="08AD0438" w:rsidR="00A31EEA" w:rsidRPr="00E27D3B" w:rsidRDefault="00A31EEA" w:rsidP="00CD4F3A">
      <w:pPr>
        <w:pStyle w:val="BodyText"/>
        <w:spacing w:before="0" w:line="240" w:lineRule="auto"/>
      </w:pPr>
      <w:r w:rsidRPr="00E27D3B">
        <w:t xml:space="preserve">The study period of interest may extend from a few seconds to tens of minutes. If the voltage stability goes undetected, which is a rare occurrence, the timescale can go up to a few hours </w:t>
      </w:r>
      <w:r w:rsidR="008568C5">
        <w:fldChar w:fldCharType="begin"/>
      </w:r>
      <w:r w:rsidR="008568C5">
        <w:instrText xml:space="preserve"> REF _Ref230443643 \w \h </w:instrText>
      </w:r>
      <w:r w:rsidR="003771BB">
        <w:instrText xml:space="preserve"> \* MERGEFORMAT </w:instrText>
      </w:r>
      <w:r w:rsidR="008568C5">
        <w:fldChar w:fldCharType="separate"/>
      </w:r>
      <w:r w:rsidR="006854A3">
        <w:t>[81]</w:t>
      </w:r>
      <w:r w:rsidR="008568C5">
        <w:fldChar w:fldCharType="end"/>
      </w:r>
      <w:r w:rsidR="008568C5">
        <w:t>.</w:t>
      </w:r>
    </w:p>
    <w:p w14:paraId="071D5AA9" w14:textId="77777777" w:rsidR="00A31EEA" w:rsidRPr="00E27D3B" w:rsidRDefault="00A31EEA" w:rsidP="00CD4F3A">
      <w:pPr>
        <w:pStyle w:val="Heading2"/>
      </w:pPr>
      <w:bookmarkStart w:id="259" w:name="_Toc223627370"/>
      <w:bookmarkStart w:id="260" w:name="_Toc224235074"/>
      <w:bookmarkStart w:id="261" w:name="_Toc233734316"/>
      <w:r w:rsidRPr="00E27D3B">
        <w:t>Penetration of PV Generators and Voltage Stability</w:t>
      </w:r>
      <w:bookmarkEnd w:id="259"/>
      <w:bookmarkEnd w:id="260"/>
      <w:bookmarkEnd w:id="261"/>
    </w:p>
    <w:p w14:paraId="0C2BC78F" w14:textId="47F99606" w:rsidR="00A31EEA" w:rsidRPr="00E27D3B" w:rsidRDefault="00A31EEA" w:rsidP="002F0B7B">
      <w:pPr>
        <w:pStyle w:val="BodyText"/>
        <w:spacing w:after="0"/>
      </w:pPr>
      <w:r w:rsidRPr="00E27D3B">
        <w:t>In the literature, PV generation has been included either by replacing the existing synchronous generation, or by adding it while keeping the existing synchronous generation. PV penetration has been formulated as in equation 1</w:t>
      </w:r>
      <w:r w:rsidR="00F120E1">
        <w:t>9</w:t>
      </w:r>
      <w:r w:rsidR="00FA05ED">
        <w:t xml:space="preserve"> </w:t>
      </w:r>
      <w:r w:rsidR="00FA05ED">
        <w:fldChar w:fldCharType="begin"/>
      </w:r>
      <w:r w:rsidR="00FA05ED">
        <w:instrText xml:space="preserve"> REF _Ref230443608 \w \h </w:instrText>
      </w:r>
      <w:r w:rsidR="00AB52FB">
        <w:instrText xml:space="preserve"> \* MERGEFORMAT </w:instrText>
      </w:r>
      <w:r w:rsidR="00FA05ED">
        <w:fldChar w:fldCharType="separate"/>
      </w:r>
      <w:r w:rsidR="000A5F4C">
        <w:t>[80]</w:t>
      </w:r>
      <w:r w:rsidR="00FA05ED">
        <w:fldChar w:fldCharType="end"/>
      </w:r>
      <w:r w:rsidR="00B22277">
        <w:t xml:space="preserve"> </w:t>
      </w:r>
      <w:r w:rsidR="00B22277">
        <w:fldChar w:fldCharType="begin"/>
      </w:r>
      <w:r w:rsidR="00B22277">
        <w:instrText xml:space="preserve"> REF _Ref230445391 \w \h </w:instrText>
      </w:r>
      <w:r w:rsidR="00AB52FB">
        <w:instrText xml:space="preserve"> \* MERGEFORMAT </w:instrText>
      </w:r>
      <w:r w:rsidR="00B22277">
        <w:fldChar w:fldCharType="separate"/>
      </w:r>
      <w:r w:rsidR="000A5F4C">
        <w:t>[82]</w:t>
      </w:r>
      <w:r w:rsidR="00B22277">
        <w:fldChar w:fldCharType="end"/>
      </w:r>
      <w:r w:rsidRPr="00E27D3B">
        <w:t>:</w:t>
      </w:r>
    </w:p>
    <w:p w14:paraId="06937B57" w14:textId="3A3BF018" w:rsidR="00A31EEA" w:rsidRPr="00E27D3B" w:rsidRDefault="00A47574" w:rsidP="00CD4F3A">
      <w:pPr>
        <w:rPr>
          <w:rFonts w:eastAsiaTheme="minorEastAsia"/>
          <w:sz w:val="24"/>
          <w:szCs w:val="24"/>
        </w:rPr>
      </w:pPr>
      <m:oMath>
        <m:r>
          <w:rPr>
            <w:rFonts w:ascii="Cambria Math" w:eastAsiaTheme="minorEastAsia" w:hAnsi="Cambria Math"/>
            <w:sz w:val="24"/>
            <w:szCs w:val="24"/>
          </w:rPr>
          <m:t xml:space="preserve">PV penetration (%) = </m:t>
        </m:r>
        <m:f>
          <m:fPr>
            <m:ctrlPr>
              <w:rPr>
                <w:rFonts w:ascii="Cambria Math" w:hAnsi="Cambria Math"/>
                <w:i/>
                <w:sz w:val="24"/>
                <w:szCs w:val="24"/>
              </w:rPr>
            </m:ctrlPr>
          </m:fPr>
          <m:num>
            <m:r>
              <w:rPr>
                <w:rFonts w:ascii="Cambria Math" w:hAnsi="Cambria Math"/>
                <w:sz w:val="24"/>
                <w:szCs w:val="24"/>
              </w:rPr>
              <m:t>Total PV generation (MW)</m:t>
            </m:r>
          </m:num>
          <m:den>
            <m:r>
              <w:rPr>
                <w:rFonts w:ascii="Cambria Math" w:hAnsi="Cambria Math"/>
                <w:sz w:val="24"/>
                <w:szCs w:val="24"/>
              </w:rPr>
              <m:t>Total generation (MW)</m:t>
            </m:r>
          </m:den>
        </m:f>
      </m:oMath>
      <w:r w:rsidR="00A31EEA" w:rsidRPr="00E27D3B">
        <w:rPr>
          <w:rFonts w:eastAsiaTheme="minorEastAsia"/>
          <w:sz w:val="24"/>
          <w:szCs w:val="24"/>
        </w:rPr>
        <w:tab/>
      </w:r>
      <w:r w:rsidR="00A31EEA" w:rsidRPr="00E27D3B">
        <w:rPr>
          <w:rFonts w:eastAsiaTheme="minorEastAsia"/>
          <w:sz w:val="24"/>
          <w:szCs w:val="24"/>
        </w:rPr>
        <w:tab/>
      </w:r>
      <w:r w:rsidR="00A31EEA" w:rsidRPr="00E27D3B">
        <w:rPr>
          <w:rFonts w:eastAsiaTheme="minorEastAsia"/>
          <w:sz w:val="24"/>
          <w:szCs w:val="24"/>
        </w:rPr>
        <w:tab/>
      </w:r>
      <w:r w:rsidR="00A31EEA" w:rsidRPr="00E27D3B">
        <w:rPr>
          <w:sz w:val="24"/>
          <w:szCs w:val="24"/>
        </w:rPr>
        <w:t xml:space="preserve">                  </w:t>
      </w:r>
      <w:r w:rsidR="00A31EEA" w:rsidRPr="00E27D3B">
        <w:rPr>
          <w:rFonts w:eastAsiaTheme="minorEastAsia"/>
          <w:sz w:val="24"/>
          <w:szCs w:val="24"/>
        </w:rPr>
        <w:t xml:space="preserve"> </w:t>
      </w:r>
      <w:r w:rsidR="00A31EEA" w:rsidRPr="00E27D3B">
        <w:rPr>
          <w:sz w:val="24"/>
          <w:szCs w:val="24"/>
        </w:rPr>
        <w:t xml:space="preserve">                  </w:t>
      </w:r>
      <w:r w:rsidR="00A31EEA">
        <w:rPr>
          <w:sz w:val="24"/>
          <w:szCs w:val="24"/>
        </w:rPr>
        <w:t xml:space="preserve">              </w:t>
      </w:r>
      <w:r w:rsidR="00A31EEA" w:rsidRPr="00E27D3B">
        <w:rPr>
          <w:rFonts w:eastAsiaTheme="minorEastAsia"/>
          <w:sz w:val="24"/>
          <w:szCs w:val="24"/>
        </w:rPr>
        <w:t>(1</w:t>
      </w:r>
      <w:r w:rsidR="00F120E1">
        <w:rPr>
          <w:rFonts w:eastAsiaTheme="minorEastAsia"/>
          <w:sz w:val="24"/>
          <w:szCs w:val="24"/>
        </w:rPr>
        <w:t>9</w:t>
      </w:r>
      <w:r w:rsidR="00A31EEA" w:rsidRPr="00E27D3B">
        <w:rPr>
          <w:rFonts w:eastAsiaTheme="minorEastAsia"/>
          <w:sz w:val="24"/>
          <w:szCs w:val="24"/>
        </w:rPr>
        <w:t>)</w:t>
      </w:r>
    </w:p>
    <w:p w14:paraId="62EF6988" w14:textId="2EF311C4" w:rsidR="00A31EEA" w:rsidRPr="00E27D3B" w:rsidRDefault="00A31EEA" w:rsidP="002F0B7B">
      <w:pPr>
        <w:pStyle w:val="BodyText"/>
        <w:spacing w:after="0"/>
      </w:pPr>
      <w:r w:rsidRPr="60762895">
        <w:t xml:space="preserve">The study in </w:t>
      </w:r>
      <w:r w:rsidR="00074868">
        <w:fldChar w:fldCharType="begin"/>
      </w:r>
      <w:r w:rsidR="00074868">
        <w:instrText xml:space="preserve"> REF _Ref230443608 \w \h </w:instrText>
      </w:r>
      <w:r w:rsidR="00AB52FB">
        <w:instrText xml:space="preserve"> \* MERGEFORMAT </w:instrText>
      </w:r>
      <w:r w:rsidR="00074868">
        <w:fldChar w:fldCharType="separate"/>
      </w:r>
      <w:r w:rsidR="00074868">
        <w:t>[81]</w:t>
      </w:r>
      <w:r w:rsidR="00074868">
        <w:fldChar w:fldCharType="end"/>
      </w:r>
      <w:r w:rsidR="00074868">
        <w:t xml:space="preserve"> </w:t>
      </w:r>
      <w:r w:rsidRPr="60762895">
        <w:t>also shows that as we increase the PV penetration in a network, the bus voltages typically grow quadratically till 30% penetration level, and after that drop quadratically till 50% penetration level. A consistent trend is shown by the reactive power availability. At 30%, a voltage rise of +10% can be seen and corrective action is to switch off shunt capacitors or adjust synchronous generation. The modelling of residential distributed PV can be done as zero MVAR and negative (-</w:t>
      </w:r>
      <w:proofErr w:type="spellStart"/>
      <w:r w:rsidRPr="60762895">
        <w:t>ve</w:t>
      </w:r>
      <w:proofErr w:type="spellEnd"/>
      <w:r w:rsidRPr="60762895">
        <w:t>) MW load for steady state analysis. For dynamic analysis, distributed PV can be represented by constant current load with -</w:t>
      </w:r>
      <w:proofErr w:type="spellStart"/>
      <w:r w:rsidRPr="60762895">
        <w:t>ve</w:t>
      </w:r>
      <w:proofErr w:type="spellEnd"/>
      <w:r w:rsidRPr="60762895">
        <w:t xml:space="preserve"> power injection. However, utility-scale PV generation is modelled like proper generators (i.e., as a voltage-controlled bus with appropriate Var limits).  As the level of the PV generation in the studied case grows, more conventional generators are displaced to account for the generation and load balance within the system. In selection of the displaced generators the existence of adequate reactive power margin has been </w:t>
      </w:r>
      <w:r w:rsidRPr="60762895">
        <w:lastRenderedPageBreak/>
        <w:t>considered. Therefore, the critical generators in terms of the reactive power generation have not been switched off from the system. In all power flow studies, the amount of active power export to the other areas is kept constant. A penetration level of 20% has been considered as high PV penetration level in</w:t>
      </w:r>
      <w:r w:rsidR="001B6B2F">
        <w:t xml:space="preserve"> </w:t>
      </w:r>
      <w:r w:rsidR="001B6B2F">
        <w:fldChar w:fldCharType="begin"/>
      </w:r>
      <w:r w:rsidR="001B6B2F">
        <w:instrText xml:space="preserve"> REF _Ref230443608 \w \h </w:instrText>
      </w:r>
      <w:r w:rsidR="00AB52FB">
        <w:instrText xml:space="preserve"> \* MERGEFORMAT </w:instrText>
      </w:r>
      <w:r w:rsidR="001B6B2F">
        <w:fldChar w:fldCharType="separate"/>
      </w:r>
      <w:r w:rsidR="000A5F4C">
        <w:t>[80]</w:t>
      </w:r>
      <w:r w:rsidR="001B6B2F">
        <w:fldChar w:fldCharType="end"/>
      </w:r>
      <w:r w:rsidRPr="00E27D3B">
        <w:t xml:space="preserve">. </w:t>
      </w:r>
      <w:r w:rsidRPr="60762895">
        <w:t xml:space="preserve">In </w:t>
      </w:r>
      <w:r w:rsidR="00D6693D">
        <w:fldChar w:fldCharType="begin"/>
      </w:r>
      <w:r w:rsidR="00D6693D">
        <w:instrText xml:space="preserve"> REF _Ref230445467 \w \h </w:instrText>
      </w:r>
      <w:r w:rsidR="00AB52FB">
        <w:instrText xml:space="preserve"> \* MERGEFORMAT </w:instrText>
      </w:r>
      <w:r w:rsidR="00D6693D">
        <w:fldChar w:fldCharType="separate"/>
      </w:r>
      <w:r w:rsidR="000A5F4C">
        <w:t>[83]</w:t>
      </w:r>
      <w:r w:rsidR="00D6693D">
        <w:fldChar w:fldCharType="end"/>
      </w:r>
      <w:r w:rsidRPr="60762895">
        <w:t xml:space="preserve">, PV penetration is also defined as the PV generation equal to 30% of the peak load, e.g., for 100 MW peak load, and 30 MW PV generation, the PV penetration is 30% of peak load. </w:t>
      </w:r>
      <w:r w:rsidRPr="00E27D3B">
        <w:t>Also, both keeping the original synchronous generation and displacing the original generation with PV can be considered.</w:t>
      </w:r>
    </w:p>
    <w:p w14:paraId="15B077B3" w14:textId="641CAEEC" w:rsidR="00A31EEA" w:rsidRPr="00E27D3B" w:rsidRDefault="00A31EEA" w:rsidP="002F0B7B">
      <w:pPr>
        <w:spacing w:after="0"/>
        <w:rPr>
          <w:sz w:val="24"/>
          <w:szCs w:val="24"/>
        </w:rPr>
      </w:pPr>
      <w:r w:rsidRPr="00E27D3B">
        <w:rPr>
          <w:sz w:val="24"/>
          <w:szCs w:val="24"/>
        </w:rPr>
        <w:t>As per</w:t>
      </w:r>
      <w:r w:rsidR="00EA25BF">
        <w:rPr>
          <w:sz w:val="24"/>
          <w:szCs w:val="24"/>
        </w:rPr>
        <w:t xml:space="preserve"> </w:t>
      </w:r>
      <w:r w:rsidR="00EA25BF">
        <w:rPr>
          <w:sz w:val="24"/>
          <w:szCs w:val="24"/>
        </w:rPr>
        <w:fldChar w:fldCharType="begin"/>
      </w:r>
      <w:r w:rsidR="00EA25BF">
        <w:rPr>
          <w:sz w:val="24"/>
          <w:szCs w:val="24"/>
        </w:rPr>
        <w:instrText xml:space="preserve"> REF _Ref230445499 \w \h </w:instrText>
      </w:r>
      <w:r w:rsidR="00CD4F3A">
        <w:rPr>
          <w:sz w:val="24"/>
          <w:szCs w:val="24"/>
        </w:rPr>
        <w:instrText xml:space="preserve"> \* MERGEFORMAT </w:instrText>
      </w:r>
      <w:r w:rsidR="00EA25BF">
        <w:rPr>
          <w:sz w:val="24"/>
          <w:szCs w:val="24"/>
        </w:rPr>
      </w:r>
      <w:r w:rsidR="00EA25BF">
        <w:rPr>
          <w:sz w:val="24"/>
          <w:szCs w:val="24"/>
        </w:rPr>
        <w:fldChar w:fldCharType="separate"/>
      </w:r>
      <w:r w:rsidR="000A5F4C">
        <w:rPr>
          <w:sz w:val="24"/>
          <w:szCs w:val="24"/>
        </w:rPr>
        <w:t>[84]</w:t>
      </w:r>
      <w:r w:rsidR="00EA25BF">
        <w:rPr>
          <w:sz w:val="24"/>
          <w:szCs w:val="24"/>
        </w:rPr>
        <w:fldChar w:fldCharType="end"/>
      </w:r>
      <w:r w:rsidRPr="00E27D3B">
        <w:rPr>
          <w:sz w:val="24"/>
          <w:szCs w:val="24"/>
        </w:rPr>
        <w:t>, large-scale PV can cause STVS problem during fault ride-through (FRT). Also, it is not feasible or necessary to model the individual PV plants. Therefore, IEEE, WECC and IEC suggest using aggregated single PV plant. Also, three-phase symmetrical faults cause most severe disturbances, that is why they are mostly considered. Moreover,</w:t>
      </w:r>
      <w:r w:rsidR="00F808CE">
        <w:rPr>
          <w:sz w:val="24"/>
          <w:szCs w:val="24"/>
        </w:rPr>
        <w:fldChar w:fldCharType="begin"/>
      </w:r>
      <w:r w:rsidR="00F808CE">
        <w:rPr>
          <w:sz w:val="24"/>
          <w:szCs w:val="24"/>
        </w:rPr>
        <w:instrText xml:space="preserve"> REF _Ref230445499 \w \h </w:instrText>
      </w:r>
      <w:r w:rsidR="00CD4F3A">
        <w:rPr>
          <w:sz w:val="24"/>
          <w:szCs w:val="24"/>
        </w:rPr>
        <w:instrText xml:space="preserve"> \* MERGEFORMAT </w:instrText>
      </w:r>
      <w:r w:rsidR="00F808CE">
        <w:rPr>
          <w:sz w:val="24"/>
          <w:szCs w:val="24"/>
        </w:rPr>
      </w:r>
      <w:r w:rsidR="00F808CE">
        <w:rPr>
          <w:sz w:val="24"/>
          <w:szCs w:val="24"/>
        </w:rPr>
        <w:fldChar w:fldCharType="separate"/>
      </w:r>
      <w:r w:rsidR="00F808CE">
        <w:rPr>
          <w:sz w:val="24"/>
          <w:szCs w:val="24"/>
        </w:rPr>
        <w:t>[85]</w:t>
      </w:r>
      <w:r w:rsidR="00F808CE">
        <w:rPr>
          <w:sz w:val="24"/>
          <w:szCs w:val="24"/>
        </w:rPr>
        <w:fldChar w:fldCharType="end"/>
      </w:r>
      <w:r w:rsidRPr="00E27D3B">
        <w:rPr>
          <w:noProof/>
          <w:sz w:val="24"/>
          <w:szCs w:val="24"/>
        </w:rPr>
        <w:t xml:space="preserve"> </w:t>
      </w:r>
      <w:r w:rsidRPr="00E27D3B">
        <w:rPr>
          <w:sz w:val="24"/>
          <w:szCs w:val="24"/>
        </w:rPr>
        <w:t>suggests that by optimally selecting the ramp rate of active power recovery (</w:t>
      </w:r>
      <w:proofErr w:type="spellStart"/>
      <w:r w:rsidRPr="00E27D3B">
        <w:rPr>
          <w:sz w:val="24"/>
          <w:szCs w:val="24"/>
        </w:rPr>
        <w:t>k</w:t>
      </w:r>
      <w:r w:rsidRPr="00E27D3B">
        <w:rPr>
          <w:sz w:val="24"/>
          <w:szCs w:val="24"/>
          <w:vertAlign w:val="subscript"/>
        </w:rPr>
        <w:t>P</w:t>
      </w:r>
      <w:proofErr w:type="spellEnd"/>
      <w:r w:rsidRPr="00E27D3B">
        <w:rPr>
          <w:sz w:val="24"/>
          <w:szCs w:val="24"/>
        </w:rPr>
        <w:t>) and low-voltage ride-through (LVRT) reactive current coefficient (</w:t>
      </w:r>
      <w:proofErr w:type="spellStart"/>
      <w:r w:rsidRPr="00E27D3B">
        <w:rPr>
          <w:sz w:val="24"/>
          <w:szCs w:val="24"/>
        </w:rPr>
        <w:t>k</w:t>
      </w:r>
      <w:r w:rsidRPr="00E27D3B">
        <w:rPr>
          <w:sz w:val="24"/>
          <w:szCs w:val="24"/>
          <w:vertAlign w:val="subscript"/>
        </w:rPr>
        <w:t>Q</w:t>
      </w:r>
      <w:proofErr w:type="spellEnd"/>
      <w:r w:rsidRPr="00E27D3B">
        <w:rPr>
          <w:sz w:val="24"/>
          <w:szCs w:val="24"/>
        </w:rPr>
        <w:t xml:space="preserve">) values that correspond to the FRT of photovoltaic power plant (PVPP), the STVS can be improved. Moreover, their impact on STVS is nonlinear and interactive. According to the Chines grid code,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P</m:t>
            </m:r>
          </m:sub>
        </m:sSub>
      </m:oMath>
      <w:r w:rsidRPr="00E27D3B">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Q</m:t>
            </m:r>
          </m:sub>
        </m:sSub>
      </m:oMath>
      <w:r w:rsidRPr="00E27D3B">
        <w:rPr>
          <w:sz w:val="24"/>
          <w:szCs w:val="24"/>
        </w:rPr>
        <w:t xml:space="preserve"> are constrained as shown in </w:t>
      </w:r>
      <w:r w:rsidR="002F0B7B">
        <w:rPr>
          <w:sz w:val="24"/>
          <w:szCs w:val="24"/>
        </w:rPr>
        <w:t>(</w:t>
      </w:r>
      <w:r w:rsidR="00F120E1">
        <w:rPr>
          <w:sz w:val="24"/>
          <w:szCs w:val="24"/>
        </w:rPr>
        <w:t>20</w:t>
      </w:r>
      <w:r w:rsidR="002F0B7B">
        <w:rPr>
          <w:sz w:val="24"/>
          <w:szCs w:val="24"/>
        </w:rPr>
        <w:t>)</w:t>
      </w:r>
      <w:r w:rsidRPr="00E27D3B">
        <w:rPr>
          <w:sz w:val="24"/>
          <w:szCs w:val="24"/>
        </w:rPr>
        <w:t xml:space="preserve"> and </w:t>
      </w:r>
      <w:r w:rsidR="002F0B7B">
        <w:rPr>
          <w:sz w:val="24"/>
          <w:szCs w:val="24"/>
        </w:rPr>
        <w:t>(</w:t>
      </w:r>
      <w:r w:rsidR="00F120E1">
        <w:rPr>
          <w:sz w:val="24"/>
          <w:szCs w:val="24"/>
        </w:rPr>
        <w:t>21</w:t>
      </w:r>
      <w:r w:rsidR="002F0B7B">
        <w:rPr>
          <w:sz w:val="24"/>
          <w:szCs w:val="24"/>
        </w:rPr>
        <w:t>)</w:t>
      </w:r>
      <w:r w:rsidRPr="00E27D3B">
        <w:rPr>
          <w:sz w:val="24"/>
          <w:szCs w:val="24"/>
        </w:rPr>
        <w:t xml:space="preserve">. </w:t>
      </w:r>
    </w:p>
    <w:p w14:paraId="2DECDA15" w14:textId="7974E3E4" w:rsidR="00A31EEA" w:rsidRPr="00E27D3B" w:rsidRDefault="00A31EEA" w:rsidP="00CD4F3A">
      <w:pPr>
        <w:rPr>
          <w:rFonts w:eastAsiaTheme="minorEastAsia"/>
          <w:sz w:val="24"/>
          <w:szCs w:val="24"/>
        </w:rPr>
      </w:pPr>
      <m:oMath>
        <m:r>
          <w:rPr>
            <w:rFonts w:ascii="Cambria Math" w:hAnsi="Cambria Math"/>
            <w:sz w:val="24"/>
            <w:szCs w:val="24"/>
          </w:rPr>
          <m:t>0.3≤</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P</m:t>
            </m:r>
          </m:sub>
        </m:sSub>
        <m:r>
          <w:rPr>
            <w:rFonts w:ascii="Cambria Math" w:hAnsi="Cambria Math"/>
            <w:sz w:val="24"/>
            <w:szCs w:val="24"/>
          </w:rPr>
          <m:t>≤10</m:t>
        </m:r>
      </m:oMath>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sz w:val="24"/>
          <w:szCs w:val="24"/>
        </w:rPr>
        <w:t xml:space="preserve">                  </w:t>
      </w:r>
      <w:r w:rsidRPr="00E27D3B">
        <w:rPr>
          <w:rFonts w:eastAsiaTheme="minorEastAsia"/>
          <w:sz w:val="24"/>
          <w:szCs w:val="24"/>
        </w:rPr>
        <w:t xml:space="preserve"> </w:t>
      </w:r>
      <w:r w:rsidRPr="00E27D3B">
        <w:rPr>
          <w:sz w:val="24"/>
          <w:szCs w:val="24"/>
        </w:rPr>
        <w:t xml:space="preserve">                  </w:t>
      </w:r>
      <w:r>
        <w:rPr>
          <w:sz w:val="24"/>
          <w:szCs w:val="24"/>
        </w:rPr>
        <w:t xml:space="preserve">             </w:t>
      </w:r>
      <w:r w:rsidRPr="00E27D3B">
        <w:rPr>
          <w:rFonts w:eastAsiaTheme="minorEastAsia"/>
          <w:sz w:val="24"/>
          <w:szCs w:val="24"/>
        </w:rPr>
        <w:t>(</w:t>
      </w:r>
      <w:r w:rsidR="00F120E1">
        <w:rPr>
          <w:rFonts w:eastAsiaTheme="minorEastAsia"/>
          <w:sz w:val="24"/>
          <w:szCs w:val="24"/>
        </w:rPr>
        <w:t>20</w:t>
      </w:r>
      <w:r w:rsidRPr="00E27D3B">
        <w:rPr>
          <w:rFonts w:eastAsiaTheme="minorEastAsia"/>
          <w:sz w:val="24"/>
          <w:szCs w:val="24"/>
        </w:rPr>
        <w:t>)</w:t>
      </w:r>
    </w:p>
    <w:p w14:paraId="7277191D" w14:textId="58A69F57" w:rsidR="00A31EEA" w:rsidRPr="00E27D3B" w:rsidRDefault="00A31EEA" w:rsidP="00CD4F3A">
      <w:pPr>
        <w:rPr>
          <w:rFonts w:eastAsiaTheme="minorEastAsia"/>
          <w:sz w:val="24"/>
          <w:szCs w:val="24"/>
        </w:rPr>
      </w:pPr>
      <m:oMath>
        <m:r>
          <w:rPr>
            <w:rFonts w:ascii="Cambria Math" w:eastAsiaTheme="minorEastAsia" w:hAnsi="Cambria Math"/>
            <w:sz w:val="24"/>
            <w:szCs w:val="24"/>
          </w:rPr>
          <m:t>1.5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Q</m:t>
            </m:r>
          </m:sub>
        </m:sSub>
        <m:r>
          <w:rPr>
            <w:rFonts w:ascii="Cambria Math" w:eastAsiaTheme="minorEastAsia" w:hAnsi="Cambria Math"/>
            <w:sz w:val="24"/>
            <w:szCs w:val="24"/>
          </w:rPr>
          <m:t xml:space="preserve">≤ </m:t>
        </m:r>
        <m:r>
          <m:rPr>
            <m:sty m:val="p"/>
          </m:rPr>
          <w:rPr>
            <w:rFonts w:ascii="Cambria Math" w:eastAsiaTheme="minorEastAsia" w:hAnsi="Cambria Math"/>
            <w:sz w:val="24"/>
            <w:szCs w:val="24"/>
          </w:rPr>
          <m:t xml:space="preserve">max (1.5, </m:t>
        </m:r>
        <m:f>
          <m:fPr>
            <m:ctrlPr>
              <w:rPr>
                <w:rFonts w:ascii="Cambria Math" w:eastAsiaTheme="minorEastAsia" w:hAnsi="Cambria Math"/>
                <w:sz w:val="24"/>
                <w:szCs w:val="24"/>
              </w:rPr>
            </m:ctrlPr>
          </m:fPr>
          <m:num>
            <m:r>
              <w:rPr>
                <w:rFonts w:ascii="Cambria Math" w:eastAsiaTheme="minorEastAsia" w:hAnsi="Cambria Math"/>
                <w:sz w:val="24"/>
                <w:szCs w:val="24"/>
              </w:rPr>
              <m:t>1.05</m:t>
            </m:r>
          </m:num>
          <m:den>
            <m:r>
              <w:rPr>
                <w:rFonts w:ascii="Cambria Math" w:eastAsiaTheme="minorEastAsia" w:hAnsi="Cambria Math"/>
                <w:sz w:val="24"/>
                <w:szCs w:val="24"/>
              </w:rPr>
              <m:t>0.9 -</m:t>
            </m:r>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residual</m:t>
                </m:r>
              </m:sub>
            </m:sSub>
          </m:den>
        </m:f>
        <m:r>
          <w:rPr>
            <w:rFonts w:ascii="Cambria Math" w:eastAsiaTheme="minorEastAsia" w:hAnsi="Cambria Math"/>
            <w:sz w:val="24"/>
            <w:szCs w:val="24"/>
          </w:rPr>
          <m:t>) where, 0&lt;</m:t>
        </m:r>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residual</m:t>
            </m:r>
          </m:sub>
        </m:sSub>
        <m:r>
          <w:rPr>
            <w:rFonts w:ascii="Cambria Math" w:eastAsiaTheme="minorEastAsia" w:hAnsi="Cambria Math"/>
            <w:sz w:val="24"/>
            <w:szCs w:val="24"/>
          </w:rPr>
          <m:t>&lt;0.9</m:t>
        </m:r>
      </m:oMath>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sz w:val="24"/>
          <w:szCs w:val="24"/>
        </w:rPr>
        <w:t xml:space="preserve">                  </w:t>
      </w:r>
      <w:r w:rsidRPr="00E27D3B">
        <w:rPr>
          <w:rFonts w:eastAsiaTheme="minorEastAsia"/>
          <w:sz w:val="24"/>
          <w:szCs w:val="24"/>
        </w:rPr>
        <w:t xml:space="preserve"> </w:t>
      </w:r>
      <w:r>
        <w:rPr>
          <w:rFonts w:eastAsiaTheme="minorEastAsia"/>
          <w:sz w:val="24"/>
          <w:szCs w:val="24"/>
        </w:rPr>
        <w:t xml:space="preserve">     </w:t>
      </w:r>
      <w:r w:rsidRPr="00E27D3B">
        <w:rPr>
          <w:rFonts w:eastAsiaTheme="minorEastAsia"/>
          <w:sz w:val="24"/>
          <w:szCs w:val="24"/>
        </w:rPr>
        <w:t>(</w:t>
      </w:r>
      <w:r w:rsidR="00F120E1">
        <w:rPr>
          <w:rFonts w:eastAsiaTheme="minorEastAsia"/>
          <w:sz w:val="24"/>
          <w:szCs w:val="24"/>
        </w:rPr>
        <w:t>21</w:t>
      </w:r>
      <w:r w:rsidRPr="00E27D3B">
        <w:rPr>
          <w:rFonts w:eastAsiaTheme="minorEastAsia"/>
          <w:sz w:val="24"/>
          <w:szCs w:val="24"/>
        </w:rPr>
        <w:t>)</w:t>
      </w:r>
    </w:p>
    <w:p w14:paraId="5E0B644C" w14:textId="0D73D757" w:rsidR="00A31EEA" w:rsidRPr="00E27D3B" w:rsidRDefault="00A31EEA" w:rsidP="00E5378D">
      <w:pPr>
        <w:spacing w:after="0"/>
        <w:rPr>
          <w:sz w:val="24"/>
          <w:szCs w:val="24"/>
        </w:rPr>
      </w:pPr>
      <w:r w:rsidRPr="00E27D3B">
        <w:rPr>
          <w:sz w:val="24"/>
          <w:szCs w:val="24"/>
        </w:rPr>
        <w:t xml:space="preserve">For the 25%, 50%, and 75% three-phase voltage dips, the corresponding residual voltages (voltage during fault) are 75%, 50%, and 25% of the rated voltage, respectively. The work in </w:t>
      </w:r>
      <w:r w:rsidR="00103AD3">
        <w:rPr>
          <w:sz w:val="24"/>
          <w:szCs w:val="24"/>
        </w:rPr>
        <w:fldChar w:fldCharType="begin"/>
      </w:r>
      <w:r w:rsidR="00103AD3">
        <w:rPr>
          <w:sz w:val="24"/>
          <w:szCs w:val="24"/>
        </w:rPr>
        <w:instrText xml:space="preserve"> REF _Ref230445568 \w \h </w:instrText>
      </w:r>
      <w:r w:rsidR="00CD4F3A">
        <w:rPr>
          <w:sz w:val="24"/>
          <w:szCs w:val="24"/>
        </w:rPr>
        <w:instrText xml:space="preserve"> \* MERGEFORMAT </w:instrText>
      </w:r>
      <w:r w:rsidR="00103AD3">
        <w:rPr>
          <w:sz w:val="24"/>
          <w:szCs w:val="24"/>
        </w:rPr>
      </w:r>
      <w:r w:rsidR="00103AD3">
        <w:rPr>
          <w:sz w:val="24"/>
          <w:szCs w:val="24"/>
        </w:rPr>
        <w:fldChar w:fldCharType="separate"/>
      </w:r>
      <w:r w:rsidR="000A5F4C">
        <w:rPr>
          <w:sz w:val="24"/>
          <w:szCs w:val="24"/>
        </w:rPr>
        <w:t>[85]</w:t>
      </w:r>
      <w:r w:rsidR="00103AD3">
        <w:rPr>
          <w:sz w:val="24"/>
          <w:szCs w:val="24"/>
        </w:rPr>
        <w:fldChar w:fldCharType="end"/>
      </w:r>
      <w:r w:rsidRPr="00E27D3B">
        <w:rPr>
          <w:sz w:val="24"/>
          <w:szCs w:val="24"/>
        </w:rPr>
        <w:t>assesses distributed PV bearing capacity considering static voltage stability and PV-load coupling. A distributed integration strategy can host more PV and more voltage improvements. If PV source-load correlation is positive, higher loads can host higher PV capacity. As per</w:t>
      </w:r>
      <w:r w:rsidR="00AA376E">
        <w:rPr>
          <w:sz w:val="24"/>
          <w:szCs w:val="24"/>
        </w:rPr>
        <w:t xml:space="preserve"> </w:t>
      </w:r>
      <w:r w:rsidR="00AA376E">
        <w:rPr>
          <w:sz w:val="24"/>
          <w:szCs w:val="24"/>
        </w:rPr>
        <w:fldChar w:fldCharType="begin"/>
      </w:r>
      <w:r w:rsidR="00AA376E">
        <w:rPr>
          <w:sz w:val="24"/>
          <w:szCs w:val="24"/>
        </w:rPr>
        <w:instrText xml:space="preserve"> REF _Ref230445612 \w \h </w:instrText>
      </w:r>
      <w:r w:rsidR="00CD4F3A">
        <w:rPr>
          <w:sz w:val="24"/>
          <w:szCs w:val="24"/>
        </w:rPr>
        <w:instrText xml:space="preserve"> \* MERGEFORMAT </w:instrText>
      </w:r>
      <w:r w:rsidR="00AA376E">
        <w:rPr>
          <w:sz w:val="24"/>
          <w:szCs w:val="24"/>
        </w:rPr>
      </w:r>
      <w:r w:rsidR="00AA376E">
        <w:rPr>
          <w:sz w:val="24"/>
          <w:szCs w:val="24"/>
        </w:rPr>
        <w:fldChar w:fldCharType="separate"/>
      </w:r>
      <w:r w:rsidR="000A5F4C">
        <w:rPr>
          <w:sz w:val="24"/>
          <w:szCs w:val="24"/>
        </w:rPr>
        <w:t>[86]</w:t>
      </w:r>
      <w:r w:rsidR="00AA376E">
        <w:rPr>
          <w:sz w:val="24"/>
          <w:szCs w:val="24"/>
        </w:rPr>
        <w:fldChar w:fldCharType="end"/>
      </w:r>
      <w:r w:rsidRPr="00E27D3B">
        <w:rPr>
          <w:rFonts w:cs="Calibri"/>
          <w:sz w:val="24"/>
          <w:szCs w:val="24"/>
        </w:rPr>
        <w:t>, the integration of DERs can improve or worsen STVS depending on the control settings and specifications used.</w:t>
      </w:r>
    </w:p>
    <w:p w14:paraId="76138DB3" w14:textId="77777777" w:rsidR="00A31EEA" w:rsidRPr="00E27D3B" w:rsidRDefault="00A31EEA" w:rsidP="00CD4F3A">
      <w:pPr>
        <w:pStyle w:val="Heading2"/>
      </w:pPr>
      <w:bookmarkStart w:id="262" w:name="_Toc223627371"/>
      <w:bookmarkStart w:id="263" w:name="_Toc224235075"/>
      <w:bookmarkStart w:id="264" w:name="_Toc233734317"/>
      <w:r w:rsidRPr="00E27D3B">
        <w:t>Penetration of Wind Farms and Voltage Stability</w:t>
      </w:r>
      <w:bookmarkEnd w:id="262"/>
      <w:bookmarkEnd w:id="263"/>
      <w:bookmarkEnd w:id="264"/>
    </w:p>
    <w:p w14:paraId="673000EA" w14:textId="77777777" w:rsidR="00A31EEA" w:rsidRPr="00E27D3B" w:rsidRDefault="00A31EEA" w:rsidP="00CD4F3A">
      <w:pPr>
        <w:rPr>
          <w:sz w:val="24"/>
          <w:szCs w:val="24"/>
        </w:rPr>
      </w:pPr>
      <w:r w:rsidRPr="00E27D3B">
        <w:rPr>
          <w:sz w:val="24"/>
          <w:szCs w:val="24"/>
        </w:rPr>
        <w:t xml:space="preserve">In the literature, two approaches have been used for studying the impact of wind penetrations. </w:t>
      </w:r>
    </w:p>
    <w:p w14:paraId="379FF8A2" w14:textId="77777777" w:rsidR="00A31EEA" w:rsidRPr="00E27D3B" w:rsidRDefault="00A31EEA" w:rsidP="00CD4F3A">
      <w:pPr>
        <w:pStyle w:val="ListParagraph0"/>
        <w:numPr>
          <w:ilvl w:val="0"/>
          <w:numId w:val="25"/>
        </w:numPr>
        <w:spacing w:before="0" w:line="240" w:lineRule="auto"/>
        <w:ind w:left="714" w:hanging="357"/>
        <w:contextualSpacing w:val="0"/>
      </w:pPr>
      <w:r w:rsidRPr="00E27D3B">
        <w:t>Replacing existing synchronous generation with the same generation capacity of wind turbines.</w:t>
      </w:r>
    </w:p>
    <w:p w14:paraId="0F1240B6" w14:textId="77777777" w:rsidR="00A31EEA" w:rsidRPr="00E27D3B" w:rsidRDefault="00A31EEA" w:rsidP="00CD4F3A">
      <w:pPr>
        <w:pStyle w:val="ListParagraph0"/>
        <w:numPr>
          <w:ilvl w:val="0"/>
          <w:numId w:val="25"/>
        </w:numPr>
        <w:spacing w:before="0" w:line="240" w:lineRule="auto"/>
        <w:ind w:left="714" w:hanging="357"/>
        <w:contextualSpacing w:val="0"/>
      </w:pPr>
      <w:r w:rsidRPr="00E27D3B">
        <w:t>Keeping the existing synchronous generation unchanged and integrating additional wind turbines to increase the total generation capacity.</w:t>
      </w:r>
    </w:p>
    <w:p w14:paraId="4A494222" w14:textId="66545B06" w:rsidR="00A31EEA" w:rsidRPr="00E27D3B" w:rsidRDefault="00A31EEA" w:rsidP="0079705E">
      <w:pPr>
        <w:spacing w:after="0"/>
        <w:rPr>
          <w:sz w:val="24"/>
          <w:szCs w:val="24"/>
        </w:rPr>
      </w:pPr>
      <w:r w:rsidRPr="00E27D3B">
        <w:rPr>
          <w:sz w:val="24"/>
          <w:szCs w:val="24"/>
        </w:rPr>
        <w:t xml:space="preserve">The study presented in </w:t>
      </w:r>
      <w:r w:rsidR="009D40DF">
        <w:rPr>
          <w:sz w:val="24"/>
          <w:szCs w:val="24"/>
        </w:rPr>
        <w:fldChar w:fldCharType="begin"/>
      </w:r>
      <w:r w:rsidR="009D40DF">
        <w:rPr>
          <w:sz w:val="24"/>
          <w:szCs w:val="24"/>
        </w:rPr>
        <w:instrText xml:space="preserve"> REF _Ref230445648 \w \h </w:instrText>
      </w:r>
      <w:r w:rsidR="00CD4F3A">
        <w:rPr>
          <w:sz w:val="24"/>
          <w:szCs w:val="24"/>
        </w:rPr>
        <w:instrText xml:space="preserve"> \* MERGEFORMAT </w:instrText>
      </w:r>
      <w:r w:rsidR="009D40DF">
        <w:rPr>
          <w:sz w:val="24"/>
          <w:szCs w:val="24"/>
        </w:rPr>
      </w:r>
      <w:r w:rsidR="009D40DF">
        <w:rPr>
          <w:sz w:val="24"/>
          <w:szCs w:val="24"/>
        </w:rPr>
        <w:fldChar w:fldCharType="separate"/>
      </w:r>
      <w:r w:rsidR="000A5F4C">
        <w:rPr>
          <w:sz w:val="24"/>
          <w:szCs w:val="24"/>
        </w:rPr>
        <w:t>[87]</w:t>
      </w:r>
      <w:r w:rsidR="009D40DF">
        <w:rPr>
          <w:sz w:val="24"/>
          <w:szCs w:val="24"/>
        </w:rPr>
        <w:fldChar w:fldCharType="end"/>
      </w:r>
      <w:r w:rsidR="00E5378D">
        <w:rPr>
          <w:sz w:val="24"/>
          <w:szCs w:val="24"/>
        </w:rPr>
        <w:t xml:space="preserve">  uses the second approach described above</w:t>
      </w:r>
      <w:r w:rsidRPr="00E27D3B">
        <w:rPr>
          <w:sz w:val="24"/>
          <w:szCs w:val="24"/>
        </w:rPr>
        <w:fldChar w:fldCharType="begin"/>
      </w:r>
      <w:r w:rsidRPr="00E27D3B">
        <w:rPr>
          <w:sz w:val="24"/>
          <w:szCs w:val="24"/>
        </w:rPr>
        <w:instrText xml:space="preserve"> REF _Ref224204255 \n \h </w:instrText>
      </w:r>
      <w:r>
        <w:rPr>
          <w:sz w:val="24"/>
          <w:szCs w:val="24"/>
        </w:rPr>
        <w:instrText xml:space="preserve"> \* MERGEFORMAT </w:instrText>
      </w:r>
      <w:r w:rsidRPr="00E27D3B">
        <w:rPr>
          <w:sz w:val="24"/>
          <w:szCs w:val="24"/>
        </w:rPr>
      </w:r>
      <w:r w:rsidRPr="00E27D3B">
        <w:rPr>
          <w:sz w:val="24"/>
          <w:szCs w:val="24"/>
        </w:rPr>
        <w:fldChar w:fldCharType="separate"/>
      </w:r>
      <w:r w:rsidRPr="00E27D3B">
        <w:rPr>
          <w:sz w:val="24"/>
          <w:szCs w:val="24"/>
        </w:rPr>
        <w:fldChar w:fldCharType="end"/>
      </w:r>
      <w:r w:rsidRPr="00E27D3B">
        <w:rPr>
          <w:sz w:val="24"/>
          <w:szCs w:val="24"/>
        </w:rPr>
        <w:t xml:space="preserve">. </w:t>
      </w:r>
      <w:r w:rsidR="00E5378D">
        <w:rPr>
          <w:sz w:val="24"/>
          <w:szCs w:val="24"/>
        </w:rPr>
        <w:t xml:space="preserve">It </w:t>
      </w:r>
      <w:r w:rsidRPr="00E27D3B">
        <w:rPr>
          <w:sz w:val="24"/>
          <w:szCs w:val="24"/>
        </w:rPr>
        <w:t xml:space="preserve">uses 134 wind turbines of 1.5 MW each to aggregate 200 MW generation. 12 such aggregated wind farms have been added to IEEE 39-bus New England test system as distributed generation (DG). Scenarios have been generated based on 2400 MW (41.3% wind penetration), 1200 MW (20.7% wind penetration), and zero wind penetration (original 39-bus) wind-based generation. </w:t>
      </w:r>
    </w:p>
    <w:p w14:paraId="777AFF25" w14:textId="44826B2A" w:rsidR="00A31EEA" w:rsidRPr="00E27D3B" w:rsidRDefault="00A31EEA" w:rsidP="00CD4F3A">
      <w:pPr>
        <w:rPr>
          <w:sz w:val="24"/>
          <w:szCs w:val="24"/>
        </w:rPr>
      </w:pPr>
      <w:r w:rsidRPr="00E27D3B">
        <w:rPr>
          <w:sz w:val="24"/>
          <w:szCs w:val="24"/>
        </w:rPr>
        <w:t xml:space="preserve">Wind penetration has been formulated as shown in equation </w:t>
      </w:r>
      <w:r w:rsidR="00F120E1">
        <w:rPr>
          <w:sz w:val="24"/>
          <w:szCs w:val="24"/>
        </w:rPr>
        <w:t>22</w:t>
      </w:r>
      <w:r w:rsidR="00376427">
        <w:rPr>
          <w:sz w:val="24"/>
          <w:szCs w:val="24"/>
        </w:rPr>
        <w:t xml:space="preserve"> </w:t>
      </w:r>
      <w:r w:rsidR="00376427">
        <w:rPr>
          <w:sz w:val="24"/>
          <w:szCs w:val="24"/>
        </w:rPr>
        <w:fldChar w:fldCharType="begin"/>
      </w:r>
      <w:r w:rsidR="00376427">
        <w:rPr>
          <w:sz w:val="24"/>
          <w:szCs w:val="24"/>
        </w:rPr>
        <w:instrText xml:space="preserve"> REF _Ref230445677 \w \h </w:instrText>
      </w:r>
      <w:r w:rsidR="00CD4F3A">
        <w:rPr>
          <w:sz w:val="24"/>
          <w:szCs w:val="24"/>
        </w:rPr>
        <w:instrText xml:space="preserve"> \* MERGEFORMAT </w:instrText>
      </w:r>
      <w:r w:rsidR="00376427">
        <w:rPr>
          <w:sz w:val="24"/>
          <w:szCs w:val="24"/>
        </w:rPr>
      </w:r>
      <w:r w:rsidR="00376427">
        <w:rPr>
          <w:sz w:val="24"/>
          <w:szCs w:val="24"/>
        </w:rPr>
        <w:fldChar w:fldCharType="separate"/>
      </w:r>
      <w:r w:rsidR="000A5F4C">
        <w:rPr>
          <w:sz w:val="24"/>
          <w:szCs w:val="24"/>
        </w:rPr>
        <w:t>[88]</w:t>
      </w:r>
      <w:r w:rsidR="00376427">
        <w:rPr>
          <w:sz w:val="24"/>
          <w:szCs w:val="24"/>
        </w:rPr>
        <w:fldChar w:fldCharType="end"/>
      </w:r>
      <w:r w:rsidRPr="00E27D3B">
        <w:rPr>
          <w:sz w:val="24"/>
          <w:szCs w:val="24"/>
        </w:rPr>
        <w:t>,</w:t>
      </w:r>
    </w:p>
    <w:p w14:paraId="449B24C1" w14:textId="15384D5B" w:rsidR="00A31EEA" w:rsidRPr="00E27D3B" w:rsidRDefault="00A31EEA" w:rsidP="00CD4F3A">
      <w:pPr>
        <w:rPr>
          <w:rFonts w:eastAsiaTheme="minorEastAsia"/>
          <w:sz w:val="24"/>
          <w:szCs w:val="24"/>
        </w:rPr>
      </w:pPr>
      <m:oMath>
        <m:r>
          <w:rPr>
            <w:rFonts w:ascii="Cambria Math" w:eastAsiaTheme="minorEastAsia" w:hAnsi="Cambria Math"/>
            <w:sz w:val="24"/>
            <w:szCs w:val="24"/>
          </w:rPr>
          <m:t xml:space="preserve">Wind penetration (%) = </m:t>
        </m:r>
        <m:f>
          <m:fPr>
            <m:ctrlPr>
              <w:rPr>
                <w:rFonts w:ascii="Cambria Math" w:hAnsi="Cambria Math"/>
                <w:i/>
                <w:sz w:val="24"/>
                <w:szCs w:val="24"/>
              </w:rPr>
            </m:ctrlPr>
          </m:fPr>
          <m:num>
            <m:r>
              <m:rPr>
                <m:sty m:val="p"/>
              </m:rPr>
              <w:rPr>
                <w:rFonts w:ascii="Cambria Math" w:hAnsi="Cambria Math"/>
                <w:sz w:val="24"/>
                <w:szCs w:val="24"/>
              </w:rPr>
              <m:t>Total wind generation (MW)</m:t>
            </m:r>
          </m:num>
          <m:den>
            <m:r>
              <m:rPr>
                <m:sty m:val="p"/>
              </m:rPr>
              <w:rPr>
                <w:rFonts w:ascii="Cambria Math" w:hAnsi="Cambria Math"/>
                <w:sz w:val="24"/>
                <w:szCs w:val="24"/>
              </w:rPr>
              <m:t>Total generation (MW)</m:t>
            </m:r>
          </m:den>
        </m:f>
      </m:oMath>
      <w:r w:rsidRPr="00E27D3B">
        <w:rPr>
          <w:rFonts w:eastAsiaTheme="minorEastAsia"/>
          <w:sz w:val="24"/>
          <w:szCs w:val="24"/>
        </w:rPr>
        <w:tab/>
      </w:r>
      <w:r w:rsidRPr="00E27D3B">
        <w:rPr>
          <w:rFonts w:eastAsiaTheme="minorEastAsia"/>
          <w:sz w:val="24"/>
          <w:szCs w:val="24"/>
        </w:rPr>
        <w:tab/>
      </w:r>
      <w:r w:rsidRPr="00E27D3B">
        <w:rPr>
          <w:rFonts w:eastAsiaTheme="minorEastAsia"/>
          <w:sz w:val="24"/>
          <w:szCs w:val="24"/>
        </w:rPr>
        <w:tab/>
      </w:r>
      <w:r w:rsidRPr="00E27D3B">
        <w:rPr>
          <w:sz w:val="24"/>
          <w:szCs w:val="24"/>
        </w:rPr>
        <w:t xml:space="preserve">                  </w:t>
      </w:r>
      <w:r w:rsidRPr="00E27D3B">
        <w:rPr>
          <w:rFonts w:eastAsiaTheme="minorEastAsia"/>
          <w:sz w:val="24"/>
          <w:szCs w:val="24"/>
        </w:rPr>
        <w:t xml:space="preserve"> </w:t>
      </w:r>
      <w:r w:rsidRPr="00E27D3B">
        <w:rPr>
          <w:sz w:val="24"/>
          <w:szCs w:val="24"/>
        </w:rPr>
        <w:t xml:space="preserve">                  </w:t>
      </w:r>
      <w:r w:rsidRPr="00E27D3B">
        <w:rPr>
          <w:rFonts w:eastAsiaTheme="minorEastAsia"/>
          <w:sz w:val="24"/>
          <w:szCs w:val="24"/>
        </w:rPr>
        <w:t>(</w:t>
      </w:r>
      <w:r w:rsidR="00F120E1">
        <w:rPr>
          <w:rFonts w:eastAsiaTheme="minorEastAsia"/>
          <w:sz w:val="24"/>
          <w:szCs w:val="24"/>
        </w:rPr>
        <w:t>22</w:t>
      </w:r>
      <w:r w:rsidRPr="00E27D3B">
        <w:rPr>
          <w:rFonts w:eastAsiaTheme="minorEastAsia"/>
          <w:sz w:val="24"/>
          <w:szCs w:val="24"/>
        </w:rPr>
        <w:t>)</w:t>
      </w:r>
    </w:p>
    <w:p w14:paraId="0EDDD2C3" w14:textId="5A55F2DD" w:rsidR="00A31EEA" w:rsidRPr="00E27D3B" w:rsidRDefault="00A31EEA" w:rsidP="0079705E">
      <w:pPr>
        <w:spacing w:after="0"/>
        <w:rPr>
          <w:sz w:val="24"/>
          <w:szCs w:val="24"/>
        </w:rPr>
      </w:pPr>
      <w:r w:rsidRPr="00E27D3B">
        <w:rPr>
          <w:sz w:val="24"/>
          <w:szCs w:val="24"/>
        </w:rPr>
        <w:t xml:space="preserve">The low-voltage ride-through (LVRT) of wind turbines requires three-phase fault for testing the LVRT. However, NEM in Australia requires LLG fault for this purpose as it introduces unbalanced </w:t>
      </w:r>
      <w:r w:rsidRPr="00E27D3B">
        <w:rPr>
          <w:sz w:val="24"/>
          <w:szCs w:val="24"/>
        </w:rPr>
        <w:lastRenderedPageBreak/>
        <w:t xml:space="preserve">conditions and calls it ‘the most onerous contingency’ for wind farms. Notably, the PSS/E being used in NEM </w:t>
      </w:r>
      <w:r w:rsidR="00FC1BD1" w:rsidRPr="00E27D3B">
        <w:rPr>
          <w:sz w:val="24"/>
          <w:szCs w:val="24"/>
        </w:rPr>
        <w:t>cannot perform</w:t>
      </w:r>
      <w:r w:rsidRPr="00E27D3B">
        <w:rPr>
          <w:sz w:val="24"/>
          <w:szCs w:val="24"/>
        </w:rPr>
        <w:t xml:space="preserve"> unbalanced RMS simulation </w:t>
      </w:r>
      <w:r w:rsidR="005F377F">
        <w:rPr>
          <w:sz w:val="24"/>
          <w:szCs w:val="24"/>
        </w:rPr>
        <w:fldChar w:fldCharType="begin"/>
      </w:r>
      <w:r w:rsidR="005F377F">
        <w:rPr>
          <w:sz w:val="24"/>
          <w:szCs w:val="24"/>
        </w:rPr>
        <w:instrText xml:space="preserve"> REF _Ref230445723 \w \h </w:instrText>
      </w:r>
      <w:r w:rsidR="00CD4F3A">
        <w:rPr>
          <w:sz w:val="24"/>
          <w:szCs w:val="24"/>
        </w:rPr>
        <w:instrText xml:space="preserve"> \* MERGEFORMAT </w:instrText>
      </w:r>
      <w:r w:rsidR="005F377F">
        <w:rPr>
          <w:sz w:val="24"/>
          <w:szCs w:val="24"/>
        </w:rPr>
      </w:r>
      <w:r w:rsidR="005F377F">
        <w:rPr>
          <w:sz w:val="24"/>
          <w:szCs w:val="24"/>
        </w:rPr>
        <w:fldChar w:fldCharType="separate"/>
      </w:r>
      <w:r w:rsidR="000A5F4C">
        <w:rPr>
          <w:sz w:val="24"/>
          <w:szCs w:val="24"/>
        </w:rPr>
        <w:t>[89]</w:t>
      </w:r>
      <w:r w:rsidR="005F377F">
        <w:rPr>
          <w:sz w:val="24"/>
          <w:szCs w:val="24"/>
        </w:rPr>
        <w:fldChar w:fldCharType="end"/>
      </w:r>
      <w:r w:rsidR="005F377F">
        <w:rPr>
          <w:sz w:val="24"/>
          <w:szCs w:val="24"/>
        </w:rPr>
        <w:t xml:space="preserve"> </w:t>
      </w:r>
      <w:r w:rsidRPr="00E27D3B">
        <w:rPr>
          <w:sz w:val="24"/>
          <w:szCs w:val="24"/>
        </w:rPr>
        <w:t xml:space="preserve">and treats it like balanced fault. DIgSILENT in this regard is more capable as it can simulate unbalanced RMS cases. The requirement set out in clause S5.1a.4 of the NER for withstanding high voltages of up to 1.3 for 50 </w:t>
      </w:r>
      <w:proofErr w:type="spellStart"/>
      <w:r w:rsidRPr="00E27D3B">
        <w:rPr>
          <w:sz w:val="24"/>
          <w:szCs w:val="24"/>
        </w:rPr>
        <w:t>ms</w:t>
      </w:r>
      <w:proofErr w:type="spellEnd"/>
      <w:r w:rsidRPr="00E27D3B">
        <w:rPr>
          <w:sz w:val="24"/>
          <w:szCs w:val="24"/>
        </w:rPr>
        <w:t xml:space="preserve"> is considered one of the most stringent of all grid codes. Usually, HVRT is up to 1.2 </w:t>
      </w:r>
      <w:proofErr w:type="spellStart"/>
      <w:r w:rsidRPr="00E27D3B">
        <w:rPr>
          <w:sz w:val="24"/>
          <w:szCs w:val="24"/>
        </w:rPr>
        <w:t>pu</w:t>
      </w:r>
      <w:proofErr w:type="spellEnd"/>
      <w:r w:rsidRPr="00E27D3B">
        <w:rPr>
          <w:sz w:val="24"/>
          <w:szCs w:val="24"/>
        </w:rPr>
        <w:t>.</w:t>
      </w:r>
    </w:p>
    <w:p w14:paraId="6EEB43BA" w14:textId="2E52E280" w:rsidR="00A31EEA" w:rsidRPr="00E27D3B" w:rsidRDefault="00A31EEA" w:rsidP="0079705E">
      <w:pPr>
        <w:spacing w:after="0"/>
        <w:rPr>
          <w:sz w:val="24"/>
          <w:szCs w:val="24"/>
        </w:rPr>
      </w:pPr>
      <w:r w:rsidRPr="00E27D3B">
        <w:rPr>
          <w:sz w:val="24"/>
          <w:szCs w:val="24"/>
        </w:rPr>
        <w:t xml:space="preserve">A concern for Type 4 wind turbines has been LVRT for prolonged 10-20% voltage dip for 10-12 seconds </w:t>
      </w:r>
      <w:r w:rsidRPr="00E27D3B">
        <w:rPr>
          <w:noProof/>
          <w:sz w:val="24"/>
          <w:szCs w:val="24"/>
        </w:rPr>
        <w:t>[12]</w:t>
      </w:r>
      <w:r w:rsidRPr="00E27D3B">
        <w:rPr>
          <w:sz w:val="24"/>
          <w:szCs w:val="24"/>
        </w:rPr>
        <w:t xml:space="preserve">. LVRT is usually 0.8 to 0.9 </w:t>
      </w:r>
      <w:proofErr w:type="spellStart"/>
      <w:r w:rsidRPr="00E27D3B">
        <w:rPr>
          <w:sz w:val="24"/>
          <w:szCs w:val="24"/>
        </w:rPr>
        <w:t>pu</w:t>
      </w:r>
      <w:proofErr w:type="spellEnd"/>
      <w:r w:rsidRPr="00E27D3B">
        <w:rPr>
          <w:sz w:val="24"/>
          <w:szCs w:val="24"/>
        </w:rPr>
        <w:t xml:space="preserve">. In terms of reactive current, WTGs are capable of 1 </w:t>
      </w:r>
      <w:proofErr w:type="spellStart"/>
      <w:r w:rsidRPr="00E27D3B">
        <w:rPr>
          <w:sz w:val="24"/>
          <w:szCs w:val="24"/>
        </w:rPr>
        <w:t>pu</w:t>
      </w:r>
      <w:proofErr w:type="spellEnd"/>
      <w:r w:rsidRPr="00E27D3B">
        <w:rPr>
          <w:sz w:val="24"/>
          <w:szCs w:val="24"/>
        </w:rPr>
        <w:t xml:space="preserve"> current injection, whereas synchronous generators have up to 3 </w:t>
      </w:r>
      <w:proofErr w:type="spellStart"/>
      <w:r w:rsidRPr="00E27D3B">
        <w:rPr>
          <w:sz w:val="24"/>
          <w:szCs w:val="24"/>
        </w:rPr>
        <w:t>pu</w:t>
      </w:r>
      <w:proofErr w:type="spellEnd"/>
      <w:r w:rsidRPr="00E27D3B">
        <w:rPr>
          <w:sz w:val="24"/>
          <w:szCs w:val="24"/>
        </w:rPr>
        <w:t xml:space="preserve"> value</w:t>
      </w:r>
      <w:r w:rsidR="00582161">
        <w:rPr>
          <w:sz w:val="24"/>
          <w:szCs w:val="24"/>
        </w:rPr>
        <w:t xml:space="preserve"> </w:t>
      </w:r>
      <w:r w:rsidR="00582161">
        <w:rPr>
          <w:sz w:val="24"/>
          <w:szCs w:val="24"/>
        </w:rPr>
        <w:fldChar w:fldCharType="begin"/>
      </w:r>
      <w:r w:rsidR="00582161">
        <w:rPr>
          <w:sz w:val="24"/>
          <w:szCs w:val="24"/>
        </w:rPr>
        <w:instrText xml:space="preserve"> REF _Ref230445723 \w \h </w:instrText>
      </w:r>
      <w:r w:rsidR="00CD4F3A">
        <w:rPr>
          <w:sz w:val="24"/>
          <w:szCs w:val="24"/>
        </w:rPr>
        <w:instrText xml:space="preserve"> \* MERGEFORMAT </w:instrText>
      </w:r>
      <w:r w:rsidR="00582161">
        <w:rPr>
          <w:sz w:val="24"/>
          <w:szCs w:val="24"/>
        </w:rPr>
      </w:r>
      <w:r w:rsidR="00582161">
        <w:rPr>
          <w:sz w:val="24"/>
          <w:szCs w:val="24"/>
        </w:rPr>
        <w:fldChar w:fldCharType="separate"/>
      </w:r>
      <w:r w:rsidR="000A5F4C">
        <w:rPr>
          <w:sz w:val="24"/>
          <w:szCs w:val="24"/>
        </w:rPr>
        <w:t>[89]</w:t>
      </w:r>
      <w:r w:rsidR="00582161">
        <w:rPr>
          <w:sz w:val="24"/>
          <w:szCs w:val="24"/>
        </w:rPr>
        <w:fldChar w:fldCharType="end"/>
      </w:r>
      <w:r w:rsidRPr="00E27D3B">
        <w:rPr>
          <w:sz w:val="24"/>
          <w:szCs w:val="24"/>
        </w:rPr>
        <w:t xml:space="preserve">. </w:t>
      </w:r>
    </w:p>
    <w:p w14:paraId="52921BF3" w14:textId="3CC816A7" w:rsidR="00A31EEA" w:rsidRPr="00E27D3B" w:rsidRDefault="00A31EEA" w:rsidP="0079705E">
      <w:pPr>
        <w:spacing w:after="0"/>
        <w:rPr>
          <w:sz w:val="24"/>
          <w:szCs w:val="24"/>
        </w:rPr>
      </w:pPr>
      <w:r w:rsidRPr="00E27D3B">
        <w:rPr>
          <w:sz w:val="24"/>
          <w:szCs w:val="24"/>
        </w:rPr>
        <w:t xml:space="preserve">The automatic access standard set out in clause S5.2.5.1 of the NER requires the plant to provide reactive power of 0.396 </w:t>
      </w:r>
      <w:proofErr w:type="spellStart"/>
      <w:r w:rsidRPr="00E27D3B">
        <w:rPr>
          <w:sz w:val="24"/>
          <w:szCs w:val="24"/>
        </w:rPr>
        <w:t>pu</w:t>
      </w:r>
      <w:proofErr w:type="spellEnd"/>
      <w:r w:rsidRPr="00E27D3B">
        <w:rPr>
          <w:sz w:val="24"/>
          <w:szCs w:val="24"/>
        </w:rPr>
        <w:t xml:space="preserve"> at any level of active power output for voltages within 0.9 – 1.1 </w:t>
      </w:r>
      <w:proofErr w:type="spellStart"/>
      <w:r w:rsidRPr="00E27D3B">
        <w:rPr>
          <w:sz w:val="24"/>
          <w:szCs w:val="24"/>
        </w:rPr>
        <w:t>pu</w:t>
      </w:r>
      <w:proofErr w:type="spellEnd"/>
      <w:r w:rsidRPr="00E27D3B">
        <w:rPr>
          <w:sz w:val="24"/>
          <w:szCs w:val="24"/>
        </w:rPr>
        <w:t xml:space="preserve">. </w:t>
      </w:r>
      <w:proofErr w:type="spellStart"/>
      <w:r w:rsidRPr="00E27D3B">
        <w:rPr>
          <w:sz w:val="24"/>
          <w:szCs w:val="24"/>
        </w:rPr>
        <w:t>Q</w:t>
      </w:r>
      <w:r w:rsidRPr="00E27D3B">
        <w:rPr>
          <w:sz w:val="24"/>
          <w:szCs w:val="24"/>
          <w:vertAlign w:val="subscript"/>
        </w:rPr>
        <w:t>max</w:t>
      </w:r>
      <w:proofErr w:type="spellEnd"/>
      <w:r w:rsidRPr="00E27D3B">
        <w:rPr>
          <w:sz w:val="24"/>
          <w:szCs w:val="24"/>
        </w:rPr>
        <w:t xml:space="preserve"> can be 0.58 </w:t>
      </w:r>
      <w:proofErr w:type="spellStart"/>
      <w:r w:rsidRPr="00E27D3B">
        <w:rPr>
          <w:sz w:val="24"/>
          <w:szCs w:val="24"/>
        </w:rPr>
        <w:t>pu</w:t>
      </w:r>
      <w:proofErr w:type="spellEnd"/>
      <w:r w:rsidRPr="00E27D3B">
        <w:rPr>
          <w:sz w:val="24"/>
          <w:szCs w:val="24"/>
        </w:rPr>
        <w:t xml:space="preserve"> for Type 4 and 0.164 for PV plant </w:t>
      </w:r>
      <w:r w:rsidR="008C18BE">
        <w:rPr>
          <w:sz w:val="24"/>
          <w:szCs w:val="24"/>
        </w:rPr>
        <w:fldChar w:fldCharType="begin"/>
      </w:r>
      <w:r w:rsidR="008C18BE">
        <w:rPr>
          <w:sz w:val="24"/>
          <w:szCs w:val="24"/>
        </w:rPr>
        <w:instrText xml:space="preserve"> REF _Ref230445723 \w \h </w:instrText>
      </w:r>
      <w:r w:rsidR="00CD4F3A">
        <w:rPr>
          <w:sz w:val="24"/>
          <w:szCs w:val="24"/>
        </w:rPr>
        <w:instrText xml:space="preserve"> \* MERGEFORMAT </w:instrText>
      </w:r>
      <w:r w:rsidR="008C18BE">
        <w:rPr>
          <w:sz w:val="24"/>
          <w:szCs w:val="24"/>
        </w:rPr>
      </w:r>
      <w:r w:rsidR="008C18BE">
        <w:rPr>
          <w:sz w:val="24"/>
          <w:szCs w:val="24"/>
        </w:rPr>
        <w:fldChar w:fldCharType="separate"/>
      </w:r>
      <w:r w:rsidR="000A5F4C">
        <w:rPr>
          <w:sz w:val="24"/>
          <w:szCs w:val="24"/>
        </w:rPr>
        <w:t>[89]</w:t>
      </w:r>
      <w:r w:rsidR="008C18BE">
        <w:rPr>
          <w:sz w:val="24"/>
          <w:szCs w:val="24"/>
        </w:rPr>
        <w:fldChar w:fldCharType="end"/>
      </w:r>
      <w:r w:rsidRPr="00E27D3B">
        <w:rPr>
          <w:sz w:val="24"/>
          <w:szCs w:val="24"/>
        </w:rPr>
        <w:t>.</w:t>
      </w:r>
    </w:p>
    <w:p w14:paraId="4A4709FA" w14:textId="7589AA4C" w:rsidR="00A31EEA" w:rsidRPr="00E27D3B" w:rsidRDefault="00A31EEA" w:rsidP="0079705E">
      <w:pPr>
        <w:spacing w:after="0"/>
        <w:rPr>
          <w:sz w:val="24"/>
          <w:szCs w:val="24"/>
        </w:rPr>
      </w:pPr>
      <w:r w:rsidRPr="00E27D3B">
        <w:rPr>
          <w:sz w:val="24"/>
          <w:szCs w:val="24"/>
        </w:rPr>
        <w:t xml:space="preserve">Operating the wind turbine in voltage control mode is the most efficient way of using the available static and dynamic reactive power capability of the turbine and wind farm overall </w:t>
      </w:r>
      <w:r w:rsidR="00115469">
        <w:rPr>
          <w:sz w:val="24"/>
          <w:szCs w:val="24"/>
        </w:rPr>
        <w:t>[13]</w:t>
      </w:r>
      <w:r w:rsidRPr="00E27D3B">
        <w:rPr>
          <w:sz w:val="24"/>
          <w:szCs w:val="24"/>
        </w:rPr>
        <w:fldChar w:fldCharType="begin"/>
      </w:r>
      <w:r w:rsidRPr="00E27D3B">
        <w:rPr>
          <w:sz w:val="24"/>
          <w:szCs w:val="24"/>
        </w:rPr>
        <w:instrText xml:space="preserve"> REF R13 </w:instrText>
      </w:r>
      <w:r>
        <w:rPr>
          <w:sz w:val="24"/>
          <w:szCs w:val="24"/>
        </w:rPr>
        <w:instrText xml:space="preserve"> \* MERGEFORMAT </w:instrText>
      </w:r>
      <w:r w:rsidRPr="00E27D3B">
        <w:rPr>
          <w:sz w:val="24"/>
          <w:szCs w:val="24"/>
        </w:rPr>
        <w:fldChar w:fldCharType="separate"/>
      </w:r>
      <w:r w:rsidRPr="00E27D3B">
        <w:rPr>
          <w:sz w:val="24"/>
          <w:szCs w:val="24"/>
        </w:rPr>
        <w:fldChar w:fldCharType="end"/>
      </w:r>
      <w:r w:rsidRPr="00E27D3B">
        <w:rPr>
          <w:sz w:val="24"/>
          <w:szCs w:val="24"/>
        </w:rPr>
        <w:t>. This can reduce the reactive power requirements of synchronous generators. Reactive power and power factor controls may be the preferred mode of operation when connecting to very strong transmission systems, but for other conditions it can give rise to under-utilisation of the wind turbine reactive power capability.</w:t>
      </w:r>
    </w:p>
    <w:p w14:paraId="2256875A" w14:textId="42CE8400" w:rsidR="00A31EEA" w:rsidRDefault="00A31EEA" w:rsidP="0079705E">
      <w:pPr>
        <w:pStyle w:val="BodyText"/>
        <w:spacing w:after="0"/>
      </w:pPr>
      <w:bookmarkStart w:id="265" w:name="_Toc230342887"/>
      <w:r w:rsidRPr="00E27D3B">
        <w:t>With type 3 and 4 wind turbines, unlike type 1 and 2, active and reactive power can be controlled independently. For example, a change in active power dispatch set-point will not result in a change in the reactive power. For type 1 and 2 wind turbines the active and reactive power are correlated</w:t>
      </w:r>
      <w:r w:rsidR="00FE56B9">
        <w:rPr>
          <w:szCs w:val="24"/>
        </w:rPr>
        <w:t xml:space="preserve"> </w:t>
      </w:r>
      <w:r w:rsidR="00FE56B9">
        <w:rPr>
          <w:szCs w:val="24"/>
        </w:rPr>
        <w:fldChar w:fldCharType="begin"/>
      </w:r>
      <w:r w:rsidR="00FE56B9">
        <w:rPr>
          <w:szCs w:val="24"/>
        </w:rPr>
        <w:instrText xml:space="preserve"> REF _Ref230445723 \w \h </w:instrText>
      </w:r>
      <w:r w:rsidR="00CD4F3A">
        <w:rPr>
          <w:szCs w:val="24"/>
        </w:rPr>
        <w:instrText xml:space="preserve"> \* MERGEFORMAT </w:instrText>
      </w:r>
      <w:r w:rsidR="00FE56B9">
        <w:rPr>
          <w:szCs w:val="24"/>
        </w:rPr>
      </w:r>
      <w:r w:rsidR="00FE56B9">
        <w:rPr>
          <w:szCs w:val="24"/>
        </w:rPr>
        <w:fldChar w:fldCharType="separate"/>
      </w:r>
      <w:r w:rsidR="000A5F4C">
        <w:rPr>
          <w:szCs w:val="24"/>
        </w:rPr>
        <w:t>[89]</w:t>
      </w:r>
      <w:r w:rsidR="00FE56B9">
        <w:rPr>
          <w:szCs w:val="24"/>
        </w:rPr>
        <w:fldChar w:fldCharType="end"/>
      </w:r>
      <w:r w:rsidRPr="00E27D3B">
        <w:t xml:space="preserve">. </w:t>
      </w:r>
      <w:r w:rsidR="00F06ADD">
        <w:fldChar w:fldCharType="begin"/>
      </w:r>
      <w:r w:rsidR="00F06ADD">
        <w:instrText xml:space="preserve"> REF _Ref233547746 \h </w:instrText>
      </w:r>
      <w:r w:rsidR="00F06ADD">
        <w:fldChar w:fldCharType="separate"/>
      </w:r>
      <w:r w:rsidR="00F06ADD" w:rsidRPr="00E27D3B">
        <w:t xml:space="preserve">Table </w:t>
      </w:r>
      <w:r w:rsidR="00F06ADD">
        <w:rPr>
          <w:noProof/>
        </w:rPr>
        <w:t>17</w:t>
      </w:r>
      <w:r w:rsidR="00F06ADD">
        <w:fldChar w:fldCharType="end"/>
      </w:r>
      <w:r w:rsidR="00F06ADD">
        <w:t xml:space="preserve"> </w:t>
      </w:r>
      <w:r w:rsidRPr="00E27D3B">
        <w:t>presents a summary of the PV and wind penetration in different voltage stability studies.</w:t>
      </w:r>
      <w:bookmarkEnd w:id="265"/>
    </w:p>
    <w:p w14:paraId="6C933EC4" w14:textId="464C1DE8" w:rsidR="00A31EEA" w:rsidRPr="00E27D3B" w:rsidRDefault="00A31EEA" w:rsidP="00CD4F3A">
      <w:pPr>
        <w:pStyle w:val="Caption"/>
        <w:spacing w:line="240" w:lineRule="auto"/>
      </w:pPr>
      <w:bookmarkStart w:id="266" w:name="_Ref233547746"/>
      <w:bookmarkStart w:id="267" w:name="_Toc223626407"/>
      <w:bookmarkStart w:id="268" w:name="_Toc224235168"/>
      <w:bookmarkStart w:id="269" w:name="_Toc233735311"/>
      <w:r w:rsidRPr="00E27D3B">
        <w:t xml:space="preserve">Table </w:t>
      </w:r>
      <w:fldSimple w:instr=" SEQ Table \* ARABIC ">
        <w:r w:rsidR="00753DAF">
          <w:rPr>
            <w:noProof/>
          </w:rPr>
          <w:t>17</w:t>
        </w:r>
      </w:fldSimple>
      <w:bookmarkEnd w:id="266"/>
      <w:r w:rsidRPr="00E27D3B">
        <w:t>: PV/</w:t>
      </w:r>
      <w:r w:rsidRPr="005C746B">
        <w:t>Wind</w:t>
      </w:r>
      <w:r w:rsidRPr="00E27D3B">
        <w:t xml:space="preserve"> penetration for voltage stability</w:t>
      </w:r>
      <w:bookmarkEnd w:id="267"/>
      <w:r w:rsidRPr="00E27D3B">
        <w:t xml:space="preserve"> studies.</w:t>
      </w:r>
      <w:bookmarkEnd w:id="268"/>
      <w:bookmarkEnd w:id="269"/>
      <w:r w:rsidRPr="00E27D3B">
        <w:t xml:space="preserve"> </w:t>
      </w:r>
    </w:p>
    <w:tbl>
      <w:tblPr>
        <w:tblStyle w:val="TableCSIRO"/>
        <w:tblW w:w="9634" w:type="dxa"/>
        <w:tblLook w:val="04A0" w:firstRow="1" w:lastRow="0" w:firstColumn="1" w:lastColumn="0" w:noHBand="0" w:noVBand="1"/>
      </w:tblPr>
      <w:tblGrid>
        <w:gridCol w:w="747"/>
        <w:gridCol w:w="502"/>
        <w:gridCol w:w="769"/>
        <w:gridCol w:w="1554"/>
        <w:gridCol w:w="1385"/>
        <w:gridCol w:w="3461"/>
        <w:gridCol w:w="1216"/>
      </w:tblGrid>
      <w:tr w:rsidR="00A31EEA" w:rsidRPr="00E27D3B" w14:paraId="18583AF1"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BD272" w14:textId="77777777" w:rsidR="00A31EEA" w:rsidRPr="00E27D3B" w:rsidRDefault="00A31EEA" w:rsidP="00CD4F3A">
            <w:pPr>
              <w:pStyle w:val="TableText"/>
              <w:rPr>
                <w:b w:val="0"/>
                <w:bCs w:val="0"/>
                <w:color w:val="FFFFFF" w:themeColor="background1"/>
              </w:rPr>
            </w:pPr>
            <w:r w:rsidRPr="00E27D3B">
              <w:rPr>
                <w:color w:val="FFFFFF" w:themeColor="background1"/>
              </w:rPr>
              <w:t>Ref.</w:t>
            </w:r>
          </w:p>
        </w:tc>
        <w:tc>
          <w:tcPr>
            <w:tcW w:w="0" w:type="auto"/>
          </w:tcPr>
          <w:p w14:paraId="77255952"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PV</w:t>
            </w:r>
          </w:p>
        </w:tc>
        <w:tc>
          <w:tcPr>
            <w:tcW w:w="0" w:type="auto"/>
          </w:tcPr>
          <w:p w14:paraId="6EE08CEE"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Wind</w:t>
            </w:r>
          </w:p>
        </w:tc>
        <w:tc>
          <w:tcPr>
            <w:tcW w:w="0" w:type="auto"/>
          </w:tcPr>
          <w:p w14:paraId="378B8743"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Replacement</w:t>
            </w:r>
          </w:p>
          <w:p w14:paraId="7ED0F877"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/Addition</w:t>
            </w:r>
          </w:p>
        </w:tc>
        <w:tc>
          <w:tcPr>
            <w:tcW w:w="1385" w:type="dxa"/>
          </w:tcPr>
          <w:p w14:paraId="31D8F959"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Test System</w:t>
            </w:r>
          </w:p>
        </w:tc>
        <w:tc>
          <w:tcPr>
            <w:tcW w:w="3461" w:type="dxa"/>
          </w:tcPr>
          <w:p w14:paraId="6BE29895"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Penetration (%)</w:t>
            </w:r>
          </w:p>
        </w:tc>
        <w:tc>
          <w:tcPr>
            <w:tcW w:w="1216" w:type="dxa"/>
          </w:tcPr>
          <w:p w14:paraId="6F047061"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Type of voltage stability</w:t>
            </w:r>
          </w:p>
        </w:tc>
      </w:tr>
      <w:tr w:rsidR="00A31EEA" w:rsidRPr="00E27D3B" w14:paraId="0798DD60"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D9F337" w14:textId="4CA772C5" w:rsidR="00A31EEA" w:rsidRPr="00547C88" w:rsidRDefault="008B2387" w:rsidP="00CD4F3A">
            <w:pPr>
              <w:pStyle w:val="TableText"/>
              <w:jc w:val="center"/>
              <w:rPr>
                <w:b w:val="0"/>
                <w:bCs w:val="0"/>
              </w:rPr>
            </w:pPr>
            <w:r w:rsidRPr="00547C88">
              <w:fldChar w:fldCharType="begin"/>
            </w:r>
            <w:r w:rsidRPr="00547C88">
              <w:rPr>
                <w:b w:val="0"/>
                <w:bCs w:val="0"/>
              </w:rPr>
              <w:instrText xml:space="preserve"> REF _Ref230443608 \w \h </w:instrText>
            </w:r>
            <w:r w:rsidR="00547C88">
              <w:rPr>
                <w:b w:val="0"/>
                <w:bCs w:val="0"/>
              </w:rPr>
              <w:instrText xml:space="preserve"> \* MERGEFORMAT </w:instrText>
            </w:r>
            <w:r w:rsidRPr="00547C88">
              <w:fldChar w:fldCharType="separate"/>
            </w:r>
            <w:r w:rsidR="000A5F4C" w:rsidRPr="00547C88">
              <w:rPr>
                <w:b w:val="0"/>
                <w:bCs w:val="0"/>
              </w:rPr>
              <w:t>[80]</w:t>
            </w:r>
            <w:r w:rsidRPr="00547C88">
              <w:fldChar w:fldCharType="end"/>
            </w:r>
          </w:p>
        </w:tc>
        <w:tc>
          <w:tcPr>
            <w:tcW w:w="0" w:type="auto"/>
          </w:tcPr>
          <w:p w14:paraId="4354394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112650C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05F4CE8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1BA4301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WECC</w:t>
            </w:r>
          </w:p>
        </w:tc>
        <w:tc>
          <w:tcPr>
            <w:tcW w:w="3461" w:type="dxa"/>
          </w:tcPr>
          <w:p w14:paraId="04D6BA4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,20%, 30%, 40%, 50%</w:t>
            </w:r>
          </w:p>
        </w:tc>
        <w:tc>
          <w:tcPr>
            <w:tcW w:w="1216" w:type="dxa"/>
          </w:tcPr>
          <w:p w14:paraId="3CB5054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STVS/LTVS</w:t>
            </w:r>
          </w:p>
        </w:tc>
      </w:tr>
      <w:tr w:rsidR="00A31EEA" w:rsidRPr="00E27D3B" w14:paraId="153F8AE7"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0E715829" w14:textId="4EEADDEF" w:rsidR="00A31EEA" w:rsidRPr="00547C88" w:rsidRDefault="008B2387" w:rsidP="00CD4F3A">
            <w:pPr>
              <w:pStyle w:val="TableText"/>
              <w:jc w:val="center"/>
              <w:rPr>
                <w:b w:val="0"/>
                <w:bCs w:val="0"/>
              </w:rPr>
            </w:pPr>
            <w:r w:rsidRPr="00547C88">
              <w:fldChar w:fldCharType="begin"/>
            </w:r>
            <w:r w:rsidRPr="00547C88">
              <w:rPr>
                <w:b w:val="0"/>
                <w:bCs w:val="0"/>
              </w:rPr>
              <w:instrText xml:space="preserve"> REF _Ref230445391 \w \h </w:instrText>
            </w:r>
            <w:r w:rsidR="00547C88">
              <w:rPr>
                <w:b w:val="0"/>
                <w:bCs w:val="0"/>
              </w:rPr>
              <w:instrText xml:space="preserve"> \* MERGEFORMAT </w:instrText>
            </w:r>
            <w:r w:rsidRPr="00547C88">
              <w:fldChar w:fldCharType="separate"/>
            </w:r>
            <w:r w:rsidR="000A5F4C" w:rsidRPr="00547C88">
              <w:rPr>
                <w:b w:val="0"/>
                <w:bCs w:val="0"/>
              </w:rPr>
              <w:t>[82]</w:t>
            </w:r>
            <w:r w:rsidRPr="00547C88">
              <w:fldChar w:fldCharType="end"/>
            </w:r>
          </w:p>
        </w:tc>
        <w:tc>
          <w:tcPr>
            <w:tcW w:w="0" w:type="auto"/>
          </w:tcPr>
          <w:p w14:paraId="2D4FDDC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6BFC270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437254E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142F99C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Nordic</w:t>
            </w:r>
          </w:p>
        </w:tc>
        <w:tc>
          <w:tcPr>
            <w:tcW w:w="3461" w:type="dxa"/>
          </w:tcPr>
          <w:p w14:paraId="012A3C5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15% (G6, G7, G14, G17)</w:t>
            </w:r>
          </w:p>
          <w:p w14:paraId="4C58693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130 MVA, 240 MVA, 300 MVA etc.</w:t>
            </w:r>
          </w:p>
        </w:tc>
        <w:tc>
          <w:tcPr>
            <w:tcW w:w="1216" w:type="dxa"/>
          </w:tcPr>
          <w:p w14:paraId="76C8ED2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50DB00EC"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C07232" w14:textId="23510905" w:rsidR="00A31EEA" w:rsidRPr="00547C88" w:rsidRDefault="00431241" w:rsidP="00CD4F3A">
            <w:pPr>
              <w:pStyle w:val="TableText"/>
              <w:jc w:val="center"/>
              <w:rPr>
                <w:b w:val="0"/>
                <w:bCs w:val="0"/>
              </w:rPr>
            </w:pPr>
            <w:r w:rsidRPr="00547C88">
              <w:fldChar w:fldCharType="begin"/>
            </w:r>
            <w:r w:rsidRPr="00547C88">
              <w:rPr>
                <w:b w:val="0"/>
                <w:bCs w:val="0"/>
              </w:rPr>
              <w:instrText xml:space="preserve"> REF _Ref230446008 \w \h </w:instrText>
            </w:r>
            <w:r w:rsidR="00547C88">
              <w:rPr>
                <w:b w:val="0"/>
                <w:bCs w:val="0"/>
              </w:rPr>
              <w:instrText xml:space="preserve"> \* MERGEFORMAT </w:instrText>
            </w:r>
            <w:r w:rsidRPr="00547C88">
              <w:fldChar w:fldCharType="separate"/>
            </w:r>
            <w:r w:rsidR="000A5F4C" w:rsidRPr="00547C88">
              <w:rPr>
                <w:b w:val="0"/>
                <w:bCs w:val="0"/>
              </w:rPr>
              <w:t>[90]</w:t>
            </w:r>
            <w:r w:rsidRPr="00547C88">
              <w:fldChar w:fldCharType="end"/>
            </w:r>
          </w:p>
        </w:tc>
        <w:tc>
          <w:tcPr>
            <w:tcW w:w="0" w:type="auto"/>
          </w:tcPr>
          <w:p w14:paraId="0EE9BD7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381519E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1C90615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69F2B14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Nordic</w:t>
            </w:r>
          </w:p>
        </w:tc>
        <w:tc>
          <w:tcPr>
            <w:tcW w:w="3461" w:type="dxa"/>
          </w:tcPr>
          <w:p w14:paraId="1E86C70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G6, G7, G14, G15, and G16</w:t>
            </w:r>
          </w:p>
        </w:tc>
        <w:tc>
          <w:tcPr>
            <w:tcW w:w="1216" w:type="dxa"/>
          </w:tcPr>
          <w:p w14:paraId="338D5AA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STVS/LTVS</w:t>
            </w:r>
          </w:p>
        </w:tc>
      </w:tr>
      <w:tr w:rsidR="00A31EEA" w:rsidRPr="00E27D3B" w14:paraId="4EF34693"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7CBF322D" w14:textId="76D3CD92" w:rsidR="00A31EEA" w:rsidRPr="00547C88" w:rsidRDefault="00115420" w:rsidP="00CD4F3A">
            <w:pPr>
              <w:pStyle w:val="TableText"/>
              <w:jc w:val="center"/>
              <w:rPr>
                <w:b w:val="0"/>
                <w:bCs w:val="0"/>
              </w:rPr>
            </w:pPr>
            <w:r w:rsidRPr="00547C88">
              <w:fldChar w:fldCharType="begin"/>
            </w:r>
            <w:r w:rsidRPr="00547C88">
              <w:rPr>
                <w:b w:val="0"/>
                <w:bCs w:val="0"/>
              </w:rPr>
              <w:instrText xml:space="preserve"> REF _Ref230446026 \w \h </w:instrText>
            </w:r>
            <w:r w:rsidR="00547C88">
              <w:rPr>
                <w:b w:val="0"/>
                <w:bCs w:val="0"/>
              </w:rPr>
              <w:instrText xml:space="preserve"> \* MERGEFORMAT </w:instrText>
            </w:r>
            <w:r w:rsidRPr="00547C88">
              <w:fldChar w:fldCharType="separate"/>
            </w:r>
            <w:r w:rsidR="000A5F4C" w:rsidRPr="00547C88">
              <w:rPr>
                <w:b w:val="0"/>
                <w:bCs w:val="0"/>
              </w:rPr>
              <w:t>[91]</w:t>
            </w:r>
            <w:r w:rsidRPr="00547C88">
              <w:fldChar w:fldCharType="end"/>
            </w:r>
          </w:p>
        </w:tc>
        <w:tc>
          <w:tcPr>
            <w:tcW w:w="0" w:type="auto"/>
          </w:tcPr>
          <w:p w14:paraId="4DF4DD6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45DDEE5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6E0C5A9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Addition</w:t>
            </w:r>
          </w:p>
        </w:tc>
        <w:tc>
          <w:tcPr>
            <w:tcW w:w="1385" w:type="dxa"/>
          </w:tcPr>
          <w:p w14:paraId="6AFD13E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14-bus</w:t>
            </w:r>
          </w:p>
        </w:tc>
        <w:tc>
          <w:tcPr>
            <w:tcW w:w="3461" w:type="dxa"/>
          </w:tcPr>
          <w:p w14:paraId="09F22B5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Bus 5 (non-generator bus)</w:t>
            </w:r>
          </w:p>
        </w:tc>
        <w:tc>
          <w:tcPr>
            <w:tcW w:w="1216" w:type="dxa"/>
          </w:tcPr>
          <w:p w14:paraId="2A74692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STVS/LTVS</w:t>
            </w:r>
          </w:p>
        </w:tc>
      </w:tr>
      <w:tr w:rsidR="00A31EEA" w:rsidRPr="00E27D3B" w14:paraId="5441D2F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E758D5" w14:textId="36824231" w:rsidR="00A31EEA" w:rsidRPr="00547C88" w:rsidRDefault="00115420" w:rsidP="00CD4F3A">
            <w:pPr>
              <w:pStyle w:val="TableText"/>
              <w:jc w:val="center"/>
              <w:rPr>
                <w:b w:val="0"/>
                <w:bCs w:val="0"/>
              </w:rPr>
            </w:pPr>
            <w:r w:rsidRPr="00547C88">
              <w:fldChar w:fldCharType="begin"/>
            </w:r>
            <w:r w:rsidRPr="00547C88">
              <w:rPr>
                <w:b w:val="0"/>
                <w:bCs w:val="0"/>
              </w:rPr>
              <w:instrText xml:space="preserve"> REF _Ref230445677 \w \h </w:instrText>
            </w:r>
            <w:r w:rsidR="00547C88">
              <w:rPr>
                <w:b w:val="0"/>
                <w:bCs w:val="0"/>
              </w:rPr>
              <w:instrText xml:space="preserve"> \* MERGEFORMAT </w:instrText>
            </w:r>
            <w:r w:rsidRPr="00547C88">
              <w:fldChar w:fldCharType="separate"/>
            </w:r>
            <w:r w:rsidR="000A5F4C" w:rsidRPr="00547C88">
              <w:rPr>
                <w:b w:val="0"/>
                <w:bCs w:val="0"/>
              </w:rPr>
              <w:t>[88]</w:t>
            </w:r>
            <w:r w:rsidRPr="00547C88">
              <w:fldChar w:fldCharType="end"/>
            </w:r>
          </w:p>
        </w:tc>
        <w:tc>
          <w:tcPr>
            <w:tcW w:w="0" w:type="auto"/>
          </w:tcPr>
          <w:p w14:paraId="7747BEA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16697C9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67DC51D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0A3C816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p w14:paraId="4E3DB75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30-bus</w:t>
            </w:r>
          </w:p>
        </w:tc>
        <w:tc>
          <w:tcPr>
            <w:tcW w:w="3461" w:type="dxa"/>
          </w:tcPr>
          <w:p w14:paraId="30AE894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20% (G30, G34, G37)</w:t>
            </w:r>
          </w:p>
          <w:p w14:paraId="32D51D0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35% (G13, G22, G23)</w:t>
            </w:r>
          </w:p>
        </w:tc>
        <w:tc>
          <w:tcPr>
            <w:tcW w:w="1216" w:type="dxa"/>
          </w:tcPr>
          <w:p w14:paraId="34C7137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STVS/LTVS</w:t>
            </w:r>
          </w:p>
        </w:tc>
      </w:tr>
      <w:tr w:rsidR="00A31EEA" w:rsidRPr="00E27D3B" w14:paraId="195325A7"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7C46D2F9" w14:textId="3E3217DC" w:rsidR="00A31EEA" w:rsidRPr="00547C88" w:rsidRDefault="00115420" w:rsidP="00CD4F3A">
            <w:pPr>
              <w:pStyle w:val="TableText"/>
              <w:jc w:val="center"/>
              <w:rPr>
                <w:b w:val="0"/>
                <w:bCs w:val="0"/>
              </w:rPr>
            </w:pPr>
            <w:r w:rsidRPr="00547C88">
              <w:fldChar w:fldCharType="begin"/>
            </w:r>
            <w:r w:rsidRPr="00547C88">
              <w:rPr>
                <w:b w:val="0"/>
                <w:bCs w:val="0"/>
              </w:rPr>
              <w:instrText xml:space="preserve"> REF _Ref230446050 \w \h </w:instrText>
            </w:r>
            <w:r w:rsidR="00547C88">
              <w:rPr>
                <w:b w:val="0"/>
                <w:bCs w:val="0"/>
              </w:rPr>
              <w:instrText xml:space="preserve"> \* MERGEFORMAT </w:instrText>
            </w:r>
            <w:r w:rsidRPr="00547C88">
              <w:fldChar w:fldCharType="separate"/>
            </w:r>
            <w:r w:rsidR="000A5F4C" w:rsidRPr="00547C88">
              <w:rPr>
                <w:b w:val="0"/>
                <w:bCs w:val="0"/>
              </w:rPr>
              <w:t>[92]</w:t>
            </w:r>
            <w:r w:rsidRPr="00547C88">
              <w:fldChar w:fldCharType="end"/>
            </w:r>
          </w:p>
        </w:tc>
        <w:tc>
          <w:tcPr>
            <w:tcW w:w="0" w:type="auto"/>
          </w:tcPr>
          <w:p w14:paraId="44188FB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7D4E6A0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44463C6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5587F53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Nordic,</w:t>
            </w:r>
          </w:p>
          <w:p w14:paraId="5BD60E0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4-bus</w:t>
            </w:r>
          </w:p>
        </w:tc>
        <w:tc>
          <w:tcPr>
            <w:tcW w:w="3461" w:type="dxa"/>
          </w:tcPr>
          <w:p w14:paraId="3DE3EE7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2-25% (G6, G7, G14, G15, G16)</w:t>
            </w:r>
          </w:p>
        </w:tc>
        <w:tc>
          <w:tcPr>
            <w:tcW w:w="1216" w:type="dxa"/>
          </w:tcPr>
          <w:p w14:paraId="6C411F1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LTVS</w:t>
            </w:r>
          </w:p>
        </w:tc>
      </w:tr>
      <w:tr w:rsidR="00A31EEA" w:rsidRPr="00E27D3B" w14:paraId="47D25167"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D83F3A" w14:textId="22CA2665" w:rsidR="00A31EEA" w:rsidRPr="00547C88" w:rsidRDefault="00F85C41" w:rsidP="00CD4F3A">
            <w:pPr>
              <w:pStyle w:val="TableText"/>
              <w:jc w:val="center"/>
              <w:rPr>
                <w:b w:val="0"/>
                <w:bCs w:val="0"/>
              </w:rPr>
            </w:pPr>
            <w:r w:rsidRPr="00547C88">
              <w:fldChar w:fldCharType="begin"/>
            </w:r>
            <w:r w:rsidRPr="00547C88">
              <w:rPr>
                <w:b w:val="0"/>
                <w:bCs w:val="0"/>
              </w:rPr>
              <w:instrText xml:space="preserve"> REF _Ref230446062 \w \h </w:instrText>
            </w:r>
            <w:r w:rsidR="00547C88">
              <w:rPr>
                <w:b w:val="0"/>
                <w:bCs w:val="0"/>
              </w:rPr>
              <w:instrText xml:space="preserve"> \* MERGEFORMAT </w:instrText>
            </w:r>
            <w:r w:rsidRPr="00547C88">
              <w:fldChar w:fldCharType="separate"/>
            </w:r>
            <w:r w:rsidR="000A5F4C" w:rsidRPr="00547C88">
              <w:rPr>
                <w:b w:val="0"/>
                <w:bCs w:val="0"/>
              </w:rPr>
              <w:t>[93]</w:t>
            </w:r>
            <w:r w:rsidRPr="00547C88">
              <w:fldChar w:fldCharType="end"/>
            </w:r>
          </w:p>
        </w:tc>
        <w:tc>
          <w:tcPr>
            <w:tcW w:w="0" w:type="auto"/>
          </w:tcPr>
          <w:p w14:paraId="73FE597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7FBA989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347DF1B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5EAFC1B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3461" w:type="dxa"/>
          </w:tcPr>
          <w:p w14:paraId="17A866F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 10%, 20%, 30% (G30, G34, G37)</w:t>
            </w:r>
          </w:p>
        </w:tc>
        <w:tc>
          <w:tcPr>
            <w:tcW w:w="1216" w:type="dxa"/>
          </w:tcPr>
          <w:p w14:paraId="3282325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26DA3428"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6A89CAC9" w14:textId="402FB181" w:rsidR="00A31EEA" w:rsidRPr="00547C88" w:rsidRDefault="00F85C41" w:rsidP="00CD4F3A">
            <w:pPr>
              <w:pStyle w:val="TableText"/>
              <w:jc w:val="center"/>
              <w:rPr>
                <w:b w:val="0"/>
                <w:bCs w:val="0"/>
              </w:rPr>
            </w:pPr>
            <w:r w:rsidRPr="00547C88">
              <w:fldChar w:fldCharType="begin"/>
            </w:r>
            <w:r w:rsidRPr="00547C88">
              <w:rPr>
                <w:b w:val="0"/>
                <w:bCs w:val="0"/>
              </w:rPr>
              <w:instrText xml:space="preserve"> REF _Ref230445648 \w \h </w:instrText>
            </w:r>
            <w:r w:rsidR="00547C88">
              <w:rPr>
                <w:b w:val="0"/>
                <w:bCs w:val="0"/>
              </w:rPr>
              <w:instrText xml:space="preserve"> \* MERGEFORMAT </w:instrText>
            </w:r>
            <w:r w:rsidRPr="00547C88">
              <w:fldChar w:fldCharType="separate"/>
            </w:r>
            <w:r w:rsidR="000A5F4C" w:rsidRPr="00547C88">
              <w:rPr>
                <w:b w:val="0"/>
                <w:bCs w:val="0"/>
              </w:rPr>
              <w:t>[87]</w:t>
            </w:r>
            <w:r w:rsidRPr="00547C88">
              <w:fldChar w:fldCharType="end"/>
            </w:r>
          </w:p>
        </w:tc>
        <w:tc>
          <w:tcPr>
            <w:tcW w:w="0" w:type="auto"/>
          </w:tcPr>
          <w:p w14:paraId="4335703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741EB6B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5955327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Addition</w:t>
            </w:r>
          </w:p>
        </w:tc>
        <w:tc>
          <w:tcPr>
            <w:tcW w:w="1385" w:type="dxa"/>
          </w:tcPr>
          <w:p w14:paraId="347D2BD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4107843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 20.7%, 41.3% (12 wind farms)</w:t>
            </w:r>
          </w:p>
        </w:tc>
        <w:tc>
          <w:tcPr>
            <w:tcW w:w="1216" w:type="dxa"/>
          </w:tcPr>
          <w:p w14:paraId="5867F2C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78B2036D"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0FB747" w14:textId="00B98047" w:rsidR="00A31EEA" w:rsidRPr="00547C88" w:rsidRDefault="00F85C41" w:rsidP="00CD4F3A">
            <w:pPr>
              <w:pStyle w:val="TableText"/>
              <w:jc w:val="center"/>
              <w:rPr>
                <w:b w:val="0"/>
                <w:bCs w:val="0"/>
              </w:rPr>
            </w:pPr>
            <w:r w:rsidRPr="00547C88">
              <w:fldChar w:fldCharType="begin"/>
            </w:r>
            <w:r w:rsidRPr="00547C88">
              <w:rPr>
                <w:b w:val="0"/>
                <w:bCs w:val="0"/>
              </w:rPr>
              <w:instrText xml:space="preserve"> REF _Ref230446092 \w \h </w:instrText>
            </w:r>
            <w:r w:rsidR="00547C88">
              <w:rPr>
                <w:b w:val="0"/>
                <w:bCs w:val="0"/>
              </w:rPr>
              <w:instrText xml:space="preserve"> \* MERGEFORMAT </w:instrText>
            </w:r>
            <w:r w:rsidRPr="00547C88">
              <w:fldChar w:fldCharType="separate"/>
            </w:r>
            <w:r w:rsidR="000A5F4C" w:rsidRPr="00547C88">
              <w:rPr>
                <w:b w:val="0"/>
                <w:bCs w:val="0"/>
              </w:rPr>
              <w:t>[94]</w:t>
            </w:r>
            <w:r w:rsidRPr="00547C88">
              <w:fldChar w:fldCharType="end"/>
            </w:r>
          </w:p>
        </w:tc>
        <w:tc>
          <w:tcPr>
            <w:tcW w:w="0" w:type="auto"/>
          </w:tcPr>
          <w:p w14:paraId="21F6E2F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176E75E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03ADD3A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Addition</w:t>
            </w:r>
          </w:p>
        </w:tc>
        <w:tc>
          <w:tcPr>
            <w:tcW w:w="1385" w:type="dxa"/>
          </w:tcPr>
          <w:p w14:paraId="3E9E1C2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Six-bus </w:t>
            </w:r>
          </w:p>
        </w:tc>
        <w:tc>
          <w:tcPr>
            <w:tcW w:w="3461" w:type="dxa"/>
          </w:tcPr>
          <w:p w14:paraId="52AB575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30%, 45%, 60%, 75%, 90%</w:t>
            </w:r>
          </w:p>
        </w:tc>
        <w:tc>
          <w:tcPr>
            <w:tcW w:w="1216" w:type="dxa"/>
          </w:tcPr>
          <w:p w14:paraId="1241930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1974E4C2"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603A59EB" w14:textId="677AD22C" w:rsidR="00A31EEA" w:rsidRPr="00547C88" w:rsidRDefault="001D1315" w:rsidP="00CD4F3A">
            <w:pPr>
              <w:pStyle w:val="TableText"/>
              <w:jc w:val="center"/>
              <w:rPr>
                <w:b w:val="0"/>
                <w:bCs w:val="0"/>
              </w:rPr>
            </w:pPr>
            <w:r w:rsidRPr="00547C88">
              <w:fldChar w:fldCharType="begin"/>
            </w:r>
            <w:r w:rsidRPr="00547C88">
              <w:rPr>
                <w:b w:val="0"/>
                <w:bCs w:val="0"/>
              </w:rPr>
              <w:instrText xml:space="preserve"> REF _Ref230446109 \w \h </w:instrText>
            </w:r>
            <w:r w:rsidR="00547C88">
              <w:rPr>
                <w:b w:val="0"/>
                <w:bCs w:val="0"/>
              </w:rPr>
              <w:instrText xml:space="preserve"> \* MERGEFORMAT </w:instrText>
            </w:r>
            <w:r w:rsidRPr="00547C88">
              <w:fldChar w:fldCharType="separate"/>
            </w:r>
            <w:r w:rsidR="000A5F4C" w:rsidRPr="00547C88">
              <w:rPr>
                <w:b w:val="0"/>
                <w:bCs w:val="0"/>
              </w:rPr>
              <w:t>[95]</w:t>
            </w:r>
            <w:r w:rsidRPr="00547C88">
              <w:fldChar w:fldCharType="end"/>
            </w:r>
          </w:p>
        </w:tc>
        <w:tc>
          <w:tcPr>
            <w:tcW w:w="0" w:type="auto"/>
          </w:tcPr>
          <w:p w14:paraId="399866C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26ACF64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546FFA6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66E5EC4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Nordic</w:t>
            </w:r>
          </w:p>
        </w:tc>
        <w:tc>
          <w:tcPr>
            <w:tcW w:w="3461" w:type="dxa"/>
          </w:tcPr>
          <w:p w14:paraId="1DA635B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500 MW (5 x 100 MW wind farms)</w:t>
            </w:r>
          </w:p>
        </w:tc>
        <w:tc>
          <w:tcPr>
            <w:tcW w:w="1216" w:type="dxa"/>
          </w:tcPr>
          <w:p w14:paraId="0C68544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6193F02A"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78A139" w14:textId="6DDDCC88" w:rsidR="00A31EEA" w:rsidRPr="00547C88" w:rsidRDefault="001D1315" w:rsidP="00CD4F3A">
            <w:pPr>
              <w:pStyle w:val="TableText"/>
              <w:jc w:val="center"/>
              <w:rPr>
                <w:b w:val="0"/>
                <w:bCs w:val="0"/>
              </w:rPr>
            </w:pPr>
            <w:r w:rsidRPr="00547C88">
              <w:fldChar w:fldCharType="begin"/>
            </w:r>
            <w:r w:rsidRPr="00547C88">
              <w:rPr>
                <w:b w:val="0"/>
                <w:bCs w:val="0"/>
              </w:rPr>
              <w:instrText xml:space="preserve"> REF _Ref230446109 \w \h </w:instrText>
            </w:r>
            <w:r w:rsidR="00547C88">
              <w:rPr>
                <w:b w:val="0"/>
                <w:bCs w:val="0"/>
              </w:rPr>
              <w:instrText xml:space="preserve"> \* MERGEFORMAT </w:instrText>
            </w:r>
            <w:r w:rsidRPr="00547C88">
              <w:fldChar w:fldCharType="separate"/>
            </w:r>
            <w:r w:rsidR="000A5F4C" w:rsidRPr="00547C88">
              <w:rPr>
                <w:b w:val="0"/>
                <w:bCs w:val="0"/>
              </w:rPr>
              <w:t>[95]</w:t>
            </w:r>
            <w:r w:rsidRPr="00547C88">
              <w:fldChar w:fldCharType="end"/>
            </w:r>
          </w:p>
        </w:tc>
        <w:tc>
          <w:tcPr>
            <w:tcW w:w="0" w:type="auto"/>
          </w:tcPr>
          <w:p w14:paraId="12CDCAC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7BE8B0D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28D5410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Built-in</w:t>
            </w:r>
          </w:p>
        </w:tc>
        <w:tc>
          <w:tcPr>
            <w:tcW w:w="1385" w:type="dxa"/>
          </w:tcPr>
          <w:p w14:paraId="182CC5C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CSEE-VS</w:t>
            </w:r>
          </w:p>
        </w:tc>
        <w:tc>
          <w:tcPr>
            <w:tcW w:w="3461" w:type="dxa"/>
          </w:tcPr>
          <w:p w14:paraId="08ABE5B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Above 50% (PV + Wind)</w:t>
            </w:r>
          </w:p>
        </w:tc>
        <w:tc>
          <w:tcPr>
            <w:tcW w:w="1216" w:type="dxa"/>
          </w:tcPr>
          <w:p w14:paraId="459789F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506CE59D"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037160A4" w14:textId="70FC6DF2" w:rsidR="00A31EEA" w:rsidRPr="00547C88" w:rsidRDefault="00D33E19" w:rsidP="00CD4F3A">
            <w:pPr>
              <w:pStyle w:val="TableText"/>
              <w:jc w:val="center"/>
              <w:rPr>
                <w:b w:val="0"/>
                <w:bCs w:val="0"/>
              </w:rPr>
            </w:pPr>
            <w:r w:rsidRPr="00547C88">
              <w:lastRenderedPageBreak/>
              <w:fldChar w:fldCharType="begin"/>
            </w:r>
            <w:r w:rsidRPr="00547C88">
              <w:rPr>
                <w:b w:val="0"/>
                <w:bCs w:val="0"/>
              </w:rPr>
              <w:instrText xml:space="preserve"> REF _Ref230446139 \w \h </w:instrText>
            </w:r>
            <w:r w:rsidR="00547C88">
              <w:rPr>
                <w:b w:val="0"/>
                <w:bCs w:val="0"/>
              </w:rPr>
              <w:instrText xml:space="preserve"> \* MERGEFORMAT </w:instrText>
            </w:r>
            <w:r w:rsidRPr="00547C88">
              <w:fldChar w:fldCharType="separate"/>
            </w:r>
            <w:r w:rsidR="000A5F4C" w:rsidRPr="00547C88">
              <w:rPr>
                <w:b w:val="0"/>
                <w:bCs w:val="0"/>
              </w:rPr>
              <w:t>[96]</w:t>
            </w:r>
            <w:r w:rsidRPr="00547C88">
              <w:fldChar w:fldCharType="end"/>
            </w:r>
          </w:p>
        </w:tc>
        <w:tc>
          <w:tcPr>
            <w:tcW w:w="0" w:type="auto"/>
          </w:tcPr>
          <w:p w14:paraId="2F951DD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06A685A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3D62AC5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Addition</w:t>
            </w:r>
          </w:p>
        </w:tc>
        <w:tc>
          <w:tcPr>
            <w:tcW w:w="1385" w:type="dxa"/>
          </w:tcPr>
          <w:p w14:paraId="0D7965F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054858B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30 % of (Load1-Load17 excluding Load 5)</w:t>
            </w:r>
          </w:p>
        </w:tc>
        <w:tc>
          <w:tcPr>
            <w:tcW w:w="1216" w:type="dxa"/>
          </w:tcPr>
          <w:p w14:paraId="43813F7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3070B253"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B19E02" w14:textId="1F12D686" w:rsidR="00A31EEA" w:rsidRPr="00547C88" w:rsidRDefault="00126FF5" w:rsidP="00CD4F3A">
            <w:pPr>
              <w:pStyle w:val="TableText"/>
              <w:jc w:val="center"/>
              <w:rPr>
                <w:b w:val="0"/>
                <w:bCs w:val="0"/>
              </w:rPr>
            </w:pPr>
            <w:r w:rsidRPr="00547C88">
              <w:fldChar w:fldCharType="begin"/>
            </w:r>
            <w:r w:rsidRPr="00547C88">
              <w:rPr>
                <w:b w:val="0"/>
                <w:bCs w:val="0"/>
              </w:rPr>
              <w:instrText xml:space="preserve"> REF _Ref230446172 \w \h </w:instrText>
            </w:r>
            <w:r w:rsidR="00547C88">
              <w:rPr>
                <w:b w:val="0"/>
                <w:bCs w:val="0"/>
              </w:rPr>
              <w:instrText xml:space="preserve"> \* MERGEFORMAT </w:instrText>
            </w:r>
            <w:r w:rsidRPr="00547C88">
              <w:fldChar w:fldCharType="separate"/>
            </w:r>
            <w:r w:rsidR="000A5F4C" w:rsidRPr="00547C88">
              <w:rPr>
                <w:b w:val="0"/>
                <w:bCs w:val="0"/>
              </w:rPr>
              <w:t>[97]</w:t>
            </w:r>
            <w:r w:rsidRPr="00547C88">
              <w:fldChar w:fldCharType="end"/>
            </w:r>
          </w:p>
        </w:tc>
        <w:tc>
          <w:tcPr>
            <w:tcW w:w="0" w:type="auto"/>
          </w:tcPr>
          <w:p w14:paraId="4507BB1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54A1780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5186D5D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3CC5D05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Nordic</w:t>
            </w:r>
          </w:p>
        </w:tc>
        <w:tc>
          <w:tcPr>
            <w:tcW w:w="3461" w:type="dxa"/>
          </w:tcPr>
          <w:p w14:paraId="0BD6D83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Wind (G 4041), PV (G 4051)</w:t>
            </w:r>
          </w:p>
        </w:tc>
        <w:tc>
          <w:tcPr>
            <w:tcW w:w="1216" w:type="dxa"/>
          </w:tcPr>
          <w:p w14:paraId="4C31E02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45A47BDB"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6E75ED8C" w14:textId="30BCA507" w:rsidR="00A31EEA" w:rsidRPr="00547C88" w:rsidRDefault="00126FF5" w:rsidP="00CD4F3A">
            <w:pPr>
              <w:pStyle w:val="TableText"/>
              <w:jc w:val="center"/>
              <w:rPr>
                <w:b w:val="0"/>
                <w:bCs w:val="0"/>
              </w:rPr>
            </w:pPr>
            <w:r w:rsidRPr="00547C88">
              <w:fldChar w:fldCharType="begin"/>
            </w:r>
            <w:r w:rsidRPr="00547C88">
              <w:rPr>
                <w:b w:val="0"/>
                <w:bCs w:val="0"/>
              </w:rPr>
              <w:instrText xml:space="preserve"> REF _Ref230446187 \w \h </w:instrText>
            </w:r>
            <w:r w:rsidR="00547C88">
              <w:rPr>
                <w:b w:val="0"/>
                <w:bCs w:val="0"/>
              </w:rPr>
              <w:instrText xml:space="preserve"> \* MERGEFORMAT </w:instrText>
            </w:r>
            <w:r w:rsidRPr="00547C88">
              <w:fldChar w:fldCharType="separate"/>
            </w:r>
            <w:r w:rsidR="000A5F4C" w:rsidRPr="00547C88">
              <w:rPr>
                <w:b w:val="0"/>
                <w:bCs w:val="0"/>
              </w:rPr>
              <w:t>[98]</w:t>
            </w:r>
            <w:r w:rsidRPr="00547C88">
              <w:fldChar w:fldCharType="end"/>
            </w:r>
          </w:p>
        </w:tc>
        <w:tc>
          <w:tcPr>
            <w:tcW w:w="0" w:type="auto"/>
          </w:tcPr>
          <w:p w14:paraId="3D26F41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1A6E12B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0BD07E2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5883595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4206E53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lang w:val="de-DE"/>
              </w:rPr>
            </w:pPr>
            <w:r w:rsidRPr="00E27D3B">
              <w:rPr>
                <w:lang w:val="de-DE"/>
              </w:rPr>
              <w:t>Wind DFIG (G30, G32, G34)</w:t>
            </w:r>
          </w:p>
        </w:tc>
        <w:tc>
          <w:tcPr>
            <w:tcW w:w="1216" w:type="dxa"/>
          </w:tcPr>
          <w:p w14:paraId="1D93AEC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2FBE2DFC"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30548D" w14:textId="5013C8EC" w:rsidR="00A31EEA" w:rsidRPr="00547C88" w:rsidRDefault="00126FF5" w:rsidP="00CD4F3A">
            <w:pPr>
              <w:pStyle w:val="TableText"/>
              <w:jc w:val="center"/>
              <w:rPr>
                <w:b w:val="0"/>
                <w:bCs w:val="0"/>
              </w:rPr>
            </w:pPr>
            <w:r w:rsidRPr="00547C88">
              <w:fldChar w:fldCharType="begin"/>
            </w:r>
            <w:r w:rsidRPr="00547C88">
              <w:rPr>
                <w:b w:val="0"/>
                <w:bCs w:val="0"/>
              </w:rPr>
              <w:instrText xml:space="preserve"> REF _Ref230446198 \w \h </w:instrText>
            </w:r>
            <w:r w:rsidR="00547C88">
              <w:rPr>
                <w:b w:val="0"/>
                <w:bCs w:val="0"/>
              </w:rPr>
              <w:instrText xml:space="preserve"> \* MERGEFORMAT </w:instrText>
            </w:r>
            <w:r w:rsidRPr="00547C88">
              <w:fldChar w:fldCharType="separate"/>
            </w:r>
            <w:r w:rsidR="000A5F4C" w:rsidRPr="00547C88">
              <w:rPr>
                <w:b w:val="0"/>
                <w:bCs w:val="0"/>
              </w:rPr>
              <w:t>[99]</w:t>
            </w:r>
            <w:r w:rsidRPr="00547C88">
              <w:fldChar w:fldCharType="end"/>
            </w:r>
          </w:p>
        </w:tc>
        <w:tc>
          <w:tcPr>
            <w:tcW w:w="0" w:type="auto"/>
          </w:tcPr>
          <w:p w14:paraId="232896D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672E917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00903FC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1385" w:type="dxa"/>
          </w:tcPr>
          <w:p w14:paraId="38EB873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CSEE-VS, actual grid</w:t>
            </w:r>
          </w:p>
        </w:tc>
        <w:tc>
          <w:tcPr>
            <w:tcW w:w="3461" w:type="dxa"/>
          </w:tcPr>
          <w:p w14:paraId="3EAE2AB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30%-70% (PV + Wind)</w:t>
            </w:r>
          </w:p>
        </w:tc>
        <w:tc>
          <w:tcPr>
            <w:tcW w:w="1216" w:type="dxa"/>
          </w:tcPr>
          <w:p w14:paraId="3AAA3BA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0876F260"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2DF6F39D" w14:textId="220FD53C" w:rsidR="00A31EEA" w:rsidRPr="00547C88" w:rsidRDefault="00AB2E74"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_Ref230446209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[100]</w:t>
            </w:r>
            <w:r w:rsidRPr="00547C88">
              <w:rPr>
                <w:rFonts w:cs="Calibri"/>
              </w:rPr>
              <w:fldChar w:fldCharType="end"/>
            </w:r>
          </w:p>
        </w:tc>
        <w:tc>
          <w:tcPr>
            <w:tcW w:w="0" w:type="auto"/>
          </w:tcPr>
          <w:p w14:paraId="75ECAA6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1352C9A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6A0ECC0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54B629D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6B71171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G10 replaced with 700 MW wind</w:t>
            </w:r>
          </w:p>
        </w:tc>
        <w:tc>
          <w:tcPr>
            <w:tcW w:w="1216" w:type="dxa"/>
          </w:tcPr>
          <w:p w14:paraId="6C90C23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06EB84C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3D0A3E" w14:textId="54742DEC" w:rsidR="00A31EEA" w:rsidRPr="00547C88" w:rsidRDefault="00AB2E74"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_Ref230446221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[101]</w:t>
            </w:r>
            <w:r w:rsidRPr="00547C88">
              <w:rPr>
                <w:rFonts w:cs="Calibri"/>
              </w:rPr>
              <w:fldChar w:fldCharType="end"/>
            </w:r>
          </w:p>
        </w:tc>
        <w:tc>
          <w:tcPr>
            <w:tcW w:w="0" w:type="auto"/>
          </w:tcPr>
          <w:p w14:paraId="7EBEBD4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7670DF1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632BE83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Replacement</w:t>
            </w:r>
          </w:p>
        </w:tc>
        <w:tc>
          <w:tcPr>
            <w:tcW w:w="1385" w:type="dxa"/>
          </w:tcPr>
          <w:p w14:paraId="2677BAD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3461" w:type="dxa"/>
          </w:tcPr>
          <w:p w14:paraId="5A4729B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36.58% (bus 32, 35, 37) (1.5   </w:t>
            </w:r>
          </w:p>
          <w:p w14:paraId="7718FF8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 </w:t>
            </w:r>
            <w:r w:rsidRPr="00E27D3B">
              <w:rPr>
                <w:rFonts w:cs="Calibri"/>
              </w:rPr>
              <w:t>×</w:t>
            </w:r>
            <w:r w:rsidRPr="00E27D3B">
              <w:t xml:space="preserve"> remaining Generators)</w:t>
            </w:r>
          </w:p>
        </w:tc>
        <w:tc>
          <w:tcPr>
            <w:tcW w:w="1216" w:type="dxa"/>
          </w:tcPr>
          <w:p w14:paraId="150F4C3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32AB263E"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1451222E" w14:textId="08128962" w:rsidR="00A31EEA" w:rsidRPr="00547C88" w:rsidRDefault="00BA69DC"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_Ref230446242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[102]</w:t>
            </w:r>
            <w:r w:rsidRPr="00547C88">
              <w:rPr>
                <w:rFonts w:cs="Calibri"/>
              </w:rPr>
              <w:fldChar w:fldCharType="end"/>
            </w:r>
          </w:p>
        </w:tc>
        <w:tc>
          <w:tcPr>
            <w:tcW w:w="0" w:type="auto"/>
          </w:tcPr>
          <w:p w14:paraId="0799036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14250F5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6CCB476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4D7F852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3024D6E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G10, G8</w:t>
            </w:r>
          </w:p>
        </w:tc>
        <w:tc>
          <w:tcPr>
            <w:tcW w:w="1216" w:type="dxa"/>
          </w:tcPr>
          <w:p w14:paraId="105547A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435B56D3"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E6D80F" w14:textId="4A2D357D" w:rsidR="00A31EEA" w:rsidRPr="00547C88" w:rsidRDefault="00BA69DC"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_Ref230446262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[103]</w:t>
            </w:r>
            <w:r w:rsidRPr="00547C88">
              <w:rPr>
                <w:rFonts w:cs="Calibri"/>
              </w:rPr>
              <w:fldChar w:fldCharType="end"/>
            </w:r>
          </w:p>
        </w:tc>
        <w:tc>
          <w:tcPr>
            <w:tcW w:w="0" w:type="auto"/>
          </w:tcPr>
          <w:p w14:paraId="34FBB8D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37EF515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7310881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Addition</w:t>
            </w:r>
          </w:p>
        </w:tc>
        <w:tc>
          <w:tcPr>
            <w:tcW w:w="1385" w:type="dxa"/>
          </w:tcPr>
          <w:p w14:paraId="5C42B6F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3461" w:type="dxa"/>
          </w:tcPr>
          <w:p w14:paraId="0673353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Bus 6, 15 ,18 (PV + Wind) 25% penetration</w:t>
            </w:r>
          </w:p>
        </w:tc>
        <w:tc>
          <w:tcPr>
            <w:tcW w:w="1216" w:type="dxa"/>
          </w:tcPr>
          <w:p w14:paraId="0CCD845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70C8C3A1"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221EA63C" w14:textId="4369E1CA" w:rsidR="00A31EEA" w:rsidRPr="00547C88" w:rsidRDefault="005B4063"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_Ref230446275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[104]</w:t>
            </w:r>
            <w:r w:rsidRPr="00547C88">
              <w:rPr>
                <w:rFonts w:cs="Calibri"/>
              </w:rPr>
              <w:fldChar w:fldCharType="end"/>
            </w:r>
          </w:p>
        </w:tc>
        <w:tc>
          <w:tcPr>
            <w:tcW w:w="0" w:type="auto"/>
          </w:tcPr>
          <w:p w14:paraId="0CDC0D8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70FF198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0583401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173D6E9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Nordic</w:t>
            </w:r>
          </w:p>
        </w:tc>
        <w:tc>
          <w:tcPr>
            <w:tcW w:w="3461" w:type="dxa"/>
          </w:tcPr>
          <w:p w14:paraId="2AC798D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G6, G7 replaced with 5 PV-BESS plants (130 MVA each), G14 with 3 PV-BESS plants (240 MVA each), G17 with 2 PV-BESS plants (300 MVA each). Out of </w:t>
            </w:r>
            <w:r>
              <w:t xml:space="preserve">these </w:t>
            </w:r>
            <w:r w:rsidRPr="00E27D3B">
              <w:t>10 PV-BESS plants, 3 use GFM inverters, 7 use GFL inverters.</w:t>
            </w:r>
          </w:p>
        </w:tc>
        <w:tc>
          <w:tcPr>
            <w:tcW w:w="1216" w:type="dxa"/>
          </w:tcPr>
          <w:p w14:paraId="463EC2E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25BA8F4E"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05E6E8" w14:textId="5007D301" w:rsidR="00A31EEA" w:rsidRPr="00547C88" w:rsidRDefault="005B4063"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_Ref230446286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[105]</w:t>
            </w:r>
            <w:r w:rsidRPr="00547C88">
              <w:rPr>
                <w:rFonts w:cs="Calibri"/>
              </w:rPr>
              <w:fldChar w:fldCharType="end"/>
            </w:r>
          </w:p>
        </w:tc>
        <w:tc>
          <w:tcPr>
            <w:tcW w:w="0" w:type="auto"/>
          </w:tcPr>
          <w:p w14:paraId="3A78300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0" w:type="auto"/>
          </w:tcPr>
          <w:p w14:paraId="2FD6EC3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6330968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Addition</w:t>
            </w:r>
          </w:p>
        </w:tc>
        <w:tc>
          <w:tcPr>
            <w:tcW w:w="1385" w:type="dxa"/>
          </w:tcPr>
          <w:p w14:paraId="5A0B9AC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Nordic</w:t>
            </w:r>
          </w:p>
        </w:tc>
        <w:tc>
          <w:tcPr>
            <w:tcW w:w="3461" w:type="dxa"/>
          </w:tcPr>
          <w:p w14:paraId="0A3C8C3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At distribution feeders, 3 types of DERs (new model)</w:t>
            </w:r>
          </w:p>
        </w:tc>
        <w:tc>
          <w:tcPr>
            <w:tcW w:w="1216" w:type="dxa"/>
          </w:tcPr>
          <w:p w14:paraId="4FDB28D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r w:rsidR="00A31EEA" w:rsidRPr="00E27D3B" w14:paraId="24FB9992"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01187CF4" w14:textId="5736B849" w:rsidR="00A31EEA" w:rsidRPr="00547C88" w:rsidRDefault="005B4063"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_Ref230446298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[106]</w:t>
            </w:r>
            <w:r w:rsidRPr="00547C88">
              <w:rPr>
                <w:rFonts w:cs="Calibri"/>
              </w:rPr>
              <w:fldChar w:fldCharType="end"/>
            </w:r>
          </w:p>
        </w:tc>
        <w:tc>
          <w:tcPr>
            <w:tcW w:w="0" w:type="auto"/>
          </w:tcPr>
          <w:p w14:paraId="237E596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0" w:type="auto"/>
          </w:tcPr>
          <w:p w14:paraId="4138D08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rPr>
              <w:t>✓</w:t>
            </w:r>
          </w:p>
        </w:tc>
        <w:tc>
          <w:tcPr>
            <w:tcW w:w="0" w:type="auto"/>
          </w:tcPr>
          <w:p w14:paraId="3BA4F05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Replacement</w:t>
            </w:r>
          </w:p>
        </w:tc>
        <w:tc>
          <w:tcPr>
            <w:tcW w:w="1385" w:type="dxa"/>
          </w:tcPr>
          <w:p w14:paraId="41A6518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3461" w:type="dxa"/>
          </w:tcPr>
          <w:p w14:paraId="2492091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G8, G10 replaced with PMSG (Wind) </w:t>
            </w:r>
          </w:p>
        </w:tc>
        <w:tc>
          <w:tcPr>
            <w:tcW w:w="1216" w:type="dxa"/>
          </w:tcPr>
          <w:p w14:paraId="1173DD4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STVS</w:t>
            </w:r>
          </w:p>
        </w:tc>
      </w:tr>
      <w:tr w:rsidR="00A31EEA" w:rsidRPr="00E27D3B" w14:paraId="1822339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F4E27" w14:textId="6948AA13" w:rsidR="00A31EEA" w:rsidRPr="00547C88" w:rsidRDefault="00690C6B" w:rsidP="00CD4F3A">
            <w:pPr>
              <w:pStyle w:val="TableText"/>
              <w:jc w:val="center"/>
              <w:rPr>
                <w:rFonts w:cs="Calibri"/>
                <w:b w:val="0"/>
                <w:bCs w:val="0"/>
              </w:rPr>
            </w:pPr>
            <w:r w:rsidRPr="00547C88">
              <w:rPr>
                <w:rFonts w:cs="Calibri"/>
              </w:rPr>
              <w:fldChar w:fldCharType="begin"/>
            </w:r>
            <w:r w:rsidRPr="00547C88">
              <w:rPr>
                <w:rFonts w:cs="Calibri"/>
                <w:b w:val="0"/>
                <w:bCs w:val="0"/>
              </w:rPr>
              <w:instrText xml:space="preserve"> REF _Ref230445612 \w \h </w:instrText>
            </w:r>
            <w:r w:rsidR="00547C88">
              <w:rPr>
                <w:rFonts w:cs="Calibri"/>
                <w:b w:val="0"/>
                <w:bCs w:val="0"/>
              </w:rPr>
              <w:instrText xml:space="preserve"> \* MERGEFORMAT </w:instrText>
            </w:r>
            <w:r w:rsidRPr="00547C88">
              <w:rPr>
                <w:rFonts w:cs="Calibri"/>
              </w:rPr>
            </w:r>
            <w:r w:rsidRPr="00547C88">
              <w:rPr>
                <w:rFonts w:cs="Calibri"/>
              </w:rPr>
              <w:fldChar w:fldCharType="separate"/>
            </w:r>
            <w:r w:rsidR="000A5F4C" w:rsidRPr="00547C88">
              <w:rPr>
                <w:rFonts w:cs="Calibri"/>
                <w:b w:val="0"/>
                <w:bCs w:val="0"/>
              </w:rPr>
              <w:t>[86]</w:t>
            </w:r>
            <w:r w:rsidRPr="00547C88">
              <w:rPr>
                <w:rFonts w:cs="Calibri"/>
              </w:rPr>
              <w:fldChar w:fldCharType="end"/>
            </w:r>
          </w:p>
        </w:tc>
        <w:tc>
          <w:tcPr>
            <w:tcW w:w="0" w:type="auto"/>
          </w:tcPr>
          <w:p w14:paraId="0EA61F6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160EDE0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rPr>
              <w:t>✓</w:t>
            </w:r>
          </w:p>
        </w:tc>
        <w:tc>
          <w:tcPr>
            <w:tcW w:w="0" w:type="auto"/>
          </w:tcPr>
          <w:p w14:paraId="53695E5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1385" w:type="dxa"/>
          </w:tcPr>
          <w:p w14:paraId="0C54B2E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14-bus, 220 kV Kerala Grid</w:t>
            </w:r>
          </w:p>
        </w:tc>
        <w:tc>
          <w:tcPr>
            <w:tcW w:w="3461" w:type="dxa"/>
          </w:tcPr>
          <w:p w14:paraId="2860217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16 MW PV, 16 MW Wind (14-bus)</w:t>
            </w:r>
          </w:p>
          <w:p w14:paraId="0AF061A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6.82% PV, 1.82% Wind (Kerala)</w:t>
            </w:r>
          </w:p>
        </w:tc>
        <w:tc>
          <w:tcPr>
            <w:tcW w:w="1216" w:type="dxa"/>
          </w:tcPr>
          <w:p w14:paraId="42DFA0A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STVS</w:t>
            </w:r>
          </w:p>
        </w:tc>
      </w:tr>
    </w:tbl>
    <w:p w14:paraId="73218E9A" w14:textId="77777777" w:rsidR="00A31EEA" w:rsidRPr="00E27D3B" w:rsidRDefault="00A31EEA" w:rsidP="00CD4F3A">
      <w:pPr>
        <w:pStyle w:val="Heading2"/>
      </w:pPr>
      <w:bookmarkStart w:id="270" w:name="_Toc223627372"/>
      <w:bookmarkStart w:id="271" w:name="_Toc224235076"/>
      <w:bookmarkStart w:id="272" w:name="_Toc233734318"/>
      <w:r w:rsidRPr="00E27D3B">
        <w:t>Short-Term Voltage Stability</w:t>
      </w:r>
      <w:bookmarkEnd w:id="270"/>
      <w:bookmarkEnd w:id="271"/>
      <w:bookmarkEnd w:id="272"/>
    </w:p>
    <w:p w14:paraId="6968A1FA" w14:textId="77777777" w:rsidR="00A31EEA" w:rsidRPr="00E27D3B" w:rsidRDefault="00A31EEA" w:rsidP="00115469">
      <w:pPr>
        <w:spacing w:after="0"/>
        <w:rPr>
          <w:sz w:val="24"/>
          <w:szCs w:val="24"/>
        </w:rPr>
      </w:pPr>
      <w:r w:rsidRPr="00E27D3B">
        <w:rPr>
          <w:sz w:val="24"/>
          <w:szCs w:val="24"/>
        </w:rPr>
        <w:t>It involves dynamics of fast acting load components such as:</w:t>
      </w:r>
    </w:p>
    <w:p w14:paraId="6E1AF3B8" w14:textId="77777777" w:rsidR="00A31EEA" w:rsidRPr="00E27D3B" w:rsidRDefault="00A31EEA" w:rsidP="00115469">
      <w:pPr>
        <w:pStyle w:val="ListParagraph0"/>
        <w:numPr>
          <w:ilvl w:val="0"/>
          <w:numId w:val="27"/>
        </w:numPr>
        <w:spacing w:before="120" w:after="0"/>
        <w:ind w:left="760" w:hanging="357"/>
        <w:contextualSpacing w:val="0"/>
      </w:pPr>
      <w:r w:rsidRPr="00E27D3B">
        <w:t xml:space="preserve">induction motors (e.g. air conditioners causing fault-induced delayed voltage recovery (FIDVR)), </w:t>
      </w:r>
    </w:p>
    <w:p w14:paraId="1B04DC5F" w14:textId="77777777" w:rsidR="00A31EEA" w:rsidRPr="00E27D3B" w:rsidRDefault="00A31EEA" w:rsidP="00115469">
      <w:pPr>
        <w:pStyle w:val="ListParagraph0"/>
        <w:numPr>
          <w:ilvl w:val="0"/>
          <w:numId w:val="27"/>
        </w:numPr>
        <w:spacing w:before="120" w:after="0"/>
        <w:ind w:left="760" w:hanging="357"/>
        <w:contextualSpacing w:val="0"/>
      </w:pPr>
      <w:r w:rsidRPr="00E27D3B">
        <w:t xml:space="preserve">electronically controlled loads, </w:t>
      </w:r>
    </w:p>
    <w:p w14:paraId="2486EC2D" w14:textId="77777777" w:rsidR="00A31EEA" w:rsidRPr="00E27D3B" w:rsidRDefault="00A31EEA" w:rsidP="00115469">
      <w:pPr>
        <w:pStyle w:val="ListParagraph0"/>
        <w:numPr>
          <w:ilvl w:val="0"/>
          <w:numId w:val="27"/>
        </w:numPr>
        <w:spacing w:before="120" w:after="0"/>
        <w:ind w:left="760" w:hanging="357"/>
        <w:contextualSpacing w:val="0"/>
      </w:pPr>
      <w:r w:rsidRPr="00E27D3B">
        <w:t>HVDC links,</w:t>
      </w:r>
    </w:p>
    <w:p w14:paraId="671F2EA5" w14:textId="77777777" w:rsidR="00A31EEA" w:rsidRPr="00E27D3B" w:rsidRDefault="00A31EEA" w:rsidP="00115469">
      <w:pPr>
        <w:pStyle w:val="ListParagraph0"/>
        <w:numPr>
          <w:ilvl w:val="0"/>
          <w:numId w:val="27"/>
        </w:numPr>
        <w:spacing w:before="120" w:after="0"/>
        <w:ind w:left="760" w:hanging="357"/>
        <w:contextualSpacing w:val="0"/>
      </w:pPr>
      <w:r w:rsidRPr="00E27D3B">
        <w:t xml:space="preserve">Inverter-based generators. </w:t>
      </w:r>
    </w:p>
    <w:p w14:paraId="324D67E7" w14:textId="5241FADB" w:rsidR="00A31EEA" w:rsidRPr="00E27D3B" w:rsidRDefault="00A31EEA" w:rsidP="00115469">
      <w:pPr>
        <w:spacing w:after="0"/>
        <w:rPr>
          <w:sz w:val="24"/>
          <w:szCs w:val="24"/>
        </w:rPr>
      </w:pPr>
      <w:r w:rsidRPr="00E27D3B">
        <w:rPr>
          <w:sz w:val="24"/>
          <w:szCs w:val="24"/>
        </w:rPr>
        <w:t xml:space="preserve">The study period of interest is in the order of several seconds, typically 1 to 10 seconds. It can be studied up to 20 seconds as suggested in </w:t>
      </w:r>
      <w:r w:rsidR="00D662E2">
        <w:rPr>
          <w:sz w:val="24"/>
          <w:szCs w:val="24"/>
        </w:rPr>
        <w:fldChar w:fldCharType="begin"/>
      </w:r>
      <w:r w:rsidR="00D662E2">
        <w:rPr>
          <w:sz w:val="24"/>
          <w:szCs w:val="24"/>
        </w:rPr>
        <w:instrText xml:space="preserve"> REF _Ref230443608 \w \h </w:instrText>
      </w:r>
      <w:r w:rsidR="00CD4F3A">
        <w:rPr>
          <w:sz w:val="24"/>
          <w:szCs w:val="24"/>
        </w:rPr>
        <w:instrText xml:space="preserve"> \* MERGEFORMAT </w:instrText>
      </w:r>
      <w:r w:rsidR="00D662E2">
        <w:rPr>
          <w:sz w:val="24"/>
          <w:szCs w:val="24"/>
        </w:rPr>
      </w:r>
      <w:r w:rsidR="00D662E2">
        <w:rPr>
          <w:sz w:val="24"/>
          <w:szCs w:val="24"/>
        </w:rPr>
        <w:fldChar w:fldCharType="separate"/>
      </w:r>
      <w:r w:rsidR="004B183F">
        <w:rPr>
          <w:sz w:val="24"/>
          <w:szCs w:val="24"/>
        </w:rPr>
        <w:t>[80]</w:t>
      </w:r>
      <w:r w:rsidR="00D662E2">
        <w:rPr>
          <w:sz w:val="24"/>
          <w:szCs w:val="24"/>
        </w:rPr>
        <w:fldChar w:fldCharType="end"/>
      </w:r>
      <w:r w:rsidRPr="00E27D3B">
        <w:rPr>
          <w:sz w:val="24"/>
          <w:szCs w:val="24"/>
        </w:rPr>
        <w:t xml:space="preserve"> or even up to 30 seconds as suggested in</w:t>
      </w:r>
      <w:r w:rsidR="000F488D">
        <w:rPr>
          <w:sz w:val="24"/>
          <w:szCs w:val="24"/>
        </w:rPr>
        <w:t xml:space="preserve"> </w:t>
      </w:r>
      <w:r w:rsidR="000F488D">
        <w:rPr>
          <w:sz w:val="24"/>
          <w:szCs w:val="24"/>
        </w:rPr>
        <w:fldChar w:fldCharType="begin"/>
      </w:r>
      <w:r w:rsidR="000F488D">
        <w:rPr>
          <w:sz w:val="24"/>
          <w:szCs w:val="24"/>
        </w:rPr>
        <w:instrText xml:space="preserve"> REF _Ref230443643 \r \h </w:instrText>
      </w:r>
      <w:r w:rsidR="00CD4F3A">
        <w:rPr>
          <w:sz w:val="24"/>
          <w:szCs w:val="24"/>
        </w:rPr>
        <w:instrText xml:space="preserve"> \* MERGEFORMAT </w:instrText>
      </w:r>
      <w:r w:rsidR="000F488D">
        <w:rPr>
          <w:sz w:val="24"/>
          <w:szCs w:val="24"/>
        </w:rPr>
      </w:r>
      <w:r w:rsidR="000F488D">
        <w:rPr>
          <w:sz w:val="24"/>
          <w:szCs w:val="24"/>
        </w:rPr>
        <w:fldChar w:fldCharType="separate"/>
      </w:r>
      <w:r w:rsidR="004B183F">
        <w:rPr>
          <w:sz w:val="24"/>
          <w:szCs w:val="24"/>
        </w:rPr>
        <w:t>[81]</w:t>
      </w:r>
      <w:r w:rsidR="000F488D">
        <w:rPr>
          <w:sz w:val="24"/>
          <w:szCs w:val="24"/>
        </w:rPr>
        <w:fldChar w:fldCharType="end"/>
      </w:r>
      <w:r w:rsidRPr="00E27D3B">
        <w:rPr>
          <w:sz w:val="24"/>
          <w:szCs w:val="24"/>
        </w:rPr>
        <w:t xml:space="preserve">, and analysis requires solution of appropriate system differential equations. Dynamic modelling of loads is often essential. In contrast to angle stability, short circuits near loads are important. It is recommended that the term transient voltage stability not be used. The main concern of short-term voltage stability is </w:t>
      </w:r>
      <w:proofErr w:type="gramStart"/>
      <w:r w:rsidR="00115469" w:rsidRPr="00E27D3B">
        <w:rPr>
          <w:sz w:val="24"/>
          <w:szCs w:val="24"/>
        </w:rPr>
        <w:t>short-circuit</w:t>
      </w:r>
      <w:proofErr w:type="gramEnd"/>
      <w:r w:rsidR="00115469">
        <w:rPr>
          <w:sz w:val="24"/>
          <w:szCs w:val="24"/>
        </w:rPr>
        <w:t xml:space="preserve"> </w:t>
      </w:r>
      <w:r w:rsidRPr="00E27D3B">
        <w:rPr>
          <w:sz w:val="24"/>
          <w:szCs w:val="24"/>
        </w:rPr>
        <w:t>fault near loads, which is not the case in rotor-angle stability</w:t>
      </w:r>
      <w:r w:rsidR="00950306">
        <w:rPr>
          <w:sz w:val="24"/>
          <w:szCs w:val="24"/>
        </w:rPr>
        <w:t xml:space="preserve"> </w:t>
      </w:r>
      <w:r w:rsidR="00DE3F44">
        <w:rPr>
          <w:sz w:val="24"/>
          <w:szCs w:val="24"/>
        </w:rPr>
        <w:fldChar w:fldCharType="begin"/>
      </w:r>
      <w:r w:rsidR="00DE3F44">
        <w:rPr>
          <w:sz w:val="24"/>
          <w:szCs w:val="24"/>
        </w:rPr>
        <w:instrText xml:space="preserve"> REF _Ref223637497 \r \h </w:instrText>
      </w:r>
      <w:r w:rsidR="00CD4F3A">
        <w:rPr>
          <w:sz w:val="24"/>
          <w:szCs w:val="24"/>
        </w:rPr>
        <w:instrText xml:space="preserve"> \* MERGEFORMAT </w:instrText>
      </w:r>
      <w:r w:rsidR="00DE3F44">
        <w:rPr>
          <w:sz w:val="24"/>
          <w:szCs w:val="24"/>
        </w:rPr>
      </w:r>
      <w:r w:rsidR="00DE3F44">
        <w:rPr>
          <w:sz w:val="24"/>
          <w:szCs w:val="24"/>
        </w:rPr>
        <w:fldChar w:fldCharType="separate"/>
      </w:r>
      <w:r w:rsidR="004B183F">
        <w:rPr>
          <w:sz w:val="24"/>
          <w:szCs w:val="24"/>
        </w:rPr>
        <w:t>[1]</w:t>
      </w:r>
      <w:r w:rsidR="00DE3F44">
        <w:rPr>
          <w:sz w:val="24"/>
          <w:szCs w:val="24"/>
        </w:rPr>
        <w:fldChar w:fldCharType="end"/>
      </w:r>
      <w:r w:rsidR="00DE3F44">
        <w:rPr>
          <w:sz w:val="24"/>
          <w:szCs w:val="24"/>
        </w:rPr>
        <w:t>.</w:t>
      </w:r>
      <w:r w:rsidRPr="00E27D3B">
        <w:rPr>
          <w:sz w:val="24"/>
          <w:szCs w:val="24"/>
        </w:rPr>
        <w:t xml:space="preserve"> FIDVR is mostly due to stalling of air conditioning units, although it can happen due to any induction motor</w:t>
      </w:r>
      <w:r w:rsidR="00950306">
        <w:rPr>
          <w:sz w:val="24"/>
          <w:szCs w:val="24"/>
        </w:rPr>
        <w:t xml:space="preserve"> </w:t>
      </w:r>
      <w:r w:rsidR="00950306">
        <w:rPr>
          <w:sz w:val="24"/>
          <w:szCs w:val="24"/>
        </w:rPr>
        <w:fldChar w:fldCharType="begin"/>
      </w:r>
      <w:r w:rsidR="00950306">
        <w:rPr>
          <w:sz w:val="24"/>
          <w:szCs w:val="24"/>
        </w:rPr>
        <w:instrText xml:space="preserve"> REF _Ref230446440 \w \h </w:instrText>
      </w:r>
      <w:r w:rsidR="00CD4F3A">
        <w:rPr>
          <w:sz w:val="24"/>
          <w:szCs w:val="24"/>
        </w:rPr>
        <w:instrText xml:space="preserve"> \* MERGEFORMAT </w:instrText>
      </w:r>
      <w:r w:rsidR="00950306">
        <w:rPr>
          <w:sz w:val="24"/>
          <w:szCs w:val="24"/>
        </w:rPr>
      </w:r>
      <w:r w:rsidR="00950306">
        <w:rPr>
          <w:sz w:val="24"/>
          <w:szCs w:val="24"/>
        </w:rPr>
        <w:fldChar w:fldCharType="separate"/>
      </w:r>
      <w:r w:rsidR="004B183F">
        <w:rPr>
          <w:sz w:val="24"/>
          <w:szCs w:val="24"/>
        </w:rPr>
        <w:t>[107]</w:t>
      </w:r>
      <w:r w:rsidR="00950306">
        <w:rPr>
          <w:sz w:val="24"/>
          <w:szCs w:val="24"/>
        </w:rPr>
        <w:fldChar w:fldCharType="end"/>
      </w:r>
      <w:r w:rsidRPr="00E27D3B">
        <w:rPr>
          <w:sz w:val="24"/>
          <w:szCs w:val="24"/>
        </w:rPr>
        <w:t>.</w:t>
      </w:r>
    </w:p>
    <w:p w14:paraId="5E97DB56" w14:textId="77777777" w:rsidR="00A31EEA" w:rsidRPr="00E27D3B" w:rsidRDefault="00A31EEA" w:rsidP="00CD4F3A">
      <w:pPr>
        <w:pStyle w:val="Heading2"/>
      </w:pPr>
      <w:bookmarkStart w:id="273" w:name="_Toc223627373"/>
      <w:bookmarkStart w:id="274" w:name="_Toc224235077"/>
      <w:bookmarkStart w:id="275" w:name="_Toc233734319"/>
      <w:r w:rsidRPr="00E27D3B">
        <w:lastRenderedPageBreak/>
        <w:t>Motivation for Short-Term Voltage Stability Assessment</w:t>
      </w:r>
      <w:bookmarkEnd w:id="273"/>
      <w:bookmarkEnd w:id="274"/>
      <w:bookmarkEnd w:id="275"/>
    </w:p>
    <w:p w14:paraId="02C66AF5" w14:textId="77777777" w:rsidR="00A31EEA" w:rsidRPr="00E27D3B" w:rsidRDefault="00A31EEA" w:rsidP="00B749DE">
      <w:pPr>
        <w:spacing w:after="0"/>
        <w:rPr>
          <w:sz w:val="24"/>
          <w:szCs w:val="24"/>
        </w:rPr>
      </w:pPr>
      <w:r w:rsidRPr="00E27D3B">
        <w:rPr>
          <w:sz w:val="24"/>
          <w:szCs w:val="24"/>
        </w:rPr>
        <w:t>Short-term voltage stability assessment is essential for maintaining secure and reliable power system operation, supporting the following key operational and planning objectives:</w:t>
      </w:r>
    </w:p>
    <w:p w14:paraId="1101DE06" w14:textId="6072B5A4" w:rsidR="00A31EEA" w:rsidRPr="00E27D3B" w:rsidRDefault="00A31EEA" w:rsidP="00B749DE">
      <w:pPr>
        <w:numPr>
          <w:ilvl w:val="0"/>
          <w:numId w:val="28"/>
        </w:numPr>
        <w:spacing w:after="0"/>
        <w:ind w:left="714" w:hanging="357"/>
        <w:rPr>
          <w:sz w:val="24"/>
          <w:szCs w:val="24"/>
          <w:lang w:val="en-US"/>
        </w:rPr>
      </w:pPr>
      <w:r w:rsidRPr="00E27D3B">
        <w:rPr>
          <w:sz w:val="24"/>
          <w:szCs w:val="24"/>
        </w:rPr>
        <w:t>To prevent voltage collapse leading to blackouts with their socio-economic consequences</w:t>
      </w:r>
      <w:r w:rsidR="00115469">
        <w:rPr>
          <w:sz w:val="24"/>
          <w:szCs w:val="24"/>
        </w:rPr>
        <w:t>.</w:t>
      </w:r>
    </w:p>
    <w:p w14:paraId="0FAF3552" w14:textId="72ED21C2" w:rsidR="00A31EEA" w:rsidRPr="00E27D3B" w:rsidRDefault="00A31EEA" w:rsidP="00B749DE">
      <w:pPr>
        <w:numPr>
          <w:ilvl w:val="0"/>
          <w:numId w:val="28"/>
        </w:numPr>
        <w:spacing w:after="0"/>
        <w:ind w:left="714" w:hanging="357"/>
        <w:rPr>
          <w:sz w:val="24"/>
          <w:szCs w:val="24"/>
          <w:lang w:val="en-US"/>
        </w:rPr>
      </w:pPr>
      <w:r w:rsidRPr="00E27D3B">
        <w:rPr>
          <w:sz w:val="24"/>
          <w:szCs w:val="24"/>
        </w:rPr>
        <w:t>To avoid sustained low voltage conditions</w:t>
      </w:r>
      <w:r w:rsidR="00115469">
        <w:rPr>
          <w:sz w:val="24"/>
          <w:szCs w:val="24"/>
        </w:rPr>
        <w:t>.</w:t>
      </w:r>
    </w:p>
    <w:p w14:paraId="4F9D4A8D" w14:textId="1F4BC0EC" w:rsidR="00A31EEA" w:rsidRPr="00E27D3B" w:rsidRDefault="00A31EEA" w:rsidP="00B749DE">
      <w:pPr>
        <w:numPr>
          <w:ilvl w:val="0"/>
          <w:numId w:val="28"/>
        </w:numPr>
        <w:spacing w:after="0"/>
        <w:ind w:left="714" w:hanging="357"/>
        <w:rPr>
          <w:sz w:val="24"/>
          <w:szCs w:val="24"/>
          <w:lang w:val="en-US"/>
        </w:rPr>
      </w:pPr>
      <w:r w:rsidRPr="00E27D3B">
        <w:rPr>
          <w:sz w:val="24"/>
          <w:szCs w:val="24"/>
        </w:rPr>
        <w:t>To support system operators in taking timely corrective actions, such as load shedding</w:t>
      </w:r>
      <w:r w:rsidR="00115469">
        <w:rPr>
          <w:sz w:val="24"/>
          <w:szCs w:val="24"/>
        </w:rPr>
        <w:t>.</w:t>
      </w:r>
    </w:p>
    <w:p w14:paraId="6041F32A" w14:textId="5C898556" w:rsidR="00A31EEA" w:rsidRPr="00E27D3B" w:rsidRDefault="00A31EEA" w:rsidP="00B749DE">
      <w:pPr>
        <w:numPr>
          <w:ilvl w:val="0"/>
          <w:numId w:val="28"/>
        </w:numPr>
        <w:spacing w:after="0"/>
        <w:ind w:left="714" w:hanging="357"/>
        <w:rPr>
          <w:sz w:val="24"/>
          <w:szCs w:val="24"/>
          <w:lang w:val="en-US"/>
        </w:rPr>
      </w:pPr>
      <w:r w:rsidRPr="00E27D3B">
        <w:rPr>
          <w:sz w:val="24"/>
          <w:szCs w:val="24"/>
        </w:rPr>
        <w:t>To avoid reactive power deficiency</w:t>
      </w:r>
      <w:r w:rsidR="00115469">
        <w:rPr>
          <w:sz w:val="24"/>
          <w:szCs w:val="24"/>
        </w:rPr>
        <w:t>.</w:t>
      </w:r>
      <w:r w:rsidRPr="00E27D3B">
        <w:rPr>
          <w:sz w:val="24"/>
          <w:szCs w:val="24"/>
        </w:rPr>
        <w:t xml:space="preserve"> </w:t>
      </w:r>
    </w:p>
    <w:p w14:paraId="5D1A7A55" w14:textId="62192A3D" w:rsidR="00A31EEA" w:rsidRPr="00E27D3B" w:rsidRDefault="00A31EEA" w:rsidP="00B749DE">
      <w:pPr>
        <w:numPr>
          <w:ilvl w:val="0"/>
          <w:numId w:val="28"/>
        </w:numPr>
        <w:spacing w:after="0"/>
        <w:ind w:left="714" w:hanging="357"/>
        <w:rPr>
          <w:sz w:val="24"/>
          <w:szCs w:val="24"/>
          <w:lang w:val="en-US"/>
        </w:rPr>
      </w:pPr>
      <w:r w:rsidRPr="00E27D3B">
        <w:rPr>
          <w:sz w:val="24"/>
          <w:szCs w:val="24"/>
        </w:rPr>
        <w:t>To guide optimal placement of dynamic VAR devices as part of system planning and reinforcement</w:t>
      </w:r>
      <w:r w:rsidR="00115469">
        <w:rPr>
          <w:sz w:val="24"/>
          <w:szCs w:val="24"/>
        </w:rPr>
        <w:t>.</w:t>
      </w:r>
    </w:p>
    <w:p w14:paraId="5BD3F42E" w14:textId="4BB2B297" w:rsidR="00A31EEA" w:rsidRPr="00E27D3B" w:rsidRDefault="00A31EEA" w:rsidP="00B749DE">
      <w:pPr>
        <w:numPr>
          <w:ilvl w:val="0"/>
          <w:numId w:val="28"/>
        </w:numPr>
        <w:spacing w:after="0"/>
        <w:ind w:left="714" w:hanging="357"/>
        <w:rPr>
          <w:sz w:val="24"/>
          <w:szCs w:val="24"/>
          <w:lang w:val="en-US"/>
        </w:rPr>
      </w:pPr>
      <w:r w:rsidRPr="00E27D3B">
        <w:rPr>
          <w:sz w:val="24"/>
          <w:szCs w:val="24"/>
        </w:rPr>
        <w:t>To identify critical grid regions or weak areas in relation to short-term voltage stability</w:t>
      </w:r>
      <w:r w:rsidR="00115469">
        <w:rPr>
          <w:sz w:val="24"/>
          <w:szCs w:val="24"/>
        </w:rPr>
        <w:t>.</w:t>
      </w:r>
    </w:p>
    <w:p w14:paraId="6D4B78BA" w14:textId="698EC2B2" w:rsidR="00A31EEA" w:rsidRPr="00E27D3B" w:rsidRDefault="00A31EEA" w:rsidP="00B749DE">
      <w:pPr>
        <w:numPr>
          <w:ilvl w:val="0"/>
          <w:numId w:val="28"/>
        </w:numPr>
        <w:spacing w:after="0"/>
        <w:ind w:left="714" w:hanging="357"/>
        <w:rPr>
          <w:sz w:val="24"/>
          <w:szCs w:val="24"/>
          <w:lang w:val="en-US"/>
        </w:rPr>
      </w:pPr>
      <w:r w:rsidRPr="00E27D3B">
        <w:rPr>
          <w:sz w:val="24"/>
          <w:szCs w:val="24"/>
        </w:rPr>
        <w:t>To prevent fault-induced delayed voltage recovery (FIDVR) and avoiding undesirable actions, such as tripping of wind turbine due to insufficient low-voltage ride-through capability</w:t>
      </w:r>
      <w:r w:rsidR="00115469">
        <w:rPr>
          <w:sz w:val="24"/>
          <w:szCs w:val="24"/>
        </w:rPr>
        <w:t>.</w:t>
      </w:r>
    </w:p>
    <w:p w14:paraId="0363669E" w14:textId="77777777" w:rsidR="00A31EEA" w:rsidRPr="00E27D3B" w:rsidRDefault="00A31EEA" w:rsidP="00CD4F3A">
      <w:pPr>
        <w:pStyle w:val="Heading2"/>
      </w:pPr>
      <w:bookmarkStart w:id="276" w:name="_Toc223627374"/>
      <w:bookmarkStart w:id="277" w:name="_Toc224235078"/>
      <w:bookmarkStart w:id="278" w:name="_Toc233734320"/>
      <w:r w:rsidRPr="00E27D3B">
        <w:t>Criteria for Assessing Short-Term Voltage Stability</w:t>
      </w:r>
      <w:bookmarkEnd w:id="276"/>
      <w:bookmarkEnd w:id="277"/>
      <w:bookmarkEnd w:id="278"/>
    </w:p>
    <w:p w14:paraId="1764765F" w14:textId="75E6779C" w:rsidR="00A31EEA" w:rsidRPr="00E27D3B" w:rsidRDefault="00A31EEA" w:rsidP="00B749DE">
      <w:pPr>
        <w:spacing w:after="0"/>
        <w:rPr>
          <w:sz w:val="24"/>
          <w:szCs w:val="24"/>
        </w:rPr>
      </w:pPr>
      <w:bookmarkStart w:id="279" w:name="_Toc230342889"/>
      <w:bookmarkStart w:id="280" w:name="_Toc233735312"/>
      <w:r w:rsidRPr="00E27D3B">
        <w:rPr>
          <w:sz w:val="24"/>
          <w:szCs w:val="24"/>
        </w:rPr>
        <w:t xml:space="preserve">Short-term voltage stability criteria, used in different parts of the world, are listed in Table </w:t>
      </w:r>
      <w:fldSimple w:instr=" SEQ Table \* ARABIC ">
        <w:r w:rsidR="00BF32EB">
          <w:rPr>
            <w:noProof/>
          </w:rPr>
          <w:t>18</w:t>
        </w:r>
      </w:fldSimple>
      <w:r w:rsidRPr="00E27D3B">
        <w:rPr>
          <w:sz w:val="24"/>
          <w:szCs w:val="24"/>
        </w:rPr>
        <w:t xml:space="preserve"> </w:t>
      </w:r>
      <w:r w:rsidR="00E50229">
        <w:rPr>
          <w:sz w:val="24"/>
          <w:szCs w:val="24"/>
        </w:rPr>
        <w:fldChar w:fldCharType="begin"/>
      </w:r>
      <w:r w:rsidR="00E50229">
        <w:rPr>
          <w:sz w:val="24"/>
          <w:szCs w:val="24"/>
        </w:rPr>
        <w:instrText xml:space="preserve"> REF _Ref230446440 \w \h </w:instrText>
      </w:r>
      <w:r w:rsidR="00CD4F3A">
        <w:rPr>
          <w:sz w:val="24"/>
          <w:szCs w:val="24"/>
        </w:rPr>
        <w:instrText xml:space="preserve"> \* MERGEFORMAT </w:instrText>
      </w:r>
      <w:r w:rsidR="00E50229">
        <w:rPr>
          <w:sz w:val="24"/>
          <w:szCs w:val="24"/>
        </w:rPr>
      </w:r>
      <w:r w:rsidR="00E50229">
        <w:rPr>
          <w:sz w:val="24"/>
          <w:szCs w:val="24"/>
        </w:rPr>
        <w:fldChar w:fldCharType="separate"/>
      </w:r>
      <w:r w:rsidR="004B183F">
        <w:rPr>
          <w:sz w:val="24"/>
          <w:szCs w:val="24"/>
        </w:rPr>
        <w:t>[107]</w:t>
      </w:r>
      <w:r w:rsidR="00E50229">
        <w:rPr>
          <w:sz w:val="24"/>
          <w:szCs w:val="24"/>
        </w:rPr>
        <w:fldChar w:fldCharType="end"/>
      </w:r>
      <w:r w:rsidRPr="00E27D3B">
        <w:rPr>
          <w:noProof/>
          <w:sz w:val="24"/>
          <w:szCs w:val="24"/>
        </w:rPr>
        <w:t>:</w:t>
      </w:r>
      <w:bookmarkEnd w:id="279"/>
      <w:bookmarkEnd w:id="280"/>
    </w:p>
    <w:p w14:paraId="041DCC1E" w14:textId="21C2F167" w:rsidR="00A31EEA" w:rsidRPr="004239CB" w:rsidRDefault="00A31EEA" w:rsidP="00CD4F3A">
      <w:pPr>
        <w:pStyle w:val="Caption"/>
        <w:spacing w:line="240" w:lineRule="auto"/>
      </w:pPr>
      <w:bookmarkStart w:id="281" w:name="_Toc223626408"/>
      <w:bookmarkStart w:id="282" w:name="_Toc224235169"/>
      <w:bookmarkStart w:id="283" w:name="_Toc233735313"/>
      <w:r w:rsidRPr="004239CB">
        <w:t xml:space="preserve">Table </w:t>
      </w:r>
      <w:fldSimple w:instr=" SEQ Table \* ARABIC ">
        <w:r w:rsidR="00753DAF" w:rsidRPr="004239CB">
          <w:t>18</w:t>
        </w:r>
      </w:fldSimple>
      <w:r w:rsidR="00463216">
        <w:t>:</w:t>
      </w:r>
      <w:r w:rsidRPr="004239CB">
        <w:t xml:space="preserve"> Short-term voltage stability </w:t>
      </w:r>
      <w:bookmarkEnd w:id="281"/>
      <w:r w:rsidRPr="004239CB">
        <w:t>criteria</w:t>
      </w:r>
      <w:bookmarkEnd w:id="282"/>
      <w:r w:rsidR="00C364EF">
        <w:t>.</w:t>
      </w:r>
      <w:bookmarkEnd w:id="283"/>
    </w:p>
    <w:tbl>
      <w:tblPr>
        <w:tblStyle w:val="TableCSIRO"/>
        <w:tblW w:w="0" w:type="auto"/>
        <w:tblLook w:val="04A0" w:firstRow="1" w:lastRow="0" w:firstColumn="1" w:lastColumn="0" w:noHBand="0" w:noVBand="1"/>
      </w:tblPr>
      <w:tblGrid>
        <w:gridCol w:w="555"/>
        <w:gridCol w:w="5508"/>
        <w:gridCol w:w="1454"/>
        <w:gridCol w:w="2008"/>
      </w:tblGrid>
      <w:tr w:rsidR="00A31EEA" w:rsidRPr="00E27D3B" w14:paraId="53CA5BFB"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2C57D2" w14:textId="77777777" w:rsidR="00A31EEA" w:rsidRPr="00E27D3B" w:rsidRDefault="00A31EEA" w:rsidP="00CD4F3A">
            <w:pPr>
              <w:pStyle w:val="TableText"/>
              <w:rPr>
                <w:b w:val="0"/>
                <w:bCs w:val="0"/>
                <w:color w:val="FFFFFF" w:themeColor="background1"/>
              </w:rPr>
            </w:pPr>
            <w:r w:rsidRPr="00E27D3B">
              <w:rPr>
                <w:color w:val="FFFFFF" w:themeColor="background1"/>
              </w:rPr>
              <w:t>Ref.</w:t>
            </w:r>
          </w:p>
        </w:tc>
        <w:tc>
          <w:tcPr>
            <w:tcW w:w="0" w:type="auto"/>
          </w:tcPr>
          <w:p w14:paraId="6E31BA40"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Authority</w:t>
            </w:r>
          </w:p>
        </w:tc>
        <w:tc>
          <w:tcPr>
            <w:tcW w:w="0" w:type="auto"/>
          </w:tcPr>
          <w:p w14:paraId="04C3147A"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Voltage </w:t>
            </w:r>
          </w:p>
          <w:p w14:paraId="4AF53D19"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Threshold</w:t>
            </w:r>
          </w:p>
        </w:tc>
        <w:tc>
          <w:tcPr>
            <w:tcW w:w="0" w:type="auto"/>
          </w:tcPr>
          <w:p w14:paraId="3D35CB70"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Duration of under voltage</w:t>
            </w:r>
          </w:p>
        </w:tc>
      </w:tr>
      <w:tr w:rsidR="00A31EEA" w:rsidRPr="00E27D3B" w14:paraId="328A0BE9"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37934A" w14:textId="5DEC1D60" w:rsidR="00A31EEA" w:rsidRPr="00547C88" w:rsidRDefault="00E1122B" w:rsidP="00CD4F3A">
            <w:pPr>
              <w:pStyle w:val="TableText"/>
              <w:rPr>
                <w:b w:val="0"/>
                <w:bCs w:val="0"/>
              </w:rPr>
            </w:pPr>
            <w:r w:rsidRPr="00547C88">
              <w:fldChar w:fldCharType="begin"/>
            </w:r>
            <w:r w:rsidRPr="00547C88">
              <w:rPr>
                <w:b w:val="0"/>
                <w:bCs w:val="0"/>
              </w:rPr>
              <w:instrText xml:space="preserve"> REF _Ref230446574 \w \h </w:instrText>
            </w:r>
            <w:r w:rsidR="00547C88">
              <w:rPr>
                <w:b w:val="0"/>
                <w:bCs w:val="0"/>
              </w:rPr>
              <w:instrText xml:space="preserve"> \* MERGEFORMAT </w:instrText>
            </w:r>
            <w:r w:rsidRPr="00547C88">
              <w:fldChar w:fldCharType="separate"/>
            </w:r>
            <w:r w:rsidR="003B3BE0" w:rsidRPr="00547C88">
              <w:rPr>
                <w:b w:val="0"/>
                <w:bCs w:val="0"/>
              </w:rPr>
              <w:t>[109]</w:t>
            </w:r>
            <w:r w:rsidRPr="00547C88">
              <w:fldChar w:fldCharType="end"/>
            </w:r>
          </w:p>
        </w:tc>
        <w:tc>
          <w:tcPr>
            <w:tcW w:w="0" w:type="auto"/>
          </w:tcPr>
          <w:p w14:paraId="101A2EF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WECC (N-1) for faults causing FIDVR</w:t>
            </w:r>
          </w:p>
        </w:tc>
        <w:tc>
          <w:tcPr>
            <w:tcW w:w="0" w:type="auto"/>
          </w:tcPr>
          <w:p w14:paraId="57886C3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 </w:t>
            </w:r>
            <w:proofErr w:type="spellStart"/>
            <w:r w:rsidRPr="00E27D3B">
              <w:t>pu</w:t>
            </w:r>
            <w:proofErr w:type="spellEnd"/>
            <w:r w:rsidRPr="00E27D3B">
              <w:t xml:space="preserve"> of pre-fault</w:t>
            </w:r>
          </w:p>
        </w:tc>
        <w:tc>
          <w:tcPr>
            <w:tcW w:w="0" w:type="auto"/>
          </w:tcPr>
          <w:p w14:paraId="27ACFD9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20 s</w:t>
            </w:r>
          </w:p>
        </w:tc>
      </w:tr>
      <w:tr w:rsidR="00A31EEA" w:rsidRPr="00E27D3B" w14:paraId="46158989"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74F7B2FF" w14:textId="462FCC9B" w:rsidR="00A31EEA" w:rsidRPr="00547C88" w:rsidRDefault="00E1122B"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5D9ADA2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WECC for faults not causing FIDVR</w:t>
            </w:r>
          </w:p>
        </w:tc>
        <w:tc>
          <w:tcPr>
            <w:tcW w:w="0" w:type="auto"/>
          </w:tcPr>
          <w:p w14:paraId="18B0957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0.7 </w:t>
            </w:r>
            <w:proofErr w:type="spellStart"/>
            <w:r w:rsidRPr="00E27D3B">
              <w:t>pu</w:t>
            </w:r>
            <w:proofErr w:type="spellEnd"/>
            <w:r w:rsidRPr="00E27D3B">
              <w:t xml:space="preserve"> of pre-fault</w:t>
            </w:r>
          </w:p>
        </w:tc>
        <w:tc>
          <w:tcPr>
            <w:tcW w:w="0" w:type="auto"/>
          </w:tcPr>
          <w:p w14:paraId="4961C02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0.5 s</w:t>
            </w:r>
          </w:p>
        </w:tc>
      </w:tr>
      <w:tr w:rsidR="00A31EEA" w:rsidRPr="00E27D3B" w14:paraId="4BBA097A"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4A1FCA" w14:textId="32C94341" w:rsidR="00A31EEA" w:rsidRPr="00547C88" w:rsidRDefault="00E61BF1"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0DB26C1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WECC for faults not causing FIDVR</w:t>
            </w:r>
          </w:p>
        </w:tc>
        <w:tc>
          <w:tcPr>
            <w:tcW w:w="0" w:type="auto"/>
          </w:tcPr>
          <w:p w14:paraId="10EA655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 </w:t>
            </w:r>
            <w:proofErr w:type="spellStart"/>
            <w:r w:rsidRPr="00E27D3B">
              <w:t>pu</w:t>
            </w:r>
            <w:proofErr w:type="spellEnd"/>
            <w:r w:rsidRPr="00E27D3B">
              <w:t xml:space="preserve"> of pre-fault</w:t>
            </w:r>
          </w:p>
        </w:tc>
        <w:tc>
          <w:tcPr>
            <w:tcW w:w="0" w:type="auto"/>
          </w:tcPr>
          <w:p w14:paraId="0B3D5A3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 s</w:t>
            </w:r>
          </w:p>
        </w:tc>
      </w:tr>
      <w:tr w:rsidR="00A31EEA" w:rsidRPr="00E27D3B" w14:paraId="2AD21F96"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3B0A7AF1" w14:textId="6E25F27F" w:rsidR="00A31EEA" w:rsidRPr="00547C88" w:rsidRDefault="00E61BF1"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1C1B3F6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Electric Reliability Council of Texas (ERCOT), North America, for P1 type faults</w:t>
            </w:r>
          </w:p>
        </w:tc>
        <w:tc>
          <w:tcPr>
            <w:tcW w:w="0" w:type="auto"/>
          </w:tcPr>
          <w:p w14:paraId="5C5D043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0.9 </w:t>
            </w:r>
            <w:proofErr w:type="spellStart"/>
            <w:r w:rsidRPr="00E27D3B">
              <w:t>pu</w:t>
            </w:r>
            <w:proofErr w:type="spellEnd"/>
          </w:p>
        </w:tc>
        <w:tc>
          <w:tcPr>
            <w:tcW w:w="0" w:type="auto"/>
          </w:tcPr>
          <w:p w14:paraId="7776FCE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r>
      <w:tr w:rsidR="00A31EEA" w:rsidRPr="00E27D3B" w14:paraId="1F41C093"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129156" w14:textId="40D4E2D4" w:rsidR="00A31EEA" w:rsidRPr="00547C88" w:rsidRDefault="00E61BF1"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155E73E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Electric Reliability Council of Texas (ERCOT), North America, for P2 to P7 faults</w:t>
            </w:r>
          </w:p>
        </w:tc>
        <w:tc>
          <w:tcPr>
            <w:tcW w:w="0" w:type="auto"/>
          </w:tcPr>
          <w:p w14:paraId="6391085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0.9 </w:t>
            </w:r>
            <w:proofErr w:type="spellStart"/>
            <w:r w:rsidRPr="00E27D3B">
              <w:t>pu</w:t>
            </w:r>
            <w:proofErr w:type="spellEnd"/>
          </w:p>
        </w:tc>
        <w:tc>
          <w:tcPr>
            <w:tcW w:w="0" w:type="auto"/>
          </w:tcPr>
          <w:p w14:paraId="4DFA880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s</w:t>
            </w:r>
          </w:p>
        </w:tc>
      </w:tr>
      <w:tr w:rsidR="00A31EEA" w:rsidRPr="00E27D3B" w14:paraId="6BC3CB25"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3885922E" w14:textId="420EC00C" w:rsidR="00A31EEA" w:rsidRPr="00547C88" w:rsidRDefault="00D2194C" w:rsidP="00CD4F3A">
            <w:pPr>
              <w:pStyle w:val="TableText"/>
              <w:rPr>
                <w:b w:val="0"/>
                <w:bCs w:val="0"/>
              </w:rPr>
            </w:pPr>
            <w:r w:rsidRPr="00547C88">
              <w:fldChar w:fldCharType="begin"/>
            </w:r>
            <w:r w:rsidRPr="00547C88">
              <w:rPr>
                <w:b w:val="0"/>
                <w:bCs w:val="0"/>
              </w:rPr>
              <w:instrText xml:space="preserve"> REF _Ref230446641 \w \h </w:instrText>
            </w:r>
            <w:r w:rsidR="00547C88">
              <w:rPr>
                <w:b w:val="0"/>
                <w:bCs w:val="0"/>
              </w:rPr>
              <w:instrText xml:space="preserve"> \* MERGEFORMAT </w:instrText>
            </w:r>
            <w:r w:rsidRPr="00547C88">
              <w:fldChar w:fldCharType="separate"/>
            </w:r>
            <w:r w:rsidR="003B3BE0" w:rsidRPr="00547C88">
              <w:rPr>
                <w:b w:val="0"/>
                <w:bCs w:val="0"/>
              </w:rPr>
              <w:t>[110]</w:t>
            </w:r>
            <w:r w:rsidRPr="00547C88">
              <w:fldChar w:fldCharType="end"/>
            </w:r>
          </w:p>
        </w:tc>
        <w:tc>
          <w:tcPr>
            <w:tcW w:w="0" w:type="auto"/>
          </w:tcPr>
          <w:p w14:paraId="7745D33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State Grid Corporation of China (SGCC)</w:t>
            </w:r>
          </w:p>
        </w:tc>
        <w:tc>
          <w:tcPr>
            <w:tcW w:w="0" w:type="auto"/>
          </w:tcPr>
          <w:p w14:paraId="4CC3C88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 </w:t>
            </w:r>
            <w:proofErr w:type="spellStart"/>
            <w:r w:rsidRPr="00E27D3B">
              <w:t>pu</w:t>
            </w:r>
            <w:proofErr w:type="spellEnd"/>
          </w:p>
        </w:tc>
        <w:tc>
          <w:tcPr>
            <w:tcW w:w="0" w:type="auto"/>
          </w:tcPr>
          <w:p w14:paraId="0DF0D90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r>
      <w:tr w:rsidR="00A31EEA" w:rsidRPr="00E27D3B" w14:paraId="24FDA499"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553B35" w14:textId="4AEA6ED1" w:rsidR="00A31EEA" w:rsidRPr="00547C88" w:rsidRDefault="00D2194C" w:rsidP="00CD4F3A">
            <w:pPr>
              <w:pStyle w:val="TableText"/>
              <w:rPr>
                <w:b w:val="0"/>
                <w:bCs w:val="0"/>
              </w:rPr>
            </w:pPr>
            <w:r w:rsidRPr="00547C88">
              <w:fldChar w:fldCharType="begin"/>
            </w:r>
            <w:r w:rsidRPr="00547C88">
              <w:rPr>
                <w:b w:val="0"/>
                <w:bCs w:val="0"/>
              </w:rPr>
              <w:instrText xml:space="preserve"> REF _Ref230446574 \w \h </w:instrText>
            </w:r>
            <w:r w:rsidR="00547C88">
              <w:rPr>
                <w:b w:val="0"/>
                <w:bCs w:val="0"/>
              </w:rPr>
              <w:instrText xml:space="preserve"> \* MERGEFORMAT </w:instrText>
            </w:r>
            <w:r w:rsidRPr="00547C88">
              <w:fldChar w:fldCharType="separate"/>
            </w:r>
            <w:r w:rsidR="003B3BE0" w:rsidRPr="00547C88">
              <w:rPr>
                <w:b w:val="0"/>
                <w:bCs w:val="0"/>
              </w:rPr>
              <w:t>[109]</w:t>
            </w:r>
            <w:r w:rsidRPr="00547C88">
              <w:fldChar w:fldCharType="end"/>
            </w:r>
          </w:p>
        </w:tc>
        <w:tc>
          <w:tcPr>
            <w:tcW w:w="0" w:type="auto"/>
          </w:tcPr>
          <w:p w14:paraId="4DCD485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China Southern Power Grid</w:t>
            </w:r>
          </w:p>
        </w:tc>
        <w:tc>
          <w:tcPr>
            <w:tcW w:w="0" w:type="auto"/>
          </w:tcPr>
          <w:p w14:paraId="575CA3D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0.75 </w:t>
            </w:r>
            <w:proofErr w:type="spellStart"/>
            <w:r w:rsidRPr="00E27D3B">
              <w:t>pu</w:t>
            </w:r>
            <w:proofErr w:type="spellEnd"/>
          </w:p>
        </w:tc>
        <w:tc>
          <w:tcPr>
            <w:tcW w:w="0" w:type="auto"/>
          </w:tcPr>
          <w:p w14:paraId="180578F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r>
      <w:tr w:rsidR="00A31EEA" w:rsidRPr="00E27D3B" w14:paraId="346DFAFA"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31A03C67" w14:textId="1EAA1554" w:rsidR="00A31EEA" w:rsidRPr="00547C88" w:rsidRDefault="00A94BD6"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6B3A057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Calculation Specification for Power System Security and Stability (China, 2021)</w:t>
            </w:r>
          </w:p>
        </w:tc>
        <w:tc>
          <w:tcPr>
            <w:tcW w:w="0" w:type="auto"/>
          </w:tcPr>
          <w:p w14:paraId="2BEFD1F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 </w:t>
            </w:r>
            <w:proofErr w:type="spellStart"/>
            <w:r w:rsidRPr="00E27D3B">
              <w:t>pu</w:t>
            </w:r>
            <w:proofErr w:type="spellEnd"/>
          </w:p>
        </w:tc>
        <w:tc>
          <w:tcPr>
            <w:tcW w:w="0" w:type="auto"/>
          </w:tcPr>
          <w:p w14:paraId="2A55B0D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Within 10 s</w:t>
            </w:r>
          </w:p>
        </w:tc>
      </w:tr>
      <w:tr w:rsidR="00A31EEA" w:rsidRPr="00E27D3B" w14:paraId="27F72BBF"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421E9C" w14:textId="7E010357" w:rsidR="00A31EEA" w:rsidRPr="00547C88" w:rsidRDefault="00A94BD6"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559D460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Power and Water Corporation, Australia, 2020</w:t>
            </w:r>
          </w:p>
        </w:tc>
        <w:tc>
          <w:tcPr>
            <w:tcW w:w="0" w:type="auto"/>
          </w:tcPr>
          <w:p w14:paraId="0D95327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0.75 </w:t>
            </w:r>
            <w:proofErr w:type="spellStart"/>
            <w:r w:rsidRPr="00E27D3B">
              <w:t>pu</w:t>
            </w:r>
            <w:proofErr w:type="spellEnd"/>
          </w:p>
        </w:tc>
        <w:tc>
          <w:tcPr>
            <w:tcW w:w="0" w:type="auto"/>
          </w:tcPr>
          <w:p w14:paraId="2FBE05F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 s</w:t>
            </w:r>
          </w:p>
        </w:tc>
      </w:tr>
      <w:tr w:rsidR="00A31EEA" w:rsidRPr="00E27D3B" w14:paraId="31A37786" w14:textId="77777777" w:rsidTr="0002386E">
        <w:tc>
          <w:tcPr>
            <w:cnfStyle w:val="001000000000" w:firstRow="0" w:lastRow="0" w:firstColumn="1" w:lastColumn="0" w:oddVBand="0" w:evenVBand="0" w:oddHBand="0" w:evenHBand="0" w:firstRowFirstColumn="0" w:firstRowLastColumn="0" w:lastRowFirstColumn="0" w:lastRowLastColumn="0"/>
            <w:tcW w:w="0" w:type="auto"/>
          </w:tcPr>
          <w:p w14:paraId="50560A83" w14:textId="07EA19EB" w:rsidR="00A31EEA" w:rsidRPr="00547C88" w:rsidRDefault="00A94BD6" w:rsidP="00CD4F3A">
            <w:pPr>
              <w:pStyle w:val="TableText"/>
              <w:rPr>
                <w:b w:val="0"/>
                <w:bCs w:val="0"/>
              </w:rPr>
            </w:pPr>
            <w:r w:rsidRPr="00547C88">
              <w:fldChar w:fldCharType="begin"/>
            </w:r>
            <w:r w:rsidRPr="00547C88">
              <w:rPr>
                <w:b w:val="0"/>
                <w:bCs w:val="0"/>
              </w:rPr>
              <w:instrText xml:space="preserve"> REF _Ref230446585 \w \h </w:instrText>
            </w:r>
            <w:r w:rsidR="00547C88">
              <w:rPr>
                <w:b w:val="0"/>
                <w:bCs w:val="0"/>
              </w:rPr>
              <w:instrText xml:space="preserve"> \* MERGEFORMAT </w:instrText>
            </w:r>
            <w:r w:rsidRPr="00547C88">
              <w:fldChar w:fldCharType="separate"/>
            </w:r>
            <w:r w:rsidR="003B3BE0" w:rsidRPr="00547C88">
              <w:rPr>
                <w:b w:val="0"/>
                <w:bCs w:val="0"/>
              </w:rPr>
              <w:t>[108]</w:t>
            </w:r>
            <w:r w:rsidRPr="00547C88">
              <w:fldChar w:fldCharType="end"/>
            </w:r>
          </w:p>
        </w:tc>
        <w:tc>
          <w:tcPr>
            <w:tcW w:w="0" w:type="auto"/>
          </w:tcPr>
          <w:p w14:paraId="0FDE326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Power and Water Corporation, Australia, 2020</w:t>
            </w:r>
          </w:p>
        </w:tc>
        <w:tc>
          <w:tcPr>
            <w:tcW w:w="0" w:type="auto"/>
          </w:tcPr>
          <w:p w14:paraId="5A40B26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rFonts w:ascii="Aptos Body" w:hAnsi="Aptos Body"/>
                <w:color w:val="auto"/>
                <w:sz w:val="22"/>
              </w:rPr>
            </w:pPr>
            <w:r w:rsidRPr="00E27D3B">
              <w:t xml:space="preserve">0.8 </w:t>
            </w:r>
            <w:proofErr w:type="spellStart"/>
            <w:r w:rsidRPr="00E27D3B">
              <w:t>pu</w:t>
            </w:r>
            <w:proofErr w:type="spellEnd"/>
          </w:p>
        </w:tc>
        <w:tc>
          <w:tcPr>
            <w:tcW w:w="0" w:type="auto"/>
          </w:tcPr>
          <w:p w14:paraId="7F09AFA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Cs w:val="18"/>
              </w:rPr>
            </w:pPr>
            <w:r w:rsidRPr="00E27D3B">
              <w:rPr>
                <w:rFonts w:asciiTheme="minorHAnsi" w:hAnsiTheme="minorHAnsi" w:cstheme="minorHAnsi"/>
                <w:color w:val="auto"/>
                <w:szCs w:val="18"/>
              </w:rPr>
              <w:t>0.4s</w:t>
            </w:r>
          </w:p>
        </w:tc>
      </w:tr>
    </w:tbl>
    <w:p w14:paraId="4A3729A5" w14:textId="07B31B35" w:rsidR="00A31EEA" w:rsidRPr="00570C5C" w:rsidRDefault="00A31EEA" w:rsidP="00B749DE">
      <w:pPr>
        <w:spacing w:after="0"/>
        <w:rPr>
          <w:sz w:val="24"/>
          <w:szCs w:val="24"/>
        </w:rPr>
      </w:pPr>
      <w:r w:rsidRPr="00570C5C">
        <w:rPr>
          <w:sz w:val="24"/>
          <w:szCs w:val="24"/>
        </w:rPr>
        <w:lastRenderedPageBreak/>
        <w:t xml:space="preserve">The AEMO criteria for STVS for planning and operation is based on National Electricity Rules (NER) clause S5.1a.3, which states that halving time of voltage oscillations must be less than or equal to 5 seconds </w:t>
      </w:r>
      <w:r w:rsidRPr="00570C5C">
        <w:rPr>
          <w:sz w:val="24"/>
          <w:szCs w:val="24"/>
        </w:rPr>
        <w:fldChar w:fldCharType="begin"/>
      </w:r>
      <w:r w:rsidRPr="00570C5C">
        <w:rPr>
          <w:sz w:val="24"/>
          <w:szCs w:val="24"/>
        </w:rPr>
        <w:instrText xml:space="preserve"> REF _Ref224203595 \n \h  \* MERGEFORMAT </w:instrText>
      </w:r>
      <w:r w:rsidRPr="00570C5C">
        <w:rPr>
          <w:sz w:val="24"/>
          <w:szCs w:val="24"/>
        </w:rPr>
      </w:r>
      <w:r w:rsidRPr="00570C5C">
        <w:rPr>
          <w:sz w:val="24"/>
          <w:szCs w:val="24"/>
        </w:rPr>
        <w:fldChar w:fldCharType="separate"/>
      </w:r>
      <w:r w:rsidR="00753DAF" w:rsidRPr="00570C5C">
        <w:rPr>
          <w:sz w:val="24"/>
          <w:szCs w:val="24"/>
          <w:cs/>
        </w:rPr>
        <w:t>‎</w:t>
      </w:r>
      <w:r w:rsidR="00753DAF" w:rsidRPr="00570C5C">
        <w:rPr>
          <w:sz w:val="24"/>
          <w:szCs w:val="24"/>
        </w:rPr>
        <w:t>[61]</w:t>
      </w:r>
      <w:r w:rsidRPr="00570C5C">
        <w:rPr>
          <w:sz w:val="24"/>
          <w:szCs w:val="24"/>
        </w:rPr>
        <w:fldChar w:fldCharType="end"/>
      </w:r>
      <w:r w:rsidRPr="00570C5C">
        <w:rPr>
          <w:sz w:val="24"/>
          <w:szCs w:val="24"/>
        </w:rPr>
        <w:t>.</w:t>
      </w:r>
    </w:p>
    <w:p w14:paraId="4145733C" w14:textId="77777777" w:rsidR="00A31EEA" w:rsidRPr="00E27D3B" w:rsidRDefault="00A31EEA" w:rsidP="00CD4F3A">
      <w:pPr>
        <w:pStyle w:val="Heading2"/>
      </w:pPr>
      <w:bookmarkStart w:id="284" w:name="_Toc223627375"/>
      <w:bookmarkStart w:id="285" w:name="_Toc224235079"/>
      <w:bookmarkStart w:id="286" w:name="_Toc233734321"/>
      <w:r w:rsidRPr="00E27D3B">
        <w:t>Short-Term Voltage Stability Assessment Methods</w:t>
      </w:r>
      <w:bookmarkEnd w:id="284"/>
      <w:bookmarkEnd w:id="285"/>
      <w:bookmarkEnd w:id="286"/>
    </w:p>
    <w:p w14:paraId="2062ABE7" w14:textId="2B9CA602" w:rsidR="00A31EEA" w:rsidRPr="00570C5C" w:rsidRDefault="00A31EEA" w:rsidP="00570C5C">
      <w:pPr>
        <w:rPr>
          <w:sz w:val="24"/>
          <w:szCs w:val="24"/>
        </w:rPr>
      </w:pPr>
      <w:bookmarkStart w:id="287" w:name="_Toc230342891"/>
      <w:bookmarkStart w:id="288" w:name="_Toc233735314"/>
      <w:r w:rsidRPr="00570C5C">
        <w:rPr>
          <w:sz w:val="24"/>
          <w:szCs w:val="24"/>
        </w:rPr>
        <w:t xml:space="preserve">A comparative analysis of different methods for STVS assessment is given below in Table </w:t>
      </w:r>
      <w:r w:rsidR="00BF32EB" w:rsidRPr="00570C5C">
        <w:rPr>
          <w:sz w:val="24"/>
          <w:szCs w:val="24"/>
        </w:rPr>
        <w:fldChar w:fldCharType="begin"/>
      </w:r>
      <w:r w:rsidR="00BF32EB" w:rsidRPr="00570C5C">
        <w:rPr>
          <w:sz w:val="24"/>
          <w:szCs w:val="24"/>
        </w:rPr>
        <w:instrText xml:space="preserve"> SEQ Table \* ARABIC </w:instrText>
      </w:r>
      <w:r w:rsidR="00BF32EB" w:rsidRPr="00570C5C">
        <w:rPr>
          <w:sz w:val="24"/>
          <w:szCs w:val="24"/>
        </w:rPr>
        <w:fldChar w:fldCharType="separate"/>
      </w:r>
      <w:r w:rsidR="00BF32EB" w:rsidRPr="00570C5C">
        <w:rPr>
          <w:noProof/>
          <w:sz w:val="24"/>
          <w:szCs w:val="24"/>
        </w:rPr>
        <w:t>19</w:t>
      </w:r>
      <w:r w:rsidR="00BF32EB" w:rsidRPr="00570C5C">
        <w:rPr>
          <w:noProof/>
          <w:sz w:val="24"/>
          <w:szCs w:val="24"/>
        </w:rPr>
        <w:fldChar w:fldCharType="end"/>
      </w:r>
      <w:r w:rsidRPr="00570C5C">
        <w:rPr>
          <w:sz w:val="24"/>
          <w:szCs w:val="24"/>
        </w:rPr>
        <w:t>. It shows that time-domain simulation is an appropriate method for STVS assessment.</w:t>
      </w:r>
      <w:bookmarkEnd w:id="287"/>
      <w:bookmarkEnd w:id="288"/>
    </w:p>
    <w:p w14:paraId="53AC7321" w14:textId="77FC08C3" w:rsidR="009E7C42" w:rsidRPr="00E27D3B" w:rsidRDefault="009E7C42" w:rsidP="00B749DE">
      <w:pPr>
        <w:spacing w:after="0"/>
        <w:rPr>
          <w:sz w:val="24"/>
          <w:szCs w:val="24"/>
        </w:rPr>
      </w:pPr>
      <w:r w:rsidRPr="00E27D3B">
        <w:rPr>
          <w:sz w:val="24"/>
          <w:szCs w:val="24"/>
        </w:rPr>
        <w:t>Time-domain simulation (TDS) is the most accurate method that solves differential-algebraic equations</w:t>
      </w:r>
      <w:r>
        <w:rPr>
          <w:sz w:val="24"/>
          <w:szCs w:val="24"/>
        </w:rPr>
        <w:fldChar w:fldCharType="begin"/>
      </w:r>
      <w:r>
        <w:rPr>
          <w:sz w:val="24"/>
          <w:szCs w:val="24"/>
        </w:rPr>
        <w:instrText xml:space="preserve"> REF _Ref230446704 \w \h </w:instrText>
      </w:r>
      <w:r w:rsidR="00CD4F3A">
        <w:rPr>
          <w:sz w:val="24"/>
          <w:szCs w:val="24"/>
        </w:rPr>
        <w:instrText xml:space="preserve"> \* MERGEFORMAT </w:instrText>
      </w:r>
      <w:r>
        <w:rPr>
          <w:sz w:val="24"/>
          <w:szCs w:val="24"/>
        </w:rPr>
      </w:r>
      <w:r>
        <w:rPr>
          <w:sz w:val="24"/>
          <w:szCs w:val="24"/>
        </w:rPr>
        <w:fldChar w:fldCharType="separate"/>
      </w:r>
      <w:r>
        <w:rPr>
          <w:sz w:val="24"/>
          <w:szCs w:val="24"/>
        </w:rPr>
        <w:t>[111]</w:t>
      </w:r>
      <w:r>
        <w:rPr>
          <w:sz w:val="24"/>
          <w:szCs w:val="24"/>
        </w:rPr>
        <w:fldChar w:fldCharType="end"/>
      </w:r>
      <w:r w:rsidRPr="00E27D3B">
        <w:rPr>
          <w:sz w:val="24"/>
          <w:szCs w:val="24"/>
        </w:rPr>
        <w:t>. It considers the detailed modelling of the dynamic characteristics of the components involved</w:t>
      </w:r>
      <w:r>
        <w:rPr>
          <w:sz w:val="24"/>
          <w:szCs w:val="24"/>
        </w:rPr>
        <w:t xml:space="preserve"> </w:t>
      </w:r>
      <w:r>
        <w:rPr>
          <w:sz w:val="24"/>
          <w:szCs w:val="24"/>
        </w:rPr>
        <w:fldChar w:fldCharType="begin"/>
      </w:r>
      <w:r>
        <w:rPr>
          <w:sz w:val="24"/>
          <w:szCs w:val="24"/>
        </w:rPr>
        <w:instrText xml:space="preserve"> REF _Ref230446756 \w \h </w:instrText>
      </w:r>
      <w:r w:rsidR="00CD4F3A">
        <w:rPr>
          <w:sz w:val="24"/>
          <w:szCs w:val="24"/>
        </w:rPr>
        <w:instrText xml:space="preserve"> \* MERGEFORMAT </w:instrText>
      </w:r>
      <w:r>
        <w:rPr>
          <w:sz w:val="24"/>
          <w:szCs w:val="24"/>
        </w:rPr>
      </w:r>
      <w:r>
        <w:rPr>
          <w:sz w:val="24"/>
          <w:szCs w:val="24"/>
        </w:rPr>
        <w:fldChar w:fldCharType="separate"/>
      </w:r>
      <w:r>
        <w:rPr>
          <w:sz w:val="24"/>
          <w:szCs w:val="24"/>
        </w:rPr>
        <w:t>[113]</w:t>
      </w:r>
      <w:r>
        <w:rPr>
          <w:sz w:val="24"/>
          <w:szCs w:val="24"/>
        </w:rPr>
        <w:fldChar w:fldCharType="end"/>
      </w:r>
      <w:r w:rsidRPr="00E27D3B">
        <w:rPr>
          <w:sz w:val="24"/>
          <w:szCs w:val="24"/>
        </w:rPr>
        <w:t>. It is suitable for offline modelling as well as qualitative analysis of system stability. However, its computation time is longer, and it does not provide the voltage stability margin</w:t>
      </w:r>
      <w:r>
        <w:rPr>
          <w:sz w:val="24"/>
          <w:szCs w:val="24"/>
        </w:rPr>
        <w:t xml:space="preserve"> </w:t>
      </w:r>
      <w:r>
        <w:rPr>
          <w:sz w:val="24"/>
          <w:szCs w:val="24"/>
        </w:rPr>
        <w:fldChar w:fldCharType="begin"/>
      </w:r>
      <w:r>
        <w:rPr>
          <w:sz w:val="24"/>
          <w:szCs w:val="24"/>
        </w:rPr>
        <w:instrText xml:space="preserve"> REF _Ref230446756 \w \h </w:instrText>
      </w:r>
      <w:r w:rsidR="00CD4F3A">
        <w:rPr>
          <w:sz w:val="24"/>
          <w:szCs w:val="24"/>
        </w:rPr>
        <w:instrText xml:space="preserve"> \* MERGEFORMAT </w:instrText>
      </w:r>
      <w:r>
        <w:rPr>
          <w:sz w:val="24"/>
          <w:szCs w:val="24"/>
        </w:rPr>
      </w:r>
      <w:r>
        <w:rPr>
          <w:sz w:val="24"/>
          <w:szCs w:val="24"/>
        </w:rPr>
        <w:fldChar w:fldCharType="separate"/>
      </w:r>
      <w:r>
        <w:rPr>
          <w:sz w:val="24"/>
          <w:szCs w:val="24"/>
        </w:rPr>
        <w:t>[113]</w:t>
      </w:r>
      <w:r>
        <w:rPr>
          <w:sz w:val="24"/>
          <w:szCs w:val="24"/>
        </w:rPr>
        <w:fldChar w:fldCharType="end"/>
      </w:r>
      <w:r w:rsidRPr="00E27D3B">
        <w:rPr>
          <w:sz w:val="24"/>
          <w:szCs w:val="24"/>
        </w:rPr>
        <w:t xml:space="preserve">. </w:t>
      </w:r>
    </w:p>
    <w:p w14:paraId="776B063C" w14:textId="5AE69048" w:rsidR="009E7C42" w:rsidRPr="00E27D3B" w:rsidRDefault="009E7C42" w:rsidP="00B749DE">
      <w:pPr>
        <w:spacing w:after="0"/>
        <w:rPr>
          <w:sz w:val="24"/>
          <w:szCs w:val="24"/>
        </w:rPr>
      </w:pPr>
      <w:r w:rsidRPr="00E27D3B">
        <w:rPr>
          <w:sz w:val="24"/>
          <w:szCs w:val="24"/>
        </w:rPr>
        <w:t>The most common fault inception time reported in the studied literature, as summarized in</w:t>
      </w:r>
      <w:r w:rsidR="00F06ADD">
        <w:rPr>
          <w:sz w:val="24"/>
          <w:szCs w:val="24"/>
        </w:rPr>
        <w:t xml:space="preserve"> </w:t>
      </w:r>
      <w:r w:rsidR="00F06ADD">
        <w:rPr>
          <w:sz w:val="24"/>
          <w:szCs w:val="24"/>
        </w:rPr>
        <w:fldChar w:fldCharType="begin"/>
      </w:r>
      <w:r w:rsidR="00F06ADD">
        <w:rPr>
          <w:sz w:val="24"/>
          <w:szCs w:val="24"/>
        </w:rPr>
        <w:instrText xml:space="preserve"> REF _Ref233547801 \h </w:instrText>
      </w:r>
      <w:r w:rsidR="00F06ADD">
        <w:rPr>
          <w:sz w:val="24"/>
          <w:szCs w:val="24"/>
        </w:rPr>
      </w:r>
      <w:r w:rsidR="00F06ADD">
        <w:rPr>
          <w:sz w:val="24"/>
          <w:szCs w:val="24"/>
        </w:rPr>
        <w:fldChar w:fldCharType="separate"/>
      </w:r>
      <w:r w:rsidR="00F06ADD" w:rsidRPr="00E27D3B">
        <w:t xml:space="preserve">Table </w:t>
      </w:r>
      <w:r w:rsidR="00F06ADD">
        <w:rPr>
          <w:noProof/>
        </w:rPr>
        <w:t>20</w:t>
      </w:r>
      <w:r w:rsidR="00F06ADD">
        <w:rPr>
          <w:sz w:val="24"/>
          <w:szCs w:val="24"/>
        </w:rPr>
        <w:fldChar w:fldCharType="end"/>
      </w:r>
      <w:r w:rsidRPr="00E27D3B">
        <w:rPr>
          <w:sz w:val="24"/>
          <w:szCs w:val="24"/>
        </w:rPr>
        <w:t>, is 1 s, which allows the system to reach steady-state conditions before the disturbance is applied. Approximately one-third of the studies use fault inception times between 0 and 0.5 s, while only a few studies consider later fault application at 2 s or above to evaluate system response under delayed disturbance conditions. The fault clearing time in most studies is 0.1 s, with the most frequently adopted range being 0.05 s to 0.15 s, consistent with typical transmission protection clearing times. However, some studies have also examined longer fault clearing durations in the range of 0.2 s to 0.3 s, and in a few cases up to 0.4 s, to assess system stability under more severe or delayed protection scenarios.</w:t>
      </w:r>
    </w:p>
    <w:p w14:paraId="04696E00" w14:textId="770453EA" w:rsidR="00A31EEA" w:rsidRPr="00E27D3B" w:rsidRDefault="00A31EEA" w:rsidP="00CD4F3A">
      <w:pPr>
        <w:pStyle w:val="Caption"/>
        <w:spacing w:line="240" w:lineRule="auto"/>
      </w:pPr>
      <w:bookmarkStart w:id="289" w:name="_Toc223626409"/>
      <w:bookmarkStart w:id="290" w:name="_Toc224235170"/>
      <w:bookmarkStart w:id="291" w:name="_Toc233735315"/>
      <w:r w:rsidRPr="00E27D3B">
        <w:t xml:space="preserve">Table </w:t>
      </w:r>
      <w:fldSimple w:instr=" SEQ Table \* ARABIC ">
        <w:r w:rsidR="00753DAF">
          <w:rPr>
            <w:noProof/>
          </w:rPr>
          <w:t>19</w:t>
        </w:r>
      </w:fldSimple>
      <w:r w:rsidR="00463216">
        <w:t>:</w:t>
      </w:r>
      <w:r w:rsidRPr="00E27D3B">
        <w:t xml:space="preserve"> A comparison of STVS </w:t>
      </w:r>
      <w:r w:rsidRPr="005C746B">
        <w:t>assessment</w:t>
      </w:r>
      <w:r w:rsidRPr="00E27D3B">
        <w:t xml:space="preserve"> methods </w:t>
      </w:r>
      <w:bookmarkEnd w:id="289"/>
      <w:bookmarkEnd w:id="290"/>
      <w:r w:rsidR="003E2D80">
        <w:fldChar w:fldCharType="begin"/>
      </w:r>
      <w:r w:rsidR="003E2D80">
        <w:instrText xml:space="preserve"> REF _Ref230446704 \w \h </w:instrText>
      </w:r>
      <w:r w:rsidR="00CD4F3A">
        <w:instrText xml:space="preserve"> \* MERGEFORMAT </w:instrText>
      </w:r>
      <w:r w:rsidR="003E2D80">
        <w:fldChar w:fldCharType="separate"/>
      </w:r>
      <w:r w:rsidR="003B3BE0">
        <w:t>[111]</w:t>
      </w:r>
      <w:r w:rsidR="003E2D80">
        <w:fldChar w:fldCharType="end"/>
      </w:r>
      <w:r w:rsidR="003E2D80">
        <w:fldChar w:fldCharType="begin"/>
      </w:r>
      <w:r w:rsidR="003E2D80">
        <w:instrText xml:space="preserve"> REF _Ref230446708 \w \h </w:instrText>
      </w:r>
      <w:r w:rsidR="00CD4F3A">
        <w:instrText xml:space="preserve"> \* MERGEFORMAT </w:instrText>
      </w:r>
      <w:r w:rsidR="003E2D80">
        <w:fldChar w:fldCharType="separate"/>
      </w:r>
      <w:r w:rsidR="003B3BE0">
        <w:t>[112]</w:t>
      </w:r>
      <w:r w:rsidR="003E2D80">
        <w:fldChar w:fldCharType="end"/>
      </w:r>
      <w:r w:rsidR="00A639FE">
        <w:t>.</w:t>
      </w:r>
      <w:bookmarkEnd w:id="291"/>
    </w:p>
    <w:tbl>
      <w:tblPr>
        <w:tblW w:w="5000" w:type="pct"/>
        <w:tblCellMar>
          <w:left w:w="0" w:type="dxa"/>
          <w:right w:w="0" w:type="dxa"/>
        </w:tblCellMar>
        <w:tblLook w:val="0420" w:firstRow="1" w:lastRow="0" w:firstColumn="0" w:lastColumn="0" w:noHBand="0" w:noVBand="1"/>
      </w:tblPr>
      <w:tblGrid>
        <w:gridCol w:w="3326"/>
        <w:gridCol w:w="1987"/>
        <w:gridCol w:w="1325"/>
        <w:gridCol w:w="2980"/>
      </w:tblGrid>
      <w:tr w:rsidR="00A31EEA" w:rsidRPr="002B2DE4" w14:paraId="43520D2B" w14:textId="77777777" w:rsidTr="004239CB">
        <w:trPr>
          <w:trHeight w:val="584"/>
        </w:trPr>
        <w:tc>
          <w:tcPr>
            <w:tcW w:w="1729" w:type="pct"/>
            <w:tcBorders>
              <w:top w:val="single" w:sz="8" w:space="0" w:color="0602FF"/>
              <w:left w:val="single" w:sz="8" w:space="0" w:color="0602FF"/>
              <w:bottom w:val="single" w:sz="24" w:space="0" w:color="0602FF"/>
              <w:right w:val="single" w:sz="8" w:space="0" w:color="0602FF"/>
            </w:tcBorders>
            <w:shd w:val="clear" w:color="auto" w:fill="F9E3D0"/>
            <w:tcMar>
              <w:top w:w="28" w:type="dxa"/>
              <w:left w:w="142" w:type="dxa"/>
              <w:bottom w:w="28" w:type="dxa"/>
              <w:right w:w="142" w:type="dxa"/>
            </w:tcMar>
            <w:vAlign w:val="center"/>
            <w:hideMark/>
          </w:tcPr>
          <w:p w14:paraId="5BADA880" w14:textId="77777777" w:rsidR="00A31EEA" w:rsidRPr="002B2DE4" w:rsidRDefault="00A31EEA" w:rsidP="00CD4F3A">
            <w:pPr>
              <w:pStyle w:val="TableText"/>
            </w:pPr>
            <w:r w:rsidRPr="002B2DE4">
              <w:t>Assessment Method</w:t>
            </w:r>
          </w:p>
        </w:tc>
        <w:tc>
          <w:tcPr>
            <w:tcW w:w="1033" w:type="pct"/>
            <w:tcBorders>
              <w:top w:val="single" w:sz="8" w:space="0" w:color="0602FF"/>
              <w:left w:val="single" w:sz="8" w:space="0" w:color="0602FF"/>
              <w:bottom w:val="single" w:sz="24" w:space="0" w:color="0602FF"/>
              <w:right w:val="single" w:sz="8" w:space="0" w:color="0602FF"/>
            </w:tcBorders>
            <w:shd w:val="clear" w:color="auto" w:fill="F9E3D0"/>
            <w:tcMar>
              <w:top w:w="28" w:type="dxa"/>
              <w:left w:w="142" w:type="dxa"/>
              <w:bottom w:w="28" w:type="dxa"/>
              <w:right w:w="142" w:type="dxa"/>
            </w:tcMar>
            <w:vAlign w:val="center"/>
            <w:hideMark/>
          </w:tcPr>
          <w:p w14:paraId="302620AD" w14:textId="77777777" w:rsidR="00A31EEA" w:rsidRPr="002B2DE4" w:rsidRDefault="00A31EEA" w:rsidP="00CD4F3A">
            <w:pPr>
              <w:pStyle w:val="TableText"/>
            </w:pPr>
            <w:r w:rsidRPr="002B2DE4">
              <w:t>Useful for</w:t>
            </w:r>
          </w:p>
          <w:p w14:paraId="41C04F16" w14:textId="77777777" w:rsidR="00A31EEA" w:rsidRPr="002B2DE4" w:rsidRDefault="00A31EEA" w:rsidP="00CD4F3A">
            <w:pPr>
              <w:pStyle w:val="TableText"/>
            </w:pPr>
            <w:r w:rsidRPr="002B2DE4">
              <w:t>IBR-rich Systems</w:t>
            </w:r>
          </w:p>
        </w:tc>
        <w:tc>
          <w:tcPr>
            <w:tcW w:w="689" w:type="pct"/>
            <w:tcBorders>
              <w:top w:val="single" w:sz="8" w:space="0" w:color="0602FF"/>
              <w:left w:val="single" w:sz="8" w:space="0" w:color="0602FF"/>
              <w:bottom w:val="single" w:sz="24" w:space="0" w:color="0602FF"/>
              <w:right w:val="single" w:sz="8" w:space="0" w:color="0602FF"/>
            </w:tcBorders>
            <w:shd w:val="clear" w:color="auto" w:fill="F9E3D0"/>
            <w:tcMar>
              <w:top w:w="28" w:type="dxa"/>
              <w:left w:w="142" w:type="dxa"/>
              <w:bottom w:w="28" w:type="dxa"/>
              <w:right w:w="142" w:type="dxa"/>
            </w:tcMar>
            <w:vAlign w:val="center"/>
            <w:hideMark/>
          </w:tcPr>
          <w:p w14:paraId="09A6C85A" w14:textId="77777777" w:rsidR="00A31EEA" w:rsidRPr="002B2DE4" w:rsidRDefault="00A31EEA" w:rsidP="00CD4F3A">
            <w:pPr>
              <w:pStyle w:val="TableText"/>
            </w:pPr>
            <w:r w:rsidRPr="002B2DE4">
              <w:t>Accuracy</w:t>
            </w:r>
          </w:p>
        </w:tc>
        <w:tc>
          <w:tcPr>
            <w:tcW w:w="1549" w:type="pct"/>
            <w:tcBorders>
              <w:top w:val="single" w:sz="8" w:space="0" w:color="0602FF"/>
              <w:left w:val="single" w:sz="8" w:space="0" w:color="0602FF"/>
              <w:bottom w:val="single" w:sz="24" w:space="0" w:color="0602FF"/>
              <w:right w:val="single" w:sz="8" w:space="0" w:color="0602FF"/>
            </w:tcBorders>
            <w:shd w:val="clear" w:color="auto" w:fill="F9E3D0"/>
            <w:tcMar>
              <w:top w:w="28" w:type="dxa"/>
              <w:left w:w="142" w:type="dxa"/>
              <w:bottom w:w="28" w:type="dxa"/>
              <w:right w:w="142" w:type="dxa"/>
            </w:tcMar>
            <w:vAlign w:val="center"/>
            <w:hideMark/>
          </w:tcPr>
          <w:p w14:paraId="5E60D180" w14:textId="77777777" w:rsidR="00A31EEA" w:rsidRPr="002B2DE4" w:rsidRDefault="00A31EEA" w:rsidP="00CD4F3A">
            <w:pPr>
              <w:pStyle w:val="TableText"/>
            </w:pPr>
            <w:r w:rsidRPr="002B2DE4">
              <w:t>Computational Complexity</w:t>
            </w:r>
          </w:p>
        </w:tc>
      </w:tr>
      <w:tr w:rsidR="00A31EEA" w:rsidRPr="002B2DE4" w14:paraId="2796D68A" w14:textId="77777777" w:rsidTr="004239CB">
        <w:trPr>
          <w:trHeight w:val="289"/>
        </w:trPr>
        <w:tc>
          <w:tcPr>
            <w:tcW w:w="1729" w:type="pct"/>
            <w:tcBorders>
              <w:top w:val="single" w:sz="24" w:space="0" w:color="0602FF"/>
              <w:left w:val="single" w:sz="8" w:space="0" w:color="0602FF"/>
              <w:bottom w:val="single" w:sz="8" w:space="0" w:color="0602FF"/>
              <w:right w:val="single" w:sz="8" w:space="0" w:color="0602FF"/>
            </w:tcBorders>
            <w:shd w:val="clear" w:color="auto" w:fill="FDF4EE"/>
            <w:tcMar>
              <w:top w:w="28" w:type="dxa"/>
              <w:left w:w="142" w:type="dxa"/>
              <w:bottom w:w="28" w:type="dxa"/>
              <w:right w:w="142" w:type="dxa"/>
            </w:tcMar>
            <w:vAlign w:val="center"/>
            <w:hideMark/>
          </w:tcPr>
          <w:p w14:paraId="3DCFF327" w14:textId="77777777" w:rsidR="00A31EEA" w:rsidRPr="002B2DE4" w:rsidRDefault="00A31EEA" w:rsidP="00CD4F3A">
            <w:pPr>
              <w:pStyle w:val="TableText"/>
            </w:pPr>
            <w:r w:rsidRPr="002B2DE4">
              <w:t>Time-domain simulation</w:t>
            </w:r>
          </w:p>
        </w:tc>
        <w:tc>
          <w:tcPr>
            <w:tcW w:w="1033" w:type="pct"/>
            <w:tcBorders>
              <w:top w:val="single" w:sz="24" w:space="0" w:color="0602FF"/>
              <w:left w:val="single" w:sz="8" w:space="0" w:color="0602FF"/>
              <w:bottom w:val="single" w:sz="8" w:space="0" w:color="0602FF"/>
              <w:right w:val="single" w:sz="8" w:space="0" w:color="0602FF"/>
            </w:tcBorders>
            <w:shd w:val="clear" w:color="auto" w:fill="00B050"/>
            <w:tcMar>
              <w:top w:w="28" w:type="dxa"/>
              <w:left w:w="142" w:type="dxa"/>
              <w:bottom w:w="28" w:type="dxa"/>
              <w:right w:w="142" w:type="dxa"/>
            </w:tcMar>
            <w:vAlign w:val="center"/>
            <w:hideMark/>
          </w:tcPr>
          <w:p w14:paraId="6DAFF269" w14:textId="77777777" w:rsidR="00A31EEA" w:rsidRPr="002B2DE4" w:rsidRDefault="00A31EEA" w:rsidP="00CD4F3A">
            <w:pPr>
              <w:pStyle w:val="TableText"/>
            </w:pPr>
            <w:r w:rsidRPr="002B2DE4">
              <w:t>Very Useful</w:t>
            </w:r>
          </w:p>
        </w:tc>
        <w:tc>
          <w:tcPr>
            <w:tcW w:w="689" w:type="pct"/>
            <w:tcBorders>
              <w:top w:val="single" w:sz="24" w:space="0" w:color="0602FF"/>
              <w:left w:val="single" w:sz="8" w:space="0" w:color="0602FF"/>
              <w:bottom w:val="single" w:sz="8" w:space="0" w:color="0602FF"/>
              <w:right w:val="single" w:sz="8" w:space="0" w:color="0602FF"/>
            </w:tcBorders>
            <w:shd w:val="clear" w:color="auto" w:fill="00B050"/>
            <w:tcMar>
              <w:top w:w="28" w:type="dxa"/>
              <w:left w:w="142" w:type="dxa"/>
              <w:bottom w:w="28" w:type="dxa"/>
              <w:right w:w="142" w:type="dxa"/>
            </w:tcMar>
            <w:vAlign w:val="center"/>
            <w:hideMark/>
          </w:tcPr>
          <w:p w14:paraId="11F39EC8" w14:textId="77777777" w:rsidR="00A31EEA" w:rsidRPr="002B2DE4" w:rsidRDefault="00A31EEA" w:rsidP="00CD4F3A">
            <w:pPr>
              <w:pStyle w:val="TableText"/>
            </w:pPr>
            <w:r w:rsidRPr="002B2DE4">
              <w:t>Very High</w:t>
            </w:r>
          </w:p>
        </w:tc>
        <w:tc>
          <w:tcPr>
            <w:tcW w:w="1549" w:type="pct"/>
            <w:tcBorders>
              <w:top w:val="single" w:sz="24"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4A1F2337" w14:textId="77777777" w:rsidR="00A31EEA" w:rsidRPr="002B2DE4" w:rsidRDefault="00A31EEA" w:rsidP="00CD4F3A">
            <w:pPr>
              <w:pStyle w:val="TableText"/>
            </w:pPr>
            <w:r w:rsidRPr="002B2DE4">
              <w:t>High</w:t>
            </w:r>
          </w:p>
        </w:tc>
      </w:tr>
      <w:tr w:rsidR="00A31EEA" w:rsidRPr="002B2DE4" w14:paraId="620B2AA9" w14:textId="77777777" w:rsidTr="004239CB">
        <w:trPr>
          <w:trHeight w:val="76"/>
        </w:trPr>
        <w:tc>
          <w:tcPr>
            <w:tcW w:w="1729" w:type="pct"/>
            <w:tcBorders>
              <w:top w:val="single" w:sz="8" w:space="0" w:color="0602FF"/>
              <w:left w:val="single" w:sz="8" w:space="0" w:color="0602FF"/>
              <w:bottom w:val="single" w:sz="8" w:space="0" w:color="0602FF"/>
              <w:right w:val="single" w:sz="8" w:space="0" w:color="0602FF"/>
            </w:tcBorders>
            <w:shd w:val="clear" w:color="auto" w:fill="FEFAF7"/>
            <w:tcMar>
              <w:top w:w="28" w:type="dxa"/>
              <w:left w:w="142" w:type="dxa"/>
              <w:bottom w:w="28" w:type="dxa"/>
              <w:right w:w="142" w:type="dxa"/>
            </w:tcMar>
            <w:vAlign w:val="center"/>
            <w:hideMark/>
          </w:tcPr>
          <w:p w14:paraId="08F09480" w14:textId="538D5F0D" w:rsidR="00A31EEA" w:rsidRPr="002B2DE4" w:rsidRDefault="00A31EEA" w:rsidP="00CD4F3A">
            <w:pPr>
              <w:pStyle w:val="TableText"/>
            </w:pPr>
            <w:r w:rsidRPr="002B2DE4">
              <w:t>Lyapunov Exponent</w:t>
            </w:r>
            <w:r w:rsidR="00EA6A0D" w:rsidRPr="002B2DE4">
              <w:t xml:space="preserve"> </w:t>
            </w:r>
            <w:r w:rsidRPr="002B2DE4">
              <w:t>using PMU</w:t>
            </w:r>
          </w:p>
        </w:tc>
        <w:tc>
          <w:tcPr>
            <w:tcW w:w="1033" w:type="pct"/>
            <w:tcBorders>
              <w:top w:val="single" w:sz="8" w:space="0" w:color="0602FF"/>
              <w:left w:val="single" w:sz="8" w:space="0" w:color="0602FF"/>
              <w:bottom w:val="single" w:sz="8" w:space="0" w:color="0602FF"/>
              <w:right w:val="single" w:sz="8" w:space="0" w:color="0602FF"/>
            </w:tcBorders>
            <w:shd w:val="clear" w:color="auto" w:fill="00B050"/>
            <w:tcMar>
              <w:top w:w="28" w:type="dxa"/>
              <w:left w:w="142" w:type="dxa"/>
              <w:bottom w:w="28" w:type="dxa"/>
              <w:right w:w="142" w:type="dxa"/>
            </w:tcMar>
            <w:vAlign w:val="center"/>
            <w:hideMark/>
          </w:tcPr>
          <w:p w14:paraId="107D9A97" w14:textId="77777777" w:rsidR="00A31EEA" w:rsidRPr="002B2DE4" w:rsidRDefault="00A31EEA" w:rsidP="00CD4F3A">
            <w:pPr>
              <w:pStyle w:val="TableText"/>
            </w:pPr>
            <w:r w:rsidRPr="002B2DE4">
              <w:t>Very Useful</w:t>
            </w:r>
          </w:p>
        </w:tc>
        <w:tc>
          <w:tcPr>
            <w:tcW w:w="689" w:type="pct"/>
            <w:tcBorders>
              <w:top w:val="single" w:sz="8" w:space="0" w:color="0602FF"/>
              <w:left w:val="single" w:sz="8" w:space="0" w:color="0602FF"/>
              <w:bottom w:val="single" w:sz="8" w:space="0" w:color="0602FF"/>
              <w:right w:val="single" w:sz="8" w:space="0" w:color="0602FF"/>
            </w:tcBorders>
            <w:shd w:val="clear" w:color="auto" w:fill="30A173"/>
            <w:tcMar>
              <w:top w:w="28" w:type="dxa"/>
              <w:left w:w="142" w:type="dxa"/>
              <w:bottom w:w="28" w:type="dxa"/>
              <w:right w:w="142" w:type="dxa"/>
            </w:tcMar>
            <w:vAlign w:val="center"/>
            <w:hideMark/>
          </w:tcPr>
          <w:p w14:paraId="3DA04D26" w14:textId="77777777" w:rsidR="00A31EEA" w:rsidRPr="002B2DE4" w:rsidRDefault="00A31EEA" w:rsidP="00CD4F3A">
            <w:pPr>
              <w:pStyle w:val="TableText"/>
            </w:pPr>
            <w:r w:rsidRPr="002B2DE4">
              <w:t>High</w:t>
            </w:r>
          </w:p>
        </w:tc>
        <w:tc>
          <w:tcPr>
            <w:tcW w:w="1549" w:type="pct"/>
            <w:tcBorders>
              <w:top w:val="single" w:sz="8"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49BC90C8" w14:textId="77777777" w:rsidR="00A31EEA" w:rsidRPr="002B2DE4" w:rsidRDefault="00A31EEA" w:rsidP="00CD4F3A">
            <w:pPr>
              <w:pStyle w:val="TableText"/>
            </w:pPr>
            <w:r w:rsidRPr="002B2DE4">
              <w:t>High</w:t>
            </w:r>
          </w:p>
        </w:tc>
      </w:tr>
      <w:tr w:rsidR="00A31EEA" w:rsidRPr="002B2DE4" w14:paraId="53DCA561" w14:textId="77777777" w:rsidTr="004239CB">
        <w:trPr>
          <w:trHeight w:val="233"/>
        </w:trPr>
        <w:tc>
          <w:tcPr>
            <w:tcW w:w="1729" w:type="pct"/>
            <w:tcBorders>
              <w:top w:val="single" w:sz="8" w:space="0" w:color="0602FF"/>
              <w:left w:val="single" w:sz="8" w:space="0" w:color="0602FF"/>
              <w:bottom w:val="single" w:sz="8" w:space="0" w:color="0602FF"/>
              <w:right w:val="single" w:sz="8" w:space="0" w:color="0602FF"/>
            </w:tcBorders>
            <w:shd w:val="clear" w:color="auto" w:fill="FDF4EE"/>
            <w:tcMar>
              <w:top w:w="28" w:type="dxa"/>
              <w:left w:w="142" w:type="dxa"/>
              <w:bottom w:w="28" w:type="dxa"/>
              <w:right w:w="142" w:type="dxa"/>
            </w:tcMar>
            <w:vAlign w:val="center"/>
            <w:hideMark/>
          </w:tcPr>
          <w:p w14:paraId="617085B6" w14:textId="77777777" w:rsidR="00A31EEA" w:rsidRPr="002B2DE4" w:rsidRDefault="00A31EEA" w:rsidP="00CD4F3A">
            <w:pPr>
              <w:pStyle w:val="TableText"/>
            </w:pPr>
            <w:r w:rsidRPr="002B2DE4">
              <w:t>Data-driven approach</w:t>
            </w:r>
          </w:p>
        </w:tc>
        <w:tc>
          <w:tcPr>
            <w:tcW w:w="1033" w:type="pct"/>
            <w:tcBorders>
              <w:top w:val="single" w:sz="8" w:space="0" w:color="0602FF"/>
              <w:left w:val="single" w:sz="8" w:space="0" w:color="0602FF"/>
              <w:bottom w:val="single" w:sz="8" w:space="0" w:color="0602FF"/>
              <w:right w:val="single" w:sz="8" w:space="0" w:color="0602FF"/>
            </w:tcBorders>
            <w:shd w:val="clear" w:color="auto" w:fill="00B050"/>
            <w:tcMar>
              <w:top w:w="28" w:type="dxa"/>
              <w:left w:w="142" w:type="dxa"/>
              <w:bottom w:w="28" w:type="dxa"/>
              <w:right w:w="142" w:type="dxa"/>
            </w:tcMar>
            <w:vAlign w:val="center"/>
            <w:hideMark/>
          </w:tcPr>
          <w:p w14:paraId="34C67BAC" w14:textId="77777777" w:rsidR="00A31EEA" w:rsidRPr="002B2DE4" w:rsidRDefault="00A31EEA" w:rsidP="00CD4F3A">
            <w:pPr>
              <w:pStyle w:val="TableText"/>
            </w:pPr>
            <w:r w:rsidRPr="002B2DE4">
              <w:t>Very Useful</w:t>
            </w:r>
          </w:p>
        </w:tc>
        <w:tc>
          <w:tcPr>
            <w:tcW w:w="689" w:type="pct"/>
            <w:tcBorders>
              <w:top w:val="single" w:sz="8" w:space="0" w:color="0602FF"/>
              <w:left w:val="single" w:sz="8" w:space="0" w:color="0602FF"/>
              <w:bottom w:val="single" w:sz="8" w:space="0" w:color="0602FF"/>
              <w:right w:val="single" w:sz="8" w:space="0" w:color="0602FF"/>
            </w:tcBorders>
            <w:shd w:val="clear" w:color="auto" w:fill="30A173"/>
            <w:tcMar>
              <w:top w:w="28" w:type="dxa"/>
              <w:left w:w="142" w:type="dxa"/>
              <w:bottom w:w="28" w:type="dxa"/>
              <w:right w:w="142" w:type="dxa"/>
            </w:tcMar>
            <w:vAlign w:val="center"/>
            <w:hideMark/>
          </w:tcPr>
          <w:p w14:paraId="3D83462F" w14:textId="77777777" w:rsidR="00A31EEA" w:rsidRPr="002B2DE4" w:rsidRDefault="00A31EEA" w:rsidP="00CD4F3A">
            <w:pPr>
              <w:pStyle w:val="TableText"/>
            </w:pPr>
            <w:r w:rsidRPr="002B2DE4">
              <w:t>High</w:t>
            </w:r>
          </w:p>
        </w:tc>
        <w:tc>
          <w:tcPr>
            <w:tcW w:w="1549" w:type="pct"/>
            <w:tcBorders>
              <w:top w:val="single" w:sz="8"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70284499" w14:textId="77777777" w:rsidR="00A31EEA" w:rsidRPr="002B2DE4" w:rsidRDefault="00A31EEA" w:rsidP="00CD4F3A">
            <w:pPr>
              <w:pStyle w:val="TableText"/>
            </w:pPr>
            <w:r w:rsidRPr="002B2DE4">
              <w:t>High</w:t>
            </w:r>
          </w:p>
        </w:tc>
      </w:tr>
      <w:tr w:rsidR="00A31EEA" w:rsidRPr="002B2DE4" w14:paraId="20D8BAF8" w14:textId="77777777" w:rsidTr="004239CB">
        <w:trPr>
          <w:trHeight w:val="110"/>
        </w:trPr>
        <w:tc>
          <w:tcPr>
            <w:tcW w:w="1729" w:type="pct"/>
            <w:tcBorders>
              <w:top w:val="single" w:sz="8" w:space="0" w:color="0602FF"/>
              <w:left w:val="single" w:sz="8" w:space="0" w:color="0602FF"/>
              <w:bottom w:val="single" w:sz="8" w:space="0" w:color="0602FF"/>
              <w:right w:val="single" w:sz="8" w:space="0" w:color="0602FF"/>
            </w:tcBorders>
            <w:shd w:val="clear" w:color="auto" w:fill="FEFAF7"/>
            <w:tcMar>
              <w:top w:w="28" w:type="dxa"/>
              <w:left w:w="142" w:type="dxa"/>
              <w:bottom w:w="28" w:type="dxa"/>
              <w:right w:w="142" w:type="dxa"/>
            </w:tcMar>
            <w:vAlign w:val="center"/>
            <w:hideMark/>
          </w:tcPr>
          <w:p w14:paraId="52C1678F" w14:textId="77777777" w:rsidR="00A31EEA" w:rsidRPr="002B2DE4" w:rsidRDefault="00A31EEA" w:rsidP="00CD4F3A">
            <w:pPr>
              <w:pStyle w:val="TableText"/>
            </w:pPr>
            <w:r w:rsidRPr="002B2DE4">
              <w:t>Thevenin impedance matching</w:t>
            </w:r>
          </w:p>
        </w:tc>
        <w:tc>
          <w:tcPr>
            <w:tcW w:w="1033" w:type="pct"/>
            <w:tcBorders>
              <w:top w:val="single" w:sz="8"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60AEB350" w14:textId="77777777" w:rsidR="00A31EEA" w:rsidRPr="002B2DE4" w:rsidRDefault="00A31EEA" w:rsidP="00CD4F3A">
            <w:pPr>
              <w:pStyle w:val="TableText"/>
            </w:pPr>
            <w:r w:rsidRPr="002B2DE4">
              <w:t>Less Useful</w:t>
            </w:r>
          </w:p>
        </w:tc>
        <w:tc>
          <w:tcPr>
            <w:tcW w:w="689" w:type="pct"/>
            <w:tcBorders>
              <w:top w:val="single" w:sz="8"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2921E027" w14:textId="77777777" w:rsidR="00A31EEA" w:rsidRPr="002B2DE4" w:rsidRDefault="00A31EEA" w:rsidP="00CD4F3A">
            <w:pPr>
              <w:pStyle w:val="TableText"/>
            </w:pPr>
            <w:r w:rsidRPr="002B2DE4">
              <w:t>Low</w:t>
            </w:r>
          </w:p>
        </w:tc>
        <w:tc>
          <w:tcPr>
            <w:tcW w:w="1549" w:type="pct"/>
            <w:tcBorders>
              <w:top w:val="single" w:sz="8" w:space="0" w:color="0602FF"/>
              <w:left w:val="single" w:sz="8" w:space="0" w:color="0602FF"/>
              <w:bottom w:val="single" w:sz="8" w:space="0" w:color="0602FF"/>
              <w:right w:val="single" w:sz="8" w:space="0" w:color="0602FF"/>
            </w:tcBorders>
            <w:shd w:val="clear" w:color="auto" w:fill="00B050"/>
            <w:tcMar>
              <w:top w:w="28" w:type="dxa"/>
              <w:left w:w="142" w:type="dxa"/>
              <w:bottom w:w="28" w:type="dxa"/>
              <w:right w:w="142" w:type="dxa"/>
            </w:tcMar>
            <w:vAlign w:val="center"/>
            <w:hideMark/>
          </w:tcPr>
          <w:p w14:paraId="13A0F4B7" w14:textId="77777777" w:rsidR="00A31EEA" w:rsidRPr="002B2DE4" w:rsidRDefault="00A31EEA" w:rsidP="00CD4F3A">
            <w:pPr>
              <w:pStyle w:val="TableText"/>
            </w:pPr>
            <w:r w:rsidRPr="002B2DE4">
              <w:t>Low</w:t>
            </w:r>
          </w:p>
        </w:tc>
      </w:tr>
      <w:tr w:rsidR="00A31EEA" w:rsidRPr="002B2DE4" w14:paraId="6B87EE0C" w14:textId="77777777" w:rsidTr="004239CB">
        <w:trPr>
          <w:trHeight w:val="15"/>
        </w:trPr>
        <w:tc>
          <w:tcPr>
            <w:tcW w:w="1729" w:type="pct"/>
            <w:tcBorders>
              <w:top w:val="single" w:sz="8" w:space="0" w:color="0602FF"/>
              <w:left w:val="single" w:sz="8" w:space="0" w:color="0602FF"/>
              <w:bottom w:val="single" w:sz="8" w:space="0" w:color="0602FF"/>
              <w:right w:val="single" w:sz="8" w:space="0" w:color="0602FF"/>
            </w:tcBorders>
            <w:shd w:val="clear" w:color="auto" w:fill="FDF4EE"/>
            <w:tcMar>
              <w:top w:w="28" w:type="dxa"/>
              <w:left w:w="142" w:type="dxa"/>
              <w:bottom w:w="28" w:type="dxa"/>
              <w:right w:w="142" w:type="dxa"/>
            </w:tcMar>
            <w:vAlign w:val="center"/>
            <w:hideMark/>
          </w:tcPr>
          <w:p w14:paraId="35896F32" w14:textId="77777777" w:rsidR="00A31EEA" w:rsidRPr="002B2DE4" w:rsidRDefault="00A31EEA" w:rsidP="00CD4F3A">
            <w:pPr>
              <w:pStyle w:val="TableText"/>
            </w:pPr>
            <w:r w:rsidRPr="002B2DE4">
              <w:t>Energy function method</w:t>
            </w:r>
          </w:p>
        </w:tc>
        <w:tc>
          <w:tcPr>
            <w:tcW w:w="1033" w:type="pct"/>
            <w:tcBorders>
              <w:top w:val="single" w:sz="8" w:space="0" w:color="0602FF"/>
              <w:left w:val="single" w:sz="8" w:space="0" w:color="0602FF"/>
              <w:bottom w:val="single" w:sz="8" w:space="0" w:color="0602FF"/>
              <w:right w:val="single" w:sz="8" w:space="0" w:color="0602FF"/>
            </w:tcBorders>
            <w:shd w:val="clear" w:color="auto" w:fill="FD9477"/>
            <w:tcMar>
              <w:top w:w="28" w:type="dxa"/>
              <w:left w:w="142" w:type="dxa"/>
              <w:bottom w:w="28" w:type="dxa"/>
              <w:right w:w="142" w:type="dxa"/>
            </w:tcMar>
            <w:vAlign w:val="center"/>
            <w:hideMark/>
          </w:tcPr>
          <w:p w14:paraId="747BA65B" w14:textId="77777777" w:rsidR="00A31EEA" w:rsidRPr="002B2DE4" w:rsidRDefault="00A31EEA" w:rsidP="00CD4F3A">
            <w:pPr>
              <w:pStyle w:val="TableText"/>
            </w:pPr>
            <w:r w:rsidRPr="002B2DE4">
              <w:t>Less Useful</w:t>
            </w:r>
          </w:p>
        </w:tc>
        <w:tc>
          <w:tcPr>
            <w:tcW w:w="689" w:type="pct"/>
            <w:tcBorders>
              <w:top w:val="single" w:sz="8" w:space="0" w:color="0602FF"/>
              <w:left w:val="single" w:sz="8" w:space="0" w:color="0602FF"/>
              <w:bottom w:val="single" w:sz="8" w:space="0" w:color="0602FF"/>
              <w:right w:val="single" w:sz="8" w:space="0" w:color="0602FF"/>
            </w:tcBorders>
            <w:shd w:val="clear" w:color="auto" w:fill="99E0C3"/>
            <w:tcMar>
              <w:top w:w="28" w:type="dxa"/>
              <w:left w:w="142" w:type="dxa"/>
              <w:bottom w:w="28" w:type="dxa"/>
              <w:right w:w="142" w:type="dxa"/>
            </w:tcMar>
            <w:vAlign w:val="center"/>
            <w:hideMark/>
          </w:tcPr>
          <w:p w14:paraId="46A9DF0E" w14:textId="77777777" w:rsidR="00A31EEA" w:rsidRPr="002B2DE4" w:rsidRDefault="00A31EEA" w:rsidP="00CD4F3A">
            <w:pPr>
              <w:pStyle w:val="TableText"/>
            </w:pPr>
            <w:r w:rsidRPr="002B2DE4">
              <w:t>Moderate</w:t>
            </w:r>
          </w:p>
        </w:tc>
        <w:tc>
          <w:tcPr>
            <w:tcW w:w="1549" w:type="pct"/>
            <w:tcBorders>
              <w:top w:val="single" w:sz="8" w:space="0" w:color="0602FF"/>
              <w:left w:val="single" w:sz="8" w:space="0" w:color="0602FF"/>
              <w:bottom w:val="single" w:sz="8" w:space="0" w:color="0602FF"/>
              <w:right w:val="single" w:sz="8" w:space="0" w:color="0602FF"/>
            </w:tcBorders>
            <w:shd w:val="clear" w:color="auto" w:fill="99E0C3"/>
            <w:tcMar>
              <w:top w:w="28" w:type="dxa"/>
              <w:left w:w="142" w:type="dxa"/>
              <w:bottom w:w="28" w:type="dxa"/>
              <w:right w:w="142" w:type="dxa"/>
            </w:tcMar>
            <w:vAlign w:val="center"/>
            <w:hideMark/>
          </w:tcPr>
          <w:p w14:paraId="7DDEE86F" w14:textId="77777777" w:rsidR="00A31EEA" w:rsidRPr="002B2DE4" w:rsidRDefault="00A31EEA" w:rsidP="00CD4F3A">
            <w:pPr>
              <w:pStyle w:val="TableText"/>
            </w:pPr>
            <w:r w:rsidRPr="002B2DE4">
              <w:t>Moderate</w:t>
            </w:r>
          </w:p>
        </w:tc>
      </w:tr>
    </w:tbl>
    <w:p w14:paraId="026DACB5" w14:textId="77777777" w:rsidR="00A31EEA" w:rsidRPr="00A639FE" w:rsidRDefault="00A31EEA" w:rsidP="00A639FE">
      <w:pPr>
        <w:spacing w:after="0"/>
        <w:rPr>
          <w:sz w:val="24"/>
          <w:szCs w:val="24"/>
        </w:rPr>
      </w:pPr>
      <w:r w:rsidRPr="00A639FE">
        <w:rPr>
          <w:sz w:val="24"/>
          <w:szCs w:val="24"/>
        </w:rPr>
        <w:t xml:space="preserve">The most adopted total simulation times in the reviewed studies are 5 s and 10 s, which are generally sufficient to capture short-term voltage recovery and electromechanical dynamics following the disturbance. A smaller number of studies employ extended simulation durations of 20 s to 30 s to assess longer-term system recovery and slower dynamic processes. Most studies simulate transmission line faults, reflecting their dominant role in initiating voltage instability and dynamic stress in power systems. However, bus faults and generator-related contingencies have also been considered in several cases. </w:t>
      </w:r>
    </w:p>
    <w:p w14:paraId="44873F45" w14:textId="77777777" w:rsidR="00A31EEA" w:rsidRPr="00A639FE" w:rsidRDefault="00A31EEA" w:rsidP="00A639FE">
      <w:pPr>
        <w:spacing w:after="0"/>
        <w:rPr>
          <w:sz w:val="24"/>
          <w:szCs w:val="24"/>
        </w:rPr>
      </w:pPr>
      <w:r w:rsidRPr="00A639FE">
        <w:rPr>
          <w:sz w:val="24"/>
          <w:szCs w:val="24"/>
        </w:rPr>
        <w:t xml:space="preserve">Among the fault types, the three-phase fault is the most adopted worst-case scenario, as it results in the most severe voltage depression and represents the most critical condition for stability assessment. The fault location is frequently varied along the transmission line, typically at 0%, </w:t>
      </w:r>
      <w:r w:rsidRPr="00A639FE">
        <w:rPr>
          <w:sz w:val="24"/>
          <w:szCs w:val="24"/>
        </w:rPr>
        <w:lastRenderedPageBreak/>
        <w:t>25%, 50%, 75%, and 100% of the line length, to comprehensively evaluate system vulnerability at different electrical distances and to identify the most critical fault positions affecting voltage stability.</w:t>
      </w:r>
    </w:p>
    <w:p w14:paraId="139317A8" w14:textId="4A86EB32" w:rsidR="00A31EEA" w:rsidRPr="00A639FE" w:rsidRDefault="00A31EEA" w:rsidP="00A639FE">
      <w:pPr>
        <w:spacing w:after="0"/>
        <w:rPr>
          <w:sz w:val="24"/>
          <w:szCs w:val="24"/>
        </w:rPr>
      </w:pPr>
      <w:bookmarkStart w:id="292" w:name="_Toc230858781"/>
      <w:r w:rsidRPr="00A639FE">
        <w:rPr>
          <w:sz w:val="24"/>
          <w:szCs w:val="24"/>
        </w:rPr>
        <w:t>Half of the reviewed studies use the IEEE 39-bus New England test system, making it the most widely adopted benchmark for voltage stability and dynamic analysis. The Nordic test system is the second most used test system. Other test systems, including the IEEE 14-bus system, IEEE 118-bus system, and real-world power grids, have also been used to validate proposed methodologies under different system conditions as shown in t</w:t>
      </w:r>
      <w:r w:rsidR="001D3817" w:rsidRPr="00A639FE">
        <w:rPr>
          <w:sz w:val="24"/>
          <w:szCs w:val="24"/>
        </w:rPr>
        <w:t>he Figure 50</w:t>
      </w:r>
      <w:r w:rsidR="001022EC" w:rsidRPr="00A639FE">
        <w:rPr>
          <w:sz w:val="24"/>
          <w:szCs w:val="24"/>
        </w:rPr>
        <w:t>.</w:t>
      </w:r>
      <w:bookmarkEnd w:id="292"/>
    </w:p>
    <w:p w14:paraId="3C67DDC3" w14:textId="3627E14F" w:rsidR="00E3353F" w:rsidRPr="00A639FE" w:rsidRDefault="00E3353F" w:rsidP="00A639FE">
      <w:pPr>
        <w:spacing w:after="0"/>
        <w:rPr>
          <w:sz w:val="24"/>
          <w:szCs w:val="24"/>
        </w:rPr>
      </w:pPr>
      <w:r w:rsidRPr="00A639FE">
        <w:rPr>
          <w:sz w:val="24"/>
          <w:szCs w:val="24"/>
        </w:rPr>
        <w:t xml:space="preserve">Among the simulation platforms, DIgSILENT </w:t>
      </w:r>
      <w:proofErr w:type="spellStart"/>
      <w:r w:rsidRPr="00A639FE">
        <w:rPr>
          <w:sz w:val="24"/>
          <w:szCs w:val="24"/>
        </w:rPr>
        <w:t>PowerFactory</w:t>
      </w:r>
      <w:proofErr w:type="spellEnd"/>
      <w:r w:rsidRPr="00A639FE">
        <w:rPr>
          <w:sz w:val="24"/>
          <w:szCs w:val="24"/>
        </w:rPr>
        <w:t xml:space="preserve"> is the most frequently used software for time-domain simulation, reflecting its widespread adoption. PSD-BPA appears as the second most used tool, particularly in WECC-related studies. Other simulation tools, such as PSS/E, PSASP, DSP, PSLF, TSAT, and PSCAD, have also been employed in the literature as shown i</w:t>
      </w:r>
      <w:r w:rsidR="001D3817" w:rsidRPr="00A639FE">
        <w:rPr>
          <w:sz w:val="24"/>
          <w:szCs w:val="24"/>
        </w:rPr>
        <w:t>n</w:t>
      </w:r>
      <w:r w:rsidR="009855CC" w:rsidRPr="00A639FE">
        <w:rPr>
          <w:sz w:val="24"/>
          <w:szCs w:val="24"/>
        </w:rPr>
        <w:t xml:space="preserve"> </w:t>
      </w:r>
      <w:r w:rsidR="009855CC" w:rsidRPr="00A639FE">
        <w:rPr>
          <w:sz w:val="24"/>
          <w:szCs w:val="24"/>
        </w:rPr>
        <w:fldChar w:fldCharType="begin"/>
      </w:r>
      <w:r w:rsidR="009855CC" w:rsidRPr="00A639FE">
        <w:rPr>
          <w:sz w:val="24"/>
          <w:szCs w:val="24"/>
        </w:rPr>
        <w:instrText xml:space="preserve"> REF _Ref233546141 \h </w:instrText>
      </w:r>
      <w:r w:rsidR="00A639FE">
        <w:rPr>
          <w:sz w:val="24"/>
          <w:szCs w:val="24"/>
        </w:rPr>
        <w:instrText xml:space="preserve"> \* MERGEFORMAT </w:instrText>
      </w:r>
      <w:r w:rsidR="009855CC" w:rsidRPr="00A639FE">
        <w:rPr>
          <w:sz w:val="24"/>
          <w:szCs w:val="24"/>
        </w:rPr>
      </w:r>
      <w:r w:rsidR="009855CC" w:rsidRPr="00A639FE">
        <w:rPr>
          <w:sz w:val="24"/>
          <w:szCs w:val="24"/>
        </w:rPr>
        <w:fldChar w:fldCharType="separate"/>
      </w:r>
      <w:r w:rsidR="009855CC" w:rsidRPr="00A639FE">
        <w:rPr>
          <w:sz w:val="24"/>
          <w:szCs w:val="24"/>
        </w:rPr>
        <w:t>Figure 51</w:t>
      </w:r>
      <w:r w:rsidR="009855CC" w:rsidRPr="00A639FE">
        <w:rPr>
          <w:sz w:val="24"/>
          <w:szCs w:val="24"/>
        </w:rPr>
        <w:fldChar w:fldCharType="end"/>
      </w:r>
      <w:r w:rsidRPr="00A639FE">
        <w:rPr>
          <w:sz w:val="24"/>
          <w:szCs w:val="24"/>
        </w:rPr>
        <w:t>.</w:t>
      </w:r>
    </w:p>
    <w:p w14:paraId="26F820DC" w14:textId="77777777" w:rsidR="00AC3D1E" w:rsidRPr="00A639FE" w:rsidRDefault="00AC3D1E" w:rsidP="00A639FE">
      <w:pPr>
        <w:spacing w:after="0"/>
        <w:rPr>
          <w:sz w:val="24"/>
          <w:szCs w:val="24"/>
        </w:rPr>
      </w:pPr>
      <w:r w:rsidRPr="00A639FE">
        <w:rPr>
          <w:sz w:val="24"/>
          <w:szCs w:val="24"/>
        </w:rPr>
        <w:t xml:space="preserve">Finally, the load level variation in most studies ranges from 80% to 120% of the base-load value, enabling the evaluation of system stability under both light and heavy loading conditions. Similarly, for creating diverse scenarios, some studies have varied the generation from 80% to 120%. </w:t>
      </w:r>
    </w:p>
    <w:p w14:paraId="700C52C3" w14:textId="77777777" w:rsidR="00E3353F" w:rsidRPr="00E27D3B" w:rsidRDefault="00E3353F" w:rsidP="00CD4F3A">
      <w:pPr>
        <w:rPr>
          <w:sz w:val="24"/>
          <w:szCs w:val="24"/>
        </w:rPr>
      </w:pPr>
    </w:p>
    <w:p w14:paraId="0CFF4D7E" w14:textId="77777777" w:rsidR="00A31EEA" w:rsidRPr="00E27D3B" w:rsidRDefault="00A31EEA" w:rsidP="00CD4F3A">
      <w:pPr>
        <w:keepNext/>
        <w:spacing w:before="240"/>
      </w:pPr>
      <w:r w:rsidRPr="00E27D3B">
        <w:rPr>
          <w:noProof/>
        </w:rPr>
        <w:lastRenderedPageBreak/>
        <w:drawing>
          <wp:inline distT="0" distB="0" distL="0" distR="0" wp14:anchorId="296113C9" wp14:editId="6DCCC9C4">
            <wp:extent cx="5486400" cy="3200400"/>
            <wp:effectExtent l="0" t="0" r="38100" b="0"/>
            <wp:docPr id="16919377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94C9CDC" w14:textId="1641AC0B" w:rsidR="00A31EEA" w:rsidRPr="005C746B" w:rsidRDefault="00A31EEA" w:rsidP="00CD4F3A">
      <w:pPr>
        <w:pStyle w:val="Caption"/>
        <w:spacing w:line="240" w:lineRule="auto"/>
      </w:pPr>
      <w:bookmarkStart w:id="293" w:name="_Toc223626375"/>
      <w:bookmarkStart w:id="294" w:name="_Toc224235136"/>
      <w:bookmarkStart w:id="295" w:name="_Toc230342839"/>
      <w:bookmarkStart w:id="296" w:name="_Toc233735056"/>
      <w:r w:rsidRPr="005C746B">
        <w:t xml:space="preserve">Figure </w:t>
      </w:r>
      <w:fldSimple w:instr=" SEQ Figure \* ARABIC ">
        <w:r w:rsidR="00A85006" w:rsidRPr="005C746B">
          <w:t>50</w:t>
        </w:r>
      </w:fldSimple>
      <w:r w:rsidR="000D596C">
        <w:t>:</w:t>
      </w:r>
      <w:r w:rsidRPr="005C746B">
        <w:t xml:space="preserve"> Test systems used for STVS studies involving time-domain simulation</w:t>
      </w:r>
      <w:bookmarkEnd w:id="293"/>
      <w:bookmarkEnd w:id="294"/>
      <w:bookmarkEnd w:id="295"/>
      <w:r w:rsidR="00A639FE">
        <w:t>.</w:t>
      </w:r>
      <w:bookmarkEnd w:id="296"/>
    </w:p>
    <w:p w14:paraId="395825CE" w14:textId="77777777" w:rsidR="00A31EEA" w:rsidRPr="00E27D3B" w:rsidRDefault="00A31EEA" w:rsidP="00CD4F3A">
      <w:pPr>
        <w:keepNext/>
        <w:spacing w:before="480"/>
      </w:pPr>
      <w:r w:rsidRPr="00E27D3B">
        <w:rPr>
          <w:noProof/>
        </w:rPr>
        <w:drawing>
          <wp:inline distT="0" distB="0" distL="0" distR="0" wp14:anchorId="2F127585" wp14:editId="7149DEF4">
            <wp:extent cx="5486400" cy="3200400"/>
            <wp:effectExtent l="0" t="0" r="0" b="0"/>
            <wp:docPr id="142770466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05AF1A65" w14:textId="17E614E1" w:rsidR="00A31EEA" w:rsidRPr="005C746B" w:rsidRDefault="00A31EEA" w:rsidP="00CD4F3A">
      <w:pPr>
        <w:pStyle w:val="Caption"/>
        <w:spacing w:line="240" w:lineRule="auto"/>
      </w:pPr>
      <w:bookmarkStart w:id="297" w:name="_Ref233546141"/>
      <w:bookmarkStart w:id="298" w:name="_Toc223626376"/>
      <w:bookmarkStart w:id="299" w:name="_Toc224235137"/>
      <w:bookmarkStart w:id="300" w:name="_Toc233735057"/>
      <w:r w:rsidRPr="005C746B">
        <w:t xml:space="preserve">Figure </w:t>
      </w:r>
      <w:fldSimple w:instr=" SEQ Figure \* ARABIC ">
        <w:r w:rsidR="00A85006" w:rsidRPr="005C746B">
          <w:t>51</w:t>
        </w:r>
      </w:fldSimple>
      <w:bookmarkEnd w:id="297"/>
      <w:r w:rsidR="000D596C">
        <w:t>:</w:t>
      </w:r>
      <w:r w:rsidRPr="005C746B">
        <w:t xml:space="preserve"> Software tools used for time-domain simulation for STVS assessment</w:t>
      </w:r>
      <w:bookmarkEnd w:id="298"/>
      <w:bookmarkEnd w:id="299"/>
      <w:r w:rsidR="00A639FE">
        <w:t>.</w:t>
      </w:r>
      <w:bookmarkEnd w:id="300"/>
    </w:p>
    <w:p w14:paraId="3E3AF363" w14:textId="77777777" w:rsidR="00AC3D1E" w:rsidRDefault="00AC3D1E" w:rsidP="00CD4F3A">
      <w:pPr>
        <w:pStyle w:val="Caption"/>
        <w:spacing w:line="240" w:lineRule="auto"/>
      </w:pPr>
      <w:bookmarkStart w:id="301" w:name="_Toc223626410"/>
      <w:bookmarkStart w:id="302" w:name="_Toc224235171"/>
    </w:p>
    <w:p w14:paraId="68AC9BC3" w14:textId="77777777" w:rsidR="000E4085" w:rsidRDefault="000E4085" w:rsidP="00CD4F3A">
      <w:pPr>
        <w:pStyle w:val="Caption"/>
        <w:spacing w:line="240" w:lineRule="auto"/>
      </w:pPr>
    </w:p>
    <w:p w14:paraId="3B7D8243" w14:textId="77777777" w:rsidR="000E4085" w:rsidRDefault="000E4085" w:rsidP="00CD4F3A">
      <w:pPr>
        <w:pStyle w:val="Caption"/>
        <w:spacing w:line="240" w:lineRule="auto"/>
      </w:pPr>
    </w:p>
    <w:p w14:paraId="379451DB" w14:textId="77777777" w:rsidR="000E4085" w:rsidRDefault="000E4085" w:rsidP="00CD4F3A">
      <w:pPr>
        <w:pStyle w:val="Caption"/>
        <w:spacing w:line="240" w:lineRule="auto"/>
      </w:pPr>
    </w:p>
    <w:p w14:paraId="2F1AF5F4" w14:textId="77777777" w:rsidR="000E4085" w:rsidRDefault="000E4085" w:rsidP="00CD4F3A">
      <w:pPr>
        <w:pStyle w:val="Caption"/>
        <w:spacing w:line="240" w:lineRule="auto"/>
      </w:pPr>
    </w:p>
    <w:p w14:paraId="023F86F6" w14:textId="77777777" w:rsidR="000E4085" w:rsidRDefault="000E4085" w:rsidP="00CD4F3A">
      <w:pPr>
        <w:pStyle w:val="Caption"/>
        <w:spacing w:line="240" w:lineRule="auto"/>
      </w:pPr>
    </w:p>
    <w:p w14:paraId="3EE295F9" w14:textId="77777777" w:rsidR="000E4085" w:rsidRDefault="000E4085" w:rsidP="00CD4F3A">
      <w:pPr>
        <w:pStyle w:val="Caption"/>
        <w:spacing w:line="240" w:lineRule="auto"/>
      </w:pPr>
    </w:p>
    <w:p w14:paraId="3E2AD28B" w14:textId="77777777" w:rsidR="000E4085" w:rsidRDefault="000E4085" w:rsidP="00CD4F3A">
      <w:pPr>
        <w:pStyle w:val="Caption"/>
        <w:spacing w:line="240" w:lineRule="auto"/>
      </w:pPr>
    </w:p>
    <w:p w14:paraId="07305317" w14:textId="77777777" w:rsidR="000E4085" w:rsidRDefault="000E4085" w:rsidP="00CD4F3A">
      <w:pPr>
        <w:pStyle w:val="Caption"/>
        <w:spacing w:line="240" w:lineRule="auto"/>
      </w:pPr>
    </w:p>
    <w:p w14:paraId="50F60AF0" w14:textId="77777777" w:rsidR="000E4085" w:rsidRDefault="000E4085" w:rsidP="00CD4F3A">
      <w:pPr>
        <w:pStyle w:val="Caption"/>
        <w:spacing w:line="240" w:lineRule="auto"/>
      </w:pPr>
    </w:p>
    <w:p w14:paraId="79797A17" w14:textId="77777777" w:rsidR="000E4085" w:rsidRDefault="000E4085" w:rsidP="00CD4F3A">
      <w:pPr>
        <w:pStyle w:val="Caption"/>
        <w:spacing w:line="240" w:lineRule="auto"/>
      </w:pPr>
    </w:p>
    <w:p w14:paraId="3F5B2E13" w14:textId="77777777" w:rsidR="00B6748E" w:rsidRDefault="00B6748E" w:rsidP="00CD4F3A">
      <w:pPr>
        <w:pStyle w:val="Caption"/>
        <w:spacing w:line="240" w:lineRule="auto"/>
      </w:pPr>
      <w:bookmarkStart w:id="303" w:name="_Ref233547801"/>
    </w:p>
    <w:p w14:paraId="37179D03" w14:textId="2DED3CC0" w:rsidR="00A31EEA" w:rsidRPr="00E27D3B" w:rsidRDefault="00A31EEA" w:rsidP="00CD4F3A">
      <w:pPr>
        <w:pStyle w:val="Caption"/>
        <w:spacing w:line="240" w:lineRule="auto"/>
      </w:pPr>
      <w:bookmarkStart w:id="304" w:name="_Toc233735316"/>
      <w:r w:rsidRPr="00E27D3B">
        <w:lastRenderedPageBreak/>
        <w:t xml:space="preserve">Table </w:t>
      </w:r>
      <w:fldSimple w:instr=" SEQ Table \* ARABIC ">
        <w:r w:rsidR="00753DAF">
          <w:rPr>
            <w:noProof/>
          </w:rPr>
          <w:t>20</w:t>
        </w:r>
      </w:fldSimple>
      <w:bookmarkEnd w:id="303"/>
      <w:r w:rsidR="000D596C">
        <w:t xml:space="preserve">: </w:t>
      </w:r>
      <w:r w:rsidRPr="00E27D3B">
        <w:t xml:space="preserve">Summary of </w:t>
      </w:r>
      <w:r w:rsidRPr="005C746B">
        <w:t>Time</w:t>
      </w:r>
      <w:r w:rsidRPr="00E27D3B">
        <w:t>-domain Simulation Works for STVS</w:t>
      </w:r>
      <w:bookmarkEnd w:id="301"/>
      <w:bookmarkEnd w:id="302"/>
      <w:r w:rsidR="00FC2355">
        <w:t>.</w:t>
      </w:r>
      <w:bookmarkEnd w:id="304"/>
    </w:p>
    <w:tbl>
      <w:tblPr>
        <w:tblStyle w:val="TableCSIRO"/>
        <w:tblW w:w="0" w:type="auto"/>
        <w:tblLayout w:type="fixed"/>
        <w:tblLook w:val="04A0" w:firstRow="1" w:lastRow="0" w:firstColumn="1" w:lastColumn="0" w:noHBand="0" w:noVBand="1"/>
      </w:tblPr>
      <w:tblGrid>
        <w:gridCol w:w="704"/>
        <w:gridCol w:w="743"/>
        <w:gridCol w:w="933"/>
        <w:gridCol w:w="1004"/>
        <w:gridCol w:w="1573"/>
        <w:gridCol w:w="1275"/>
        <w:gridCol w:w="1546"/>
        <w:gridCol w:w="1238"/>
      </w:tblGrid>
      <w:tr w:rsidR="00A31EEA" w:rsidRPr="00E27D3B" w14:paraId="3B2BA20C"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FEF4A9E" w14:textId="77777777" w:rsidR="00A31EEA" w:rsidRPr="00E27D3B" w:rsidRDefault="00A31EEA" w:rsidP="00CD4F3A">
            <w:pPr>
              <w:pStyle w:val="TableText"/>
              <w:rPr>
                <w:b w:val="0"/>
                <w:bCs w:val="0"/>
                <w:color w:val="FFFFFF" w:themeColor="background1"/>
              </w:rPr>
            </w:pPr>
          </w:p>
          <w:p w14:paraId="3A0E50A9" w14:textId="77777777" w:rsidR="00A31EEA" w:rsidRPr="00E27D3B" w:rsidRDefault="00A31EEA" w:rsidP="00CD4F3A">
            <w:pPr>
              <w:pStyle w:val="TableText"/>
              <w:rPr>
                <w:b w:val="0"/>
                <w:bCs w:val="0"/>
                <w:color w:val="FFFFFF" w:themeColor="background1"/>
              </w:rPr>
            </w:pPr>
            <w:r w:rsidRPr="00E27D3B">
              <w:rPr>
                <w:color w:val="FFFFFF" w:themeColor="background1"/>
              </w:rPr>
              <w:t>Ref.</w:t>
            </w:r>
          </w:p>
        </w:tc>
        <w:tc>
          <w:tcPr>
            <w:tcW w:w="743" w:type="dxa"/>
          </w:tcPr>
          <w:p w14:paraId="52394540"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Fault Start/</w:t>
            </w:r>
          </w:p>
          <w:p w14:paraId="7A228AA1"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Inception time</w:t>
            </w:r>
          </w:p>
        </w:tc>
        <w:tc>
          <w:tcPr>
            <w:tcW w:w="933" w:type="dxa"/>
          </w:tcPr>
          <w:p w14:paraId="1A2D2F49"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Fault clearing time</w:t>
            </w:r>
          </w:p>
        </w:tc>
        <w:tc>
          <w:tcPr>
            <w:tcW w:w="1004" w:type="dxa"/>
          </w:tcPr>
          <w:p w14:paraId="527BD378"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Total Simulation Time</w:t>
            </w:r>
          </w:p>
        </w:tc>
        <w:tc>
          <w:tcPr>
            <w:tcW w:w="1573" w:type="dxa"/>
          </w:tcPr>
          <w:p w14:paraId="736C7529"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Fault Location</w:t>
            </w:r>
          </w:p>
        </w:tc>
        <w:tc>
          <w:tcPr>
            <w:tcW w:w="1275" w:type="dxa"/>
          </w:tcPr>
          <w:p w14:paraId="22D7AC8B"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Test system</w:t>
            </w:r>
          </w:p>
        </w:tc>
        <w:tc>
          <w:tcPr>
            <w:tcW w:w="1546" w:type="dxa"/>
          </w:tcPr>
          <w:p w14:paraId="470313B5"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Load model/</w:t>
            </w:r>
          </w:p>
          <w:p w14:paraId="5C17DDF8"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Load variations</w:t>
            </w:r>
          </w:p>
        </w:tc>
        <w:tc>
          <w:tcPr>
            <w:tcW w:w="1238" w:type="dxa"/>
          </w:tcPr>
          <w:p w14:paraId="1AAB5D6B"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Software</w:t>
            </w:r>
          </w:p>
        </w:tc>
      </w:tr>
      <w:tr w:rsidR="00A31EEA" w:rsidRPr="00E27D3B" w14:paraId="4530E62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3F4677A" w14:textId="6E97722A" w:rsidR="00A31EEA" w:rsidRPr="005917E6" w:rsidRDefault="001E55C4" w:rsidP="00CD4F3A">
            <w:pPr>
              <w:pStyle w:val="TableText"/>
              <w:jc w:val="center"/>
              <w:rPr>
                <w:b w:val="0"/>
                <w:bCs w:val="0"/>
              </w:rPr>
            </w:pPr>
            <w:r w:rsidRPr="005917E6">
              <w:fldChar w:fldCharType="begin"/>
            </w:r>
            <w:r w:rsidRPr="005917E6">
              <w:rPr>
                <w:b w:val="0"/>
                <w:bCs w:val="0"/>
              </w:rPr>
              <w:instrText xml:space="preserve"> REF _Ref230446008 \r \h </w:instrText>
            </w:r>
            <w:r w:rsidR="005917E6" w:rsidRPr="005917E6">
              <w:rPr>
                <w:b w:val="0"/>
                <w:bCs w:val="0"/>
              </w:rPr>
              <w:instrText xml:space="preserve"> \* MERGEFORMAT </w:instrText>
            </w:r>
            <w:r w:rsidRPr="005917E6">
              <w:fldChar w:fldCharType="separate"/>
            </w:r>
            <w:r w:rsidR="00A87A44" w:rsidRPr="005917E6">
              <w:rPr>
                <w:b w:val="0"/>
                <w:bCs w:val="0"/>
              </w:rPr>
              <w:t>[90]</w:t>
            </w:r>
            <w:r w:rsidRPr="005917E6">
              <w:fldChar w:fldCharType="end"/>
            </w:r>
          </w:p>
        </w:tc>
        <w:tc>
          <w:tcPr>
            <w:tcW w:w="743" w:type="dxa"/>
          </w:tcPr>
          <w:p w14:paraId="223260E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sec</w:t>
            </w:r>
          </w:p>
        </w:tc>
        <w:tc>
          <w:tcPr>
            <w:tcW w:w="933" w:type="dxa"/>
          </w:tcPr>
          <w:p w14:paraId="01BB5C0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110 </w:t>
            </w:r>
            <w:proofErr w:type="spellStart"/>
            <w:r w:rsidRPr="00E27D3B">
              <w:t>ms</w:t>
            </w:r>
            <w:proofErr w:type="spellEnd"/>
          </w:p>
          <w:p w14:paraId="0BC531B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120 </w:t>
            </w:r>
            <w:proofErr w:type="spellStart"/>
            <w:r w:rsidRPr="00E27D3B">
              <w:t>ms</w:t>
            </w:r>
            <w:proofErr w:type="spellEnd"/>
          </w:p>
        </w:tc>
        <w:tc>
          <w:tcPr>
            <w:tcW w:w="1004" w:type="dxa"/>
          </w:tcPr>
          <w:p w14:paraId="270FDD9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sec</w:t>
            </w:r>
          </w:p>
        </w:tc>
        <w:tc>
          <w:tcPr>
            <w:tcW w:w="1573" w:type="dxa"/>
          </w:tcPr>
          <w:p w14:paraId="26B3F01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fault Near load bus end</w:t>
            </w:r>
          </w:p>
        </w:tc>
        <w:tc>
          <w:tcPr>
            <w:tcW w:w="1275" w:type="dxa"/>
          </w:tcPr>
          <w:p w14:paraId="600E669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2-bus</w:t>
            </w:r>
          </w:p>
        </w:tc>
        <w:tc>
          <w:tcPr>
            <w:tcW w:w="1546" w:type="dxa"/>
          </w:tcPr>
          <w:p w14:paraId="2382112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Induction motor (IM)</w:t>
            </w:r>
          </w:p>
        </w:tc>
        <w:tc>
          <w:tcPr>
            <w:tcW w:w="1238" w:type="dxa"/>
          </w:tcPr>
          <w:p w14:paraId="4FD8A4A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DIgSILENT Power Factory</w:t>
            </w:r>
          </w:p>
        </w:tc>
      </w:tr>
      <w:tr w:rsidR="00A31EEA" w:rsidRPr="00E27D3B" w14:paraId="014A9108"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FF9E69D" w14:textId="33127917" w:rsidR="00A31EEA" w:rsidRPr="005917E6" w:rsidRDefault="008E3D53" w:rsidP="00CD4F3A">
            <w:pPr>
              <w:pStyle w:val="TableText"/>
              <w:jc w:val="center"/>
              <w:rPr>
                <w:b w:val="0"/>
                <w:bCs w:val="0"/>
              </w:rPr>
            </w:pPr>
            <w:r w:rsidRPr="005917E6">
              <w:fldChar w:fldCharType="begin"/>
            </w:r>
            <w:r w:rsidRPr="005917E6">
              <w:rPr>
                <w:b w:val="0"/>
                <w:bCs w:val="0"/>
              </w:rPr>
              <w:instrText xml:space="preserve"> REF _Ref230443608 \w \h </w:instrText>
            </w:r>
            <w:r w:rsidR="005917E6">
              <w:rPr>
                <w:b w:val="0"/>
                <w:bCs w:val="0"/>
              </w:rPr>
              <w:instrText xml:space="preserve"> \* MERGEFORMAT </w:instrText>
            </w:r>
            <w:r w:rsidRPr="005917E6">
              <w:fldChar w:fldCharType="separate"/>
            </w:r>
            <w:r w:rsidR="00A87A44" w:rsidRPr="005917E6">
              <w:rPr>
                <w:b w:val="0"/>
                <w:bCs w:val="0"/>
              </w:rPr>
              <w:t>[80]</w:t>
            </w:r>
            <w:r w:rsidRPr="005917E6">
              <w:fldChar w:fldCharType="end"/>
            </w:r>
          </w:p>
        </w:tc>
        <w:tc>
          <w:tcPr>
            <w:tcW w:w="743" w:type="dxa"/>
          </w:tcPr>
          <w:p w14:paraId="311118A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sec</w:t>
            </w:r>
          </w:p>
        </w:tc>
        <w:tc>
          <w:tcPr>
            <w:tcW w:w="933" w:type="dxa"/>
          </w:tcPr>
          <w:p w14:paraId="77ECD0F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66.67 </w:t>
            </w:r>
            <w:proofErr w:type="spellStart"/>
            <w:r w:rsidRPr="00E27D3B">
              <w:t>ms</w:t>
            </w:r>
            <w:proofErr w:type="spellEnd"/>
            <w:r w:rsidRPr="00E27D3B">
              <w:t xml:space="preserve"> (4 cycles)</w:t>
            </w:r>
          </w:p>
        </w:tc>
        <w:tc>
          <w:tcPr>
            <w:tcW w:w="1004" w:type="dxa"/>
          </w:tcPr>
          <w:p w14:paraId="5319299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8 sec</w:t>
            </w:r>
          </w:p>
        </w:tc>
        <w:tc>
          <w:tcPr>
            <w:tcW w:w="1573" w:type="dxa"/>
          </w:tcPr>
          <w:p w14:paraId="075E210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Bus fault with line disconnected</w:t>
            </w:r>
          </w:p>
        </w:tc>
        <w:tc>
          <w:tcPr>
            <w:tcW w:w="1275" w:type="dxa"/>
          </w:tcPr>
          <w:p w14:paraId="412533A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Entire WECC system</w:t>
            </w:r>
          </w:p>
        </w:tc>
        <w:tc>
          <w:tcPr>
            <w:tcW w:w="1546" w:type="dxa"/>
          </w:tcPr>
          <w:p w14:paraId="4B3C478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238" w:type="dxa"/>
          </w:tcPr>
          <w:p w14:paraId="6291753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proofErr w:type="spellStart"/>
            <w:r w:rsidRPr="00E27D3B">
              <w:t>DSATools</w:t>
            </w:r>
            <w:proofErr w:type="spellEnd"/>
            <w:r w:rsidRPr="00E27D3B">
              <w:t xml:space="preserve"> and PSLF</w:t>
            </w:r>
          </w:p>
        </w:tc>
      </w:tr>
      <w:tr w:rsidR="00A31EEA" w:rsidRPr="00E27D3B" w14:paraId="257AF5F4"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AA8F6A" w14:textId="5C2374D3" w:rsidR="00A31EEA" w:rsidRPr="005917E6" w:rsidRDefault="008E3D53" w:rsidP="00CD4F3A">
            <w:pPr>
              <w:pStyle w:val="TableText"/>
              <w:jc w:val="center"/>
              <w:rPr>
                <w:b w:val="0"/>
                <w:bCs w:val="0"/>
              </w:rPr>
            </w:pPr>
            <w:r w:rsidRPr="005917E6">
              <w:fldChar w:fldCharType="begin"/>
            </w:r>
            <w:r w:rsidRPr="005917E6">
              <w:rPr>
                <w:b w:val="0"/>
                <w:bCs w:val="0"/>
              </w:rPr>
              <w:instrText xml:space="preserve"> REF _Ref230446026 \w \h </w:instrText>
            </w:r>
            <w:r w:rsidR="005917E6">
              <w:rPr>
                <w:b w:val="0"/>
                <w:bCs w:val="0"/>
              </w:rPr>
              <w:instrText xml:space="preserve"> \* MERGEFORMAT </w:instrText>
            </w:r>
            <w:r w:rsidRPr="005917E6">
              <w:fldChar w:fldCharType="separate"/>
            </w:r>
            <w:r w:rsidR="00A87A44" w:rsidRPr="005917E6">
              <w:rPr>
                <w:b w:val="0"/>
                <w:bCs w:val="0"/>
              </w:rPr>
              <w:t>[91]</w:t>
            </w:r>
            <w:r w:rsidRPr="005917E6">
              <w:fldChar w:fldCharType="end"/>
            </w:r>
          </w:p>
        </w:tc>
        <w:tc>
          <w:tcPr>
            <w:tcW w:w="743" w:type="dxa"/>
          </w:tcPr>
          <w:p w14:paraId="3E4C8F2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sec</w:t>
            </w:r>
          </w:p>
        </w:tc>
        <w:tc>
          <w:tcPr>
            <w:tcW w:w="933" w:type="dxa"/>
          </w:tcPr>
          <w:p w14:paraId="1A1BBE1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200 </w:t>
            </w:r>
            <w:proofErr w:type="spellStart"/>
            <w:r w:rsidRPr="00E27D3B">
              <w:t>ms</w:t>
            </w:r>
            <w:proofErr w:type="spellEnd"/>
          </w:p>
          <w:p w14:paraId="35594DE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300 </w:t>
            </w:r>
            <w:proofErr w:type="spellStart"/>
            <w:r w:rsidRPr="00E27D3B">
              <w:t>ms</w:t>
            </w:r>
            <w:proofErr w:type="spellEnd"/>
          </w:p>
        </w:tc>
        <w:tc>
          <w:tcPr>
            <w:tcW w:w="1004" w:type="dxa"/>
          </w:tcPr>
          <w:p w14:paraId="3E0D876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30 sec</w:t>
            </w:r>
          </w:p>
        </w:tc>
        <w:tc>
          <w:tcPr>
            <w:tcW w:w="1573" w:type="dxa"/>
          </w:tcPr>
          <w:p w14:paraId="281166D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Bus fault</w:t>
            </w:r>
          </w:p>
        </w:tc>
        <w:tc>
          <w:tcPr>
            <w:tcW w:w="1275" w:type="dxa"/>
          </w:tcPr>
          <w:p w14:paraId="3EA43FA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14-bus sub-transmission</w:t>
            </w:r>
          </w:p>
        </w:tc>
        <w:tc>
          <w:tcPr>
            <w:tcW w:w="1546" w:type="dxa"/>
          </w:tcPr>
          <w:p w14:paraId="3E2B67F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Constant power load, induction motor load</w:t>
            </w:r>
          </w:p>
        </w:tc>
        <w:tc>
          <w:tcPr>
            <w:tcW w:w="1238" w:type="dxa"/>
          </w:tcPr>
          <w:p w14:paraId="2240A80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PSAT</w:t>
            </w:r>
          </w:p>
        </w:tc>
      </w:tr>
      <w:tr w:rsidR="00A31EEA" w:rsidRPr="00E27D3B" w14:paraId="2954EBAF"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93A4A35" w14:textId="50692623" w:rsidR="00A31EEA" w:rsidRPr="005917E6" w:rsidRDefault="006E0319" w:rsidP="00CD4F3A">
            <w:pPr>
              <w:pStyle w:val="TableText"/>
              <w:jc w:val="center"/>
              <w:rPr>
                <w:b w:val="0"/>
                <w:bCs w:val="0"/>
              </w:rPr>
            </w:pPr>
            <w:r w:rsidRPr="005917E6">
              <w:fldChar w:fldCharType="begin"/>
            </w:r>
            <w:r w:rsidRPr="005917E6">
              <w:rPr>
                <w:b w:val="0"/>
                <w:bCs w:val="0"/>
              </w:rPr>
              <w:instrText xml:space="preserve"> REF _Ref230445677 \w \h </w:instrText>
            </w:r>
            <w:r w:rsidR="005917E6">
              <w:rPr>
                <w:b w:val="0"/>
                <w:bCs w:val="0"/>
              </w:rPr>
              <w:instrText xml:space="preserve"> \* MERGEFORMAT </w:instrText>
            </w:r>
            <w:r w:rsidRPr="005917E6">
              <w:fldChar w:fldCharType="separate"/>
            </w:r>
            <w:r w:rsidR="00A87A44" w:rsidRPr="005917E6">
              <w:rPr>
                <w:b w:val="0"/>
                <w:bCs w:val="0"/>
              </w:rPr>
              <w:t>[88]</w:t>
            </w:r>
            <w:r w:rsidRPr="005917E6">
              <w:fldChar w:fldCharType="end"/>
            </w:r>
          </w:p>
        </w:tc>
        <w:tc>
          <w:tcPr>
            <w:tcW w:w="743" w:type="dxa"/>
          </w:tcPr>
          <w:p w14:paraId="4C3DD8C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sec</w:t>
            </w:r>
          </w:p>
        </w:tc>
        <w:tc>
          <w:tcPr>
            <w:tcW w:w="933" w:type="dxa"/>
          </w:tcPr>
          <w:p w14:paraId="7BB2182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100 </w:t>
            </w:r>
            <w:proofErr w:type="spellStart"/>
            <w:r w:rsidRPr="00E27D3B">
              <w:t>ms</w:t>
            </w:r>
            <w:proofErr w:type="spellEnd"/>
          </w:p>
        </w:tc>
        <w:tc>
          <w:tcPr>
            <w:tcW w:w="1004" w:type="dxa"/>
          </w:tcPr>
          <w:p w14:paraId="7A5512B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20 sec</w:t>
            </w:r>
          </w:p>
        </w:tc>
        <w:tc>
          <w:tcPr>
            <w:tcW w:w="1573" w:type="dxa"/>
          </w:tcPr>
          <w:p w14:paraId="2CBBD73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275" w:type="dxa"/>
          </w:tcPr>
          <w:p w14:paraId="3D3C1FA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p w14:paraId="4696951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30-bus</w:t>
            </w:r>
          </w:p>
        </w:tc>
        <w:tc>
          <w:tcPr>
            <w:tcW w:w="1546" w:type="dxa"/>
          </w:tcPr>
          <w:p w14:paraId="19E199C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ZIP load and first order IM model</w:t>
            </w:r>
          </w:p>
        </w:tc>
        <w:tc>
          <w:tcPr>
            <w:tcW w:w="1238" w:type="dxa"/>
          </w:tcPr>
          <w:p w14:paraId="7ED415C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7B135C6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E25172" w14:textId="00D4C073" w:rsidR="00A31EEA" w:rsidRPr="005917E6" w:rsidRDefault="006E0319" w:rsidP="00CD4F3A">
            <w:pPr>
              <w:pStyle w:val="TableText"/>
              <w:jc w:val="center"/>
              <w:rPr>
                <w:b w:val="0"/>
                <w:bCs w:val="0"/>
              </w:rPr>
            </w:pPr>
            <w:r w:rsidRPr="005917E6">
              <w:fldChar w:fldCharType="begin"/>
            </w:r>
            <w:r w:rsidRPr="005917E6">
              <w:rPr>
                <w:b w:val="0"/>
                <w:bCs w:val="0"/>
              </w:rPr>
              <w:instrText xml:space="preserve"> REF _Ref230446109 \w \h </w:instrText>
            </w:r>
            <w:r w:rsidR="005917E6">
              <w:rPr>
                <w:b w:val="0"/>
                <w:bCs w:val="0"/>
              </w:rPr>
              <w:instrText xml:space="preserve"> \* MERGEFORMAT </w:instrText>
            </w:r>
            <w:r w:rsidRPr="005917E6">
              <w:fldChar w:fldCharType="separate"/>
            </w:r>
            <w:r w:rsidR="00A87A44" w:rsidRPr="005917E6">
              <w:rPr>
                <w:b w:val="0"/>
                <w:bCs w:val="0"/>
              </w:rPr>
              <w:t>[95]</w:t>
            </w:r>
            <w:r w:rsidRPr="005917E6">
              <w:fldChar w:fldCharType="end"/>
            </w:r>
          </w:p>
        </w:tc>
        <w:tc>
          <w:tcPr>
            <w:tcW w:w="743" w:type="dxa"/>
          </w:tcPr>
          <w:p w14:paraId="3A5B571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sec</w:t>
            </w:r>
          </w:p>
        </w:tc>
        <w:tc>
          <w:tcPr>
            <w:tcW w:w="933" w:type="dxa"/>
          </w:tcPr>
          <w:p w14:paraId="5D28A43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100 </w:t>
            </w:r>
            <w:proofErr w:type="spellStart"/>
            <w:r w:rsidRPr="00E27D3B">
              <w:t>ms</w:t>
            </w:r>
            <w:proofErr w:type="spellEnd"/>
          </w:p>
          <w:p w14:paraId="7B306E7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200 </w:t>
            </w:r>
            <w:proofErr w:type="spellStart"/>
            <w:r w:rsidRPr="00E27D3B">
              <w:t>ms</w:t>
            </w:r>
            <w:proofErr w:type="spellEnd"/>
          </w:p>
        </w:tc>
        <w:tc>
          <w:tcPr>
            <w:tcW w:w="1004" w:type="dxa"/>
          </w:tcPr>
          <w:p w14:paraId="0C0A32E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sec</w:t>
            </w:r>
          </w:p>
        </w:tc>
        <w:tc>
          <w:tcPr>
            <w:tcW w:w="1573" w:type="dxa"/>
          </w:tcPr>
          <w:p w14:paraId="7E4EBA6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4032-4044 (near 4044)</w:t>
            </w:r>
          </w:p>
        </w:tc>
        <w:tc>
          <w:tcPr>
            <w:tcW w:w="1275" w:type="dxa"/>
          </w:tcPr>
          <w:p w14:paraId="2D50F08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Nordic</w:t>
            </w:r>
          </w:p>
        </w:tc>
        <w:tc>
          <w:tcPr>
            <w:tcW w:w="1546" w:type="dxa"/>
          </w:tcPr>
          <w:p w14:paraId="152779F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IM</w:t>
            </w:r>
          </w:p>
        </w:tc>
        <w:tc>
          <w:tcPr>
            <w:tcW w:w="1238" w:type="dxa"/>
          </w:tcPr>
          <w:p w14:paraId="267F41F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0CCA0F3C"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30CCBEED" w14:textId="63500A41" w:rsidR="00A31EEA" w:rsidRPr="005917E6" w:rsidRDefault="00593A61" w:rsidP="00CD4F3A">
            <w:pPr>
              <w:pStyle w:val="TableText"/>
              <w:jc w:val="center"/>
              <w:rPr>
                <w:b w:val="0"/>
                <w:bCs w:val="0"/>
              </w:rPr>
            </w:pPr>
            <w:r w:rsidRPr="005917E6">
              <w:fldChar w:fldCharType="begin"/>
            </w:r>
            <w:r w:rsidRPr="005917E6">
              <w:rPr>
                <w:b w:val="0"/>
                <w:bCs w:val="0"/>
              </w:rPr>
              <w:instrText xml:space="preserve"> REF _Ref230446109 \w \h </w:instrText>
            </w:r>
            <w:r w:rsidR="005917E6">
              <w:rPr>
                <w:b w:val="0"/>
                <w:bCs w:val="0"/>
              </w:rPr>
              <w:instrText xml:space="preserve"> \* MERGEFORMAT </w:instrText>
            </w:r>
            <w:r w:rsidRPr="005917E6">
              <w:fldChar w:fldCharType="separate"/>
            </w:r>
            <w:r w:rsidR="00A87A44" w:rsidRPr="005917E6">
              <w:rPr>
                <w:b w:val="0"/>
                <w:bCs w:val="0"/>
              </w:rPr>
              <w:t>[95]</w:t>
            </w:r>
            <w:r w:rsidRPr="005917E6">
              <w:fldChar w:fldCharType="end"/>
            </w:r>
          </w:p>
        </w:tc>
        <w:tc>
          <w:tcPr>
            <w:tcW w:w="743" w:type="dxa"/>
          </w:tcPr>
          <w:p w14:paraId="39C545F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sec</w:t>
            </w:r>
          </w:p>
        </w:tc>
        <w:tc>
          <w:tcPr>
            <w:tcW w:w="933" w:type="dxa"/>
          </w:tcPr>
          <w:p w14:paraId="6019F39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150 </w:t>
            </w:r>
            <w:proofErr w:type="spellStart"/>
            <w:r w:rsidRPr="00E27D3B">
              <w:t>ms</w:t>
            </w:r>
            <w:proofErr w:type="spellEnd"/>
          </w:p>
          <w:p w14:paraId="5EA2C00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300 </w:t>
            </w:r>
            <w:proofErr w:type="spellStart"/>
            <w:r w:rsidRPr="00E27D3B">
              <w:t>ms</w:t>
            </w:r>
            <w:proofErr w:type="spellEnd"/>
          </w:p>
        </w:tc>
        <w:tc>
          <w:tcPr>
            <w:tcW w:w="1004" w:type="dxa"/>
          </w:tcPr>
          <w:p w14:paraId="24AE5E2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sec</w:t>
            </w:r>
          </w:p>
        </w:tc>
        <w:tc>
          <w:tcPr>
            <w:tcW w:w="1573" w:type="dxa"/>
          </w:tcPr>
          <w:p w14:paraId="505FF20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Line 12-13, near bus 13</w:t>
            </w:r>
          </w:p>
        </w:tc>
        <w:tc>
          <w:tcPr>
            <w:tcW w:w="1275" w:type="dxa"/>
          </w:tcPr>
          <w:p w14:paraId="0BD52F9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CSEE-VS</w:t>
            </w:r>
          </w:p>
        </w:tc>
        <w:tc>
          <w:tcPr>
            <w:tcW w:w="1546" w:type="dxa"/>
          </w:tcPr>
          <w:p w14:paraId="0C908CE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IM</w:t>
            </w:r>
          </w:p>
        </w:tc>
        <w:tc>
          <w:tcPr>
            <w:tcW w:w="1238" w:type="dxa"/>
          </w:tcPr>
          <w:p w14:paraId="207A3ED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738ED4DE"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EB722B3" w14:textId="1AEE3B80" w:rsidR="00A31EEA" w:rsidRPr="005917E6" w:rsidRDefault="00593A61" w:rsidP="00CD4F3A">
            <w:pPr>
              <w:pStyle w:val="TableText"/>
              <w:jc w:val="center"/>
              <w:rPr>
                <w:b w:val="0"/>
                <w:bCs w:val="0"/>
              </w:rPr>
            </w:pPr>
            <w:r w:rsidRPr="005917E6">
              <w:fldChar w:fldCharType="begin"/>
            </w:r>
            <w:r w:rsidRPr="005917E6">
              <w:rPr>
                <w:b w:val="0"/>
                <w:bCs w:val="0"/>
              </w:rPr>
              <w:instrText xml:space="preserve"> REF _Ref230445391 \w \h </w:instrText>
            </w:r>
            <w:r w:rsidR="005917E6">
              <w:rPr>
                <w:b w:val="0"/>
                <w:bCs w:val="0"/>
              </w:rPr>
              <w:instrText xml:space="preserve"> \* MERGEFORMAT </w:instrText>
            </w:r>
            <w:r w:rsidRPr="005917E6">
              <w:fldChar w:fldCharType="separate"/>
            </w:r>
            <w:r w:rsidR="00A87A44" w:rsidRPr="005917E6">
              <w:rPr>
                <w:b w:val="0"/>
                <w:bCs w:val="0"/>
              </w:rPr>
              <w:t>[82]</w:t>
            </w:r>
            <w:r w:rsidRPr="005917E6">
              <w:fldChar w:fldCharType="end"/>
            </w:r>
          </w:p>
        </w:tc>
        <w:tc>
          <w:tcPr>
            <w:tcW w:w="743" w:type="dxa"/>
          </w:tcPr>
          <w:p w14:paraId="12BB05D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sec</w:t>
            </w:r>
          </w:p>
        </w:tc>
        <w:tc>
          <w:tcPr>
            <w:tcW w:w="933" w:type="dxa"/>
          </w:tcPr>
          <w:p w14:paraId="2BDB062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0.1s</w:t>
            </w:r>
          </w:p>
        </w:tc>
        <w:tc>
          <w:tcPr>
            <w:tcW w:w="1004" w:type="dxa"/>
          </w:tcPr>
          <w:p w14:paraId="0C870CB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14-20 s</w:t>
            </w:r>
          </w:p>
        </w:tc>
        <w:tc>
          <w:tcPr>
            <w:tcW w:w="1573" w:type="dxa"/>
          </w:tcPr>
          <w:p w14:paraId="33FF6B1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4032-4044, Near bus 1044, line open,</w:t>
            </w:r>
          </w:p>
          <w:p w14:paraId="68BC74C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4045-4051</w:t>
            </w:r>
          </w:p>
        </w:tc>
        <w:tc>
          <w:tcPr>
            <w:tcW w:w="1275" w:type="dxa"/>
          </w:tcPr>
          <w:p w14:paraId="20D8AFD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Nordic</w:t>
            </w:r>
          </w:p>
        </w:tc>
        <w:tc>
          <w:tcPr>
            <w:tcW w:w="1546" w:type="dxa"/>
          </w:tcPr>
          <w:p w14:paraId="33DE91C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70% static, 30% dynamic load</w:t>
            </w:r>
          </w:p>
        </w:tc>
        <w:tc>
          <w:tcPr>
            <w:tcW w:w="1238" w:type="dxa"/>
          </w:tcPr>
          <w:p w14:paraId="7C8ACAB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1454C489"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4989507E" w14:textId="036A27DE" w:rsidR="00A31EEA" w:rsidRPr="005917E6" w:rsidRDefault="00824DE3" w:rsidP="00CD4F3A">
            <w:pPr>
              <w:pStyle w:val="TableText"/>
              <w:jc w:val="center"/>
              <w:rPr>
                <w:b w:val="0"/>
                <w:bCs w:val="0"/>
              </w:rPr>
            </w:pPr>
            <w:r w:rsidRPr="005917E6">
              <w:fldChar w:fldCharType="begin"/>
            </w:r>
            <w:r w:rsidRPr="005917E6">
              <w:rPr>
                <w:b w:val="0"/>
                <w:bCs w:val="0"/>
              </w:rPr>
              <w:instrText xml:space="preserve"> REF _Ref230446008 \w \h </w:instrText>
            </w:r>
            <w:r w:rsidR="005917E6">
              <w:rPr>
                <w:b w:val="0"/>
                <w:bCs w:val="0"/>
              </w:rPr>
              <w:instrText xml:space="preserve"> \* MERGEFORMAT </w:instrText>
            </w:r>
            <w:r w:rsidRPr="005917E6">
              <w:fldChar w:fldCharType="separate"/>
            </w:r>
            <w:r w:rsidR="00A87A44" w:rsidRPr="005917E6">
              <w:rPr>
                <w:b w:val="0"/>
                <w:bCs w:val="0"/>
              </w:rPr>
              <w:t>[90]</w:t>
            </w:r>
            <w:r w:rsidRPr="005917E6">
              <w:fldChar w:fldCharType="end"/>
            </w:r>
          </w:p>
        </w:tc>
        <w:tc>
          <w:tcPr>
            <w:tcW w:w="743" w:type="dxa"/>
          </w:tcPr>
          <w:p w14:paraId="33E1D7C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w:t>
            </w:r>
          </w:p>
        </w:tc>
        <w:tc>
          <w:tcPr>
            <w:tcW w:w="933" w:type="dxa"/>
          </w:tcPr>
          <w:p w14:paraId="7A1EC2C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110 </w:t>
            </w:r>
            <w:proofErr w:type="spellStart"/>
            <w:r w:rsidRPr="00E27D3B">
              <w:t>ms</w:t>
            </w:r>
            <w:proofErr w:type="spellEnd"/>
            <w:r w:rsidRPr="00E27D3B">
              <w:t>,</w:t>
            </w:r>
          </w:p>
          <w:p w14:paraId="0922566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120 </w:t>
            </w:r>
            <w:proofErr w:type="spellStart"/>
            <w:r w:rsidRPr="00E27D3B">
              <w:t>ms</w:t>
            </w:r>
            <w:proofErr w:type="spellEnd"/>
          </w:p>
        </w:tc>
        <w:tc>
          <w:tcPr>
            <w:tcW w:w="1004" w:type="dxa"/>
          </w:tcPr>
          <w:p w14:paraId="055A9E9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c>
          <w:tcPr>
            <w:tcW w:w="1573" w:type="dxa"/>
          </w:tcPr>
          <w:p w14:paraId="0082DE8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Line fault Near load bus end</w:t>
            </w:r>
          </w:p>
        </w:tc>
        <w:tc>
          <w:tcPr>
            <w:tcW w:w="1275" w:type="dxa"/>
          </w:tcPr>
          <w:p w14:paraId="379F821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2-bus system</w:t>
            </w:r>
          </w:p>
        </w:tc>
        <w:tc>
          <w:tcPr>
            <w:tcW w:w="1546" w:type="dxa"/>
          </w:tcPr>
          <w:p w14:paraId="7D4E63C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IM</w:t>
            </w:r>
          </w:p>
        </w:tc>
        <w:tc>
          <w:tcPr>
            <w:tcW w:w="1238" w:type="dxa"/>
          </w:tcPr>
          <w:p w14:paraId="4357A4A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1CDDDDC9"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30466C8" w14:textId="3ECB8803" w:rsidR="00A31EEA" w:rsidRPr="005917E6" w:rsidRDefault="00824DE3" w:rsidP="00CD4F3A">
            <w:pPr>
              <w:pStyle w:val="TableText"/>
              <w:jc w:val="center"/>
              <w:rPr>
                <w:b w:val="0"/>
                <w:bCs w:val="0"/>
              </w:rPr>
            </w:pPr>
            <w:r w:rsidRPr="005917E6">
              <w:fldChar w:fldCharType="begin"/>
            </w:r>
            <w:r w:rsidRPr="005917E6">
              <w:rPr>
                <w:b w:val="0"/>
                <w:bCs w:val="0"/>
              </w:rPr>
              <w:instrText xml:space="preserve"> REF _Ref230446139 \w \h </w:instrText>
            </w:r>
            <w:r w:rsidR="005917E6">
              <w:rPr>
                <w:b w:val="0"/>
                <w:bCs w:val="0"/>
              </w:rPr>
              <w:instrText xml:space="preserve"> \* MERGEFORMAT </w:instrText>
            </w:r>
            <w:r w:rsidRPr="005917E6">
              <w:fldChar w:fldCharType="separate"/>
            </w:r>
            <w:r w:rsidR="00A87A44" w:rsidRPr="005917E6">
              <w:rPr>
                <w:b w:val="0"/>
                <w:bCs w:val="0"/>
              </w:rPr>
              <w:t>[96]</w:t>
            </w:r>
            <w:r w:rsidRPr="005917E6">
              <w:fldChar w:fldCharType="end"/>
            </w:r>
          </w:p>
        </w:tc>
        <w:tc>
          <w:tcPr>
            <w:tcW w:w="743" w:type="dxa"/>
          </w:tcPr>
          <w:p w14:paraId="2AE7C42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 sec</w:t>
            </w:r>
          </w:p>
        </w:tc>
        <w:tc>
          <w:tcPr>
            <w:tcW w:w="933" w:type="dxa"/>
          </w:tcPr>
          <w:p w14:paraId="185DAAB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sec</w:t>
            </w:r>
          </w:p>
        </w:tc>
        <w:tc>
          <w:tcPr>
            <w:tcW w:w="1004" w:type="dxa"/>
          </w:tcPr>
          <w:p w14:paraId="5C6A38E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1.2 sec</w:t>
            </w:r>
          </w:p>
        </w:tc>
        <w:tc>
          <w:tcPr>
            <w:tcW w:w="1573" w:type="dxa"/>
          </w:tcPr>
          <w:p w14:paraId="7216696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Multiple lines</w:t>
            </w:r>
          </w:p>
        </w:tc>
        <w:tc>
          <w:tcPr>
            <w:tcW w:w="1275" w:type="dxa"/>
          </w:tcPr>
          <w:p w14:paraId="60D7ADE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IEEE 39-bus</w:t>
            </w:r>
          </w:p>
        </w:tc>
        <w:tc>
          <w:tcPr>
            <w:tcW w:w="1546" w:type="dxa"/>
          </w:tcPr>
          <w:p w14:paraId="4D37440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50% IM load, All dynamic except L18</w:t>
            </w:r>
          </w:p>
        </w:tc>
        <w:tc>
          <w:tcPr>
            <w:tcW w:w="1238" w:type="dxa"/>
          </w:tcPr>
          <w:p w14:paraId="5C394A2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r>
      <w:tr w:rsidR="00A31EEA" w:rsidRPr="00E27D3B" w14:paraId="1CC5E5DD"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06921CEC" w14:textId="2E9247B4" w:rsidR="00A31EEA" w:rsidRPr="005917E6" w:rsidRDefault="00BF436C" w:rsidP="00CD4F3A">
            <w:pPr>
              <w:pStyle w:val="TableText"/>
              <w:jc w:val="center"/>
              <w:rPr>
                <w:b w:val="0"/>
                <w:bCs w:val="0"/>
              </w:rPr>
            </w:pPr>
            <w:r w:rsidRPr="005917E6">
              <w:fldChar w:fldCharType="begin"/>
            </w:r>
            <w:r w:rsidRPr="005917E6">
              <w:rPr>
                <w:b w:val="0"/>
                <w:bCs w:val="0"/>
              </w:rPr>
              <w:instrText xml:space="preserve"> REF _Ref230446187 \w \h </w:instrText>
            </w:r>
            <w:r w:rsidR="005917E6">
              <w:rPr>
                <w:b w:val="0"/>
                <w:bCs w:val="0"/>
              </w:rPr>
              <w:instrText xml:space="preserve"> \* MERGEFORMAT </w:instrText>
            </w:r>
            <w:r w:rsidRPr="005917E6">
              <w:fldChar w:fldCharType="separate"/>
            </w:r>
            <w:r w:rsidR="00A87A44" w:rsidRPr="005917E6">
              <w:rPr>
                <w:b w:val="0"/>
                <w:bCs w:val="0"/>
              </w:rPr>
              <w:t>[98]</w:t>
            </w:r>
            <w:r w:rsidRPr="005917E6">
              <w:fldChar w:fldCharType="end"/>
            </w:r>
          </w:p>
        </w:tc>
        <w:tc>
          <w:tcPr>
            <w:tcW w:w="743" w:type="dxa"/>
          </w:tcPr>
          <w:p w14:paraId="2E6C465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933" w:type="dxa"/>
          </w:tcPr>
          <w:p w14:paraId="0AD3C28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78D9F0E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1.7 s</w:t>
            </w:r>
          </w:p>
        </w:tc>
        <w:tc>
          <w:tcPr>
            <w:tcW w:w="1573" w:type="dxa"/>
          </w:tcPr>
          <w:p w14:paraId="5BFCD66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Multiple line outages</w:t>
            </w:r>
          </w:p>
        </w:tc>
        <w:tc>
          <w:tcPr>
            <w:tcW w:w="1275" w:type="dxa"/>
          </w:tcPr>
          <w:p w14:paraId="0DB9A4F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Modified IEEE 39-bus</w:t>
            </w:r>
          </w:p>
        </w:tc>
        <w:tc>
          <w:tcPr>
            <w:tcW w:w="1546" w:type="dxa"/>
          </w:tcPr>
          <w:p w14:paraId="25F9EA5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CLOD load in PSS/E</w:t>
            </w:r>
          </w:p>
        </w:tc>
        <w:tc>
          <w:tcPr>
            <w:tcW w:w="1238" w:type="dxa"/>
          </w:tcPr>
          <w:p w14:paraId="7F9F492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PSS/E</w:t>
            </w:r>
          </w:p>
        </w:tc>
      </w:tr>
      <w:tr w:rsidR="00A31EEA" w:rsidRPr="00E27D3B" w14:paraId="3F75DA18"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100575" w14:textId="3C139020" w:rsidR="00A31EEA" w:rsidRPr="005917E6" w:rsidRDefault="00444BB0" w:rsidP="00CD4F3A">
            <w:pPr>
              <w:pStyle w:val="TableText"/>
              <w:jc w:val="center"/>
              <w:rPr>
                <w:b w:val="0"/>
                <w:bCs w:val="0"/>
              </w:rPr>
            </w:pPr>
            <w:r w:rsidRPr="005917E6">
              <w:fldChar w:fldCharType="begin"/>
            </w:r>
            <w:r w:rsidRPr="005917E6">
              <w:rPr>
                <w:b w:val="0"/>
                <w:bCs w:val="0"/>
              </w:rPr>
              <w:instrText xml:space="preserve"> REF _Ref230446574 \w \h </w:instrText>
            </w:r>
            <w:r w:rsidR="005917E6">
              <w:rPr>
                <w:b w:val="0"/>
                <w:bCs w:val="0"/>
              </w:rPr>
              <w:instrText xml:space="preserve"> \* MERGEFORMAT </w:instrText>
            </w:r>
            <w:r w:rsidRPr="005917E6">
              <w:fldChar w:fldCharType="separate"/>
            </w:r>
            <w:r w:rsidR="00A87A44" w:rsidRPr="005917E6">
              <w:rPr>
                <w:b w:val="0"/>
                <w:bCs w:val="0"/>
              </w:rPr>
              <w:t>[109]</w:t>
            </w:r>
            <w:r w:rsidRPr="005917E6">
              <w:fldChar w:fldCharType="end"/>
            </w:r>
          </w:p>
        </w:tc>
        <w:tc>
          <w:tcPr>
            <w:tcW w:w="743" w:type="dxa"/>
          </w:tcPr>
          <w:p w14:paraId="54AE3FD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0.5 s</w:t>
            </w:r>
          </w:p>
        </w:tc>
        <w:tc>
          <w:tcPr>
            <w:tcW w:w="933" w:type="dxa"/>
          </w:tcPr>
          <w:p w14:paraId="3BD4933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1004" w:type="dxa"/>
          </w:tcPr>
          <w:p w14:paraId="651FA87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 s</w:t>
            </w:r>
          </w:p>
        </w:tc>
        <w:tc>
          <w:tcPr>
            <w:tcW w:w="1573" w:type="dxa"/>
          </w:tcPr>
          <w:p w14:paraId="0A8E21F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Three-phase fault at the middle of the line</w:t>
            </w:r>
          </w:p>
        </w:tc>
        <w:tc>
          <w:tcPr>
            <w:tcW w:w="1275" w:type="dxa"/>
          </w:tcPr>
          <w:p w14:paraId="09B9C09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IEEE 39-bus, IEEE 118-bus</w:t>
            </w:r>
          </w:p>
        </w:tc>
        <w:tc>
          <w:tcPr>
            <w:tcW w:w="1546" w:type="dxa"/>
          </w:tcPr>
          <w:p w14:paraId="361D719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ZIP and IM, 40-60% IM</w:t>
            </w:r>
          </w:p>
        </w:tc>
        <w:tc>
          <w:tcPr>
            <w:tcW w:w="1238" w:type="dxa"/>
          </w:tcPr>
          <w:p w14:paraId="229B6B7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Power System Analysis Software Package (PSASP)</w:t>
            </w:r>
          </w:p>
        </w:tc>
      </w:tr>
      <w:tr w:rsidR="00A31EEA" w:rsidRPr="00E27D3B" w14:paraId="4706FAB6"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273C90DA" w14:textId="4B0B0E0C" w:rsidR="00A31EEA" w:rsidRPr="005917E6" w:rsidRDefault="00444BB0" w:rsidP="00CD4F3A">
            <w:pPr>
              <w:pStyle w:val="TableText"/>
              <w:jc w:val="center"/>
              <w:rPr>
                <w:b w:val="0"/>
                <w:bCs w:val="0"/>
              </w:rPr>
            </w:pPr>
            <w:r w:rsidRPr="005917E6">
              <w:fldChar w:fldCharType="begin"/>
            </w:r>
            <w:r w:rsidRPr="005917E6">
              <w:rPr>
                <w:b w:val="0"/>
                <w:bCs w:val="0"/>
              </w:rPr>
              <w:instrText xml:space="preserve"> REF _Ref230447050 \w \h </w:instrText>
            </w:r>
            <w:r w:rsidR="005917E6">
              <w:rPr>
                <w:b w:val="0"/>
                <w:bCs w:val="0"/>
              </w:rPr>
              <w:instrText xml:space="preserve"> \* MERGEFORMAT </w:instrText>
            </w:r>
            <w:r w:rsidRPr="005917E6">
              <w:fldChar w:fldCharType="separate"/>
            </w:r>
            <w:r w:rsidR="00A87A44" w:rsidRPr="005917E6">
              <w:rPr>
                <w:b w:val="0"/>
                <w:bCs w:val="0"/>
              </w:rPr>
              <w:t>[114]</w:t>
            </w:r>
            <w:r w:rsidRPr="005917E6">
              <w:fldChar w:fldCharType="end"/>
            </w:r>
          </w:p>
        </w:tc>
        <w:tc>
          <w:tcPr>
            <w:tcW w:w="743" w:type="dxa"/>
          </w:tcPr>
          <w:p w14:paraId="598DD5A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933" w:type="dxa"/>
          </w:tcPr>
          <w:p w14:paraId="31498AE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0.18 sec</w:t>
            </w:r>
          </w:p>
        </w:tc>
        <w:tc>
          <w:tcPr>
            <w:tcW w:w="1004" w:type="dxa"/>
          </w:tcPr>
          <w:p w14:paraId="6D62C51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1.2 sec</w:t>
            </w:r>
          </w:p>
        </w:tc>
        <w:tc>
          <w:tcPr>
            <w:tcW w:w="1573" w:type="dxa"/>
          </w:tcPr>
          <w:p w14:paraId="012EEE6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Lines 2-13, 15-19, 24-26 (all 10% distance from starting bus)</w:t>
            </w:r>
          </w:p>
        </w:tc>
        <w:tc>
          <w:tcPr>
            <w:tcW w:w="1275" w:type="dxa"/>
          </w:tcPr>
          <w:p w14:paraId="007C950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466CE19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Composite load model</w:t>
            </w:r>
          </w:p>
        </w:tc>
        <w:tc>
          <w:tcPr>
            <w:tcW w:w="1238" w:type="dxa"/>
          </w:tcPr>
          <w:p w14:paraId="5A1732D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Dynamic Simulation Program (DSP)</w:t>
            </w:r>
          </w:p>
        </w:tc>
      </w:tr>
      <w:tr w:rsidR="00A31EEA" w:rsidRPr="00E27D3B" w14:paraId="15B39C64"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1CCFB52" w14:textId="22D89704" w:rsidR="00A31EEA" w:rsidRPr="005917E6" w:rsidRDefault="00B3146A" w:rsidP="00CD4F3A">
            <w:pPr>
              <w:pStyle w:val="TableText"/>
              <w:jc w:val="center"/>
              <w:rPr>
                <w:b w:val="0"/>
                <w:bCs w:val="0"/>
              </w:rPr>
            </w:pPr>
            <w:r w:rsidRPr="005917E6">
              <w:fldChar w:fldCharType="begin"/>
            </w:r>
            <w:r w:rsidRPr="005917E6">
              <w:rPr>
                <w:b w:val="0"/>
                <w:bCs w:val="0"/>
              </w:rPr>
              <w:instrText xml:space="preserve"> REF _Ref230447071 \w \h </w:instrText>
            </w:r>
            <w:r w:rsidR="005917E6">
              <w:rPr>
                <w:b w:val="0"/>
                <w:bCs w:val="0"/>
              </w:rPr>
              <w:instrText xml:space="preserve"> \* MERGEFORMAT </w:instrText>
            </w:r>
            <w:r w:rsidRPr="005917E6">
              <w:fldChar w:fldCharType="separate"/>
            </w:r>
            <w:r w:rsidR="00A87A44" w:rsidRPr="005917E6">
              <w:rPr>
                <w:b w:val="0"/>
                <w:bCs w:val="0"/>
              </w:rPr>
              <w:t>[115]</w:t>
            </w:r>
            <w:r w:rsidRPr="005917E6">
              <w:fldChar w:fldCharType="end"/>
            </w:r>
          </w:p>
        </w:tc>
        <w:tc>
          <w:tcPr>
            <w:tcW w:w="743" w:type="dxa"/>
          </w:tcPr>
          <w:p w14:paraId="5FD2658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933" w:type="dxa"/>
          </w:tcPr>
          <w:p w14:paraId="258D1BA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0.24 sec</w:t>
            </w:r>
          </w:p>
        </w:tc>
        <w:tc>
          <w:tcPr>
            <w:tcW w:w="1004" w:type="dxa"/>
          </w:tcPr>
          <w:p w14:paraId="316A669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sec</w:t>
            </w:r>
          </w:p>
        </w:tc>
        <w:tc>
          <w:tcPr>
            <w:tcW w:w="1573" w:type="dxa"/>
          </w:tcPr>
          <w:p w14:paraId="59EEFDB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Multiple lines</w:t>
            </w:r>
          </w:p>
        </w:tc>
        <w:tc>
          <w:tcPr>
            <w:tcW w:w="1275" w:type="dxa"/>
          </w:tcPr>
          <w:p w14:paraId="4088DC5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2-bus system and IEEE 39-bus</w:t>
            </w:r>
          </w:p>
        </w:tc>
        <w:tc>
          <w:tcPr>
            <w:tcW w:w="1546" w:type="dxa"/>
          </w:tcPr>
          <w:p w14:paraId="5D7963D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Composite load model</w:t>
            </w:r>
          </w:p>
        </w:tc>
        <w:tc>
          <w:tcPr>
            <w:tcW w:w="1238" w:type="dxa"/>
          </w:tcPr>
          <w:p w14:paraId="14F853C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DSP</w:t>
            </w:r>
          </w:p>
        </w:tc>
      </w:tr>
      <w:tr w:rsidR="00A31EEA" w:rsidRPr="00E27D3B" w14:paraId="78550846"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268375A8" w14:textId="02D24FAC" w:rsidR="00A31EEA" w:rsidRPr="005917E6" w:rsidRDefault="00B3146A" w:rsidP="00CD4F3A">
            <w:pPr>
              <w:pStyle w:val="TableText"/>
              <w:jc w:val="center"/>
              <w:rPr>
                <w:b w:val="0"/>
                <w:bCs w:val="0"/>
              </w:rPr>
            </w:pPr>
            <w:r w:rsidRPr="005917E6">
              <w:fldChar w:fldCharType="begin"/>
            </w:r>
            <w:r w:rsidRPr="005917E6">
              <w:rPr>
                <w:b w:val="0"/>
                <w:bCs w:val="0"/>
              </w:rPr>
              <w:instrText xml:space="preserve"> REF _Ref230447079 \w \h </w:instrText>
            </w:r>
            <w:r w:rsidR="005917E6">
              <w:rPr>
                <w:b w:val="0"/>
                <w:bCs w:val="0"/>
              </w:rPr>
              <w:instrText xml:space="preserve"> \* MERGEFORMAT </w:instrText>
            </w:r>
            <w:r w:rsidRPr="005917E6">
              <w:fldChar w:fldCharType="separate"/>
            </w:r>
            <w:r w:rsidR="00A87A44" w:rsidRPr="005917E6">
              <w:rPr>
                <w:b w:val="0"/>
                <w:bCs w:val="0"/>
              </w:rPr>
              <w:t>[116]</w:t>
            </w:r>
            <w:r w:rsidRPr="005917E6">
              <w:fldChar w:fldCharType="end"/>
            </w:r>
          </w:p>
        </w:tc>
        <w:tc>
          <w:tcPr>
            <w:tcW w:w="743" w:type="dxa"/>
          </w:tcPr>
          <w:p w14:paraId="1C4572E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2F556BE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004" w:type="dxa"/>
          </w:tcPr>
          <w:p w14:paraId="7B190C9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sec</w:t>
            </w:r>
          </w:p>
        </w:tc>
        <w:tc>
          <w:tcPr>
            <w:tcW w:w="1573" w:type="dxa"/>
          </w:tcPr>
          <w:p w14:paraId="0B04622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Multiple locations on lines, lines tripped due to fault</w:t>
            </w:r>
          </w:p>
        </w:tc>
        <w:tc>
          <w:tcPr>
            <w:tcW w:w="1275" w:type="dxa"/>
          </w:tcPr>
          <w:p w14:paraId="4237657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623B54A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0.8-1.2 load levels </w:t>
            </w:r>
          </w:p>
          <w:p w14:paraId="192B51C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IM load ratios (70%, 80%, 90%)</w:t>
            </w:r>
          </w:p>
        </w:tc>
        <w:tc>
          <w:tcPr>
            <w:tcW w:w="1238" w:type="dxa"/>
          </w:tcPr>
          <w:p w14:paraId="2DED013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PSASP</w:t>
            </w:r>
          </w:p>
        </w:tc>
      </w:tr>
      <w:tr w:rsidR="00A31EEA" w:rsidRPr="00E27D3B" w14:paraId="6B037E7C"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12B6F72" w14:textId="256825D9" w:rsidR="00A31EEA" w:rsidRPr="005917E6" w:rsidRDefault="00B3146A" w:rsidP="00CD4F3A">
            <w:pPr>
              <w:pStyle w:val="TableText"/>
              <w:jc w:val="center"/>
              <w:rPr>
                <w:b w:val="0"/>
                <w:bCs w:val="0"/>
              </w:rPr>
            </w:pPr>
            <w:r w:rsidRPr="005917E6">
              <w:lastRenderedPageBreak/>
              <w:fldChar w:fldCharType="begin"/>
            </w:r>
            <w:r w:rsidRPr="005917E6">
              <w:rPr>
                <w:b w:val="0"/>
                <w:bCs w:val="0"/>
              </w:rPr>
              <w:instrText xml:space="preserve"> REF _Ref230446172 \w \h </w:instrText>
            </w:r>
            <w:r w:rsidR="005917E6">
              <w:rPr>
                <w:b w:val="0"/>
                <w:bCs w:val="0"/>
              </w:rPr>
              <w:instrText xml:space="preserve"> \* MERGEFORMAT </w:instrText>
            </w:r>
            <w:r w:rsidRPr="005917E6">
              <w:fldChar w:fldCharType="separate"/>
            </w:r>
            <w:r w:rsidR="00A87A44" w:rsidRPr="005917E6">
              <w:rPr>
                <w:b w:val="0"/>
                <w:bCs w:val="0"/>
              </w:rPr>
              <w:t>[97]</w:t>
            </w:r>
            <w:r w:rsidRPr="005917E6">
              <w:fldChar w:fldCharType="end"/>
            </w:r>
          </w:p>
        </w:tc>
        <w:tc>
          <w:tcPr>
            <w:tcW w:w="743" w:type="dxa"/>
          </w:tcPr>
          <w:p w14:paraId="2A5F58B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p w14:paraId="26DBE29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p>
        </w:tc>
        <w:tc>
          <w:tcPr>
            <w:tcW w:w="933" w:type="dxa"/>
          </w:tcPr>
          <w:p w14:paraId="5C8F85F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5,10,15,</w:t>
            </w:r>
          </w:p>
          <w:p w14:paraId="0913B59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20 cycles</w:t>
            </w:r>
          </w:p>
        </w:tc>
        <w:tc>
          <w:tcPr>
            <w:tcW w:w="1004" w:type="dxa"/>
          </w:tcPr>
          <w:p w14:paraId="542A3FA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8 sec</w:t>
            </w:r>
          </w:p>
        </w:tc>
        <w:tc>
          <w:tcPr>
            <w:tcW w:w="1573" w:type="dxa"/>
          </w:tcPr>
          <w:p w14:paraId="73D9467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All lines</w:t>
            </w:r>
          </w:p>
        </w:tc>
        <w:tc>
          <w:tcPr>
            <w:tcW w:w="1275" w:type="dxa"/>
          </w:tcPr>
          <w:p w14:paraId="7171C1D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Nordic</w:t>
            </w:r>
          </w:p>
        </w:tc>
        <w:tc>
          <w:tcPr>
            <w:tcW w:w="1546" w:type="dxa"/>
          </w:tcPr>
          <w:p w14:paraId="342610F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composite loads, Complex load model (CLOD) in PSS/E</w:t>
            </w:r>
          </w:p>
        </w:tc>
        <w:tc>
          <w:tcPr>
            <w:tcW w:w="1238" w:type="dxa"/>
          </w:tcPr>
          <w:p w14:paraId="3365FF6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PSS/E</w:t>
            </w:r>
          </w:p>
        </w:tc>
      </w:tr>
      <w:tr w:rsidR="00A31EEA" w:rsidRPr="00E27D3B" w14:paraId="02FE1A19"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00184F1D" w14:textId="0603EF5C" w:rsidR="00A31EEA" w:rsidRPr="005917E6" w:rsidRDefault="00333F82" w:rsidP="00CD4F3A">
            <w:pPr>
              <w:pStyle w:val="TableText"/>
              <w:jc w:val="center"/>
              <w:rPr>
                <w:b w:val="0"/>
                <w:bCs w:val="0"/>
              </w:rPr>
            </w:pPr>
            <w:r w:rsidRPr="005917E6">
              <w:fldChar w:fldCharType="begin"/>
            </w:r>
            <w:r w:rsidRPr="005917E6">
              <w:rPr>
                <w:b w:val="0"/>
                <w:bCs w:val="0"/>
              </w:rPr>
              <w:instrText xml:space="preserve"> REF _Ref230447134 \w \h </w:instrText>
            </w:r>
            <w:r w:rsidR="005917E6">
              <w:rPr>
                <w:b w:val="0"/>
                <w:bCs w:val="0"/>
              </w:rPr>
              <w:instrText xml:space="preserve"> \* MERGEFORMAT </w:instrText>
            </w:r>
            <w:r w:rsidRPr="005917E6">
              <w:fldChar w:fldCharType="separate"/>
            </w:r>
            <w:r w:rsidR="00A87A44" w:rsidRPr="005917E6">
              <w:rPr>
                <w:b w:val="0"/>
                <w:bCs w:val="0"/>
              </w:rPr>
              <w:t>[117]</w:t>
            </w:r>
            <w:r w:rsidRPr="005917E6">
              <w:fldChar w:fldCharType="end"/>
            </w:r>
          </w:p>
        </w:tc>
        <w:tc>
          <w:tcPr>
            <w:tcW w:w="743" w:type="dxa"/>
          </w:tcPr>
          <w:p w14:paraId="3F9FCCF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0864FB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6BACBA8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c>
          <w:tcPr>
            <w:tcW w:w="1573" w:type="dxa"/>
          </w:tcPr>
          <w:p w14:paraId="5C7CBCE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 25%, 50%, 75% of line length</w:t>
            </w:r>
          </w:p>
        </w:tc>
        <w:tc>
          <w:tcPr>
            <w:tcW w:w="1275" w:type="dxa"/>
          </w:tcPr>
          <w:p w14:paraId="386817D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 (3</w:t>
            </w:r>
            <w:r w:rsidRPr="00E27D3B">
              <w:rPr>
                <w:vertAlign w:val="superscript"/>
              </w:rPr>
              <w:t>rd</w:t>
            </w:r>
            <w:r w:rsidRPr="00E27D3B">
              <w:t xml:space="preserve"> order exciter model generator)</w:t>
            </w:r>
          </w:p>
        </w:tc>
        <w:tc>
          <w:tcPr>
            <w:tcW w:w="1546" w:type="dxa"/>
          </w:tcPr>
          <w:p w14:paraId="0C66EA0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0.8-1.2 load levels </w:t>
            </w:r>
          </w:p>
          <w:p w14:paraId="632D938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IM load ratios (70%, 80%, 90%)</w:t>
            </w:r>
          </w:p>
        </w:tc>
        <w:tc>
          <w:tcPr>
            <w:tcW w:w="1238" w:type="dxa"/>
          </w:tcPr>
          <w:p w14:paraId="668121E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PSD-BPA</w:t>
            </w:r>
          </w:p>
        </w:tc>
      </w:tr>
      <w:tr w:rsidR="00A31EEA" w:rsidRPr="00E27D3B" w14:paraId="2BB2504A"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93BE4A1" w14:textId="28F70005" w:rsidR="00A31EEA" w:rsidRPr="005917E6" w:rsidRDefault="006A3A0D" w:rsidP="00CD4F3A">
            <w:pPr>
              <w:pStyle w:val="TableText"/>
              <w:jc w:val="center"/>
              <w:rPr>
                <w:b w:val="0"/>
                <w:bCs w:val="0"/>
              </w:rPr>
            </w:pPr>
            <w:r w:rsidRPr="005917E6">
              <w:fldChar w:fldCharType="begin"/>
            </w:r>
            <w:r w:rsidRPr="005917E6">
              <w:rPr>
                <w:b w:val="0"/>
                <w:bCs w:val="0"/>
              </w:rPr>
              <w:instrText xml:space="preserve"> REF _Ref230446198 \w \h </w:instrText>
            </w:r>
            <w:r w:rsidR="005917E6">
              <w:rPr>
                <w:b w:val="0"/>
                <w:bCs w:val="0"/>
              </w:rPr>
              <w:instrText xml:space="preserve"> \* MERGEFORMAT </w:instrText>
            </w:r>
            <w:r w:rsidRPr="005917E6">
              <w:fldChar w:fldCharType="separate"/>
            </w:r>
            <w:r w:rsidR="00A87A44" w:rsidRPr="005917E6">
              <w:rPr>
                <w:b w:val="0"/>
                <w:bCs w:val="0"/>
              </w:rPr>
              <w:t>[99]</w:t>
            </w:r>
            <w:r w:rsidRPr="005917E6">
              <w:fldChar w:fldCharType="end"/>
            </w:r>
          </w:p>
        </w:tc>
        <w:tc>
          <w:tcPr>
            <w:tcW w:w="743" w:type="dxa"/>
          </w:tcPr>
          <w:p w14:paraId="39BEF37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50 cycles</w:t>
            </w:r>
          </w:p>
        </w:tc>
        <w:tc>
          <w:tcPr>
            <w:tcW w:w="933" w:type="dxa"/>
          </w:tcPr>
          <w:p w14:paraId="6D90150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p w14:paraId="4B8432E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0.2 s</w:t>
            </w:r>
          </w:p>
          <w:p w14:paraId="29A1444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0.3 s</w:t>
            </w:r>
          </w:p>
        </w:tc>
        <w:tc>
          <w:tcPr>
            <w:tcW w:w="1004" w:type="dxa"/>
          </w:tcPr>
          <w:p w14:paraId="2AC4028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300 cycles</w:t>
            </w:r>
          </w:p>
        </w:tc>
        <w:tc>
          <w:tcPr>
            <w:tcW w:w="1573" w:type="dxa"/>
          </w:tcPr>
          <w:p w14:paraId="3CA290A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 and 50% of line length.</w:t>
            </w:r>
          </w:p>
        </w:tc>
        <w:tc>
          <w:tcPr>
            <w:tcW w:w="1275" w:type="dxa"/>
          </w:tcPr>
          <w:p w14:paraId="4393F75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CSEE-VC,</w:t>
            </w:r>
          </w:p>
          <w:p w14:paraId="1E847F9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Actual grid</w:t>
            </w:r>
          </w:p>
        </w:tc>
        <w:tc>
          <w:tcPr>
            <w:tcW w:w="1546" w:type="dxa"/>
          </w:tcPr>
          <w:p w14:paraId="5C1F025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Motor load 50%-70%, Generation 80% to 120%</w:t>
            </w:r>
          </w:p>
        </w:tc>
        <w:tc>
          <w:tcPr>
            <w:tcW w:w="1238" w:type="dxa"/>
          </w:tcPr>
          <w:p w14:paraId="2CAAB36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PSD-BPA</w:t>
            </w:r>
          </w:p>
        </w:tc>
      </w:tr>
      <w:tr w:rsidR="00A31EEA" w:rsidRPr="00E27D3B" w14:paraId="76A266CE"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2BEEBBD" w14:textId="4D1551D2" w:rsidR="00A31EEA" w:rsidRPr="005917E6" w:rsidRDefault="00B3227A" w:rsidP="00CD4F3A">
            <w:pPr>
              <w:pStyle w:val="TableText"/>
              <w:jc w:val="center"/>
              <w:rPr>
                <w:b w:val="0"/>
                <w:bCs w:val="0"/>
              </w:rPr>
            </w:pPr>
            <w:r w:rsidRPr="005917E6">
              <w:fldChar w:fldCharType="begin"/>
            </w:r>
            <w:r w:rsidRPr="005917E6">
              <w:rPr>
                <w:b w:val="0"/>
                <w:bCs w:val="0"/>
              </w:rPr>
              <w:instrText xml:space="preserve"> REF _Ref230447158 \w \h </w:instrText>
            </w:r>
            <w:r w:rsidR="005917E6">
              <w:rPr>
                <w:b w:val="0"/>
                <w:bCs w:val="0"/>
              </w:rPr>
              <w:instrText xml:space="preserve"> \* MERGEFORMAT </w:instrText>
            </w:r>
            <w:r w:rsidRPr="005917E6">
              <w:fldChar w:fldCharType="separate"/>
            </w:r>
            <w:r w:rsidR="00A87A44" w:rsidRPr="005917E6">
              <w:rPr>
                <w:b w:val="0"/>
                <w:bCs w:val="0"/>
              </w:rPr>
              <w:t>[118]</w:t>
            </w:r>
            <w:r w:rsidRPr="005917E6">
              <w:fldChar w:fldCharType="end"/>
            </w:r>
          </w:p>
        </w:tc>
        <w:tc>
          <w:tcPr>
            <w:tcW w:w="743" w:type="dxa"/>
          </w:tcPr>
          <w:p w14:paraId="2166AF1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B57E1E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p w14:paraId="7581CE2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0.2 s</w:t>
            </w:r>
          </w:p>
          <w:p w14:paraId="0FCF995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0.3 s</w:t>
            </w:r>
          </w:p>
        </w:tc>
        <w:tc>
          <w:tcPr>
            <w:tcW w:w="1004" w:type="dxa"/>
          </w:tcPr>
          <w:p w14:paraId="2A3AAEB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c>
          <w:tcPr>
            <w:tcW w:w="1573" w:type="dxa"/>
          </w:tcPr>
          <w:p w14:paraId="284CA17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Various random faults</w:t>
            </w:r>
          </w:p>
        </w:tc>
        <w:tc>
          <w:tcPr>
            <w:tcW w:w="1275" w:type="dxa"/>
          </w:tcPr>
          <w:p w14:paraId="1EDAC13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New England 39-bus 10-machine test system and the Nordic system</w:t>
            </w:r>
          </w:p>
        </w:tc>
        <w:tc>
          <w:tcPr>
            <w:tcW w:w="1546" w:type="dxa"/>
          </w:tcPr>
          <w:p w14:paraId="493378A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 </w:t>
            </w:r>
            <w:proofErr w:type="spellStart"/>
            <w:r w:rsidRPr="00E27D3B">
              <w:t>pu</w:t>
            </w:r>
            <w:proofErr w:type="spellEnd"/>
            <w:r w:rsidRPr="00E27D3B">
              <w:t xml:space="preserve"> to 1.2 </w:t>
            </w:r>
            <w:proofErr w:type="spellStart"/>
            <w:r w:rsidRPr="00E27D3B">
              <w:t>pu</w:t>
            </w:r>
            <w:proofErr w:type="spellEnd"/>
            <w:r w:rsidRPr="00E27D3B">
              <w:t xml:space="preserve"> load</w:t>
            </w:r>
          </w:p>
        </w:tc>
        <w:tc>
          <w:tcPr>
            <w:tcW w:w="1238" w:type="dxa"/>
          </w:tcPr>
          <w:p w14:paraId="56A798E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DSA tools</w:t>
            </w:r>
          </w:p>
        </w:tc>
      </w:tr>
      <w:tr w:rsidR="00A31EEA" w:rsidRPr="00E27D3B" w14:paraId="3758CF3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F4EDB34" w14:textId="4B2BABDA" w:rsidR="00A31EEA" w:rsidRPr="005917E6" w:rsidRDefault="00B3227A" w:rsidP="00CD4F3A">
            <w:pPr>
              <w:pStyle w:val="TableText"/>
              <w:jc w:val="center"/>
              <w:rPr>
                <w:b w:val="0"/>
                <w:bCs w:val="0"/>
              </w:rPr>
            </w:pPr>
            <w:r w:rsidRPr="005917E6">
              <w:fldChar w:fldCharType="begin"/>
            </w:r>
            <w:r w:rsidRPr="005917E6">
              <w:rPr>
                <w:b w:val="0"/>
                <w:bCs w:val="0"/>
              </w:rPr>
              <w:instrText xml:space="preserve"> REF _Ref230447171 \w \h </w:instrText>
            </w:r>
            <w:r w:rsidR="005917E6">
              <w:rPr>
                <w:b w:val="0"/>
                <w:bCs w:val="0"/>
              </w:rPr>
              <w:instrText xml:space="preserve"> \* MERGEFORMAT </w:instrText>
            </w:r>
            <w:r w:rsidRPr="005917E6">
              <w:fldChar w:fldCharType="separate"/>
            </w:r>
            <w:r w:rsidR="00A87A44" w:rsidRPr="005917E6">
              <w:rPr>
                <w:b w:val="0"/>
                <w:bCs w:val="0"/>
              </w:rPr>
              <w:t>[119]</w:t>
            </w:r>
            <w:r w:rsidRPr="005917E6">
              <w:fldChar w:fldCharType="end"/>
            </w:r>
          </w:p>
        </w:tc>
        <w:tc>
          <w:tcPr>
            <w:tcW w:w="743" w:type="dxa"/>
          </w:tcPr>
          <w:p w14:paraId="1F3C492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933" w:type="dxa"/>
          </w:tcPr>
          <w:p w14:paraId="66CF799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0.05 s, 0.1 s</w:t>
            </w:r>
          </w:p>
        </w:tc>
        <w:tc>
          <w:tcPr>
            <w:tcW w:w="1004" w:type="dxa"/>
          </w:tcPr>
          <w:p w14:paraId="4079866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1573" w:type="dxa"/>
          </w:tcPr>
          <w:p w14:paraId="1126F03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 20%, 40%, 60%, 80% of line</w:t>
            </w:r>
          </w:p>
        </w:tc>
        <w:tc>
          <w:tcPr>
            <w:tcW w:w="1275" w:type="dxa"/>
          </w:tcPr>
          <w:p w14:paraId="1DDB62E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p w14:paraId="046DEC5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p>
        </w:tc>
        <w:tc>
          <w:tcPr>
            <w:tcW w:w="1546" w:type="dxa"/>
          </w:tcPr>
          <w:p w14:paraId="0811B1B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0.8, 1, 1.2 </w:t>
            </w:r>
            <w:proofErr w:type="spellStart"/>
            <w:r w:rsidRPr="00E27D3B">
              <w:t>pu</w:t>
            </w:r>
            <w:proofErr w:type="spellEnd"/>
            <w:r w:rsidRPr="00E27D3B">
              <w:t>, 70%, 80%, 90% IM load ratio</w:t>
            </w:r>
          </w:p>
        </w:tc>
        <w:tc>
          <w:tcPr>
            <w:tcW w:w="1238" w:type="dxa"/>
          </w:tcPr>
          <w:p w14:paraId="29DA50C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PSD-BPA</w:t>
            </w:r>
          </w:p>
        </w:tc>
      </w:tr>
      <w:tr w:rsidR="00A31EEA" w:rsidRPr="00E27D3B" w14:paraId="58203039"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65120EF3" w14:textId="2D4FF3CA" w:rsidR="00A31EEA" w:rsidRPr="005917E6" w:rsidRDefault="003A0E63" w:rsidP="00CD4F3A">
            <w:pPr>
              <w:pStyle w:val="TableText"/>
              <w:jc w:val="center"/>
              <w:rPr>
                <w:b w:val="0"/>
                <w:bCs w:val="0"/>
              </w:rPr>
            </w:pPr>
            <w:r w:rsidRPr="005917E6">
              <w:fldChar w:fldCharType="begin"/>
            </w:r>
            <w:r w:rsidRPr="005917E6">
              <w:rPr>
                <w:b w:val="0"/>
                <w:bCs w:val="0"/>
              </w:rPr>
              <w:instrText xml:space="preserve"> REF _Ref230446209 \w \h </w:instrText>
            </w:r>
            <w:r w:rsidR="005917E6">
              <w:rPr>
                <w:b w:val="0"/>
                <w:bCs w:val="0"/>
              </w:rPr>
              <w:instrText xml:space="preserve"> \* MERGEFORMAT </w:instrText>
            </w:r>
            <w:r w:rsidRPr="005917E6">
              <w:fldChar w:fldCharType="separate"/>
            </w:r>
            <w:r w:rsidR="00A87A44" w:rsidRPr="005917E6">
              <w:rPr>
                <w:b w:val="0"/>
                <w:bCs w:val="0"/>
              </w:rPr>
              <w:t>[100]</w:t>
            </w:r>
            <w:r w:rsidRPr="005917E6">
              <w:fldChar w:fldCharType="end"/>
            </w:r>
          </w:p>
        </w:tc>
        <w:tc>
          <w:tcPr>
            <w:tcW w:w="743" w:type="dxa"/>
          </w:tcPr>
          <w:p w14:paraId="00D4734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157D71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0.1-0.3 s random</w:t>
            </w:r>
          </w:p>
        </w:tc>
        <w:tc>
          <w:tcPr>
            <w:tcW w:w="1004" w:type="dxa"/>
          </w:tcPr>
          <w:p w14:paraId="51E46FB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c>
          <w:tcPr>
            <w:tcW w:w="1573" w:type="dxa"/>
          </w:tcPr>
          <w:p w14:paraId="439DBDE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275" w:type="dxa"/>
          </w:tcPr>
          <w:p w14:paraId="158C2B2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3D5F586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0-700 MW wind generation, 0.8-1.2 </w:t>
            </w:r>
            <w:proofErr w:type="spellStart"/>
            <w:r w:rsidRPr="00E27D3B">
              <w:t>p.u</w:t>
            </w:r>
            <w:proofErr w:type="spellEnd"/>
            <w:r w:rsidRPr="00E27D3B">
              <w:t>. load, 180 N-1 faults, with and without outage</w:t>
            </w:r>
          </w:p>
        </w:tc>
        <w:tc>
          <w:tcPr>
            <w:tcW w:w="1238" w:type="dxa"/>
          </w:tcPr>
          <w:p w14:paraId="0DCEF88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Transient Stability Assessment Tool (TSAT)</w:t>
            </w:r>
          </w:p>
        </w:tc>
      </w:tr>
      <w:tr w:rsidR="00A31EEA" w:rsidRPr="00E27D3B" w14:paraId="7F041BF1"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5E6DFDC" w14:textId="222CD86B" w:rsidR="00A31EEA" w:rsidRPr="005917E6" w:rsidRDefault="007D12AC" w:rsidP="00CD4F3A">
            <w:pPr>
              <w:pStyle w:val="TableText"/>
              <w:jc w:val="center"/>
              <w:rPr>
                <w:b w:val="0"/>
                <w:bCs w:val="0"/>
              </w:rPr>
            </w:pPr>
            <w:r w:rsidRPr="005917E6">
              <w:fldChar w:fldCharType="begin"/>
            </w:r>
            <w:r w:rsidRPr="005917E6">
              <w:rPr>
                <w:b w:val="0"/>
                <w:bCs w:val="0"/>
              </w:rPr>
              <w:instrText xml:space="preserve"> REF _Ref230446262 \w \h </w:instrText>
            </w:r>
            <w:r w:rsidR="005917E6">
              <w:rPr>
                <w:b w:val="0"/>
                <w:bCs w:val="0"/>
              </w:rPr>
              <w:instrText xml:space="preserve"> \* MERGEFORMAT </w:instrText>
            </w:r>
            <w:r w:rsidRPr="005917E6">
              <w:fldChar w:fldCharType="separate"/>
            </w:r>
            <w:r w:rsidR="00A87A44" w:rsidRPr="005917E6">
              <w:rPr>
                <w:b w:val="0"/>
                <w:bCs w:val="0"/>
              </w:rPr>
              <w:t>[103]</w:t>
            </w:r>
            <w:r w:rsidRPr="005917E6">
              <w:fldChar w:fldCharType="end"/>
            </w:r>
          </w:p>
        </w:tc>
        <w:tc>
          <w:tcPr>
            <w:tcW w:w="743" w:type="dxa"/>
          </w:tcPr>
          <w:p w14:paraId="6526DD0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933" w:type="dxa"/>
          </w:tcPr>
          <w:p w14:paraId="1EF9404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1004" w:type="dxa"/>
          </w:tcPr>
          <w:p w14:paraId="5B2410F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11AB31B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All lines 0-80%, Fault is cleared without line outage</w:t>
            </w:r>
          </w:p>
        </w:tc>
        <w:tc>
          <w:tcPr>
            <w:tcW w:w="1275" w:type="dxa"/>
          </w:tcPr>
          <w:p w14:paraId="6F9F017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4208E13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0.8-1.2 </w:t>
            </w:r>
            <w:proofErr w:type="spellStart"/>
            <w:r w:rsidRPr="00E27D3B">
              <w:t>pu</w:t>
            </w:r>
            <w:proofErr w:type="spellEnd"/>
            <w:r w:rsidRPr="00E27D3B">
              <w:t xml:space="preserve"> load, variable PV and Wind generation, 0-80% IM load</w:t>
            </w:r>
          </w:p>
        </w:tc>
        <w:tc>
          <w:tcPr>
            <w:tcW w:w="1238" w:type="dxa"/>
          </w:tcPr>
          <w:p w14:paraId="69B5D04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0C19F642"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5BB0D8D2" w14:textId="660ECF9F"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_Ref230447261 \w \h </w:instrText>
            </w:r>
            <w:r w:rsidR="005917E6">
              <w:rPr>
                <w:b w:val="0"/>
                <w:bCs w:val="0"/>
              </w:rPr>
              <w:instrText xml:space="preserve"> \* MERGEFORMAT </w:instrText>
            </w:r>
            <w:r w:rsidRPr="005917E6">
              <w:fldChar w:fldCharType="separate"/>
            </w:r>
            <w:r w:rsidR="00A87A44" w:rsidRPr="005917E6">
              <w:rPr>
                <w:b w:val="0"/>
                <w:bCs w:val="0"/>
              </w:rPr>
              <w:t>[120]</w:t>
            </w:r>
            <w:r w:rsidRPr="005917E6">
              <w:fldChar w:fldCharType="end"/>
            </w:r>
          </w:p>
        </w:tc>
        <w:tc>
          <w:tcPr>
            <w:tcW w:w="743" w:type="dxa"/>
          </w:tcPr>
          <w:p w14:paraId="2A7ADC4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933" w:type="dxa"/>
          </w:tcPr>
          <w:p w14:paraId="4660C65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0.15 s</w:t>
            </w:r>
          </w:p>
          <w:p w14:paraId="09A6B75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0.2 s</w:t>
            </w:r>
          </w:p>
        </w:tc>
        <w:tc>
          <w:tcPr>
            <w:tcW w:w="1004" w:type="dxa"/>
          </w:tcPr>
          <w:p w14:paraId="5BD3C75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p>
        </w:tc>
        <w:tc>
          <w:tcPr>
            <w:tcW w:w="1573" w:type="dxa"/>
          </w:tcPr>
          <w:p w14:paraId="669231E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 20%, 40%, 60%, </w:t>
            </w:r>
            <w:proofErr w:type="gramStart"/>
            <w:r w:rsidRPr="00E27D3B">
              <w:t>80% line</w:t>
            </w:r>
            <w:proofErr w:type="gramEnd"/>
            <w:r w:rsidRPr="00E27D3B">
              <w:t xml:space="preserve"> faults</w:t>
            </w:r>
          </w:p>
        </w:tc>
        <w:tc>
          <w:tcPr>
            <w:tcW w:w="1275" w:type="dxa"/>
          </w:tcPr>
          <w:p w14:paraId="119290E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p>
        </w:tc>
        <w:tc>
          <w:tcPr>
            <w:tcW w:w="1546" w:type="dxa"/>
          </w:tcPr>
          <w:p w14:paraId="3ECE3AD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0.8 </w:t>
            </w:r>
            <w:proofErr w:type="spellStart"/>
            <w:r w:rsidRPr="00E27D3B">
              <w:t>pu</w:t>
            </w:r>
            <w:proofErr w:type="spellEnd"/>
            <w:r w:rsidRPr="00E27D3B">
              <w:t xml:space="preserve"> 1 </w:t>
            </w:r>
            <w:proofErr w:type="spellStart"/>
            <w:r w:rsidRPr="00E27D3B">
              <w:t>pu</w:t>
            </w:r>
            <w:proofErr w:type="spellEnd"/>
            <w:r w:rsidRPr="00E27D3B">
              <w:t xml:space="preserve">, 1.2 </w:t>
            </w:r>
            <w:proofErr w:type="spellStart"/>
            <w:r w:rsidRPr="00E27D3B">
              <w:t>pu</w:t>
            </w:r>
            <w:proofErr w:type="spellEnd"/>
            <w:r w:rsidRPr="00E27D3B">
              <w:t>, 60%, 70%, 80%, 90% composite load IM</w:t>
            </w:r>
          </w:p>
        </w:tc>
        <w:tc>
          <w:tcPr>
            <w:tcW w:w="1238" w:type="dxa"/>
          </w:tcPr>
          <w:p w14:paraId="08B4688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PSD-BPA</w:t>
            </w:r>
          </w:p>
        </w:tc>
      </w:tr>
      <w:tr w:rsidR="00A31EEA" w:rsidRPr="00E27D3B" w14:paraId="2A4BC117"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B08E9D6" w14:textId="63761770"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_Ref230447268 \w \h </w:instrText>
            </w:r>
            <w:r w:rsidR="005917E6">
              <w:rPr>
                <w:b w:val="0"/>
                <w:bCs w:val="0"/>
              </w:rPr>
              <w:instrText xml:space="preserve"> \* MERGEFORMAT </w:instrText>
            </w:r>
            <w:r w:rsidRPr="005917E6">
              <w:fldChar w:fldCharType="separate"/>
            </w:r>
            <w:r w:rsidR="00A87A44" w:rsidRPr="005917E6">
              <w:rPr>
                <w:b w:val="0"/>
                <w:bCs w:val="0"/>
              </w:rPr>
              <w:t>[121]</w:t>
            </w:r>
            <w:r w:rsidRPr="005917E6">
              <w:fldChar w:fldCharType="end"/>
            </w:r>
          </w:p>
        </w:tc>
        <w:tc>
          <w:tcPr>
            <w:tcW w:w="743" w:type="dxa"/>
          </w:tcPr>
          <w:p w14:paraId="7FFFA8D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933" w:type="dxa"/>
          </w:tcPr>
          <w:p w14:paraId="0DFDCBE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0.05 s for near end,</w:t>
            </w:r>
          </w:p>
          <w:p w14:paraId="5C84179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 for far end</w:t>
            </w:r>
          </w:p>
        </w:tc>
        <w:tc>
          <w:tcPr>
            <w:tcW w:w="1004" w:type="dxa"/>
          </w:tcPr>
          <w:p w14:paraId="5289B7F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p>
        </w:tc>
        <w:tc>
          <w:tcPr>
            <w:tcW w:w="1573" w:type="dxa"/>
          </w:tcPr>
          <w:p w14:paraId="0862B2A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0,25,50,75% of line length</w:t>
            </w:r>
          </w:p>
        </w:tc>
        <w:tc>
          <w:tcPr>
            <w:tcW w:w="1275" w:type="dxa"/>
          </w:tcPr>
          <w:p w14:paraId="4D6D890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7E2F179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0.8, 1, 1.2 </w:t>
            </w:r>
            <w:proofErr w:type="spellStart"/>
            <w:r w:rsidRPr="00E27D3B">
              <w:t>pu</w:t>
            </w:r>
            <w:proofErr w:type="spellEnd"/>
            <w:r w:rsidRPr="00E27D3B">
              <w:t xml:space="preserve"> loads, 70,80,90% IM load ratio</w:t>
            </w:r>
          </w:p>
        </w:tc>
        <w:tc>
          <w:tcPr>
            <w:tcW w:w="1238" w:type="dxa"/>
          </w:tcPr>
          <w:p w14:paraId="6FA8658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PSD-BPA</w:t>
            </w:r>
          </w:p>
        </w:tc>
      </w:tr>
      <w:tr w:rsidR="00A31EEA" w:rsidRPr="00E27D3B" w14:paraId="5C64D27D"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373B4920" w14:textId="2C5E158C"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_Ref230447274 \w \h </w:instrText>
            </w:r>
            <w:r w:rsidR="005917E6">
              <w:rPr>
                <w:b w:val="0"/>
                <w:bCs w:val="0"/>
              </w:rPr>
              <w:instrText xml:space="preserve"> \* MERGEFORMAT </w:instrText>
            </w:r>
            <w:r w:rsidRPr="005917E6">
              <w:fldChar w:fldCharType="separate"/>
            </w:r>
            <w:r w:rsidR="00A87A44" w:rsidRPr="005917E6">
              <w:rPr>
                <w:b w:val="0"/>
                <w:bCs w:val="0"/>
              </w:rPr>
              <w:t>[122]</w:t>
            </w:r>
            <w:r w:rsidRPr="005917E6">
              <w:fldChar w:fldCharType="end"/>
            </w:r>
          </w:p>
        </w:tc>
        <w:tc>
          <w:tcPr>
            <w:tcW w:w="743" w:type="dxa"/>
          </w:tcPr>
          <w:p w14:paraId="78712C2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w:t>
            </w:r>
          </w:p>
        </w:tc>
        <w:tc>
          <w:tcPr>
            <w:tcW w:w="933" w:type="dxa"/>
          </w:tcPr>
          <w:p w14:paraId="28B905E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 0.106 s,</w:t>
            </w:r>
          </w:p>
          <w:p w14:paraId="5D2542D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0.112 s,</w:t>
            </w:r>
          </w:p>
          <w:p w14:paraId="79831C7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p>
          <w:p w14:paraId="35E79E3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0.115 s</w:t>
            </w:r>
          </w:p>
        </w:tc>
        <w:tc>
          <w:tcPr>
            <w:tcW w:w="1004" w:type="dxa"/>
          </w:tcPr>
          <w:p w14:paraId="11ADFC4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5-7 s</w:t>
            </w:r>
          </w:p>
        </w:tc>
        <w:tc>
          <w:tcPr>
            <w:tcW w:w="1573" w:type="dxa"/>
          </w:tcPr>
          <w:p w14:paraId="5AB4D8A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50% of line 4-14</w:t>
            </w:r>
          </w:p>
        </w:tc>
        <w:tc>
          <w:tcPr>
            <w:tcW w:w="1275" w:type="dxa"/>
          </w:tcPr>
          <w:p w14:paraId="66E8983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042396F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11 composite loads in heavy load region</w:t>
            </w:r>
          </w:p>
        </w:tc>
        <w:tc>
          <w:tcPr>
            <w:tcW w:w="1238" w:type="dxa"/>
          </w:tcPr>
          <w:p w14:paraId="64639C0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5A7963FD"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2EBF67B" w14:textId="2A73F08B"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_Ref230447280 \w \h </w:instrText>
            </w:r>
            <w:r w:rsidR="005917E6">
              <w:rPr>
                <w:b w:val="0"/>
                <w:bCs w:val="0"/>
              </w:rPr>
              <w:instrText xml:space="preserve"> \* MERGEFORMAT </w:instrText>
            </w:r>
            <w:r w:rsidRPr="005917E6">
              <w:fldChar w:fldCharType="separate"/>
            </w:r>
            <w:r w:rsidR="00A87A44" w:rsidRPr="005917E6">
              <w:rPr>
                <w:b w:val="0"/>
                <w:bCs w:val="0"/>
              </w:rPr>
              <w:t>[123]</w:t>
            </w:r>
            <w:r w:rsidRPr="005917E6">
              <w:fldChar w:fldCharType="end"/>
            </w:r>
          </w:p>
        </w:tc>
        <w:tc>
          <w:tcPr>
            <w:tcW w:w="743" w:type="dxa"/>
          </w:tcPr>
          <w:p w14:paraId="515B83D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933" w:type="dxa"/>
          </w:tcPr>
          <w:p w14:paraId="3EDD503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0.15 s,</w:t>
            </w:r>
          </w:p>
          <w:p w14:paraId="4B5BB6B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0.2 s</w:t>
            </w:r>
          </w:p>
        </w:tc>
        <w:tc>
          <w:tcPr>
            <w:tcW w:w="1004" w:type="dxa"/>
          </w:tcPr>
          <w:p w14:paraId="187D1E5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p>
        </w:tc>
        <w:tc>
          <w:tcPr>
            <w:tcW w:w="1573" w:type="dxa"/>
          </w:tcPr>
          <w:p w14:paraId="1301A84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25%, 50%, 75% of line length</w:t>
            </w:r>
          </w:p>
        </w:tc>
        <w:tc>
          <w:tcPr>
            <w:tcW w:w="1275" w:type="dxa"/>
          </w:tcPr>
          <w:p w14:paraId="41A0856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4629A3D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80,90,100,110,</w:t>
            </w:r>
          </w:p>
          <w:p w14:paraId="467E710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120% load and generation, 70,80,90% IM</w:t>
            </w:r>
          </w:p>
        </w:tc>
        <w:tc>
          <w:tcPr>
            <w:tcW w:w="1238" w:type="dxa"/>
          </w:tcPr>
          <w:p w14:paraId="7BC1F24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PSD-BPA</w:t>
            </w:r>
          </w:p>
        </w:tc>
      </w:tr>
      <w:tr w:rsidR="00A31EEA" w:rsidRPr="00E27D3B" w14:paraId="76F7C9FC"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DFDD006" w14:textId="438B4091"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_Ref230447286 \w \h </w:instrText>
            </w:r>
            <w:r w:rsidR="005917E6">
              <w:rPr>
                <w:b w:val="0"/>
                <w:bCs w:val="0"/>
              </w:rPr>
              <w:instrText xml:space="preserve"> \* MERGEFORMAT </w:instrText>
            </w:r>
            <w:r w:rsidRPr="005917E6">
              <w:fldChar w:fldCharType="separate"/>
            </w:r>
            <w:r w:rsidR="00A87A44" w:rsidRPr="005917E6">
              <w:rPr>
                <w:b w:val="0"/>
                <w:bCs w:val="0"/>
              </w:rPr>
              <w:t>[124]</w:t>
            </w:r>
            <w:r w:rsidRPr="005917E6">
              <w:fldChar w:fldCharType="end"/>
            </w:r>
          </w:p>
        </w:tc>
        <w:tc>
          <w:tcPr>
            <w:tcW w:w="743" w:type="dxa"/>
          </w:tcPr>
          <w:p w14:paraId="0D2284B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0.12 s (line outage),</w:t>
            </w:r>
          </w:p>
          <w:p w14:paraId="004966B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0.2 s (gen outage)</w:t>
            </w:r>
          </w:p>
        </w:tc>
        <w:tc>
          <w:tcPr>
            <w:tcW w:w="933" w:type="dxa"/>
          </w:tcPr>
          <w:p w14:paraId="1AF69AA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 xml:space="preserve">80 </w:t>
            </w:r>
            <w:proofErr w:type="spellStart"/>
            <w:r w:rsidRPr="00E27D3B">
              <w:t>ms</w:t>
            </w:r>
            <w:proofErr w:type="spellEnd"/>
            <w:r w:rsidRPr="00E27D3B">
              <w:t xml:space="preserve"> (line),</w:t>
            </w:r>
          </w:p>
          <w:p w14:paraId="0198C60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 xml:space="preserve">180 </w:t>
            </w:r>
            <w:proofErr w:type="spellStart"/>
            <w:r w:rsidRPr="00E27D3B">
              <w:t>ms</w:t>
            </w:r>
            <w:proofErr w:type="spellEnd"/>
            <w:r w:rsidRPr="00E27D3B">
              <w:t xml:space="preserve"> (gen)</w:t>
            </w:r>
          </w:p>
        </w:tc>
        <w:tc>
          <w:tcPr>
            <w:tcW w:w="1004" w:type="dxa"/>
          </w:tcPr>
          <w:p w14:paraId="5CF1C0F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10 s</w:t>
            </w:r>
          </w:p>
        </w:tc>
        <w:tc>
          <w:tcPr>
            <w:tcW w:w="1573" w:type="dxa"/>
          </w:tcPr>
          <w:p w14:paraId="418506C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Different locations</w:t>
            </w:r>
          </w:p>
        </w:tc>
        <w:tc>
          <w:tcPr>
            <w:tcW w:w="1275" w:type="dxa"/>
          </w:tcPr>
          <w:p w14:paraId="2761919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651B993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N-1 line and generation contingencies</w:t>
            </w:r>
          </w:p>
        </w:tc>
        <w:tc>
          <w:tcPr>
            <w:tcW w:w="1238" w:type="dxa"/>
          </w:tcPr>
          <w:p w14:paraId="6ED1856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51F30E67"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B0CB545" w14:textId="55F48EE6" w:rsidR="00A31EEA" w:rsidRPr="005917E6" w:rsidRDefault="00684574" w:rsidP="00CD4F3A">
            <w:pPr>
              <w:pStyle w:val="TableText"/>
              <w:jc w:val="center"/>
              <w:rPr>
                <w:b w:val="0"/>
                <w:bCs w:val="0"/>
              </w:rPr>
            </w:pPr>
            <w:r w:rsidRPr="005917E6">
              <w:fldChar w:fldCharType="begin"/>
            </w:r>
            <w:r w:rsidRPr="005917E6">
              <w:rPr>
                <w:b w:val="0"/>
                <w:bCs w:val="0"/>
              </w:rPr>
              <w:instrText xml:space="preserve"> REF _Ref230446221 \w \h </w:instrText>
            </w:r>
            <w:r w:rsidR="005917E6">
              <w:rPr>
                <w:b w:val="0"/>
                <w:bCs w:val="0"/>
              </w:rPr>
              <w:instrText xml:space="preserve"> \* MERGEFORMAT </w:instrText>
            </w:r>
            <w:r w:rsidRPr="005917E6">
              <w:fldChar w:fldCharType="separate"/>
            </w:r>
            <w:r w:rsidR="00A87A44" w:rsidRPr="005917E6">
              <w:rPr>
                <w:b w:val="0"/>
                <w:bCs w:val="0"/>
              </w:rPr>
              <w:t>[101]</w:t>
            </w:r>
            <w:r w:rsidRPr="005917E6">
              <w:fldChar w:fldCharType="end"/>
            </w:r>
          </w:p>
        </w:tc>
        <w:tc>
          <w:tcPr>
            <w:tcW w:w="743" w:type="dxa"/>
          </w:tcPr>
          <w:p w14:paraId="5192E11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c>
          <w:tcPr>
            <w:tcW w:w="933" w:type="dxa"/>
          </w:tcPr>
          <w:p w14:paraId="0AD33FE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 – 0.3 s</w:t>
            </w:r>
          </w:p>
        </w:tc>
        <w:tc>
          <w:tcPr>
            <w:tcW w:w="1004" w:type="dxa"/>
          </w:tcPr>
          <w:p w14:paraId="65481C8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1573" w:type="dxa"/>
          </w:tcPr>
          <w:p w14:paraId="1A7B07B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Three-phase random fault location</w:t>
            </w:r>
          </w:p>
        </w:tc>
        <w:tc>
          <w:tcPr>
            <w:tcW w:w="1275" w:type="dxa"/>
          </w:tcPr>
          <w:p w14:paraId="7CE3B27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IEEE 39-bus</w:t>
            </w:r>
          </w:p>
        </w:tc>
        <w:tc>
          <w:tcPr>
            <w:tcW w:w="1546" w:type="dxa"/>
          </w:tcPr>
          <w:p w14:paraId="4641BDB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CLOD, 0.8-1.2, wind power 0-100%,</w:t>
            </w:r>
          </w:p>
        </w:tc>
        <w:tc>
          <w:tcPr>
            <w:tcW w:w="1238" w:type="dxa"/>
          </w:tcPr>
          <w:p w14:paraId="6319057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PSS/E</w:t>
            </w:r>
          </w:p>
        </w:tc>
      </w:tr>
      <w:tr w:rsidR="00A31EEA" w:rsidRPr="00E27D3B" w14:paraId="0F225EC1"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47C6865" w14:textId="3E93008A" w:rsidR="00A31EEA" w:rsidRPr="005917E6" w:rsidRDefault="00216441" w:rsidP="00CD4F3A">
            <w:pPr>
              <w:pStyle w:val="TableText"/>
              <w:jc w:val="center"/>
              <w:rPr>
                <w:b w:val="0"/>
                <w:bCs w:val="0"/>
              </w:rPr>
            </w:pPr>
            <w:r w:rsidRPr="005917E6">
              <w:fldChar w:fldCharType="begin"/>
            </w:r>
            <w:r w:rsidRPr="005917E6">
              <w:rPr>
                <w:b w:val="0"/>
                <w:bCs w:val="0"/>
              </w:rPr>
              <w:instrText xml:space="preserve"> REF _Ref230447363 \w \h </w:instrText>
            </w:r>
            <w:r w:rsidR="005917E6">
              <w:rPr>
                <w:b w:val="0"/>
                <w:bCs w:val="0"/>
              </w:rPr>
              <w:instrText xml:space="preserve"> \* MERGEFORMAT </w:instrText>
            </w:r>
            <w:r w:rsidRPr="005917E6">
              <w:fldChar w:fldCharType="separate"/>
            </w:r>
            <w:r w:rsidR="00A87A44" w:rsidRPr="005917E6">
              <w:rPr>
                <w:b w:val="0"/>
                <w:bCs w:val="0"/>
              </w:rPr>
              <w:t>[125]</w:t>
            </w:r>
            <w:r w:rsidRPr="005917E6">
              <w:fldChar w:fldCharType="end"/>
            </w:r>
          </w:p>
        </w:tc>
        <w:tc>
          <w:tcPr>
            <w:tcW w:w="743" w:type="dxa"/>
          </w:tcPr>
          <w:p w14:paraId="63BDE8D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w:t>
            </w:r>
          </w:p>
        </w:tc>
        <w:tc>
          <w:tcPr>
            <w:tcW w:w="933" w:type="dxa"/>
          </w:tcPr>
          <w:p w14:paraId="079B885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0.07 s,</w:t>
            </w:r>
          </w:p>
          <w:p w14:paraId="74CAE0A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0.08 s,</w:t>
            </w:r>
          </w:p>
          <w:p w14:paraId="2618449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0.09 s,</w:t>
            </w:r>
          </w:p>
          <w:p w14:paraId="0C0C7FC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568E686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8 s</w:t>
            </w:r>
          </w:p>
        </w:tc>
        <w:tc>
          <w:tcPr>
            <w:tcW w:w="1573" w:type="dxa"/>
          </w:tcPr>
          <w:p w14:paraId="30482E5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All lines, 25%, 50%, 75%</w:t>
            </w:r>
          </w:p>
        </w:tc>
        <w:tc>
          <w:tcPr>
            <w:tcW w:w="1275" w:type="dxa"/>
          </w:tcPr>
          <w:p w14:paraId="5C26307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401E514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3-phase, 2-phase, 2-phase to ground, 1-phase to ground</w:t>
            </w:r>
          </w:p>
        </w:tc>
        <w:tc>
          <w:tcPr>
            <w:tcW w:w="1238" w:type="dxa"/>
          </w:tcPr>
          <w:p w14:paraId="6620B09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7098D98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99CECE" w14:textId="1DAB2949" w:rsidR="00A31EEA" w:rsidRPr="005917E6" w:rsidRDefault="00A72451" w:rsidP="00CD4F3A">
            <w:pPr>
              <w:pStyle w:val="TableText"/>
              <w:jc w:val="center"/>
              <w:rPr>
                <w:b w:val="0"/>
                <w:bCs w:val="0"/>
              </w:rPr>
            </w:pPr>
            <w:r w:rsidRPr="005917E6">
              <w:fldChar w:fldCharType="begin"/>
            </w:r>
            <w:r w:rsidRPr="005917E6">
              <w:rPr>
                <w:b w:val="0"/>
                <w:bCs w:val="0"/>
              </w:rPr>
              <w:instrText xml:space="preserve"> REF _Ref230446242 \w \h </w:instrText>
            </w:r>
            <w:r w:rsidR="005917E6">
              <w:rPr>
                <w:b w:val="0"/>
                <w:bCs w:val="0"/>
              </w:rPr>
              <w:instrText xml:space="preserve"> \* MERGEFORMAT </w:instrText>
            </w:r>
            <w:r w:rsidRPr="005917E6">
              <w:fldChar w:fldCharType="separate"/>
            </w:r>
            <w:r w:rsidR="00A87A44" w:rsidRPr="005917E6">
              <w:rPr>
                <w:b w:val="0"/>
                <w:bCs w:val="0"/>
              </w:rPr>
              <w:t>[102]</w:t>
            </w:r>
            <w:r w:rsidRPr="005917E6">
              <w:fldChar w:fldCharType="end"/>
            </w:r>
          </w:p>
        </w:tc>
        <w:tc>
          <w:tcPr>
            <w:tcW w:w="743" w:type="dxa"/>
          </w:tcPr>
          <w:p w14:paraId="0B9F93A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c>
          <w:tcPr>
            <w:tcW w:w="933" w:type="dxa"/>
          </w:tcPr>
          <w:p w14:paraId="03EF0BF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0.05 s</w:t>
            </w:r>
          </w:p>
        </w:tc>
        <w:tc>
          <w:tcPr>
            <w:tcW w:w="1004" w:type="dxa"/>
          </w:tcPr>
          <w:p w14:paraId="04AB987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4605DA5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23-24 (0-100% of line length)</w:t>
            </w:r>
          </w:p>
        </w:tc>
        <w:tc>
          <w:tcPr>
            <w:tcW w:w="1275" w:type="dxa"/>
          </w:tcPr>
          <w:p w14:paraId="6996EB4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5DCD56F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19, 21, 22, and 23 composite loads</w:t>
            </w:r>
          </w:p>
        </w:tc>
        <w:tc>
          <w:tcPr>
            <w:tcW w:w="1238" w:type="dxa"/>
          </w:tcPr>
          <w:p w14:paraId="298F115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r>
      <w:tr w:rsidR="00A31EEA" w:rsidRPr="00E27D3B" w14:paraId="15BC40CA"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32DDB5E2" w14:textId="45C2A832" w:rsidR="00A31EEA" w:rsidRPr="005917E6" w:rsidRDefault="00A72451" w:rsidP="00CD4F3A">
            <w:pPr>
              <w:pStyle w:val="TableText"/>
              <w:jc w:val="center"/>
              <w:rPr>
                <w:b w:val="0"/>
                <w:bCs w:val="0"/>
              </w:rPr>
            </w:pPr>
            <w:r w:rsidRPr="005917E6">
              <w:fldChar w:fldCharType="begin"/>
            </w:r>
            <w:r w:rsidRPr="005917E6">
              <w:rPr>
                <w:b w:val="0"/>
                <w:bCs w:val="0"/>
              </w:rPr>
              <w:instrText xml:space="preserve"> REF _Ref230447583 \w \h </w:instrText>
            </w:r>
            <w:r w:rsidR="005917E6">
              <w:rPr>
                <w:b w:val="0"/>
                <w:bCs w:val="0"/>
              </w:rPr>
              <w:instrText xml:space="preserve"> \* MERGEFORMAT </w:instrText>
            </w:r>
            <w:r w:rsidRPr="005917E6">
              <w:fldChar w:fldCharType="separate"/>
            </w:r>
            <w:r w:rsidR="00A87A44" w:rsidRPr="005917E6">
              <w:rPr>
                <w:b w:val="0"/>
                <w:bCs w:val="0"/>
              </w:rPr>
              <w:t>[126]</w:t>
            </w:r>
            <w:r w:rsidRPr="005917E6">
              <w:fldChar w:fldCharType="end"/>
            </w:r>
          </w:p>
        </w:tc>
        <w:tc>
          <w:tcPr>
            <w:tcW w:w="743" w:type="dxa"/>
          </w:tcPr>
          <w:p w14:paraId="7E976E9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933" w:type="dxa"/>
          </w:tcPr>
          <w:p w14:paraId="127AD91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0.1-0.3 s random</w:t>
            </w:r>
          </w:p>
        </w:tc>
        <w:tc>
          <w:tcPr>
            <w:tcW w:w="1004" w:type="dxa"/>
          </w:tcPr>
          <w:p w14:paraId="0DE65A3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c>
          <w:tcPr>
            <w:tcW w:w="1573" w:type="dxa"/>
          </w:tcPr>
          <w:p w14:paraId="591EA45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Random fault location, with/without loss of line</w:t>
            </w:r>
          </w:p>
        </w:tc>
        <w:tc>
          <w:tcPr>
            <w:tcW w:w="1275" w:type="dxa"/>
          </w:tcPr>
          <w:p w14:paraId="0792E98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2A15D70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Random load between 0.8-1.2 </w:t>
            </w:r>
            <w:proofErr w:type="spellStart"/>
            <w:r w:rsidRPr="00E27D3B">
              <w:t>pu</w:t>
            </w:r>
            <w:proofErr w:type="spellEnd"/>
          </w:p>
        </w:tc>
        <w:tc>
          <w:tcPr>
            <w:tcW w:w="1238" w:type="dxa"/>
          </w:tcPr>
          <w:p w14:paraId="22E7127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PSS/E</w:t>
            </w:r>
          </w:p>
        </w:tc>
      </w:tr>
      <w:tr w:rsidR="00A31EEA" w:rsidRPr="00E27D3B" w14:paraId="3D9E276F"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0E4BE3" w14:textId="61D0165C" w:rsidR="00A31EEA" w:rsidRPr="005917E6" w:rsidRDefault="00BA003D" w:rsidP="00CD4F3A">
            <w:pPr>
              <w:pStyle w:val="TableText"/>
              <w:jc w:val="center"/>
              <w:rPr>
                <w:b w:val="0"/>
                <w:bCs w:val="0"/>
              </w:rPr>
            </w:pPr>
            <w:r w:rsidRPr="005917E6">
              <w:fldChar w:fldCharType="begin"/>
            </w:r>
            <w:r w:rsidRPr="005917E6">
              <w:rPr>
                <w:b w:val="0"/>
                <w:bCs w:val="0"/>
              </w:rPr>
              <w:instrText xml:space="preserve"> REF _Ref230447613 \w \h </w:instrText>
            </w:r>
            <w:r w:rsidR="005917E6">
              <w:rPr>
                <w:b w:val="0"/>
                <w:bCs w:val="0"/>
              </w:rPr>
              <w:instrText xml:space="preserve"> \* MERGEFORMAT </w:instrText>
            </w:r>
            <w:r w:rsidRPr="005917E6">
              <w:fldChar w:fldCharType="separate"/>
            </w:r>
            <w:r w:rsidR="00A87A44" w:rsidRPr="005917E6">
              <w:rPr>
                <w:b w:val="0"/>
                <w:bCs w:val="0"/>
              </w:rPr>
              <w:t>[127]</w:t>
            </w:r>
            <w:r w:rsidRPr="005917E6">
              <w:fldChar w:fldCharType="end"/>
            </w:r>
          </w:p>
        </w:tc>
        <w:tc>
          <w:tcPr>
            <w:tcW w:w="743" w:type="dxa"/>
          </w:tcPr>
          <w:p w14:paraId="298240B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933" w:type="dxa"/>
          </w:tcPr>
          <w:p w14:paraId="04FAADD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1004" w:type="dxa"/>
          </w:tcPr>
          <w:p w14:paraId="1FEBCB6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s</w:t>
            </w:r>
          </w:p>
        </w:tc>
        <w:tc>
          <w:tcPr>
            <w:tcW w:w="1573" w:type="dxa"/>
          </w:tcPr>
          <w:p w14:paraId="33E6EE0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45 different contingencies</w:t>
            </w:r>
          </w:p>
        </w:tc>
        <w:tc>
          <w:tcPr>
            <w:tcW w:w="1275" w:type="dxa"/>
          </w:tcPr>
          <w:p w14:paraId="3D468AE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564BFCF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Mix of static and dynamic loads</w:t>
            </w:r>
          </w:p>
        </w:tc>
        <w:tc>
          <w:tcPr>
            <w:tcW w:w="1238" w:type="dxa"/>
          </w:tcPr>
          <w:p w14:paraId="3C344DE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625E3137"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775B98D9" w14:textId="41A8E1C7" w:rsidR="00A31EEA" w:rsidRPr="005917E6" w:rsidRDefault="00BA003D" w:rsidP="00CD4F3A">
            <w:pPr>
              <w:pStyle w:val="TableText"/>
              <w:jc w:val="center"/>
              <w:rPr>
                <w:b w:val="0"/>
                <w:bCs w:val="0"/>
              </w:rPr>
            </w:pPr>
            <w:r w:rsidRPr="005917E6">
              <w:fldChar w:fldCharType="begin"/>
            </w:r>
            <w:r w:rsidRPr="005917E6">
              <w:rPr>
                <w:b w:val="0"/>
                <w:bCs w:val="0"/>
              </w:rPr>
              <w:instrText xml:space="preserve"> REF _Ref230447617 \w \h </w:instrText>
            </w:r>
            <w:r w:rsidR="005917E6">
              <w:rPr>
                <w:b w:val="0"/>
                <w:bCs w:val="0"/>
              </w:rPr>
              <w:instrText xml:space="preserve"> \* MERGEFORMAT </w:instrText>
            </w:r>
            <w:r w:rsidRPr="005917E6">
              <w:fldChar w:fldCharType="separate"/>
            </w:r>
            <w:r w:rsidR="00A87A44" w:rsidRPr="005917E6">
              <w:rPr>
                <w:b w:val="0"/>
                <w:bCs w:val="0"/>
              </w:rPr>
              <w:t>[128]</w:t>
            </w:r>
            <w:r w:rsidRPr="005917E6">
              <w:fldChar w:fldCharType="end"/>
            </w:r>
          </w:p>
        </w:tc>
        <w:tc>
          <w:tcPr>
            <w:tcW w:w="743" w:type="dxa"/>
          </w:tcPr>
          <w:p w14:paraId="1003C0A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B01CDC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Different</w:t>
            </w:r>
          </w:p>
        </w:tc>
        <w:tc>
          <w:tcPr>
            <w:tcW w:w="1004" w:type="dxa"/>
          </w:tcPr>
          <w:p w14:paraId="0F41589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c>
          <w:tcPr>
            <w:tcW w:w="1573" w:type="dxa"/>
          </w:tcPr>
          <w:p w14:paraId="58EF688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Different fault locations</w:t>
            </w:r>
          </w:p>
        </w:tc>
        <w:tc>
          <w:tcPr>
            <w:tcW w:w="1275" w:type="dxa"/>
          </w:tcPr>
          <w:p w14:paraId="738AB3B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2B1CC8F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Different IM ratios</w:t>
            </w:r>
          </w:p>
        </w:tc>
        <w:tc>
          <w:tcPr>
            <w:tcW w:w="1238" w:type="dxa"/>
          </w:tcPr>
          <w:p w14:paraId="0A57B8E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PSD-BPA</w:t>
            </w:r>
          </w:p>
        </w:tc>
      </w:tr>
      <w:tr w:rsidR="00A31EEA" w:rsidRPr="00E27D3B" w14:paraId="19FB0A21"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292F202" w14:textId="4F6F7CC2" w:rsidR="00A31EEA" w:rsidRPr="005917E6" w:rsidRDefault="00BA003D" w:rsidP="00CD4F3A">
            <w:pPr>
              <w:pStyle w:val="TableText"/>
              <w:jc w:val="center"/>
              <w:rPr>
                <w:b w:val="0"/>
                <w:bCs w:val="0"/>
              </w:rPr>
            </w:pPr>
            <w:r w:rsidRPr="005917E6">
              <w:fldChar w:fldCharType="begin"/>
            </w:r>
            <w:r w:rsidRPr="005917E6">
              <w:rPr>
                <w:b w:val="0"/>
                <w:bCs w:val="0"/>
              </w:rPr>
              <w:instrText xml:space="preserve"> REF _Ref230447624 \w \h </w:instrText>
            </w:r>
            <w:r w:rsidR="005917E6">
              <w:rPr>
                <w:b w:val="0"/>
                <w:bCs w:val="0"/>
              </w:rPr>
              <w:instrText xml:space="preserve"> \* MERGEFORMAT </w:instrText>
            </w:r>
            <w:r w:rsidRPr="005917E6">
              <w:fldChar w:fldCharType="separate"/>
            </w:r>
            <w:r w:rsidR="00A87A44" w:rsidRPr="005917E6">
              <w:rPr>
                <w:b w:val="0"/>
                <w:bCs w:val="0"/>
              </w:rPr>
              <w:t>[129]</w:t>
            </w:r>
            <w:r w:rsidRPr="005917E6">
              <w:fldChar w:fldCharType="end"/>
            </w:r>
          </w:p>
        </w:tc>
        <w:tc>
          <w:tcPr>
            <w:tcW w:w="743" w:type="dxa"/>
          </w:tcPr>
          <w:p w14:paraId="6A5B073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 s</w:t>
            </w:r>
          </w:p>
        </w:tc>
        <w:tc>
          <w:tcPr>
            <w:tcW w:w="933" w:type="dxa"/>
          </w:tcPr>
          <w:p w14:paraId="41300C8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5-8 cycles randomly</w:t>
            </w:r>
          </w:p>
        </w:tc>
        <w:tc>
          <w:tcPr>
            <w:tcW w:w="1004" w:type="dxa"/>
          </w:tcPr>
          <w:p w14:paraId="6B5CE76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s</w:t>
            </w:r>
          </w:p>
        </w:tc>
        <w:tc>
          <w:tcPr>
            <w:tcW w:w="1573" w:type="dxa"/>
          </w:tcPr>
          <w:p w14:paraId="6625AD1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Different</w:t>
            </w:r>
          </w:p>
        </w:tc>
        <w:tc>
          <w:tcPr>
            <w:tcW w:w="1275" w:type="dxa"/>
          </w:tcPr>
          <w:p w14:paraId="4E6E030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6D76FBC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Different IM ratios</w:t>
            </w:r>
          </w:p>
          <w:p w14:paraId="08A70CF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CLOD model</w:t>
            </w:r>
          </w:p>
        </w:tc>
        <w:tc>
          <w:tcPr>
            <w:tcW w:w="1238" w:type="dxa"/>
          </w:tcPr>
          <w:p w14:paraId="0BAA293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PSS/E</w:t>
            </w:r>
          </w:p>
        </w:tc>
      </w:tr>
      <w:tr w:rsidR="00A31EEA" w:rsidRPr="00E27D3B" w14:paraId="06D35F5D"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4EC058D9" w14:textId="0C2BEEF4" w:rsidR="00A31EEA" w:rsidRPr="005917E6" w:rsidRDefault="00BA003D" w:rsidP="00CD4F3A">
            <w:pPr>
              <w:pStyle w:val="TableText"/>
              <w:jc w:val="center"/>
              <w:rPr>
                <w:b w:val="0"/>
                <w:bCs w:val="0"/>
              </w:rPr>
            </w:pPr>
            <w:r w:rsidRPr="005917E6">
              <w:fldChar w:fldCharType="begin"/>
            </w:r>
            <w:r w:rsidRPr="005917E6">
              <w:rPr>
                <w:b w:val="0"/>
                <w:bCs w:val="0"/>
              </w:rPr>
              <w:instrText xml:space="preserve"> REF _Ref230447627 \w \h </w:instrText>
            </w:r>
            <w:r w:rsidR="005917E6">
              <w:rPr>
                <w:b w:val="0"/>
                <w:bCs w:val="0"/>
              </w:rPr>
              <w:instrText xml:space="preserve"> \* MERGEFORMAT </w:instrText>
            </w:r>
            <w:r w:rsidRPr="005917E6">
              <w:fldChar w:fldCharType="separate"/>
            </w:r>
            <w:r w:rsidR="00A87A44" w:rsidRPr="005917E6">
              <w:rPr>
                <w:b w:val="0"/>
                <w:bCs w:val="0"/>
              </w:rPr>
              <w:t>[130]</w:t>
            </w:r>
            <w:r w:rsidRPr="005917E6">
              <w:fldChar w:fldCharType="end"/>
            </w:r>
          </w:p>
        </w:tc>
        <w:tc>
          <w:tcPr>
            <w:tcW w:w="743" w:type="dxa"/>
          </w:tcPr>
          <w:p w14:paraId="441D53E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 s</w:t>
            </w:r>
          </w:p>
        </w:tc>
        <w:tc>
          <w:tcPr>
            <w:tcW w:w="933" w:type="dxa"/>
          </w:tcPr>
          <w:p w14:paraId="34287AF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100147F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c>
          <w:tcPr>
            <w:tcW w:w="1573" w:type="dxa"/>
          </w:tcPr>
          <w:p w14:paraId="1C32B57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 and 100% of faulted line</w:t>
            </w:r>
          </w:p>
        </w:tc>
        <w:tc>
          <w:tcPr>
            <w:tcW w:w="1275" w:type="dxa"/>
          </w:tcPr>
          <w:p w14:paraId="6068247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164BD6B4"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75%,80%…,120% load, 30%-70% IM ratio</w:t>
            </w:r>
          </w:p>
        </w:tc>
        <w:tc>
          <w:tcPr>
            <w:tcW w:w="1238" w:type="dxa"/>
          </w:tcPr>
          <w:p w14:paraId="7678795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PSD-BPA</w:t>
            </w:r>
          </w:p>
        </w:tc>
      </w:tr>
      <w:tr w:rsidR="00A31EEA" w:rsidRPr="00E27D3B" w14:paraId="03845A5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5FE3026" w14:textId="3D5A0F8B" w:rsidR="00A31EEA" w:rsidRPr="005917E6" w:rsidRDefault="00BA003D" w:rsidP="00CD4F3A">
            <w:pPr>
              <w:pStyle w:val="TableText"/>
              <w:jc w:val="center"/>
              <w:rPr>
                <w:b w:val="0"/>
                <w:bCs w:val="0"/>
              </w:rPr>
            </w:pPr>
            <w:r w:rsidRPr="005917E6">
              <w:fldChar w:fldCharType="begin"/>
            </w:r>
            <w:r w:rsidRPr="005917E6">
              <w:rPr>
                <w:b w:val="0"/>
                <w:bCs w:val="0"/>
              </w:rPr>
              <w:instrText xml:space="preserve"> REF _Ref230447633 \w \h </w:instrText>
            </w:r>
            <w:r w:rsidR="005917E6">
              <w:rPr>
                <w:b w:val="0"/>
                <w:bCs w:val="0"/>
              </w:rPr>
              <w:instrText xml:space="preserve"> \* MERGEFORMAT </w:instrText>
            </w:r>
            <w:r w:rsidRPr="005917E6">
              <w:fldChar w:fldCharType="separate"/>
            </w:r>
            <w:r w:rsidR="00A87A44" w:rsidRPr="005917E6">
              <w:rPr>
                <w:b w:val="0"/>
                <w:bCs w:val="0"/>
              </w:rPr>
              <w:t>[131]</w:t>
            </w:r>
            <w:r w:rsidRPr="005917E6">
              <w:fldChar w:fldCharType="end"/>
            </w:r>
          </w:p>
        </w:tc>
        <w:tc>
          <w:tcPr>
            <w:tcW w:w="743" w:type="dxa"/>
          </w:tcPr>
          <w:p w14:paraId="338A18F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0.5 s</w:t>
            </w:r>
          </w:p>
        </w:tc>
        <w:tc>
          <w:tcPr>
            <w:tcW w:w="933" w:type="dxa"/>
          </w:tcPr>
          <w:p w14:paraId="53EBA83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0.1-0.2 s</w:t>
            </w:r>
          </w:p>
        </w:tc>
        <w:tc>
          <w:tcPr>
            <w:tcW w:w="1004" w:type="dxa"/>
          </w:tcPr>
          <w:p w14:paraId="12A06D6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2F9260E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Various locations, three-phase short-circuit at each bus</w:t>
            </w:r>
          </w:p>
        </w:tc>
        <w:tc>
          <w:tcPr>
            <w:tcW w:w="1275" w:type="dxa"/>
          </w:tcPr>
          <w:p w14:paraId="1D9BB51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797EF7E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0.8-1.2 </w:t>
            </w:r>
            <w:proofErr w:type="spellStart"/>
            <w:r w:rsidRPr="00E27D3B">
              <w:t>pu</w:t>
            </w:r>
            <w:proofErr w:type="spellEnd"/>
            <w:r w:rsidRPr="00E27D3B">
              <w:t xml:space="preserve"> (201 operating points)</w:t>
            </w:r>
          </w:p>
        </w:tc>
        <w:tc>
          <w:tcPr>
            <w:tcW w:w="1238" w:type="dxa"/>
          </w:tcPr>
          <w:p w14:paraId="16F9AD9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PSAT in MATLAB</w:t>
            </w:r>
          </w:p>
        </w:tc>
      </w:tr>
      <w:tr w:rsidR="00A31EEA" w:rsidRPr="00E27D3B" w14:paraId="5B8CBEB8"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078A53BC" w14:textId="406D7CA4" w:rsidR="00A31EEA" w:rsidRPr="005917E6" w:rsidRDefault="007A27E7" w:rsidP="00CD4F3A">
            <w:pPr>
              <w:pStyle w:val="TableText"/>
              <w:jc w:val="center"/>
              <w:rPr>
                <w:b w:val="0"/>
                <w:bCs w:val="0"/>
              </w:rPr>
            </w:pPr>
            <w:r w:rsidRPr="005917E6">
              <w:fldChar w:fldCharType="begin"/>
            </w:r>
            <w:r w:rsidRPr="005917E6">
              <w:rPr>
                <w:b w:val="0"/>
                <w:bCs w:val="0"/>
              </w:rPr>
              <w:instrText xml:space="preserve"> REF _Ref230895645 \r \h </w:instrText>
            </w:r>
            <w:r w:rsidR="005917E6">
              <w:rPr>
                <w:b w:val="0"/>
                <w:bCs w:val="0"/>
              </w:rPr>
              <w:instrText xml:space="preserve"> \* MERGEFORMAT </w:instrText>
            </w:r>
            <w:r w:rsidRPr="005917E6">
              <w:fldChar w:fldCharType="separate"/>
            </w:r>
            <w:r w:rsidR="00A87A44" w:rsidRPr="005917E6">
              <w:rPr>
                <w:b w:val="0"/>
                <w:bCs w:val="0"/>
              </w:rPr>
              <w:t>[66]</w:t>
            </w:r>
            <w:r w:rsidRPr="005917E6">
              <w:fldChar w:fldCharType="end"/>
            </w:r>
          </w:p>
        </w:tc>
        <w:tc>
          <w:tcPr>
            <w:tcW w:w="743" w:type="dxa"/>
          </w:tcPr>
          <w:p w14:paraId="60BB198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0.5 s</w:t>
            </w:r>
          </w:p>
        </w:tc>
        <w:tc>
          <w:tcPr>
            <w:tcW w:w="933" w:type="dxa"/>
          </w:tcPr>
          <w:p w14:paraId="04CE4B4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792A74F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c>
          <w:tcPr>
            <w:tcW w:w="1573" w:type="dxa"/>
          </w:tcPr>
          <w:p w14:paraId="6CD7602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Faults at four buses</w:t>
            </w:r>
          </w:p>
        </w:tc>
        <w:tc>
          <w:tcPr>
            <w:tcW w:w="1275" w:type="dxa"/>
          </w:tcPr>
          <w:p w14:paraId="1D90D2B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57F1B8BC" w14:textId="189F7760"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8 composite loads, IM ratios 25%, 50%, 75%, 3 operating points</w:t>
            </w:r>
          </w:p>
        </w:tc>
        <w:tc>
          <w:tcPr>
            <w:tcW w:w="1238" w:type="dxa"/>
          </w:tcPr>
          <w:p w14:paraId="6F48EBD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PSAT in MATLAB</w:t>
            </w:r>
          </w:p>
        </w:tc>
      </w:tr>
      <w:tr w:rsidR="00A31EEA" w:rsidRPr="00E27D3B" w14:paraId="343B261D"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17D7F6C" w14:textId="49BD73C8" w:rsidR="00A31EEA" w:rsidRPr="005917E6" w:rsidRDefault="00A73305" w:rsidP="00CD4F3A">
            <w:pPr>
              <w:pStyle w:val="TableText"/>
              <w:jc w:val="center"/>
              <w:rPr>
                <w:b w:val="0"/>
                <w:bCs w:val="0"/>
              </w:rPr>
            </w:pPr>
            <w:r w:rsidRPr="005917E6">
              <w:fldChar w:fldCharType="begin"/>
            </w:r>
            <w:r w:rsidRPr="005917E6">
              <w:rPr>
                <w:b w:val="0"/>
                <w:bCs w:val="0"/>
              </w:rPr>
              <w:instrText xml:space="preserve"> REF _Ref230446275 \w \h </w:instrText>
            </w:r>
            <w:r w:rsidR="005917E6">
              <w:rPr>
                <w:b w:val="0"/>
                <w:bCs w:val="0"/>
              </w:rPr>
              <w:instrText xml:space="preserve"> \* MERGEFORMAT </w:instrText>
            </w:r>
            <w:r w:rsidRPr="005917E6">
              <w:fldChar w:fldCharType="separate"/>
            </w:r>
            <w:r w:rsidR="00A87A44" w:rsidRPr="005917E6">
              <w:rPr>
                <w:b w:val="0"/>
                <w:bCs w:val="0"/>
              </w:rPr>
              <w:t>[104]</w:t>
            </w:r>
            <w:r w:rsidRPr="005917E6">
              <w:fldChar w:fldCharType="end"/>
            </w:r>
          </w:p>
        </w:tc>
        <w:tc>
          <w:tcPr>
            <w:tcW w:w="743" w:type="dxa"/>
          </w:tcPr>
          <w:p w14:paraId="068E1F4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c>
          <w:tcPr>
            <w:tcW w:w="933" w:type="dxa"/>
          </w:tcPr>
          <w:p w14:paraId="15521CB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0.07-0.1 s</w:t>
            </w:r>
          </w:p>
        </w:tc>
        <w:tc>
          <w:tcPr>
            <w:tcW w:w="1004" w:type="dxa"/>
          </w:tcPr>
          <w:p w14:paraId="0A23737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20 s</w:t>
            </w:r>
          </w:p>
        </w:tc>
        <w:tc>
          <w:tcPr>
            <w:tcW w:w="1573" w:type="dxa"/>
          </w:tcPr>
          <w:p w14:paraId="0D125D4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Central area buses</w:t>
            </w:r>
          </w:p>
        </w:tc>
        <w:tc>
          <w:tcPr>
            <w:tcW w:w="1275" w:type="dxa"/>
          </w:tcPr>
          <w:p w14:paraId="1492131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Nordic</w:t>
            </w:r>
          </w:p>
        </w:tc>
        <w:tc>
          <w:tcPr>
            <w:tcW w:w="1546" w:type="dxa"/>
          </w:tcPr>
          <w:p w14:paraId="42F4059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±10% composite load</w:t>
            </w:r>
          </w:p>
        </w:tc>
        <w:tc>
          <w:tcPr>
            <w:tcW w:w="1238" w:type="dxa"/>
          </w:tcPr>
          <w:p w14:paraId="26876BB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PSS/E</w:t>
            </w:r>
          </w:p>
        </w:tc>
      </w:tr>
      <w:tr w:rsidR="00A31EEA" w:rsidRPr="00E27D3B" w14:paraId="2950C278"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5C3204F2" w14:textId="49D70B3C" w:rsidR="00A31EEA" w:rsidRPr="005917E6" w:rsidRDefault="00A73305" w:rsidP="00CD4F3A">
            <w:pPr>
              <w:pStyle w:val="TableText"/>
              <w:jc w:val="center"/>
              <w:rPr>
                <w:b w:val="0"/>
                <w:bCs w:val="0"/>
              </w:rPr>
            </w:pPr>
            <w:r w:rsidRPr="005917E6">
              <w:fldChar w:fldCharType="begin"/>
            </w:r>
            <w:r w:rsidRPr="005917E6">
              <w:rPr>
                <w:b w:val="0"/>
                <w:bCs w:val="0"/>
              </w:rPr>
              <w:instrText xml:space="preserve"> REF _Ref230446286 \w \h </w:instrText>
            </w:r>
            <w:r w:rsidR="005917E6">
              <w:rPr>
                <w:b w:val="0"/>
                <w:bCs w:val="0"/>
              </w:rPr>
              <w:instrText xml:space="preserve"> \* MERGEFORMAT </w:instrText>
            </w:r>
            <w:r w:rsidRPr="005917E6">
              <w:fldChar w:fldCharType="separate"/>
            </w:r>
            <w:r w:rsidR="00A87A44" w:rsidRPr="005917E6">
              <w:rPr>
                <w:b w:val="0"/>
                <w:bCs w:val="0"/>
              </w:rPr>
              <w:t>[105]</w:t>
            </w:r>
            <w:r w:rsidRPr="005917E6">
              <w:fldChar w:fldCharType="end"/>
            </w:r>
          </w:p>
        </w:tc>
        <w:tc>
          <w:tcPr>
            <w:tcW w:w="743" w:type="dxa"/>
          </w:tcPr>
          <w:p w14:paraId="05F48CA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0.9 s</w:t>
            </w:r>
          </w:p>
        </w:tc>
        <w:tc>
          <w:tcPr>
            <w:tcW w:w="933" w:type="dxa"/>
          </w:tcPr>
          <w:p w14:paraId="11C4F39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4BC159D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10 s</w:t>
            </w:r>
          </w:p>
        </w:tc>
        <w:tc>
          <w:tcPr>
            <w:tcW w:w="1573" w:type="dxa"/>
          </w:tcPr>
          <w:p w14:paraId="53A08E9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Generator / line outages, single-phase fault</w:t>
            </w:r>
          </w:p>
        </w:tc>
        <w:tc>
          <w:tcPr>
            <w:tcW w:w="1275" w:type="dxa"/>
          </w:tcPr>
          <w:p w14:paraId="518ABF2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Modified Nordic</w:t>
            </w:r>
          </w:p>
        </w:tc>
        <w:tc>
          <w:tcPr>
            <w:tcW w:w="1546" w:type="dxa"/>
          </w:tcPr>
          <w:p w14:paraId="52D4DB0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Central area load 6,190 MW to 5,823 MW for making 7% security margin as per Brazilian grid code</w:t>
            </w:r>
          </w:p>
        </w:tc>
        <w:tc>
          <w:tcPr>
            <w:tcW w:w="1238" w:type="dxa"/>
          </w:tcPr>
          <w:p w14:paraId="4AE4099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r>
      <w:tr w:rsidR="00A31EEA" w:rsidRPr="00E27D3B" w14:paraId="1F482C2F"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A413C8E" w14:textId="2C9FEFF8" w:rsidR="00A31EEA" w:rsidRPr="005917E6" w:rsidRDefault="00D0012D" w:rsidP="00CD4F3A">
            <w:pPr>
              <w:pStyle w:val="TableText"/>
              <w:jc w:val="center"/>
              <w:rPr>
                <w:b w:val="0"/>
                <w:bCs w:val="0"/>
                <w:color w:val="FF0000"/>
              </w:rPr>
            </w:pPr>
            <w:r w:rsidRPr="005917E6">
              <w:rPr>
                <w:color w:val="auto"/>
              </w:rPr>
              <w:fldChar w:fldCharType="begin"/>
            </w:r>
            <w:r w:rsidRPr="005917E6">
              <w:rPr>
                <w:b w:val="0"/>
                <w:bCs w:val="0"/>
                <w:color w:val="auto"/>
              </w:rPr>
              <w:instrText xml:space="preserve"> REF _Ref230447679 \w \h </w:instrText>
            </w:r>
            <w:r w:rsidR="005917E6">
              <w:rPr>
                <w:b w:val="0"/>
                <w:bCs w:val="0"/>
                <w:color w:val="auto"/>
              </w:rPr>
              <w:instrText xml:space="preserve"> \* MERGEFORMAT </w:instrText>
            </w:r>
            <w:r w:rsidRPr="005917E6">
              <w:rPr>
                <w:color w:val="auto"/>
              </w:rPr>
            </w:r>
            <w:r w:rsidRPr="005917E6">
              <w:rPr>
                <w:color w:val="auto"/>
              </w:rPr>
              <w:fldChar w:fldCharType="separate"/>
            </w:r>
            <w:r w:rsidR="00A87A44" w:rsidRPr="005917E6">
              <w:rPr>
                <w:b w:val="0"/>
                <w:bCs w:val="0"/>
                <w:color w:val="auto"/>
              </w:rPr>
              <w:t>[132]</w:t>
            </w:r>
            <w:r w:rsidRPr="005917E6">
              <w:rPr>
                <w:color w:val="auto"/>
              </w:rPr>
              <w:fldChar w:fldCharType="end"/>
            </w:r>
          </w:p>
        </w:tc>
        <w:tc>
          <w:tcPr>
            <w:tcW w:w="743" w:type="dxa"/>
          </w:tcPr>
          <w:p w14:paraId="53BCC79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933" w:type="dxa"/>
          </w:tcPr>
          <w:p w14:paraId="0C41A19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1004" w:type="dxa"/>
          </w:tcPr>
          <w:p w14:paraId="4CE08DA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5DA7D05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Generation outage, 3-phase faults at random locations on lines</w:t>
            </w:r>
          </w:p>
        </w:tc>
        <w:tc>
          <w:tcPr>
            <w:tcW w:w="1275" w:type="dxa"/>
          </w:tcPr>
          <w:p w14:paraId="09F0265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39-bus</w:t>
            </w:r>
          </w:p>
        </w:tc>
        <w:tc>
          <w:tcPr>
            <w:tcW w:w="1546" w:type="dxa"/>
          </w:tcPr>
          <w:p w14:paraId="5CFBD32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type-2 dynamic loads for IM</w:t>
            </w:r>
          </w:p>
        </w:tc>
        <w:tc>
          <w:tcPr>
            <w:tcW w:w="1238" w:type="dxa"/>
          </w:tcPr>
          <w:p w14:paraId="43E0B9E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2FFEFE83"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2ED3BE13" w14:textId="2894C773" w:rsidR="00A31EEA" w:rsidRPr="005917E6" w:rsidRDefault="00D0012D" w:rsidP="00CD4F3A">
            <w:pPr>
              <w:pStyle w:val="TableText"/>
              <w:jc w:val="center"/>
              <w:rPr>
                <w:b w:val="0"/>
                <w:bCs w:val="0"/>
              </w:rPr>
            </w:pPr>
            <w:r w:rsidRPr="005917E6">
              <w:fldChar w:fldCharType="begin"/>
            </w:r>
            <w:r w:rsidRPr="005917E6">
              <w:rPr>
                <w:b w:val="0"/>
                <w:bCs w:val="0"/>
              </w:rPr>
              <w:instrText xml:space="preserve"> REF _Ref230446704 \w \h </w:instrText>
            </w:r>
            <w:r w:rsidR="005917E6">
              <w:rPr>
                <w:b w:val="0"/>
                <w:bCs w:val="0"/>
              </w:rPr>
              <w:instrText xml:space="preserve"> \* MERGEFORMAT </w:instrText>
            </w:r>
            <w:r w:rsidRPr="005917E6">
              <w:fldChar w:fldCharType="separate"/>
            </w:r>
            <w:r w:rsidR="00A87A44" w:rsidRPr="005917E6">
              <w:rPr>
                <w:b w:val="0"/>
                <w:bCs w:val="0"/>
              </w:rPr>
              <w:t>[111]</w:t>
            </w:r>
            <w:r w:rsidRPr="005917E6">
              <w:fldChar w:fldCharType="end"/>
            </w:r>
          </w:p>
        </w:tc>
        <w:tc>
          <w:tcPr>
            <w:tcW w:w="743" w:type="dxa"/>
          </w:tcPr>
          <w:p w14:paraId="0C2F9ED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19EC8F72"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0.05 s (near-end)</w:t>
            </w:r>
          </w:p>
          <w:p w14:paraId="2347C1E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0.1 s (far-end)</w:t>
            </w:r>
          </w:p>
        </w:tc>
        <w:tc>
          <w:tcPr>
            <w:tcW w:w="1004" w:type="dxa"/>
          </w:tcPr>
          <w:p w14:paraId="12E5E12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w:t>
            </w:r>
          </w:p>
        </w:tc>
        <w:tc>
          <w:tcPr>
            <w:tcW w:w="1573" w:type="dxa"/>
          </w:tcPr>
          <w:p w14:paraId="17FB7E2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 25%, 50%, 75% of line length</w:t>
            </w:r>
          </w:p>
        </w:tc>
        <w:tc>
          <w:tcPr>
            <w:tcW w:w="1275" w:type="dxa"/>
          </w:tcPr>
          <w:p w14:paraId="2623174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39-bus</w:t>
            </w:r>
          </w:p>
        </w:tc>
        <w:tc>
          <w:tcPr>
            <w:tcW w:w="1546" w:type="dxa"/>
          </w:tcPr>
          <w:p w14:paraId="2B40BD5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Load level: 80%,90%,100%,</w:t>
            </w:r>
          </w:p>
          <w:p w14:paraId="6DAD3F9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110%,120%</w:t>
            </w:r>
          </w:p>
          <w:p w14:paraId="2A6DADD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IM ratio: 70%, 80%, 90%</w:t>
            </w:r>
          </w:p>
        </w:tc>
        <w:tc>
          <w:tcPr>
            <w:tcW w:w="1238" w:type="dxa"/>
          </w:tcPr>
          <w:p w14:paraId="4CB3FD0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lastRenderedPageBreak/>
              <w:t>PSD-BPA</w:t>
            </w:r>
          </w:p>
        </w:tc>
      </w:tr>
      <w:tr w:rsidR="00A31EEA" w:rsidRPr="00E27D3B" w14:paraId="72FAE843"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476C2ED" w14:textId="08C34FD5" w:rsidR="00A31EEA" w:rsidRPr="005917E6" w:rsidRDefault="00360536" w:rsidP="00CD4F3A">
            <w:pPr>
              <w:pStyle w:val="TableText"/>
              <w:jc w:val="center"/>
              <w:rPr>
                <w:b w:val="0"/>
                <w:bCs w:val="0"/>
              </w:rPr>
            </w:pPr>
            <w:r w:rsidRPr="005917E6">
              <w:fldChar w:fldCharType="begin"/>
            </w:r>
            <w:r w:rsidRPr="005917E6">
              <w:rPr>
                <w:b w:val="0"/>
                <w:bCs w:val="0"/>
              </w:rPr>
              <w:instrText xml:space="preserve"> REF _Ref230447071 \w \h </w:instrText>
            </w:r>
            <w:r w:rsidR="005917E6">
              <w:rPr>
                <w:b w:val="0"/>
                <w:bCs w:val="0"/>
              </w:rPr>
              <w:instrText xml:space="preserve"> \* MERGEFORMAT </w:instrText>
            </w:r>
            <w:r w:rsidRPr="005917E6">
              <w:fldChar w:fldCharType="separate"/>
            </w:r>
            <w:r w:rsidR="00A87A44" w:rsidRPr="005917E6">
              <w:rPr>
                <w:b w:val="0"/>
                <w:bCs w:val="0"/>
              </w:rPr>
              <w:t>[115]</w:t>
            </w:r>
            <w:r w:rsidRPr="005917E6">
              <w:fldChar w:fldCharType="end"/>
            </w:r>
          </w:p>
        </w:tc>
        <w:tc>
          <w:tcPr>
            <w:tcW w:w="743" w:type="dxa"/>
          </w:tcPr>
          <w:p w14:paraId="3B20E80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0.5 s</w:t>
            </w:r>
          </w:p>
        </w:tc>
        <w:tc>
          <w:tcPr>
            <w:tcW w:w="933" w:type="dxa"/>
          </w:tcPr>
          <w:p w14:paraId="7872E80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0.05 s,</w:t>
            </w:r>
          </w:p>
          <w:p w14:paraId="6B3D36C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s</w:t>
            </w:r>
          </w:p>
        </w:tc>
        <w:tc>
          <w:tcPr>
            <w:tcW w:w="1004" w:type="dxa"/>
          </w:tcPr>
          <w:p w14:paraId="266C4EE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241B0A0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Various transmission lines</w:t>
            </w:r>
          </w:p>
        </w:tc>
        <w:tc>
          <w:tcPr>
            <w:tcW w:w="1275" w:type="dxa"/>
          </w:tcPr>
          <w:p w14:paraId="3C5D2EF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118-bus</w:t>
            </w:r>
          </w:p>
        </w:tc>
        <w:tc>
          <w:tcPr>
            <w:tcW w:w="1546" w:type="dxa"/>
          </w:tcPr>
          <w:p w14:paraId="5DDEE9C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Multiple load levels and dynamic load ratios</w:t>
            </w:r>
          </w:p>
        </w:tc>
        <w:tc>
          <w:tcPr>
            <w:tcW w:w="1238" w:type="dxa"/>
          </w:tcPr>
          <w:p w14:paraId="4BBB7EC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7385344A"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1EAD41FC" w14:textId="003ACF91" w:rsidR="00A31EEA" w:rsidRPr="005917E6" w:rsidRDefault="00360536" w:rsidP="00CD4F3A">
            <w:pPr>
              <w:pStyle w:val="TableText"/>
              <w:jc w:val="center"/>
              <w:rPr>
                <w:b w:val="0"/>
                <w:bCs w:val="0"/>
              </w:rPr>
            </w:pPr>
            <w:r w:rsidRPr="005917E6">
              <w:fldChar w:fldCharType="begin"/>
            </w:r>
            <w:r w:rsidRPr="005917E6">
              <w:rPr>
                <w:b w:val="0"/>
                <w:bCs w:val="0"/>
              </w:rPr>
              <w:instrText xml:space="preserve"> REF _Ref230446298 \w \h </w:instrText>
            </w:r>
            <w:r w:rsidR="005917E6">
              <w:rPr>
                <w:b w:val="0"/>
                <w:bCs w:val="0"/>
              </w:rPr>
              <w:instrText xml:space="preserve"> \* MERGEFORMAT </w:instrText>
            </w:r>
            <w:r w:rsidRPr="005917E6">
              <w:fldChar w:fldCharType="separate"/>
            </w:r>
            <w:r w:rsidR="00A87A44" w:rsidRPr="005917E6">
              <w:rPr>
                <w:b w:val="0"/>
                <w:bCs w:val="0"/>
              </w:rPr>
              <w:t>[106]</w:t>
            </w:r>
            <w:r w:rsidRPr="005917E6">
              <w:fldChar w:fldCharType="end"/>
            </w:r>
          </w:p>
        </w:tc>
        <w:tc>
          <w:tcPr>
            <w:tcW w:w="743" w:type="dxa"/>
          </w:tcPr>
          <w:p w14:paraId="77C92CE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BCC50E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004" w:type="dxa"/>
          </w:tcPr>
          <w:p w14:paraId="6849076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573" w:type="dxa"/>
          </w:tcPr>
          <w:p w14:paraId="54AF12D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All lines different locations, different faults</w:t>
            </w:r>
          </w:p>
        </w:tc>
        <w:tc>
          <w:tcPr>
            <w:tcW w:w="1275" w:type="dxa"/>
          </w:tcPr>
          <w:p w14:paraId="5B7313C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Modified 39-bus, real-world 100-node system</w:t>
            </w:r>
          </w:p>
        </w:tc>
        <w:tc>
          <w:tcPr>
            <w:tcW w:w="1546" w:type="dxa"/>
          </w:tcPr>
          <w:p w14:paraId="68C9B5C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Bus 3,7,20,39 </w:t>
            </w:r>
          </w:p>
          <w:p w14:paraId="1D500F0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50% IM, 50% static load, DC tie-line at Bus 22 is incorporated to inject external grid power</w:t>
            </w:r>
          </w:p>
        </w:tc>
        <w:tc>
          <w:tcPr>
            <w:tcW w:w="1238" w:type="dxa"/>
          </w:tcPr>
          <w:p w14:paraId="235E4B8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r>
      <w:tr w:rsidR="00A31EEA" w:rsidRPr="00E27D3B" w14:paraId="4D485ACE"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833F371" w14:textId="61A051EC" w:rsidR="00A31EEA" w:rsidRPr="005917E6" w:rsidRDefault="00B16B19" w:rsidP="00CD4F3A">
            <w:pPr>
              <w:pStyle w:val="TableText"/>
              <w:jc w:val="center"/>
              <w:rPr>
                <w:b w:val="0"/>
                <w:bCs w:val="0"/>
              </w:rPr>
            </w:pPr>
            <w:r w:rsidRPr="005917E6">
              <w:fldChar w:fldCharType="begin"/>
            </w:r>
            <w:r w:rsidRPr="005917E6">
              <w:rPr>
                <w:b w:val="0"/>
                <w:bCs w:val="0"/>
              </w:rPr>
              <w:instrText xml:space="preserve"> REF _Ref230447791 \w \h </w:instrText>
            </w:r>
            <w:r w:rsidR="005917E6">
              <w:rPr>
                <w:b w:val="0"/>
                <w:bCs w:val="0"/>
              </w:rPr>
              <w:instrText xml:space="preserve"> \* MERGEFORMAT </w:instrText>
            </w:r>
            <w:r w:rsidRPr="005917E6">
              <w:fldChar w:fldCharType="separate"/>
            </w:r>
            <w:r w:rsidR="00A87A44" w:rsidRPr="005917E6">
              <w:rPr>
                <w:b w:val="0"/>
                <w:bCs w:val="0"/>
              </w:rPr>
              <w:t>[133]</w:t>
            </w:r>
            <w:r w:rsidRPr="005917E6">
              <w:fldChar w:fldCharType="end"/>
            </w:r>
          </w:p>
        </w:tc>
        <w:tc>
          <w:tcPr>
            <w:tcW w:w="743" w:type="dxa"/>
          </w:tcPr>
          <w:p w14:paraId="5C0F19E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933" w:type="dxa"/>
          </w:tcPr>
          <w:p w14:paraId="4A629E2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0.125 s</w:t>
            </w:r>
          </w:p>
        </w:tc>
        <w:tc>
          <w:tcPr>
            <w:tcW w:w="1004" w:type="dxa"/>
          </w:tcPr>
          <w:p w14:paraId="445AC83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8 s</w:t>
            </w:r>
          </w:p>
        </w:tc>
        <w:tc>
          <w:tcPr>
            <w:tcW w:w="1573" w:type="dxa"/>
          </w:tcPr>
          <w:p w14:paraId="69C0A63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Middle of line 3-4</w:t>
            </w:r>
          </w:p>
        </w:tc>
        <w:tc>
          <w:tcPr>
            <w:tcW w:w="1275" w:type="dxa"/>
          </w:tcPr>
          <w:p w14:paraId="1EB5BF4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Modified 39-bus</w:t>
            </w:r>
          </w:p>
        </w:tc>
        <w:tc>
          <w:tcPr>
            <w:tcW w:w="1546" w:type="dxa"/>
          </w:tcPr>
          <w:p w14:paraId="3D78208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All WECC loads, unstable at loading above 70%, stable at 10%-70% loading.</w:t>
            </w:r>
          </w:p>
        </w:tc>
        <w:tc>
          <w:tcPr>
            <w:tcW w:w="1238" w:type="dxa"/>
          </w:tcPr>
          <w:p w14:paraId="44856A3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77A5B498"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6BD06BB9" w14:textId="4F149FD7" w:rsidR="00A31EEA" w:rsidRPr="005917E6" w:rsidRDefault="00B16B19" w:rsidP="00CD4F3A">
            <w:pPr>
              <w:pStyle w:val="TableText"/>
              <w:jc w:val="center"/>
              <w:rPr>
                <w:b w:val="0"/>
                <w:bCs w:val="0"/>
              </w:rPr>
            </w:pPr>
            <w:r w:rsidRPr="005917E6">
              <w:fldChar w:fldCharType="begin"/>
            </w:r>
            <w:r w:rsidRPr="005917E6">
              <w:rPr>
                <w:b w:val="0"/>
                <w:bCs w:val="0"/>
              </w:rPr>
              <w:instrText xml:space="preserve"> REF _Ref230447797 \w \h </w:instrText>
            </w:r>
            <w:r w:rsidR="005917E6">
              <w:rPr>
                <w:b w:val="0"/>
                <w:bCs w:val="0"/>
              </w:rPr>
              <w:instrText xml:space="preserve"> \* MERGEFORMAT </w:instrText>
            </w:r>
            <w:r w:rsidRPr="005917E6">
              <w:fldChar w:fldCharType="separate"/>
            </w:r>
            <w:r w:rsidR="00A87A44" w:rsidRPr="005917E6">
              <w:rPr>
                <w:b w:val="0"/>
                <w:bCs w:val="0"/>
              </w:rPr>
              <w:t>[134]</w:t>
            </w:r>
            <w:r w:rsidRPr="005917E6">
              <w:fldChar w:fldCharType="end"/>
            </w:r>
          </w:p>
        </w:tc>
        <w:tc>
          <w:tcPr>
            <w:tcW w:w="743" w:type="dxa"/>
          </w:tcPr>
          <w:p w14:paraId="35C17EB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933" w:type="dxa"/>
          </w:tcPr>
          <w:p w14:paraId="5B26D22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7B59DBD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2 s</w:t>
            </w:r>
          </w:p>
        </w:tc>
        <w:tc>
          <w:tcPr>
            <w:tcW w:w="1573" w:type="dxa"/>
          </w:tcPr>
          <w:p w14:paraId="4152C81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Line-end fault, faulty line removed</w:t>
            </w:r>
          </w:p>
        </w:tc>
        <w:tc>
          <w:tcPr>
            <w:tcW w:w="1275" w:type="dxa"/>
          </w:tcPr>
          <w:p w14:paraId="1FD36BE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Simplified real power system</w:t>
            </w:r>
          </w:p>
        </w:tc>
        <w:tc>
          <w:tcPr>
            <w:tcW w:w="1546" w:type="dxa"/>
          </w:tcPr>
          <w:p w14:paraId="0CE0652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Different combinations of GFL and GFM</w:t>
            </w:r>
          </w:p>
        </w:tc>
        <w:tc>
          <w:tcPr>
            <w:tcW w:w="1238" w:type="dxa"/>
          </w:tcPr>
          <w:p w14:paraId="17962F6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PSCAD</w:t>
            </w:r>
          </w:p>
        </w:tc>
      </w:tr>
      <w:tr w:rsidR="00A31EEA" w:rsidRPr="00E27D3B" w14:paraId="01965C3B"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B0E292D" w14:textId="494531A9" w:rsidR="00A31EEA" w:rsidRPr="005917E6" w:rsidRDefault="00317A1B" w:rsidP="00CD4F3A">
            <w:pPr>
              <w:pStyle w:val="TableText"/>
              <w:jc w:val="center"/>
              <w:rPr>
                <w:b w:val="0"/>
                <w:bCs w:val="0"/>
              </w:rPr>
            </w:pPr>
            <w:r w:rsidRPr="005917E6">
              <w:fldChar w:fldCharType="begin"/>
            </w:r>
            <w:r w:rsidRPr="005917E6">
              <w:rPr>
                <w:b w:val="0"/>
                <w:bCs w:val="0"/>
              </w:rPr>
              <w:instrText xml:space="preserve"> REF _Ref230447803 \w \h </w:instrText>
            </w:r>
            <w:r w:rsidR="005917E6">
              <w:rPr>
                <w:b w:val="0"/>
                <w:bCs w:val="0"/>
              </w:rPr>
              <w:instrText xml:space="preserve"> \* MERGEFORMAT </w:instrText>
            </w:r>
            <w:r w:rsidRPr="005917E6">
              <w:fldChar w:fldCharType="separate"/>
            </w:r>
            <w:r w:rsidR="00A87A44" w:rsidRPr="005917E6">
              <w:rPr>
                <w:b w:val="0"/>
                <w:bCs w:val="0"/>
              </w:rPr>
              <w:t>[135]</w:t>
            </w:r>
            <w:r w:rsidRPr="005917E6">
              <w:fldChar w:fldCharType="end"/>
            </w:r>
          </w:p>
        </w:tc>
        <w:tc>
          <w:tcPr>
            <w:tcW w:w="743" w:type="dxa"/>
          </w:tcPr>
          <w:p w14:paraId="594E63D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c>
          <w:tcPr>
            <w:tcW w:w="933" w:type="dxa"/>
          </w:tcPr>
          <w:p w14:paraId="2F59D7D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0.1-0.4 s</w:t>
            </w:r>
          </w:p>
        </w:tc>
        <w:tc>
          <w:tcPr>
            <w:tcW w:w="1004" w:type="dxa"/>
          </w:tcPr>
          <w:p w14:paraId="24B9788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5 s</w:t>
            </w:r>
          </w:p>
        </w:tc>
        <w:tc>
          <w:tcPr>
            <w:tcW w:w="1573" w:type="dxa"/>
          </w:tcPr>
          <w:p w14:paraId="7A51490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N-1 three-phase SC</w:t>
            </w:r>
          </w:p>
        </w:tc>
        <w:tc>
          <w:tcPr>
            <w:tcW w:w="1275" w:type="dxa"/>
          </w:tcPr>
          <w:p w14:paraId="1B6A782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5E90C42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0.8-1.2 </w:t>
            </w:r>
            <w:proofErr w:type="spellStart"/>
            <w:r w:rsidRPr="00E27D3B">
              <w:t>pu</w:t>
            </w:r>
            <w:proofErr w:type="spellEnd"/>
            <w:r w:rsidRPr="00E27D3B">
              <w:t xml:space="preserve"> load, IM and constant-power loads</w:t>
            </w:r>
          </w:p>
        </w:tc>
        <w:tc>
          <w:tcPr>
            <w:tcW w:w="1238" w:type="dxa"/>
          </w:tcPr>
          <w:p w14:paraId="72C16D9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Power System Toolbox</w:t>
            </w:r>
          </w:p>
        </w:tc>
      </w:tr>
      <w:tr w:rsidR="00A31EEA" w:rsidRPr="00E27D3B" w14:paraId="5D67BFEA"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005CE83A" w14:textId="058844BA" w:rsidR="00A31EEA" w:rsidRPr="005917E6" w:rsidRDefault="00317A1B" w:rsidP="00CD4F3A">
            <w:pPr>
              <w:pStyle w:val="TableText"/>
              <w:jc w:val="center"/>
              <w:rPr>
                <w:b w:val="0"/>
                <w:bCs w:val="0"/>
              </w:rPr>
            </w:pPr>
            <w:r w:rsidRPr="005917E6">
              <w:fldChar w:fldCharType="begin"/>
            </w:r>
            <w:r w:rsidRPr="005917E6">
              <w:rPr>
                <w:b w:val="0"/>
                <w:bCs w:val="0"/>
              </w:rPr>
              <w:instrText xml:space="preserve"> REF _Ref230445612 \w \h </w:instrText>
            </w:r>
            <w:r w:rsidR="005917E6">
              <w:rPr>
                <w:b w:val="0"/>
                <w:bCs w:val="0"/>
              </w:rPr>
              <w:instrText xml:space="preserve"> \* MERGEFORMAT </w:instrText>
            </w:r>
            <w:r w:rsidRPr="005917E6">
              <w:fldChar w:fldCharType="separate"/>
            </w:r>
            <w:r w:rsidR="00A87A44" w:rsidRPr="005917E6">
              <w:rPr>
                <w:b w:val="0"/>
                <w:bCs w:val="0"/>
              </w:rPr>
              <w:t>[86]</w:t>
            </w:r>
            <w:r w:rsidRPr="005917E6">
              <w:fldChar w:fldCharType="end"/>
            </w:r>
          </w:p>
        </w:tc>
        <w:tc>
          <w:tcPr>
            <w:tcW w:w="743" w:type="dxa"/>
          </w:tcPr>
          <w:p w14:paraId="0745B3A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 s</w:t>
            </w:r>
          </w:p>
        </w:tc>
        <w:tc>
          <w:tcPr>
            <w:tcW w:w="933" w:type="dxa"/>
          </w:tcPr>
          <w:p w14:paraId="180A67B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tc>
        <w:tc>
          <w:tcPr>
            <w:tcW w:w="1004" w:type="dxa"/>
          </w:tcPr>
          <w:p w14:paraId="623AD67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5 s</w:t>
            </w:r>
          </w:p>
        </w:tc>
        <w:tc>
          <w:tcPr>
            <w:tcW w:w="1573" w:type="dxa"/>
          </w:tcPr>
          <w:p w14:paraId="06416E8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0-80% line length random, three-phase faults</w:t>
            </w:r>
          </w:p>
        </w:tc>
        <w:tc>
          <w:tcPr>
            <w:tcW w:w="1275" w:type="dxa"/>
          </w:tcPr>
          <w:p w14:paraId="173A748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IEEE 14-bus and 220 kV Kerala</w:t>
            </w:r>
          </w:p>
        </w:tc>
        <w:tc>
          <w:tcPr>
            <w:tcW w:w="1546" w:type="dxa"/>
          </w:tcPr>
          <w:p w14:paraId="38955B6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Some static, some composite loads (EVs, IM, ZIP load)</w:t>
            </w:r>
          </w:p>
        </w:tc>
        <w:tc>
          <w:tcPr>
            <w:tcW w:w="1238" w:type="dxa"/>
          </w:tcPr>
          <w:p w14:paraId="54E12C2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PSAT</w:t>
            </w:r>
          </w:p>
        </w:tc>
      </w:tr>
      <w:tr w:rsidR="00A31EEA" w:rsidRPr="00E27D3B" w14:paraId="5CBC1204"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03A557D" w14:textId="0CD2BD4E" w:rsidR="00A31EEA" w:rsidRPr="005917E6" w:rsidRDefault="00C366CA" w:rsidP="00CD4F3A">
            <w:pPr>
              <w:pStyle w:val="TableText"/>
              <w:jc w:val="center"/>
              <w:rPr>
                <w:b w:val="0"/>
                <w:bCs w:val="0"/>
              </w:rPr>
            </w:pPr>
            <w:r w:rsidRPr="005917E6">
              <w:fldChar w:fldCharType="begin"/>
            </w:r>
            <w:r w:rsidRPr="005917E6">
              <w:rPr>
                <w:b w:val="0"/>
                <w:bCs w:val="0"/>
              </w:rPr>
              <w:instrText xml:space="preserve"> REF _Ref230447863 \w \h </w:instrText>
            </w:r>
            <w:r w:rsidR="005917E6">
              <w:rPr>
                <w:b w:val="0"/>
                <w:bCs w:val="0"/>
              </w:rPr>
              <w:instrText xml:space="preserve"> \* MERGEFORMAT </w:instrText>
            </w:r>
            <w:r w:rsidRPr="005917E6">
              <w:fldChar w:fldCharType="separate"/>
            </w:r>
            <w:r w:rsidR="00A87A44" w:rsidRPr="005917E6">
              <w:rPr>
                <w:b w:val="0"/>
                <w:bCs w:val="0"/>
              </w:rPr>
              <w:t>[136]</w:t>
            </w:r>
            <w:r w:rsidRPr="005917E6">
              <w:fldChar w:fldCharType="end"/>
            </w:r>
          </w:p>
        </w:tc>
        <w:tc>
          <w:tcPr>
            <w:tcW w:w="743" w:type="dxa"/>
          </w:tcPr>
          <w:p w14:paraId="08EE825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 s</w:t>
            </w:r>
          </w:p>
        </w:tc>
        <w:tc>
          <w:tcPr>
            <w:tcW w:w="933" w:type="dxa"/>
          </w:tcPr>
          <w:p w14:paraId="410A121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0.4 s </w:t>
            </w:r>
          </w:p>
        </w:tc>
        <w:tc>
          <w:tcPr>
            <w:tcW w:w="1004" w:type="dxa"/>
          </w:tcPr>
          <w:p w14:paraId="3A653D8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40 s</w:t>
            </w:r>
          </w:p>
        </w:tc>
        <w:tc>
          <w:tcPr>
            <w:tcW w:w="1573" w:type="dxa"/>
          </w:tcPr>
          <w:p w14:paraId="58F5FB7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Three-phase fault at Bus 4</w:t>
            </w:r>
          </w:p>
        </w:tc>
        <w:tc>
          <w:tcPr>
            <w:tcW w:w="1275" w:type="dxa"/>
          </w:tcPr>
          <w:p w14:paraId="6FBE0B5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9-bus</w:t>
            </w:r>
          </w:p>
          <w:p w14:paraId="68C68230"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39-bus</w:t>
            </w:r>
          </w:p>
        </w:tc>
        <w:tc>
          <w:tcPr>
            <w:tcW w:w="1546" w:type="dxa"/>
          </w:tcPr>
          <w:p w14:paraId="227D6D7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Composite load model</w:t>
            </w:r>
          </w:p>
        </w:tc>
        <w:tc>
          <w:tcPr>
            <w:tcW w:w="1238" w:type="dxa"/>
          </w:tcPr>
          <w:p w14:paraId="40DC412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DIgSILENT </w:t>
            </w:r>
            <w:proofErr w:type="spellStart"/>
            <w:r w:rsidRPr="00E27D3B">
              <w:t>PowerFactory</w:t>
            </w:r>
            <w:proofErr w:type="spellEnd"/>
          </w:p>
        </w:tc>
      </w:tr>
      <w:tr w:rsidR="00A31EEA" w:rsidRPr="00E27D3B" w14:paraId="62BF0F54"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360BFAAC" w14:textId="161C57D9" w:rsidR="00A31EEA" w:rsidRPr="005917E6" w:rsidRDefault="00C366CA" w:rsidP="00CD4F3A">
            <w:pPr>
              <w:pStyle w:val="TableText"/>
              <w:jc w:val="center"/>
              <w:rPr>
                <w:b w:val="0"/>
                <w:bCs w:val="0"/>
              </w:rPr>
            </w:pPr>
            <w:r w:rsidRPr="005917E6">
              <w:fldChar w:fldCharType="begin"/>
            </w:r>
            <w:r w:rsidRPr="005917E6">
              <w:rPr>
                <w:b w:val="0"/>
                <w:bCs w:val="0"/>
              </w:rPr>
              <w:instrText xml:space="preserve"> REF _Ref230447871 \w \h </w:instrText>
            </w:r>
            <w:r w:rsidR="005917E6">
              <w:rPr>
                <w:b w:val="0"/>
                <w:bCs w:val="0"/>
              </w:rPr>
              <w:instrText xml:space="preserve"> \* MERGEFORMAT </w:instrText>
            </w:r>
            <w:r w:rsidRPr="005917E6">
              <w:fldChar w:fldCharType="separate"/>
            </w:r>
            <w:r w:rsidR="00A87A44" w:rsidRPr="005917E6">
              <w:rPr>
                <w:b w:val="0"/>
                <w:bCs w:val="0"/>
              </w:rPr>
              <w:t>[137]</w:t>
            </w:r>
            <w:r w:rsidRPr="005917E6">
              <w:fldChar w:fldCharType="end"/>
            </w:r>
          </w:p>
        </w:tc>
        <w:tc>
          <w:tcPr>
            <w:tcW w:w="743" w:type="dxa"/>
          </w:tcPr>
          <w:p w14:paraId="049C5C7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7D93519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0.05/0.25 s for near ends; 0.15/0.3 s for remote ends (primary/backup protection)</w:t>
            </w:r>
          </w:p>
        </w:tc>
        <w:tc>
          <w:tcPr>
            <w:tcW w:w="1004" w:type="dxa"/>
          </w:tcPr>
          <w:p w14:paraId="17ADCEF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1573" w:type="dxa"/>
          </w:tcPr>
          <w:p w14:paraId="01E9D41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Three-phase short-circuit 0, 20%, 40%, 60%, 80% of the line length</w:t>
            </w:r>
          </w:p>
        </w:tc>
        <w:tc>
          <w:tcPr>
            <w:tcW w:w="1275" w:type="dxa"/>
          </w:tcPr>
          <w:p w14:paraId="027A419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Nordic test system</w:t>
            </w:r>
          </w:p>
        </w:tc>
        <w:tc>
          <w:tcPr>
            <w:tcW w:w="1546" w:type="dxa"/>
          </w:tcPr>
          <w:p w14:paraId="2732D90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Composite load: 60%, 75%, 90% ratio of dynamic load</w:t>
            </w:r>
          </w:p>
        </w:tc>
        <w:tc>
          <w:tcPr>
            <w:tcW w:w="1238" w:type="dxa"/>
          </w:tcPr>
          <w:p w14:paraId="64BDDC7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PSASP</w:t>
            </w:r>
          </w:p>
        </w:tc>
      </w:tr>
      <w:tr w:rsidR="00A31EEA" w:rsidRPr="00E27D3B" w14:paraId="6033ACE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BBE467" w14:textId="7A1179BC" w:rsidR="00A31EEA" w:rsidRPr="005917E6" w:rsidRDefault="00BE252B" w:rsidP="00CD4F3A">
            <w:pPr>
              <w:pStyle w:val="TableText"/>
              <w:jc w:val="center"/>
              <w:rPr>
                <w:b w:val="0"/>
                <w:bCs w:val="0"/>
              </w:rPr>
            </w:pPr>
            <w:r w:rsidRPr="005917E6">
              <w:fldChar w:fldCharType="begin"/>
            </w:r>
            <w:r w:rsidRPr="005917E6">
              <w:rPr>
                <w:b w:val="0"/>
                <w:bCs w:val="0"/>
              </w:rPr>
              <w:instrText xml:space="preserve"> REF _Ref230447882 \w \h </w:instrText>
            </w:r>
            <w:r w:rsidR="005917E6">
              <w:rPr>
                <w:b w:val="0"/>
                <w:bCs w:val="0"/>
              </w:rPr>
              <w:instrText xml:space="preserve"> \* MERGEFORMAT </w:instrText>
            </w:r>
            <w:r w:rsidRPr="005917E6">
              <w:fldChar w:fldCharType="separate"/>
            </w:r>
            <w:r w:rsidR="00A87A44" w:rsidRPr="005917E6">
              <w:rPr>
                <w:b w:val="0"/>
                <w:bCs w:val="0"/>
              </w:rPr>
              <w:t>[138]</w:t>
            </w:r>
            <w:r w:rsidRPr="005917E6">
              <w:fldChar w:fldCharType="end"/>
            </w:r>
          </w:p>
        </w:tc>
        <w:tc>
          <w:tcPr>
            <w:tcW w:w="743" w:type="dxa"/>
          </w:tcPr>
          <w:p w14:paraId="013629E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w:t>
            </w:r>
          </w:p>
        </w:tc>
        <w:tc>
          <w:tcPr>
            <w:tcW w:w="933" w:type="dxa"/>
          </w:tcPr>
          <w:p w14:paraId="15F308C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0.1, 0.2, 0.3, 0.4, 0.5 s</w:t>
            </w:r>
          </w:p>
        </w:tc>
        <w:tc>
          <w:tcPr>
            <w:tcW w:w="1004" w:type="dxa"/>
          </w:tcPr>
          <w:p w14:paraId="27A5273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 s</w:t>
            </w:r>
          </w:p>
        </w:tc>
        <w:tc>
          <w:tcPr>
            <w:tcW w:w="1573" w:type="dxa"/>
          </w:tcPr>
          <w:p w14:paraId="05DE5BA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Different random fault locations</w:t>
            </w:r>
          </w:p>
        </w:tc>
        <w:tc>
          <w:tcPr>
            <w:tcW w:w="1275" w:type="dxa"/>
          </w:tcPr>
          <w:p w14:paraId="3E6F291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101-bus real-world Guangdong Power Grid in South China</w:t>
            </w:r>
          </w:p>
        </w:tc>
        <w:tc>
          <w:tcPr>
            <w:tcW w:w="1546" w:type="dxa"/>
          </w:tcPr>
          <w:p w14:paraId="49882C83"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Composite load, IM ratio:  0.3, 0.5, 0.7, 0.9</w:t>
            </w:r>
          </w:p>
        </w:tc>
        <w:tc>
          <w:tcPr>
            <w:tcW w:w="1238" w:type="dxa"/>
          </w:tcPr>
          <w:p w14:paraId="082074F6"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PSD-BPA</w:t>
            </w:r>
          </w:p>
        </w:tc>
      </w:tr>
      <w:tr w:rsidR="00A31EEA" w:rsidRPr="00E27D3B" w14:paraId="7626FECF" w14:textId="77777777" w:rsidTr="0002386E">
        <w:tc>
          <w:tcPr>
            <w:cnfStyle w:val="001000000000" w:firstRow="0" w:lastRow="0" w:firstColumn="1" w:lastColumn="0" w:oddVBand="0" w:evenVBand="0" w:oddHBand="0" w:evenHBand="0" w:firstRowFirstColumn="0" w:firstRowLastColumn="0" w:lastRowFirstColumn="0" w:lastRowLastColumn="0"/>
            <w:tcW w:w="704" w:type="dxa"/>
          </w:tcPr>
          <w:p w14:paraId="397CE1DA" w14:textId="284D6D4B" w:rsidR="00A31EEA" w:rsidRPr="005917E6" w:rsidRDefault="00BE252B" w:rsidP="00CD4F3A">
            <w:pPr>
              <w:pStyle w:val="TableText"/>
              <w:jc w:val="center"/>
              <w:rPr>
                <w:b w:val="0"/>
                <w:bCs w:val="0"/>
              </w:rPr>
            </w:pPr>
            <w:r w:rsidRPr="005917E6">
              <w:fldChar w:fldCharType="begin"/>
            </w:r>
            <w:r w:rsidRPr="005917E6">
              <w:rPr>
                <w:b w:val="0"/>
                <w:bCs w:val="0"/>
              </w:rPr>
              <w:instrText xml:space="preserve"> REF _Ref230447886 \w \h </w:instrText>
            </w:r>
            <w:r w:rsidR="005917E6">
              <w:rPr>
                <w:b w:val="0"/>
                <w:bCs w:val="0"/>
              </w:rPr>
              <w:instrText xml:space="preserve"> \* MERGEFORMAT </w:instrText>
            </w:r>
            <w:r w:rsidRPr="005917E6">
              <w:fldChar w:fldCharType="separate"/>
            </w:r>
            <w:r w:rsidR="00A87A44" w:rsidRPr="005917E6">
              <w:rPr>
                <w:b w:val="0"/>
                <w:bCs w:val="0"/>
              </w:rPr>
              <w:t>[139]</w:t>
            </w:r>
            <w:r w:rsidRPr="005917E6">
              <w:fldChar w:fldCharType="end"/>
            </w:r>
          </w:p>
        </w:tc>
        <w:tc>
          <w:tcPr>
            <w:tcW w:w="743" w:type="dxa"/>
          </w:tcPr>
          <w:p w14:paraId="06F12A1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w:t>
            </w:r>
          </w:p>
        </w:tc>
        <w:tc>
          <w:tcPr>
            <w:tcW w:w="933" w:type="dxa"/>
          </w:tcPr>
          <w:p w14:paraId="6CE74E5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0.1 s,</w:t>
            </w:r>
          </w:p>
          <w:p w14:paraId="00B4ADE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0.2 s</w:t>
            </w:r>
          </w:p>
        </w:tc>
        <w:tc>
          <w:tcPr>
            <w:tcW w:w="1004" w:type="dxa"/>
          </w:tcPr>
          <w:p w14:paraId="2E814CF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 xml:space="preserve">10 s </w:t>
            </w:r>
          </w:p>
        </w:tc>
        <w:tc>
          <w:tcPr>
            <w:tcW w:w="1573" w:type="dxa"/>
          </w:tcPr>
          <w:p w14:paraId="317280D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N-1 three-phase short-circuit faults on lines</w:t>
            </w:r>
          </w:p>
        </w:tc>
        <w:tc>
          <w:tcPr>
            <w:tcW w:w="1275" w:type="dxa"/>
          </w:tcPr>
          <w:p w14:paraId="10C586A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Real-world Hong Kong power grid</w:t>
            </w:r>
          </w:p>
        </w:tc>
        <w:tc>
          <w:tcPr>
            <w:tcW w:w="1546" w:type="dxa"/>
          </w:tcPr>
          <w:p w14:paraId="04CC260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Composite load model, 80%-120% load, IM ratios: 60%, 70%, 80%, 90%</w:t>
            </w:r>
          </w:p>
        </w:tc>
        <w:tc>
          <w:tcPr>
            <w:tcW w:w="1238" w:type="dxa"/>
          </w:tcPr>
          <w:p w14:paraId="26DC8D5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PSD-BPA</w:t>
            </w:r>
          </w:p>
        </w:tc>
      </w:tr>
      <w:tr w:rsidR="00A31EEA" w:rsidRPr="00E27D3B" w14:paraId="130BC572"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10A363C" w14:textId="58B6640F" w:rsidR="00A31EEA" w:rsidRPr="005917E6" w:rsidRDefault="00BE252B" w:rsidP="00CD4F3A">
            <w:pPr>
              <w:pStyle w:val="TableText"/>
              <w:jc w:val="center"/>
              <w:rPr>
                <w:b w:val="0"/>
                <w:bCs w:val="0"/>
              </w:rPr>
            </w:pPr>
            <w:r w:rsidRPr="005917E6">
              <w:lastRenderedPageBreak/>
              <w:fldChar w:fldCharType="begin"/>
            </w:r>
            <w:r w:rsidRPr="005917E6">
              <w:rPr>
                <w:b w:val="0"/>
                <w:bCs w:val="0"/>
              </w:rPr>
              <w:instrText xml:space="preserve"> REF _Ref230447891 \w \h </w:instrText>
            </w:r>
            <w:r w:rsidR="005917E6">
              <w:rPr>
                <w:b w:val="0"/>
                <w:bCs w:val="0"/>
              </w:rPr>
              <w:instrText xml:space="preserve"> \* MERGEFORMAT </w:instrText>
            </w:r>
            <w:r w:rsidRPr="005917E6">
              <w:fldChar w:fldCharType="separate"/>
            </w:r>
            <w:r w:rsidR="00A87A44" w:rsidRPr="005917E6">
              <w:rPr>
                <w:b w:val="0"/>
                <w:bCs w:val="0"/>
              </w:rPr>
              <w:t>[140]</w:t>
            </w:r>
            <w:r w:rsidRPr="005917E6">
              <w:fldChar w:fldCharType="end"/>
            </w:r>
          </w:p>
        </w:tc>
        <w:tc>
          <w:tcPr>
            <w:tcW w:w="743" w:type="dxa"/>
          </w:tcPr>
          <w:p w14:paraId="0FCF74B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 s</w:t>
            </w:r>
          </w:p>
        </w:tc>
        <w:tc>
          <w:tcPr>
            <w:tcW w:w="933" w:type="dxa"/>
          </w:tcPr>
          <w:p w14:paraId="24BE417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Line fault 5, 10, 15, 20 or 24 cycles, bus fault 5 cycles</w:t>
            </w:r>
          </w:p>
        </w:tc>
        <w:tc>
          <w:tcPr>
            <w:tcW w:w="1004" w:type="dxa"/>
          </w:tcPr>
          <w:p w14:paraId="31E14A2B"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8 s</w:t>
            </w:r>
          </w:p>
        </w:tc>
        <w:tc>
          <w:tcPr>
            <w:tcW w:w="1573" w:type="dxa"/>
          </w:tcPr>
          <w:p w14:paraId="2AE71D5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N-1 three-phase line faults, bus faults </w:t>
            </w:r>
          </w:p>
        </w:tc>
        <w:tc>
          <w:tcPr>
            <w:tcW w:w="1275" w:type="dxa"/>
          </w:tcPr>
          <w:p w14:paraId="7F5DD55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IEEE 32-bus Nordic test system</w:t>
            </w:r>
          </w:p>
        </w:tc>
        <w:tc>
          <w:tcPr>
            <w:tcW w:w="1546" w:type="dxa"/>
          </w:tcPr>
          <w:p w14:paraId="4DCE6E0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CLOD model of PSS/E</w:t>
            </w:r>
          </w:p>
        </w:tc>
        <w:tc>
          <w:tcPr>
            <w:tcW w:w="1238" w:type="dxa"/>
          </w:tcPr>
          <w:p w14:paraId="035FF37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PSS/E</w:t>
            </w:r>
          </w:p>
        </w:tc>
      </w:tr>
    </w:tbl>
    <w:p w14:paraId="7FCF97F6" w14:textId="77777777" w:rsidR="00A31EEA" w:rsidRPr="00E27D3B" w:rsidRDefault="00A31EEA" w:rsidP="00CD4F3A">
      <w:pPr>
        <w:pStyle w:val="Heading4"/>
      </w:pPr>
      <w:r w:rsidRPr="00E27D3B">
        <w:t>A Comparison of the Impact of Different Types of Faults on Bus Voltage</w:t>
      </w:r>
    </w:p>
    <w:p w14:paraId="5A05C65B" w14:textId="368516DF" w:rsidR="00A31EEA" w:rsidRPr="00FC2355" w:rsidRDefault="00A31EEA" w:rsidP="00FC2355">
      <w:pPr>
        <w:spacing w:after="0"/>
        <w:rPr>
          <w:sz w:val="24"/>
          <w:szCs w:val="24"/>
        </w:rPr>
      </w:pPr>
      <w:bookmarkStart w:id="305" w:name="_Toc230342842"/>
      <w:bookmarkStart w:id="306" w:name="_Toc230858785"/>
      <w:r w:rsidRPr="00FC2355">
        <w:rPr>
          <w:sz w:val="24"/>
          <w:szCs w:val="24"/>
        </w:rPr>
        <w:t>For IEEE 39-bus test system, a comparison of different types of line faults has been performed. Firstly, in the middle of Line 16-19, faults have been simulated one by one. The fault starts at 2 s and lasts for 0.1 s in each case. The phase currents through the faulty line are compared as shown in</w:t>
      </w:r>
      <w:r w:rsidR="009855CC" w:rsidRPr="00FC2355">
        <w:rPr>
          <w:sz w:val="24"/>
          <w:szCs w:val="24"/>
        </w:rPr>
        <w:t xml:space="preserve"> </w:t>
      </w:r>
      <w:r w:rsidR="009855CC" w:rsidRPr="00FC2355">
        <w:rPr>
          <w:sz w:val="24"/>
          <w:szCs w:val="24"/>
        </w:rPr>
        <w:fldChar w:fldCharType="begin"/>
      </w:r>
      <w:r w:rsidR="009855CC" w:rsidRPr="00FC2355">
        <w:rPr>
          <w:sz w:val="24"/>
          <w:szCs w:val="24"/>
        </w:rPr>
        <w:instrText xml:space="preserve"> REF _Ref233546175 \h </w:instrText>
      </w:r>
      <w:r w:rsidR="00FC2355">
        <w:rPr>
          <w:sz w:val="24"/>
          <w:szCs w:val="24"/>
        </w:rPr>
        <w:instrText xml:space="preserve"> \* MERGEFORMAT </w:instrText>
      </w:r>
      <w:r w:rsidR="009855CC" w:rsidRPr="00FC2355">
        <w:rPr>
          <w:sz w:val="24"/>
          <w:szCs w:val="24"/>
        </w:rPr>
      </w:r>
      <w:r w:rsidR="009855CC" w:rsidRPr="00FC2355">
        <w:rPr>
          <w:sz w:val="24"/>
          <w:szCs w:val="24"/>
        </w:rPr>
        <w:fldChar w:fldCharType="separate"/>
      </w:r>
      <w:r w:rsidR="009855CC" w:rsidRPr="00FC2355">
        <w:rPr>
          <w:sz w:val="24"/>
          <w:szCs w:val="24"/>
        </w:rPr>
        <w:t xml:space="preserve">Figure </w:t>
      </w:r>
      <w:r w:rsidR="009855CC" w:rsidRPr="00FC2355">
        <w:rPr>
          <w:noProof/>
          <w:sz w:val="24"/>
          <w:szCs w:val="24"/>
        </w:rPr>
        <w:t>52</w:t>
      </w:r>
      <w:r w:rsidR="009855CC" w:rsidRPr="00FC2355">
        <w:rPr>
          <w:sz w:val="24"/>
          <w:szCs w:val="24"/>
        </w:rPr>
        <w:fldChar w:fldCharType="end"/>
      </w:r>
      <w:r w:rsidR="0004468B" w:rsidRPr="00FC2355">
        <w:rPr>
          <w:sz w:val="24"/>
          <w:szCs w:val="24"/>
        </w:rPr>
        <w:t>.</w:t>
      </w:r>
      <w:bookmarkEnd w:id="305"/>
      <w:bookmarkEnd w:id="306"/>
    </w:p>
    <w:p w14:paraId="44EDE518" w14:textId="2ACB2747" w:rsidR="00AC3D1E" w:rsidRPr="00FC2355" w:rsidRDefault="00AC3D1E" w:rsidP="00FC2355">
      <w:pPr>
        <w:spacing w:after="0"/>
        <w:rPr>
          <w:sz w:val="24"/>
          <w:szCs w:val="24"/>
        </w:rPr>
      </w:pPr>
      <w:r w:rsidRPr="00FC2355">
        <w:rPr>
          <w:sz w:val="24"/>
          <w:szCs w:val="24"/>
        </w:rPr>
        <w:t>A comparison of fault currents indicates that the three-phase fault produces the largest first-swing current deviation from the pre-fault value. The double-line-to-ground fault exhibits the second-largest deviation, followed by the line-to-line fault, while the single-line-to-ground fault results in the smallest deviation from the pre-fault current.</w:t>
      </w:r>
      <w:r w:rsidR="00524084" w:rsidRPr="00FC2355">
        <w:rPr>
          <w:sz w:val="24"/>
          <w:szCs w:val="24"/>
        </w:rPr>
        <w:t xml:space="preserve"> </w:t>
      </w:r>
      <w:r w:rsidRPr="00FC2355">
        <w:rPr>
          <w:sz w:val="24"/>
          <w:szCs w:val="24"/>
        </w:rPr>
        <w:t>The impact of different line faults on the voltage at a distant bus, Bus 8 is compared as shown in</w:t>
      </w:r>
      <w:r w:rsidR="009855CC" w:rsidRPr="00FC2355">
        <w:rPr>
          <w:sz w:val="24"/>
          <w:szCs w:val="24"/>
        </w:rPr>
        <w:t xml:space="preserve"> </w:t>
      </w:r>
      <w:r w:rsidR="009855CC" w:rsidRPr="00FC2355">
        <w:rPr>
          <w:sz w:val="24"/>
          <w:szCs w:val="24"/>
        </w:rPr>
        <w:fldChar w:fldCharType="begin"/>
      </w:r>
      <w:r w:rsidR="009855CC" w:rsidRPr="00FC2355">
        <w:rPr>
          <w:sz w:val="24"/>
          <w:szCs w:val="24"/>
        </w:rPr>
        <w:instrText xml:space="preserve"> REF _Ref233546113 \h </w:instrText>
      </w:r>
      <w:r w:rsidR="00FC2355">
        <w:rPr>
          <w:sz w:val="24"/>
          <w:szCs w:val="24"/>
        </w:rPr>
        <w:instrText xml:space="preserve"> \* MERGEFORMAT </w:instrText>
      </w:r>
      <w:r w:rsidR="009855CC" w:rsidRPr="00FC2355">
        <w:rPr>
          <w:sz w:val="24"/>
          <w:szCs w:val="24"/>
        </w:rPr>
      </w:r>
      <w:r w:rsidR="009855CC" w:rsidRPr="00FC2355">
        <w:rPr>
          <w:sz w:val="24"/>
          <w:szCs w:val="24"/>
        </w:rPr>
        <w:fldChar w:fldCharType="separate"/>
      </w:r>
      <w:r w:rsidR="009855CC" w:rsidRPr="00FC2355">
        <w:rPr>
          <w:sz w:val="24"/>
          <w:szCs w:val="24"/>
        </w:rPr>
        <w:t>Figure 53</w:t>
      </w:r>
      <w:r w:rsidR="009855CC" w:rsidRPr="00FC2355">
        <w:rPr>
          <w:sz w:val="24"/>
          <w:szCs w:val="24"/>
        </w:rPr>
        <w:fldChar w:fldCharType="end"/>
      </w:r>
      <w:r w:rsidRPr="00FC2355">
        <w:rPr>
          <w:sz w:val="24"/>
          <w:szCs w:val="24"/>
        </w:rPr>
        <w:t>.</w:t>
      </w:r>
    </w:p>
    <w:p w14:paraId="2EDAFC65" w14:textId="77777777" w:rsidR="00276941" w:rsidRPr="00FC2355" w:rsidRDefault="00276941" w:rsidP="00FC2355">
      <w:pPr>
        <w:spacing w:after="0"/>
        <w:rPr>
          <w:sz w:val="24"/>
          <w:szCs w:val="24"/>
        </w:rPr>
      </w:pPr>
      <w:r w:rsidRPr="00FC2355">
        <w:rPr>
          <w:sz w:val="24"/>
          <w:szCs w:val="24"/>
        </w:rPr>
        <w:t>A comparison of the voltage at Bus 8 for different types of faults at Line 16-19 shows that three-phase fault results in the highest deviation in voltage from the pre-fault voltage. This is followed, in descending order of severity, by the double-line-to-ground fault, the line-to-line fault, and the single-line-to-ground fault.</w:t>
      </w:r>
    </w:p>
    <w:p w14:paraId="22118277" w14:textId="42186C67" w:rsidR="00276941" w:rsidRPr="00FC2355" w:rsidRDefault="00276941" w:rsidP="00FC2355">
      <w:pPr>
        <w:spacing w:after="0"/>
        <w:rPr>
          <w:sz w:val="24"/>
          <w:szCs w:val="24"/>
        </w:rPr>
      </w:pPr>
      <w:r w:rsidRPr="00FC2355">
        <w:rPr>
          <w:sz w:val="24"/>
          <w:szCs w:val="24"/>
        </w:rPr>
        <w:t xml:space="preserve">The results presented above endorse the selection of three-phase fault for assessing the voltage stability as this fault presents the most severe impact on voltage, consistent with other studies, such as </w:t>
      </w:r>
      <w:r w:rsidRPr="00FC2355">
        <w:rPr>
          <w:sz w:val="24"/>
          <w:szCs w:val="24"/>
        </w:rPr>
        <w:fldChar w:fldCharType="begin"/>
      </w:r>
      <w:r w:rsidRPr="00FC2355">
        <w:rPr>
          <w:sz w:val="24"/>
          <w:szCs w:val="24"/>
        </w:rPr>
        <w:instrText xml:space="preserve"> REF _Ref230446574 \w \h </w:instrText>
      </w:r>
      <w:r w:rsidR="00CD4F3A" w:rsidRPr="00FC2355">
        <w:rPr>
          <w:sz w:val="24"/>
          <w:szCs w:val="24"/>
        </w:rPr>
        <w:instrText xml:space="preserve"> \* MERGEFORMAT </w:instrText>
      </w:r>
      <w:r w:rsidRPr="00FC2355">
        <w:rPr>
          <w:sz w:val="24"/>
          <w:szCs w:val="24"/>
        </w:rPr>
      </w:r>
      <w:r w:rsidRPr="00FC2355">
        <w:rPr>
          <w:sz w:val="24"/>
          <w:szCs w:val="24"/>
        </w:rPr>
        <w:fldChar w:fldCharType="separate"/>
      </w:r>
      <w:r w:rsidRPr="00FC2355">
        <w:rPr>
          <w:sz w:val="24"/>
          <w:szCs w:val="24"/>
        </w:rPr>
        <w:t>[109]</w:t>
      </w:r>
      <w:r w:rsidRPr="00FC2355">
        <w:rPr>
          <w:sz w:val="24"/>
          <w:szCs w:val="24"/>
        </w:rPr>
        <w:fldChar w:fldCharType="end"/>
      </w:r>
      <w:r w:rsidRPr="00FC2355">
        <w:rPr>
          <w:sz w:val="24"/>
          <w:szCs w:val="24"/>
        </w:rPr>
        <w:t xml:space="preserve"> </w:t>
      </w:r>
      <w:r w:rsidRPr="00FC2355">
        <w:rPr>
          <w:rFonts w:cs="Calibri"/>
          <w:sz w:val="24"/>
          <w:szCs w:val="24"/>
        </w:rPr>
        <w:t>and</w:t>
      </w:r>
      <w:r w:rsidRPr="00FC2355">
        <w:rPr>
          <w:sz w:val="24"/>
          <w:szCs w:val="24"/>
        </w:rPr>
        <w:t xml:space="preserve"> </w:t>
      </w:r>
      <w:r w:rsidRPr="00FC2355">
        <w:rPr>
          <w:sz w:val="24"/>
          <w:szCs w:val="24"/>
        </w:rPr>
        <w:fldChar w:fldCharType="begin"/>
      </w:r>
      <w:r w:rsidRPr="00FC2355">
        <w:rPr>
          <w:sz w:val="24"/>
          <w:szCs w:val="24"/>
        </w:rPr>
        <w:instrText xml:space="preserve"> REF _Ref230448016 \w \h </w:instrText>
      </w:r>
      <w:r w:rsidR="00CD4F3A" w:rsidRPr="00FC2355">
        <w:rPr>
          <w:sz w:val="24"/>
          <w:szCs w:val="24"/>
        </w:rPr>
        <w:instrText xml:space="preserve"> \* MERGEFORMAT </w:instrText>
      </w:r>
      <w:r w:rsidRPr="00FC2355">
        <w:rPr>
          <w:sz w:val="24"/>
          <w:szCs w:val="24"/>
        </w:rPr>
      </w:r>
      <w:r w:rsidRPr="00FC2355">
        <w:rPr>
          <w:sz w:val="24"/>
          <w:szCs w:val="24"/>
        </w:rPr>
        <w:fldChar w:fldCharType="separate"/>
      </w:r>
      <w:r w:rsidRPr="00FC2355">
        <w:rPr>
          <w:sz w:val="24"/>
          <w:szCs w:val="24"/>
        </w:rPr>
        <w:t>[141]</w:t>
      </w:r>
      <w:r w:rsidRPr="00FC2355">
        <w:rPr>
          <w:sz w:val="24"/>
          <w:szCs w:val="24"/>
        </w:rPr>
        <w:fldChar w:fldCharType="end"/>
      </w:r>
      <w:r w:rsidRPr="00FC2355">
        <w:rPr>
          <w:sz w:val="24"/>
          <w:szCs w:val="24"/>
        </w:rPr>
        <w:t>.</w:t>
      </w:r>
    </w:p>
    <w:p w14:paraId="2A9772FE" w14:textId="77777777" w:rsidR="00A31EEA" w:rsidRPr="00E27D3B" w:rsidRDefault="00A31EEA" w:rsidP="00CD4F3A">
      <w:pPr>
        <w:keepNext/>
        <w:spacing w:before="180"/>
      </w:pPr>
      <w:r w:rsidRPr="00E27D3B">
        <w:rPr>
          <w:noProof/>
        </w:rPr>
        <w:lastRenderedPageBreak/>
        <w:drawing>
          <wp:inline distT="0" distB="0" distL="0" distR="0" wp14:anchorId="3117DCE8" wp14:editId="6ABA681B">
            <wp:extent cx="5367600" cy="3024000"/>
            <wp:effectExtent l="0" t="0" r="5080" b="5080"/>
            <wp:docPr id="1065646900" name="Chart 1">
              <a:extLst xmlns:a="http://schemas.openxmlformats.org/drawingml/2006/main">
                <a:ext uri="{FF2B5EF4-FFF2-40B4-BE49-F238E27FC236}">
                  <a16:creationId xmlns:a16="http://schemas.microsoft.com/office/drawing/2014/main" id="{58467EC8-A8B4-4FBE-831C-7F44228F5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F233D43" w14:textId="6A077EDD" w:rsidR="00A31EEA" w:rsidRPr="00E27D3B" w:rsidRDefault="00A31EEA" w:rsidP="00CD4F3A">
      <w:pPr>
        <w:pStyle w:val="Caption"/>
        <w:spacing w:line="240" w:lineRule="auto"/>
      </w:pPr>
      <w:bookmarkStart w:id="307" w:name="_Ref233546175"/>
      <w:bookmarkStart w:id="308" w:name="_Toc223626377"/>
      <w:bookmarkStart w:id="309" w:name="_Toc224235138"/>
      <w:bookmarkStart w:id="310" w:name="_Toc233735058"/>
      <w:r w:rsidRPr="00E27D3B">
        <w:t xml:space="preserve">Figure </w:t>
      </w:r>
      <w:fldSimple w:instr=" SEQ Figure \* ARABIC ">
        <w:r w:rsidR="00A85006">
          <w:rPr>
            <w:noProof/>
          </w:rPr>
          <w:t>52</w:t>
        </w:r>
      </w:fldSimple>
      <w:bookmarkEnd w:id="307"/>
      <w:r w:rsidR="00463216">
        <w:t>:</w:t>
      </w:r>
      <w:r w:rsidRPr="00E27D3B">
        <w:t xml:space="preserve"> Current through </w:t>
      </w:r>
      <w:r w:rsidRPr="005C746B">
        <w:t>Line</w:t>
      </w:r>
      <w:r>
        <w:t xml:space="preserve"> 16-19</w:t>
      </w:r>
      <w:r w:rsidRPr="00E27D3B">
        <w:t xml:space="preserve"> after fault in the middle of the line</w:t>
      </w:r>
      <w:bookmarkEnd w:id="308"/>
      <w:bookmarkEnd w:id="309"/>
      <w:r w:rsidR="00104F24">
        <w:t>.</w:t>
      </w:r>
      <w:bookmarkEnd w:id="310"/>
    </w:p>
    <w:p w14:paraId="6519AE4A" w14:textId="77777777" w:rsidR="00524084" w:rsidRDefault="00A31EEA" w:rsidP="00CD4F3A">
      <w:r w:rsidRPr="00E27D3B">
        <w:rPr>
          <w:noProof/>
        </w:rPr>
        <w:drawing>
          <wp:inline distT="0" distB="0" distL="0" distR="0" wp14:anchorId="59CB9B00" wp14:editId="2DD03BB9">
            <wp:extent cx="5441133" cy="3367889"/>
            <wp:effectExtent l="0" t="0" r="7620" b="4445"/>
            <wp:docPr id="1979273932" name="Chart 1">
              <a:extLst xmlns:a="http://schemas.openxmlformats.org/drawingml/2006/main">
                <a:ext uri="{FF2B5EF4-FFF2-40B4-BE49-F238E27FC236}">
                  <a16:creationId xmlns:a16="http://schemas.microsoft.com/office/drawing/2014/main" id="{8020EFB4-8A11-CEF7-3CDA-A0244AC34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bookmarkStart w:id="311" w:name="_Toc223626378"/>
      <w:bookmarkStart w:id="312" w:name="_Toc224235139"/>
    </w:p>
    <w:p w14:paraId="27690F6F" w14:textId="24197963" w:rsidR="00524084" w:rsidRPr="00524084" w:rsidRDefault="00A31EEA" w:rsidP="00104F24">
      <w:pPr>
        <w:pStyle w:val="Caption"/>
        <w:spacing w:line="240" w:lineRule="auto"/>
      </w:pPr>
      <w:bookmarkStart w:id="313" w:name="_Ref233546113"/>
      <w:bookmarkStart w:id="314" w:name="_Toc233735059"/>
      <w:r w:rsidRPr="00E27D3B">
        <w:t xml:space="preserve">Figure </w:t>
      </w:r>
      <w:fldSimple w:instr=" SEQ Figure \* ARABIC ">
        <w:r w:rsidR="00A85006">
          <w:t>53</w:t>
        </w:r>
      </w:fldSimple>
      <w:bookmarkEnd w:id="313"/>
      <w:r w:rsidR="00463216">
        <w:t>:</w:t>
      </w:r>
      <w:r w:rsidRPr="00E27D3B">
        <w:t xml:space="preserve"> Voltage at </w:t>
      </w:r>
      <w:r>
        <w:t>B</w:t>
      </w:r>
      <w:r w:rsidRPr="00E27D3B">
        <w:t xml:space="preserve">us 8 due to faults in </w:t>
      </w:r>
      <w:r>
        <w:t>Line 16-19</w:t>
      </w:r>
      <w:bookmarkEnd w:id="311"/>
      <w:bookmarkEnd w:id="312"/>
      <w:r w:rsidR="00104F24">
        <w:t>.</w:t>
      </w:r>
      <w:bookmarkEnd w:id="314"/>
    </w:p>
    <w:p w14:paraId="212AD506" w14:textId="77777777" w:rsidR="00A31EEA" w:rsidRPr="00E27D3B" w:rsidRDefault="00A31EEA" w:rsidP="00CD4F3A">
      <w:pPr>
        <w:pStyle w:val="Heading4"/>
      </w:pPr>
      <w:r w:rsidRPr="00E27D3B">
        <w:t>Impact of Composite Load on STVS</w:t>
      </w:r>
    </w:p>
    <w:p w14:paraId="033AFABC" w14:textId="124A3A5A" w:rsidR="00A31EEA" w:rsidRPr="005F499D" w:rsidRDefault="00A31EEA" w:rsidP="00104F24">
      <w:pPr>
        <w:spacing w:after="0"/>
        <w:rPr>
          <w:sz w:val="24"/>
          <w:szCs w:val="24"/>
        </w:rPr>
      </w:pPr>
      <w:bookmarkStart w:id="315" w:name="_Toc230342846"/>
      <w:bookmarkStart w:id="316" w:name="_Toc230858789"/>
      <w:bookmarkStart w:id="317" w:name="_Toc233735060"/>
      <w:r w:rsidRPr="005F499D">
        <w:rPr>
          <w:sz w:val="24"/>
          <w:szCs w:val="24"/>
        </w:rPr>
        <w:t xml:space="preserve">The Western Electricity Coordinating Council (WECC) model of composite load is composed of different types of loads as shown in </w:t>
      </w:r>
      <w:r w:rsidR="0004468B" w:rsidRPr="005F499D">
        <w:rPr>
          <w:sz w:val="24"/>
          <w:szCs w:val="24"/>
        </w:rPr>
        <w:t xml:space="preserve">Figure </w:t>
      </w:r>
      <w:r w:rsidR="0004468B" w:rsidRPr="005F499D">
        <w:rPr>
          <w:sz w:val="24"/>
          <w:szCs w:val="24"/>
        </w:rPr>
        <w:fldChar w:fldCharType="begin"/>
      </w:r>
      <w:r w:rsidR="0004468B" w:rsidRPr="005F499D">
        <w:rPr>
          <w:sz w:val="24"/>
          <w:szCs w:val="24"/>
        </w:rPr>
        <w:instrText xml:space="preserve"> SEQ Figure \* ARABIC </w:instrText>
      </w:r>
      <w:r w:rsidR="0004468B" w:rsidRPr="005F499D">
        <w:rPr>
          <w:sz w:val="24"/>
          <w:szCs w:val="24"/>
        </w:rPr>
        <w:fldChar w:fldCharType="separate"/>
      </w:r>
      <w:r w:rsidR="0004468B" w:rsidRPr="005F499D">
        <w:rPr>
          <w:noProof/>
          <w:sz w:val="24"/>
          <w:szCs w:val="24"/>
        </w:rPr>
        <w:t>54</w:t>
      </w:r>
      <w:r w:rsidR="0004468B" w:rsidRPr="005F499D">
        <w:rPr>
          <w:noProof/>
          <w:sz w:val="24"/>
          <w:szCs w:val="24"/>
        </w:rPr>
        <w:fldChar w:fldCharType="end"/>
      </w:r>
      <w:r w:rsidR="0004468B" w:rsidRPr="005F499D">
        <w:rPr>
          <w:sz w:val="24"/>
          <w:szCs w:val="24"/>
        </w:rPr>
        <w:t>.</w:t>
      </w:r>
      <w:bookmarkEnd w:id="315"/>
      <w:bookmarkEnd w:id="316"/>
      <w:bookmarkEnd w:id="317"/>
    </w:p>
    <w:p w14:paraId="08B1B094" w14:textId="77777777" w:rsidR="00A31EEA" w:rsidRPr="00E27D3B" w:rsidRDefault="00A31EEA" w:rsidP="00CD4F3A">
      <w:pPr>
        <w:keepNext/>
        <w:spacing w:before="180" w:after="0"/>
      </w:pPr>
      <w:r w:rsidRPr="00E27D3B">
        <w:rPr>
          <w:noProof/>
        </w:rPr>
        <w:lastRenderedPageBreak/>
        <w:drawing>
          <wp:inline distT="0" distB="0" distL="0" distR="0" wp14:anchorId="526FE2B4" wp14:editId="1E14E8CC">
            <wp:extent cx="4523762" cy="2304000"/>
            <wp:effectExtent l="0" t="0" r="0" b="1270"/>
            <wp:docPr id="1343474987" name="Picture 5" descr="A diagram of a bus">
              <a:extLst xmlns:a="http://schemas.openxmlformats.org/drawingml/2006/main">
                <a:ext uri="{FF2B5EF4-FFF2-40B4-BE49-F238E27FC236}">
                  <a16:creationId xmlns:a16="http://schemas.microsoft.com/office/drawing/2014/main" id="{DF1916F1-8E4A-63F2-DF6D-90D164BE1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bus">
                      <a:extLst>
                        <a:ext uri="{FF2B5EF4-FFF2-40B4-BE49-F238E27FC236}">
                          <a16:creationId xmlns:a16="http://schemas.microsoft.com/office/drawing/2014/main" id="{DF1916F1-8E4A-63F2-DF6D-90D164BE1F4D}"/>
                        </a:ext>
                      </a:extLst>
                    </pic:cNvPr>
                    <pic:cNvPicPr>
                      <a:picLocks noChangeAspect="1"/>
                    </pic:cNvPicPr>
                  </pic:nvPicPr>
                  <pic:blipFill>
                    <a:blip r:embed="rId128"/>
                    <a:stretch>
                      <a:fillRect/>
                    </a:stretch>
                  </pic:blipFill>
                  <pic:spPr>
                    <a:xfrm>
                      <a:off x="0" y="0"/>
                      <a:ext cx="4523762" cy="2304000"/>
                    </a:xfrm>
                    <a:prstGeom prst="rect">
                      <a:avLst/>
                    </a:prstGeom>
                    <a:noFill/>
                    <a:ln>
                      <a:noFill/>
                    </a:ln>
                  </pic:spPr>
                </pic:pic>
              </a:graphicData>
            </a:graphic>
          </wp:inline>
        </w:drawing>
      </w:r>
    </w:p>
    <w:p w14:paraId="23CFCCAD" w14:textId="4F1C4901" w:rsidR="00A31EEA" w:rsidRPr="00E27D3B" w:rsidRDefault="00A31EEA" w:rsidP="00CD4F3A">
      <w:pPr>
        <w:pStyle w:val="Caption"/>
        <w:spacing w:line="240" w:lineRule="auto"/>
      </w:pPr>
      <w:bookmarkStart w:id="318" w:name="_Toc223626379"/>
      <w:bookmarkStart w:id="319" w:name="_Toc224235140"/>
      <w:bookmarkStart w:id="320" w:name="_Toc233735061"/>
      <w:r w:rsidRPr="00E27D3B">
        <w:t xml:space="preserve">Figure </w:t>
      </w:r>
      <w:fldSimple w:instr=" SEQ Figure \* ARABIC ">
        <w:r w:rsidR="00A85006">
          <w:rPr>
            <w:noProof/>
          </w:rPr>
          <w:t>54</w:t>
        </w:r>
      </w:fldSimple>
      <w:r w:rsidR="00463216">
        <w:t>:</w:t>
      </w:r>
      <w:r w:rsidRPr="00E27D3B">
        <w:t xml:space="preserve"> WECC </w:t>
      </w:r>
      <w:r w:rsidRPr="005C746B">
        <w:t>composite</w:t>
      </w:r>
      <w:r w:rsidRPr="00E27D3B">
        <w:t xml:space="preserve"> load model</w:t>
      </w:r>
      <w:bookmarkEnd w:id="318"/>
      <w:bookmarkEnd w:id="319"/>
      <w:r w:rsidR="00104F24">
        <w:t>.</w:t>
      </w:r>
      <w:bookmarkEnd w:id="320"/>
    </w:p>
    <w:p w14:paraId="75EBC813" w14:textId="7754D529" w:rsidR="00A31EEA" w:rsidRPr="00104F24" w:rsidRDefault="00A31EEA" w:rsidP="00104F24">
      <w:pPr>
        <w:spacing w:after="0"/>
        <w:rPr>
          <w:sz w:val="24"/>
          <w:szCs w:val="24"/>
        </w:rPr>
      </w:pPr>
      <w:bookmarkStart w:id="321" w:name="_Toc230342895"/>
      <w:r w:rsidRPr="00104F24">
        <w:rPr>
          <w:sz w:val="24"/>
          <w:szCs w:val="24"/>
        </w:rPr>
        <w:t xml:space="preserve">The proportion of each load depends on the physical conditions of the region under study. In DIgSILENT </w:t>
      </w:r>
      <w:proofErr w:type="spellStart"/>
      <w:r w:rsidRPr="00104F24">
        <w:rPr>
          <w:sz w:val="24"/>
          <w:szCs w:val="24"/>
        </w:rPr>
        <w:t>PowerFactory</w:t>
      </w:r>
      <w:proofErr w:type="spellEnd"/>
      <w:r w:rsidRPr="00104F24">
        <w:rPr>
          <w:sz w:val="24"/>
          <w:szCs w:val="24"/>
        </w:rPr>
        <w:t>, the WECC composite load model comes with certain default proportions of different types of loads. AEMO, in its 2024 report, has provided composite load proportions to replicate the load of different states in Australia. Moreover, the performance parameters of Motor D have been updated by AEMO</w:t>
      </w:r>
      <w:r w:rsidR="00A331B9" w:rsidRPr="00104F24">
        <w:rPr>
          <w:sz w:val="24"/>
          <w:szCs w:val="24"/>
        </w:rPr>
        <w:t xml:space="preserve"> </w:t>
      </w:r>
      <w:r w:rsidR="007B6B6E" w:rsidRPr="00104F24">
        <w:rPr>
          <w:sz w:val="24"/>
          <w:szCs w:val="24"/>
        </w:rPr>
        <w:fldChar w:fldCharType="begin"/>
      </w:r>
      <w:r w:rsidR="007B6B6E" w:rsidRPr="00104F24">
        <w:rPr>
          <w:sz w:val="24"/>
          <w:szCs w:val="24"/>
        </w:rPr>
        <w:instrText xml:space="preserve"> REF _Ref230448034 \w \h </w:instrText>
      </w:r>
      <w:r w:rsidR="00CD4F3A" w:rsidRPr="00104F24">
        <w:rPr>
          <w:sz w:val="24"/>
          <w:szCs w:val="24"/>
        </w:rPr>
        <w:instrText xml:space="preserve"> \* MERGEFORMAT </w:instrText>
      </w:r>
      <w:r w:rsidR="007B6B6E" w:rsidRPr="00104F24">
        <w:rPr>
          <w:sz w:val="24"/>
          <w:szCs w:val="24"/>
        </w:rPr>
      </w:r>
      <w:r w:rsidR="007B6B6E" w:rsidRPr="00104F24">
        <w:rPr>
          <w:sz w:val="24"/>
          <w:szCs w:val="24"/>
        </w:rPr>
        <w:fldChar w:fldCharType="separate"/>
      </w:r>
      <w:r w:rsidR="007B6B6E" w:rsidRPr="00104F24">
        <w:rPr>
          <w:sz w:val="24"/>
          <w:szCs w:val="24"/>
        </w:rPr>
        <w:t>[146]</w:t>
      </w:r>
      <w:r w:rsidR="007B6B6E" w:rsidRPr="00104F24">
        <w:rPr>
          <w:sz w:val="24"/>
          <w:szCs w:val="24"/>
        </w:rPr>
        <w:fldChar w:fldCharType="end"/>
      </w:r>
      <w:r w:rsidRPr="00104F24">
        <w:rPr>
          <w:sz w:val="24"/>
          <w:szCs w:val="24"/>
        </w:rPr>
        <w:t>. The details of the updated load composition and Motor D performance parameters are shown in the</w:t>
      </w:r>
      <w:r w:rsidR="00F06ADD" w:rsidRPr="00104F24">
        <w:rPr>
          <w:sz w:val="24"/>
          <w:szCs w:val="24"/>
        </w:rPr>
        <w:t xml:space="preserve"> </w:t>
      </w:r>
      <w:r w:rsidR="00F06ADD" w:rsidRPr="00104F24">
        <w:rPr>
          <w:sz w:val="24"/>
          <w:szCs w:val="24"/>
        </w:rPr>
        <w:fldChar w:fldCharType="begin"/>
      </w:r>
      <w:r w:rsidR="00F06ADD" w:rsidRPr="00104F24">
        <w:rPr>
          <w:sz w:val="24"/>
          <w:szCs w:val="24"/>
        </w:rPr>
        <w:instrText xml:space="preserve"> REF _Ref233547833 \h </w:instrText>
      </w:r>
      <w:r w:rsidR="00104F24">
        <w:rPr>
          <w:sz w:val="24"/>
          <w:szCs w:val="24"/>
        </w:rPr>
        <w:instrText xml:space="preserve"> \* MERGEFORMAT </w:instrText>
      </w:r>
      <w:r w:rsidR="00F06ADD" w:rsidRPr="00104F24">
        <w:rPr>
          <w:sz w:val="24"/>
          <w:szCs w:val="24"/>
        </w:rPr>
      </w:r>
      <w:r w:rsidR="00F06ADD" w:rsidRPr="00104F24">
        <w:rPr>
          <w:sz w:val="24"/>
          <w:szCs w:val="24"/>
        </w:rPr>
        <w:fldChar w:fldCharType="separate"/>
      </w:r>
      <w:r w:rsidR="00F06ADD" w:rsidRPr="00104F24">
        <w:rPr>
          <w:sz w:val="24"/>
          <w:szCs w:val="24"/>
        </w:rPr>
        <w:t xml:space="preserve">Table </w:t>
      </w:r>
      <w:r w:rsidR="00F06ADD" w:rsidRPr="00104F24">
        <w:rPr>
          <w:noProof/>
          <w:sz w:val="24"/>
          <w:szCs w:val="24"/>
        </w:rPr>
        <w:t>21</w:t>
      </w:r>
      <w:r w:rsidR="00F06ADD" w:rsidRPr="00104F24">
        <w:rPr>
          <w:sz w:val="24"/>
          <w:szCs w:val="24"/>
        </w:rPr>
        <w:fldChar w:fldCharType="end"/>
      </w:r>
      <w:r w:rsidR="00F06ADD" w:rsidRPr="00104F24">
        <w:rPr>
          <w:sz w:val="24"/>
          <w:szCs w:val="24"/>
        </w:rPr>
        <w:t xml:space="preserve"> </w:t>
      </w:r>
      <w:r w:rsidRPr="00104F24">
        <w:rPr>
          <w:sz w:val="24"/>
          <w:szCs w:val="24"/>
        </w:rPr>
        <w:t>and</w:t>
      </w:r>
      <w:r w:rsidR="00F06ADD" w:rsidRPr="00104F24">
        <w:rPr>
          <w:sz w:val="24"/>
          <w:szCs w:val="24"/>
        </w:rPr>
        <w:t xml:space="preserve"> </w:t>
      </w:r>
      <w:r w:rsidR="00F06ADD" w:rsidRPr="00104F24">
        <w:rPr>
          <w:sz w:val="24"/>
          <w:szCs w:val="24"/>
        </w:rPr>
        <w:fldChar w:fldCharType="begin"/>
      </w:r>
      <w:r w:rsidR="00F06ADD" w:rsidRPr="00104F24">
        <w:rPr>
          <w:sz w:val="24"/>
          <w:szCs w:val="24"/>
        </w:rPr>
        <w:instrText xml:space="preserve"> REF _Ref233547841 \h </w:instrText>
      </w:r>
      <w:r w:rsidR="00104F24">
        <w:rPr>
          <w:sz w:val="24"/>
          <w:szCs w:val="24"/>
        </w:rPr>
        <w:instrText xml:space="preserve"> \* MERGEFORMAT </w:instrText>
      </w:r>
      <w:r w:rsidR="00F06ADD" w:rsidRPr="00104F24">
        <w:rPr>
          <w:sz w:val="24"/>
          <w:szCs w:val="24"/>
        </w:rPr>
      </w:r>
      <w:r w:rsidR="00F06ADD" w:rsidRPr="00104F24">
        <w:rPr>
          <w:sz w:val="24"/>
          <w:szCs w:val="24"/>
        </w:rPr>
        <w:fldChar w:fldCharType="separate"/>
      </w:r>
      <w:r w:rsidR="00F06ADD" w:rsidRPr="00104F24">
        <w:rPr>
          <w:sz w:val="24"/>
          <w:szCs w:val="24"/>
        </w:rPr>
        <w:t xml:space="preserve">Table </w:t>
      </w:r>
      <w:r w:rsidR="00F06ADD" w:rsidRPr="00104F24">
        <w:rPr>
          <w:noProof/>
          <w:sz w:val="24"/>
          <w:szCs w:val="24"/>
        </w:rPr>
        <w:t>22</w:t>
      </w:r>
      <w:r w:rsidR="00F06ADD" w:rsidRPr="00104F24">
        <w:rPr>
          <w:sz w:val="24"/>
          <w:szCs w:val="24"/>
        </w:rPr>
        <w:fldChar w:fldCharType="end"/>
      </w:r>
      <w:r w:rsidRPr="00104F24">
        <w:rPr>
          <w:sz w:val="24"/>
          <w:szCs w:val="24"/>
        </w:rPr>
        <w:t>.</w:t>
      </w:r>
      <w:bookmarkEnd w:id="321"/>
    </w:p>
    <w:p w14:paraId="71677D8B" w14:textId="334DA6BF" w:rsidR="00A31EEA" w:rsidRPr="00E27D3B" w:rsidRDefault="00A31EEA" w:rsidP="00CD4F3A">
      <w:pPr>
        <w:pStyle w:val="Caption"/>
        <w:spacing w:line="240" w:lineRule="auto"/>
      </w:pPr>
      <w:bookmarkStart w:id="322" w:name="_Ref233547833"/>
      <w:bookmarkStart w:id="323" w:name="_Toc223626411"/>
      <w:bookmarkStart w:id="324" w:name="_Toc224235172"/>
      <w:bookmarkStart w:id="325" w:name="_Toc233735317"/>
      <w:r w:rsidRPr="00E27D3B">
        <w:t xml:space="preserve">Table </w:t>
      </w:r>
      <w:fldSimple w:instr=" SEQ Table \* ARABIC ">
        <w:r w:rsidR="00753DAF">
          <w:rPr>
            <w:noProof/>
          </w:rPr>
          <w:t>21</w:t>
        </w:r>
      </w:fldSimple>
      <w:bookmarkEnd w:id="322"/>
      <w:r w:rsidR="00463216">
        <w:t>:</w:t>
      </w:r>
      <w:r w:rsidRPr="00E27D3B">
        <w:t xml:space="preserve"> DIgSILENT Default Composite Load Model vs AEMO Composite Load Model 2024 for Victoria</w:t>
      </w:r>
      <w:bookmarkEnd w:id="323"/>
      <w:bookmarkEnd w:id="324"/>
      <w:r w:rsidR="00104F24">
        <w:t>.</w:t>
      </w:r>
      <w:bookmarkEnd w:id="325"/>
    </w:p>
    <w:tbl>
      <w:tblPr>
        <w:tblStyle w:val="TableCSIRO"/>
        <w:tblW w:w="5000" w:type="pct"/>
        <w:tblLook w:val="04A0" w:firstRow="1" w:lastRow="0" w:firstColumn="1" w:lastColumn="0" w:noHBand="0" w:noVBand="1"/>
      </w:tblPr>
      <w:tblGrid>
        <w:gridCol w:w="2491"/>
        <w:gridCol w:w="1261"/>
        <w:gridCol w:w="1247"/>
        <w:gridCol w:w="1261"/>
        <w:gridCol w:w="1261"/>
        <w:gridCol w:w="2117"/>
      </w:tblGrid>
      <w:tr w:rsidR="00A31EEA" w:rsidRPr="00E27D3B" w14:paraId="3F9390A6"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pct"/>
          </w:tcPr>
          <w:p w14:paraId="2A4830AA" w14:textId="77777777" w:rsidR="00A31EEA" w:rsidRPr="00E27D3B" w:rsidRDefault="00A31EEA" w:rsidP="00CD4F3A">
            <w:pPr>
              <w:pStyle w:val="TableText"/>
              <w:rPr>
                <w:b w:val="0"/>
                <w:bCs w:val="0"/>
                <w:color w:val="FFFFFF" w:themeColor="background1"/>
              </w:rPr>
            </w:pPr>
            <w:r w:rsidRPr="00E27D3B">
              <w:rPr>
                <w:color w:val="FFFFFF" w:themeColor="background1"/>
              </w:rPr>
              <w:t>Composite Load</w:t>
            </w:r>
          </w:p>
        </w:tc>
        <w:tc>
          <w:tcPr>
            <w:tcW w:w="654" w:type="pct"/>
          </w:tcPr>
          <w:p w14:paraId="2E7FA447"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Motor A</w:t>
            </w:r>
          </w:p>
        </w:tc>
        <w:tc>
          <w:tcPr>
            <w:tcW w:w="647" w:type="pct"/>
          </w:tcPr>
          <w:p w14:paraId="71CE0C4F"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Motor B</w:t>
            </w:r>
          </w:p>
        </w:tc>
        <w:tc>
          <w:tcPr>
            <w:tcW w:w="654" w:type="pct"/>
          </w:tcPr>
          <w:p w14:paraId="08BB2EB6"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Motor C</w:t>
            </w:r>
          </w:p>
        </w:tc>
        <w:tc>
          <w:tcPr>
            <w:tcW w:w="654" w:type="pct"/>
          </w:tcPr>
          <w:p w14:paraId="0FFBA0E9"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Motor D</w:t>
            </w:r>
          </w:p>
        </w:tc>
        <w:tc>
          <w:tcPr>
            <w:tcW w:w="1098" w:type="pct"/>
          </w:tcPr>
          <w:p w14:paraId="4358C53D"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Electronic Load</w:t>
            </w:r>
          </w:p>
        </w:tc>
      </w:tr>
      <w:tr w:rsidR="00A31EEA" w:rsidRPr="00E27D3B" w14:paraId="0F3C90EF"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pct"/>
          </w:tcPr>
          <w:p w14:paraId="1B2101D4" w14:textId="77777777" w:rsidR="00A31EEA" w:rsidRPr="00E27D3B" w:rsidRDefault="00A31EEA" w:rsidP="00CD4F3A">
            <w:pPr>
              <w:pStyle w:val="TableText"/>
            </w:pPr>
            <w:r w:rsidRPr="00E27D3B">
              <w:t>DIgSILENT Default</w:t>
            </w:r>
          </w:p>
        </w:tc>
        <w:tc>
          <w:tcPr>
            <w:tcW w:w="654" w:type="pct"/>
          </w:tcPr>
          <w:p w14:paraId="5C4FED78"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19.5 %</w:t>
            </w:r>
          </w:p>
        </w:tc>
        <w:tc>
          <w:tcPr>
            <w:tcW w:w="647" w:type="pct"/>
          </w:tcPr>
          <w:p w14:paraId="0155EB1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19.5 %</w:t>
            </w:r>
          </w:p>
        </w:tc>
        <w:tc>
          <w:tcPr>
            <w:tcW w:w="654" w:type="pct"/>
          </w:tcPr>
          <w:p w14:paraId="58278FD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9.5 %</w:t>
            </w:r>
          </w:p>
        </w:tc>
        <w:tc>
          <w:tcPr>
            <w:tcW w:w="654" w:type="pct"/>
          </w:tcPr>
          <w:p w14:paraId="00C517F4"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24 %</w:t>
            </w:r>
          </w:p>
        </w:tc>
        <w:tc>
          <w:tcPr>
            <w:tcW w:w="1098" w:type="pct"/>
          </w:tcPr>
          <w:p w14:paraId="24348E1C"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pPr>
            <w:r w:rsidRPr="00E27D3B">
              <w:t>19.5 %</w:t>
            </w:r>
          </w:p>
        </w:tc>
      </w:tr>
      <w:tr w:rsidR="00A31EEA" w:rsidRPr="00E27D3B" w14:paraId="7DBD71CA" w14:textId="77777777" w:rsidTr="0002386E">
        <w:tc>
          <w:tcPr>
            <w:cnfStyle w:val="001000000000" w:firstRow="0" w:lastRow="0" w:firstColumn="1" w:lastColumn="0" w:oddVBand="0" w:evenVBand="0" w:oddHBand="0" w:evenHBand="0" w:firstRowFirstColumn="0" w:firstRowLastColumn="0" w:lastRowFirstColumn="0" w:lastRowLastColumn="0"/>
            <w:tcW w:w="1292" w:type="pct"/>
          </w:tcPr>
          <w:p w14:paraId="2190C7C0" w14:textId="77777777" w:rsidR="00A31EEA" w:rsidRPr="00E27D3B" w:rsidRDefault="00A31EEA" w:rsidP="00CD4F3A">
            <w:pPr>
              <w:pStyle w:val="TableText"/>
            </w:pPr>
            <w:r w:rsidRPr="00E27D3B">
              <w:t>AEMO 2024 (VIC)</w:t>
            </w:r>
          </w:p>
        </w:tc>
        <w:tc>
          <w:tcPr>
            <w:tcW w:w="654" w:type="pct"/>
          </w:tcPr>
          <w:p w14:paraId="4A4BE54E"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15.3 %</w:t>
            </w:r>
          </w:p>
        </w:tc>
        <w:tc>
          <w:tcPr>
            <w:tcW w:w="647" w:type="pct"/>
          </w:tcPr>
          <w:p w14:paraId="5CA8CDA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18.7 %</w:t>
            </w:r>
          </w:p>
        </w:tc>
        <w:tc>
          <w:tcPr>
            <w:tcW w:w="654" w:type="pct"/>
          </w:tcPr>
          <w:p w14:paraId="52E60F1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12.4 %</w:t>
            </w:r>
          </w:p>
        </w:tc>
        <w:tc>
          <w:tcPr>
            <w:tcW w:w="654" w:type="pct"/>
          </w:tcPr>
          <w:p w14:paraId="5EDE4251"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0.2 %</w:t>
            </w:r>
          </w:p>
        </w:tc>
        <w:tc>
          <w:tcPr>
            <w:tcW w:w="1098" w:type="pct"/>
          </w:tcPr>
          <w:p w14:paraId="0FA31085"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pPr>
            <w:r w:rsidRPr="00E27D3B">
              <w:t>35 %</w:t>
            </w:r>
          </w:p>
        </w:tc>
      </w:tr>
    </w:tbl>
    <w:p w14:paraId="4A0AC469" w14:textId="4501D0B0" w:rsidR="00A31EEA" w:rsidRPr="00E27D3B" w:rsidRDefault="00A31EEA" w:rsidP="00CD4F3A">
      <w:pPr>
        <w:pStyle w:val="Caption"/>
        <w:spacing w:line="240" w:lineRule="auto"/>
      </w:pPr>
      <w:bookmarkStart w:id="326" w:name="_Ref233547841"/>
      <w:bookmarkStart w:id="327" w:name="_Toc223626412"/>
      <w:bookmarkStart w:id="328" w:name="_Toc224235173"/>
      <w:bookmarkStart w:id="329" w:name="_Toc233735318"/>
      <w:r w:rsidRPr="00E27D3B">
        <w:t xml:space="preserve">Table </w:t>
      </w:r>
      <w:fldSimple w:instr=" SEQ Table \* ARABIC ">
        <w:r w:rsidR="00753DAF">
          <w:rPr>
            <w:noProof/>
          </w:rPr>
          <w:t>22</w:t>
        </w:r>
      </w:fldSimple>
      <w:bookmarkEnd w:id="326"/>
      <w:r w:rsidR="00463216">
        <w:t>:</w:t>
      </w:r>
      <w:r w:rsidRPr="00E27D3B">
        <w:t xml:space="preserve"> Motor D </w:t>
      </w:r>
      <w:r w:rsidRPr="005C746B">
        <w:t>performance</w:t>
      </w:r>
      <w:r w:rsidRPr="00E27D3B">
        <w:t xml:space="preserve"> parameters</w:t>
      </w:r>
      <w:bookmarkEnd w:id="327"/>
      <w:bookmarkEnd w:id="328"/>
      <w:r w:rsidR="00104F24">
        <w:t>.</w:t>
      </w:r>
      <w:bookmarkEnd w:id="329"/>
    </w:p>
    <w:tbl>
      <w:tblPr>
        <w:tblStyle w:val="TableCSIRO"/>
        <w:tblW w:w="5000" w:type="pct"/>
        <w:tblLook w:val="04A0" w:firstRow="1" w:lastRow="0" w:firstColumn="1" w:lastColumn="0" w:noHBand="0" w:noVBand="1"/>
      </w:tblPr>
      <w:tblGrid>
        <w:gridCol w:w="1315"/>
        <w:gridCol w:w="4539"/>
        <w:gridCol w:w="2280"/>
        <w:gridCol w:w="1504"/>
      </w:tblGrid>
      <w:tr w:rsidR="00A31EEA" w:rsidRPr="00E27D3B" w14:paraId="19E4ADE0"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A1DCC4F" w14:textId="77777777" w:rsidR="00A31EEA" w:rsidRPr="00E27D3B" w:rsidRDefault="00A31EEA" w:rsidP="00CD4F3A">
            <w:pPr>
              <w:pStyle w:val="TableText"/>
              <w:rPr>
                <w:b w:val="0"/>
                <w:bCs w:val="0"/>
                <w:color w:val="FFFFFF" w:themeColor="background1"/>
              </w:rPr>
            </w:pPr>
            <w:r w:rsidRPr="00E27D3B">
              <w:rPr>
                <w:color w:val="FFFFFF" w:themeColor="background1"/>
              </w:rPr>
              <w:t>Parameter</w:t>
            </w:r>
          </w:p>
        </w:tc>
        <w:tc>
          <w:tcPr>
            <w:tcW w:w="2355" w:type="pct"/>
          </w:tcPr>
          <w:p w14:paraId="0433B637"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Description</w:t>
            </w:r>
          </w:p>
        </w:tc>
        <w:tc>
          <w:tcPr>
            <w:tcW w:w="1183" w:type="pct"/>
          </w:tcPr>
          <w:p w14:paraId="4EE20258"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DIgSILENT Default</w:t>
            </w:r>
          </w:p>
        </w:tc>
        <w:tc>
          <w:tcPr>
            <w:tcW w:w="780" w:type="pct"/>
          </w:tcPr>
          <w:p w14:paraId="4F80C3CF" w14:textId="77777777" w:rsidR="00A31EEA" w:rsidRPr="00E27D3B" w:rsidRDefault="00A31EEA"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AEMO 2024</w:t>
            </w:r>
          </w:p>
        </w:tc>
      </w:tr>
      <w:tr w:rsidR="00A31EEA" w:rsidRPr="00E27D3B" w14:paraId="3D09577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4EF1D66" w14:textId="77777777" w:rsidR="00A31EEA" w:rsidRPr="00E27D3B" w:rsidRDefault="00A31EEA" w:rsidP="00CD4F3A">
            <w:pPr>
              <w:pStyle w:val="TableText"/>
              <w:rPr>
                <w:b w:val="0"/>
                <w:bCs w:val="0"/>
              </w:rPr>
            </w:pPr>
            <w:proofErr w:type="spellStart"/>
            <w:r w:rsidRPr="00E27D3B">
              <w:t>Tstall</w:t>
            </w:r>
            <w:proofErr w:type="spellEnd"/>
          </w:p>
        </w:tc>
        <w:tc>
          <w:tcPr>
            <w:tcW w:w="2355" w:type="pct"/>
          </w:tcPr>
          <w:p w14:paraId="1447C6A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stall delay time (s)</w:t>
            </w:r>
          </w:p>
        </w:tc>
        <w:tc>
          <w:tcPr>
            <w:tcW w:w="1183" w:type="pct"/>
          </w:tcPr>
          <w:p w14:paraId="209C73B2"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0.033</w:t>
            </w:r>
          </w:p>
        </w:tc>
        <w:tc>
          <w:tcPr>
            <w:tcW w:w="780" w:type="pct"/>
          </w:tcPr>
          <w:p w14:paraId="2D0F3FA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0.04</w:t>
            </w:r>
          </w:p>
        </w:tc>
      </w:tr>
      <w:tr w:rsidR="00A31EEA" w:rsidRPr="00E27D3B" w14:paraId="1F508D45" w14:textId="77777777" w:rsidTr="0002386E">
        <w:tc>
          <w:tcPr>
            <w:cnfStyle w:val="001000000000" w:firstRow="0" w:lastRow="0" w:firstColumn="1" w:lastColumn="0" w:oddVBand="0" w:evenVBand="0" w:oddHBand="0" w:evenHBand="0" w:firstRowFirstColumn="0" w:firstRowLastColumn="0" w:lastRowFirstColumn="0" w:lastRowLastColumn="0"/>
            <w:tcW w:w="682" w:type="pct"/>
          </w:tcPr>
          <w:p w14:paraId="2A6D1E63" w14:textId="77777777" w:rsidR="00A31EEA" w:rsidRPr="00E27D3B" w:rsidRDefault="00A31EEA" w:rsidP="00CD4F3A">
            <w:pPr>
              <w:pStyle w:val="TableText"/>
              <w:rPr>
                <w:b w:val="0"/>
                <w:bCs w:val="0"/>
              </w:rPr>
            </w:pPr>
            <w:proofErr w:type="spellStart"/>
            <w:r w:rsidRPr="00E27D3B">
              <w:t>CompPF</w:t>
            </w:r>
            <w:proofErr w:type="spellEnd"/>
          </w:p>
        </w:tc>
        <w:tc>
          <w:tcPr>
            <w:tcW w:w="2355" w:type="pct"/>
          </w:tcPr>
          <w:p w14:paraId="3733919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 xml:space="preserve">Motor D power factor at 1.0 </w:t>
            </w:r>
            <w:proofErr w:type="spellStart"/>
            <w:r w:rsidRPr="00E27D3B">
              <w:t>pu</w:t>
            </w:r>
            <w:proofErr w:type="spellEnd"/>
            <w:r w:rsidRPr="00E27D3B">
              <w:t xml:space="preserve"> voltage</w:t>
            </w:r>
          </w:p>
        </w:tc>
        <w:tc>
          <w:tcPr>
            <w:tcW w:w="1183" w:type="pct"/>
          </w:tcPr>
          <w:p w14:paraId="5065D8C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0.98</w:t>
            </w:r>
          </w:p>
        </w:tc>
        <w:tc>
          <w:tcPr>
            <w:tcW w:w="780" w:type="pct"/>
          </w:tcPr>
          <w:p w14:paraId="6E3917BD"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1.00</w:t>
            </w:r>
          </w:p>
        </w:tc>
      </w:tr>
      <w:tr w:rsidR="00A31EEA" w:rsidRPr="00E27D3B" w14:paraId="3ABA5A15"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0486136" w14:textId="77777777" w:rsidR="00A31EEA" w:rsidRPr="00E27D3B" w:rsidRDefault="00A31EEA" w:rsidP="00CD4F3A">
            <w:pPr>
              <w:pStyle w:val="TableText"/>
              <w:rPr>
                <w:b w:val="0"/>
                <w:bCs w:val="0"/>
              </w:rPr>
            </w:pPr>
            <w:proofErr w:type="spellStart"/>
            <w:r w:rsidRPr="00E27D3B">
              <w:t>Vstall</w:t>
            </w:r>
            <w:proofErr w:type="spellEnd"/>
          </w:p>
        </w:tc>
        <w:tc>
          <w:tcPr>
            <w:tcW w:w="2355" w:type="pct"/>
          </w:tcPr>
          <w:p w14:paraId="23C649F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stall voltage (</w:t>
            </w:r>
            <w:proofErr w:type="spellStart"/>
            <w:r w:rsidRPr="00E27D3B">
              <w:t>pu</w:t>
            </w:r>
            <w:proofErr w:type="spellEnd"/>
            <w:r w:rsidRPr="00E27D3B">
              <w:t>)</w:t>
            </w:r>
          </w:p>
        </w:tc>
        <w:tc>
          <w:tcPr>
            <w:tcW w:w="1183" w:type="pct"/>
          </w:tcPr>
          <w:p w14:paraId="091000DE"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0.50</w:t>
            </w:r>
          </w:p>
        </w:tc>
        <w:tc>
          <w:tcPr>
            <w:tcW w:w="780" w:type="pct"/>
          </w:tcPr>
          <w:p w14:paraId="45FDF55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0.60</w:t>
            </w:r>
          </w:p>
        </w:tc>
      </w:tr>
      <w:tr w:rsidR="00A31EEA" w:rsidRPr="00E27D3B" w14:paraId="79DA7DA7" w14:textId="77777777" w:rsidTr="0002386E">
        <w:tc>
          <w:tcPr>
            <w:cnfStyle w:val="001000000000" w:firstRow="0" w:lastRow="0" w:firstColumn="1" w:lastColumn="0" w:oddVBand="0" w:evenVBand="0" w:oddHBand="0" w:evenHBand="0" w:firstRowFirstColumn="0" w:firstRowLastColumn="0" w:lastRowFirstColumn="0" w:lastRowLastColumn="0"/>
            <w:tcW w:w="682" w:type="pct"/>
          </w:tcPr>
          <w:p w14:paraId="1A1EB00C" w14:textId="77777777" w:rsidR="00A31EEA" w:rsidRPr="00E27D3B" w:rsidRDefault="00A31EEA" w:rsidP="00CD4F3A">
            <w:pPr>
              <w:pStyle w:val="TableText"/>
              <w:rPr>
                <w:b w:val="0"/>
                <w:bCs w:val="0"/>
              </w:rPr>
            </w:pPr>
            <w:proofErr w:type="spellStart"/>
            <w:r w:rsidRPr="00E27D3B">
              <w:t>Rstall</w:t>
            </w:r>
            <w:proofErr w:type="spellEnd"/>
          </w:p>
        </w:tc>
        <w:tc>
          <w:tcPr>
            <w:tcW w:w="2355" w:type="pct"/>
          </w:tcPr>
          <w:p w14:paraId="26547CBA"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Motor D stall resistance (</w:t>
            </w:r>
            <w:proofErr w:type="spellStart"/>
            <w:r w:rsidRPr="00E27D3B">
              <w:t>pu</w:t>
            </w:r>
            <w:proofErr w:type="spellEnd"/>
            <w:r w:rsidRPr="00E27D3B">
              <w:t xml:space="preserve"> of motor base)</w:t>
            </w:r>
          </w:p>
        </w:tc>
        <w:tc>
          <w:tcPr>
            <w:tcW w:w="1183" w:type="pct"/>
          </w:tcPr>
          <w:p w14:paraId="1241A02C"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0.10</w:t>
            </w:r>
          </w:p>
        </w:tc>
        <w:tc>
          <w:tcPr>
            <w:tcW w:w="780" w:type="pct"/>
          </w:tcPr>
          <w:p w14:paraId="7AAA7F1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0.17</w:t>
            </w:r>
          </w:p>
        </w:tc>
      </w:tr>
      <w:tr w:rsidR="00A31EEA" w:rsidRPr="00E27D3B" w14:paraId="749E5F70"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4E1369E0" w14:textId="77777777" w:rsidR="00A31EEA" w:rsidRPr="00E27D3B" w:rsidRDefault="00A31EEA" w:rsidP="00CD4F3A">
            <w:pPr>
              <w:pStyle w:val="TableText"/>
              <w:rPr>
                <w:b w:val="0"/>
                <w:bCs w:val="0"/>
              </w:rPr>
            </w:pPr>
            <w:proofErr w:type="spellStart"/>
            <w:r w:rsidRPr="00E27D3B">
              <w:t>Xstall</w:t>
            </w:r>
            <w:proofErr w:type="spellEnd"/>
          </w:p>
        </w:tc>
        <w:tc>
          <w:tcPr>
            <w:tcW w:w="2355" w:type="pct"/>
          </w:tcPr>
          <w:p w14:paraId="59D19A1A"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stall reactance (</w:t>
            </w:r>
            <w:proofErr w:type="spellStart"/>
            <w:r w:rsidRPr="00E27D3B">
              <w:t>pu</w:t>
            </w:r>
            <w:proofErr w:type="spellEnd"/>
            <w:r w:rsidRPr="00E27D3B">
              <w:t xml:space="preserve"> of motor base)</w:t>
            </w:r>
          </w:p>
        </w:tc>
        <w:tc>
          <w:tcPr>
            <w:tcW w:w="1183" w:type="pct"/>
          </w:tcPr>
          <w:p w14:paraId="5911CE95"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0.10</w:t>
            </w:r>
          </w:p>
        </w:tc>
        <w:tc>
          <w:tcPr>
            <w:tcW w:w="780" w:type="pct"/>
          </w:tcPr>
          <w:p w14:paraId="1B2EFCA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0.07</w:t>
            </w:r>
          </w:p>
        </w:tc>
      </w:tr>
      <w:tr w:rsidR="00A31EEA" w:rsidRPr="00E27D3B" w14:paraId="0A1D1693" w14:textId="77777777" w:rsidTr="0002386E">
        <w:tc>
          <w:tcPr>
            <w:cnfStyle w:val="001000000000" w:firstRow="0" w:lastRow="0" w:firstColumn="1" w:lastColumn="0" w:oddVBand="0" w:evenVBand="0" w:oddHBand="0" w:evenHBand="0" w:firstRowFirstColumn="0" w:firstRowLastColumn="0" w:lastRowFirstColumn="0" w:lastRowLastColumn="0"/>
            <w:tcW w:w="682" w:type="pct"/>
          </w:tcPr>
          <w:p w14:paraId="7AC0394E" w14:textId="77777777" w:rsidR="00A31EEA" w:rsidRPr="00E27D3B" w:rsidRDefault="00A31EEA" w:rsidP="00CD4F3A">
            <w:pPr>
              <w:pStyle w:val="TableText"/>
              <w:rPr>
                <w:b w:val="0"/>
                <w:bCs w:val="0"/>
              </w:rPr>
            </w:pPr>
            <w:proofErr w:type="spellStart"/>
            <w:r w:rsidRPr="00E27D3B">
              <w:t>Frst</w:t>
            </w:r>
            <w:proofErr w:type="spellEnd"/>
          </w:p>
        </w:tc>
        <w:tc>
          <w:tcPr>
            <w:tcW w:w="2355" w:type="pct"/>
          </w:tcPr>
          <w:p w14:paraId="3B635BA6"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Motor D fraction capable of restart after stall</w:t>
            </w:r>
          </w:p>
        </w:tc>
        <w:tc>
          <w:tcPr>
            <w:tcW w:w="1183" w:type="pct"/>
          </w:tcPr>
          <w:p w14:paraId="6DBFC1F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0.20</w:t>
            </w:r>
          </w:p>
        </w:tc>
        <w:tc>
          <w:tcPr>
            <w:tcW w:w="780" w:type="pct"/>
          </w:tcPr>
          <w:p w14:paraId="70806E87"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0.55</w:t>
            </w:r>
          </w:p>
        </w:tc>
      </w:tr>
      <w:tr w:rsidR="00A31EEA" w:rsidRPr="00E27D3B" w14:paraId="7ACD7CDF"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8F7BDAD" w14:textId="77777777" w:rsidR="00A31EEA" w:rsidRPr="00E27D3B" w:rsidRDefault="00A31EEA" w:rsidP="00CD4F3A">
            <w:pPr>
              <w:pStyle w:val="TableText"/>
              <w:rPr>
                <w:b w:val="0"/>
                <w:bCs w:val="0"/>
              </w:rPr>
            </w:pPr>
            <w:proofErr w:type="spellStart"/>
            <w:r w:rsidRPr="00E27D3B">
              <w:t>Vrst</w:t>
            </w:r>
            <w:proofErr w:type="spellEnd"/>
          </w:p>
        </w:tc>
        <w:tc>
          <w:tcPr>
            <w:tcW w:w="2355" w:type="pct"/>
          </w:tcPr>
          <w:p w14:paraId="7334592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voltage for restart after stall (</w:t>
            </w:r>
            <w:proofErr w:type="spellStart"/>
            <w:r w:rsidRPr="00E27D3B">
              <w:t>pu</w:t>
            </w:r>
            <w:proofErr w:type="spellEnd"/>
            <w:r w:rsidRPr="00E27D3B">
              <w:t>)</w:t>
            </w:r>
          </w:p>
        </w:tc>
        <w:tc>
          <w:tcPr>
            <w:tcW w:w="1183" w:type="pct"/>
          </w:tcPr>
          <w:p w14:paraId="3A4C4B89"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0.95</w:t>
            </w:r>
          </w:p>
        </w:tc>
        <w:tc>
          <w:tcPr>
            <w:tcW w:w="780" w:type="pct"/>
          </w:tcPr>
          <w:p w14:paraId="1BFAAD0D"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0.90</w:t>
            </w:r>
          </w:p>
        </w:tc>
      </w:tr>
      <w:tr w:rsidR="00A31EEA" w:rsidRPr="00E27D3B" w14:paraId="1D986153" w14:textId="77777777" w:rsidTr="0002386E">
        <w:tc>
          <w:tcPr>
            <w:cnfStyle w:val="001000000000" w:firstRow="0" w:lastRow="0" w:firstColumn="1" w:lastColumn="0" w:oddVBand="0" w:evenVBand="0" w:oddHBand="0" w:evenHBand="0" w:firstRowFirstColumn="0" w:firstRowLastColumn="0" w:lastRowFirstColumn="0" w:lastRowLastColumn="0"/>
            <w:tcW w:w="682" w:type="pct"/>
          </w:tcPr>
          <w:p w14:paraId="383C7D36" w14:textId="77777777" w:rsidR="00A31EEA" w:rsidRPr="00E27D3B" w:rsidRDefault="00A31EEA" w:rsidP="00CD4F3A">
            <w:pPr>
              <w:pStyle w:val="TableText"/>
              <w:rPr>
                <w:b w:val="0"/>
                <w:bCs w:val="0"/>
              </w:rPr>
            </w:pPr>
            <w:r w:rsidRPr="00E27D3B">
              <w:t>Vc1off</w:t>
            </w:r>
          </w:p>
        </w:tc>
        <w:tc>
          <w:tcPr>
            <w:tcW w:w="2355" w:type="pct"/>
          </w:tcPr>
          <w:p w14:paraId="039C4063"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Motor D voltage contactors start opening (</w:t>
            </w:r>
            <w:proofErr w:type="spellStart"/>
            <w:r w:rsidRPr="00E27D3B">
              <w:t>pu</w:t>
            </w:r>
            <w:proofErr w:type="spellEnd"/>
            <w:r w:rsidRPr="00E27D3B">
              <w:t>)</w:t>
            </w:r>
          </w:p>
        </w:tc>
        <w:tc>
          <w:tcPr>
            <w:tcW w:w="1183" w:type="pct"/>
          </w:tcPr>
          <w:p w14:paraId="1C5EB92F"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0.60</w:t>
            </w:r>
          </w:p>
        </w:tc>
        <w:tc>
          <w:tcPr>
            <w:tcW w:w="780" w:type="pct"/>
          </w:tcPr>
          <w:p w14:paraId="78F301C8"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0.50</w:t>
            </w:r>
          </w:p>
        </w:tc>
      </w:tr>
      <w:tr w:rsidR="00A31EEA" w:rsidRPr="00E27D3B" w14:paraId="7BA3D24A"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9DA76CE" w14:textId="77777777" w:rsidR="00A31EEA" w:rsidRPr="00E27D3B" w:rsidRDefault="00A31EEA" w:rsidP="00CD4F3A">
            <w:pPr>
              <w:pStyle w:val="TableText"/>
              <w:rPr>
                <w:b w:val="0"/>
                <w:bCs w:val="0"/>
              </w:rPr>
            </w:pPr>
            <w:r w:rsidRPr="00E27D3B">
              <w:t>Vc1on</w:t>
            </w:r>
          </w:p>
        </w:tc>
        <w:tc>
          <w:tcPr>
            <w:tcW w:w="2355" w:type="pct"/>
          </w:tcPr>
          <w:p w14:paraId="4D0CABE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voltage all contactors closed (</w:t>
            </w:r>
            <w:proofErr w:type="spellStart"/>
            <w:r w:rsidRPr="00E27D3B">
              <w:t>pu</w:t>
            </w:r>
            <w:proofErr w:type="spellEnd"/>
            <w:r w:rsidRPr="00E27D3B">
              <w:t>)</w:t>
            </w:r>
          </w:p>
        </w:tc>
        <w:tc>
          <w:tcPr>
            <w:tcW w:w="1183" w:type="pct"/>
          </w:tcPr>
          <w:p w14:paraId="7A2AB81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0.65</w:t>
            </w:r>
          </w:p>
        </w:tc>
        <w:tc>
          <w:tcPr>
            <w:tcW w:w="780" w:type="pct"/>
          </w:tcPr>
          <w:p w14:paraId="53E46281"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0.60</w:t>
            </w:r>
          </w:p>
        </w:tc>
      </w:tr>
      <w:tr w:rsidR="00A31EEA" w:rsidRPr="00E27D3B" w14:paraId="73730813" w14:textId="77777777" w:rsidTr="0002386E">
        <w:tc>
          <w:tcPr>
            <w:cnfStyle w:val="001000000000" w:firstRow="0" w:lastRow="0" w:firstColumn="1" w:lastColumn="0" w:oddVBand="0" w:evenVBand="0" w:oddHBand="0" w:evenHBand="0" w:firstRowFirstColumn="0" w:firstRowLastColumn="0" w:lastRowFirstColumn="0" w:lastRowLastColumn="0"/>
            <w:tcW w:w="682" w:type="pct"/>
          </w:tcPr>
          <w:p w14:paraId="56C76282" w14:textId="77777777" w:rsidR="00A31EEA" w:rsidRPr="00E27D3B" w:rsidRDefault="00A31EEA" w:rsidP="00CD4F3A">
            <w:pPr>
              <w:pStyle w:val="TableText"/>
              <w:rPr>
                <w:b w:val="0"/>
                <w:bCs w:val="0"/>
              </w:rPr>
            </w:pPr>
            <w:r w:rsidRPr="00E27D3B">
              <w:t>UVtr2</w:t>
            </w:r>
          </w:p>
        </w:tc>
        <w:tc>
          <w:tcPr>
            <w:tcW w:w="2355" w:type="pct"/>
          </w:tcPr>
          <w:p w14:paraId="3A1AF85B"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Motor D 2nd undervoltage pick-up (</w:t>
            </w:r>
            <w:proofErr w:type="spellStart"/>
            <w:r w:rsidRPr="00E27D3B">
              <w:t>pu</w:t>
            </w:r>
            <w:proofErr w:type="spellEnd"/>
            <w:r w:rsidRPr="00E27D3B">
              <w:t>)</w:t>
            </w:r>
          </w:p>
        </w:tc>
        <w:tc>
          <w:tcPr>
            <w:tcW w:w="1183" w:type="pct"/>
          </w:tcPr>
          <w:p w14:paraId="37B6A0D0"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0.10</w:t>
            </w:r>
          </w:p>
        </w:tc>
        <w:tc>
          <w:tcPr>
            <w:tcW w:w="780" w:type="pct"/>
          </w:tcPr>
          <w:p w14:paraId="744418A9" w14:textId="77777777" w:rsidR="00A31EEA" w:rsidRPr="00E27D3B" w:rsidRDefault="00A31EEA" w:rsidP="00CD4F3A">
            <w:pPr>
              <w:pStyle w:val="TableText"/>
              <w:cnfStyle w:val="000000000000" w:firstRow="0" w:lastRow="0" w:firstColumn="0" w:lastColumn="0" w:oddVBand="0" w:evenVBand="0" w:oddHBand="0" w:evenHBand="0" w:firstRowFirstColumn="0" w:firstRowLastColumn="0" w:lastRowFirstColumn="0" w:lastRowLastColumn="0"/>
              <w:rPr>
                <w:b/>
                <w:bCs/>
              </w:rPr>
            </w:pPr>
            <w:r w:rsidRPr="00E27D3B">
              <w:t>0.00</w:t>
            </w:r>
          </w:p>
        </w:tc>
      </w:tr>
      <w:tr w:rsidR="00A31EEA" w:rsidRPr="00E27D3B" w14:paraId="2EE61540"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F09A456" w14:textId="77777777" w:rsidR="00A31EEA" w:rsidRPr="00E27D3B" w:rsidRDefault="00A31EEA" w:rsidP="00CD4F3A">
            <w:pPr>
              <w:pStyle w:val="TableText"/>
              <w:rPr>
                <w:b w:val="0"/>
                <w:bCs w:val="0"/>
              </w:rPr>
            </w:pPr>
            <w:proofErr w:type="spellStart"/>
            <w:r w:rsidRPr="00E27D3B">
              <w:t>Tth</w:t>
            </w:r>
            <w:proofErr w:type="spellEnd"/>
          </w:p>
        </w:tc>
        <w:tc>
          <w:tcPr>
            <w:tcW w:w="2355" w:type="pct"/>
          </w:tcPr>
          <w:p w14:paraId="4FF22C3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Motor D heating time constant (s)</w:t>
            </w:r>
          </w:p>
        </w:tc>
        <w:tc>
          <w:tcPr>
            <w:tcW w:w="1183" w:type="pct"/>
          </w:tcPr>
          <w:p w14:paraId="189723EF"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15</w:t>
            </w:r>
          </w:p>
        </w:tc>
        <w:tc>
          <w:tcPr>
            <w:tcW w:w="780" w:type="pct"/>
          </w:tcPr>
          <w:p w14:paraId="794A3527" w14:textId="77777777" w:rsidR="00A31EEA" w:rsidRPr="00E27D3B" w:rsidRDefault="00A31EEA" w:rsidP="00CD4F3A">
            <w:pPr>
              <w:pStyle w:val="TableText"/>
              <w:cnfStyle w:val="000000100000" w:firstRow="0" w:lastRow="0" w:firstColumn="0" w:lastColumn="0" w:oddVBand="0" w:evenVBand="0" w:oddHBand="1" w:evenHBand="0" w:firstRowFirstColumn="0" w:firstRowLastColumn="0" w:lastRowFirstColumn="0" w:lastRowLastColumn="0"/>
              <w:rPr>
                <w:b/>
                <w:bCs/>
              </w:rPr>
            </w:pPr>
            <w:r w:rsidRPr="00E27D3B">
              <w:t>16</w:t>
            </w:r>
          </w:p>
        </w:tc>
      </w:tr>
    </w:tbl>
    <w:p w14:paraId="4BCA0A4C" w14:textId="77777777" w:rsidR="00A31EEA" w:rsidRPr="00E27D3B" w:rsidRDefault="00A31EEA" w:rsidP="00CD4F3A"/>
    <w:p w14:paraId="20F9DB7B" w14:textId="1EFCE988" w:rsidR="00A31EEA" w:rsidRPr="00B477EC" w:rsidRDefault="00A31EEA" w:rsidP="00952484">
      <w:pPr>
        <w:spacing w:after="0"/>
        <w:jc w:val="both"/>
        <w:rPr>
          <w:sz w:val="24"/>
          <w:szCs w:val="24"/>
          <w:lang w:val="en-US"/>
        </w:rPr>
      </w:pPr>
      <w:bookmarkStart w:id="330" w:name="_Toc230342848"/>
      <w:bookmarkStart w:id="331" w:name="_Toc230858791"/>
      <w:r w:rsidRPr="00B477EC">
        <w:rPr>
          <w:sz w:val="24"/>
          <w:szCs w:val="24"/>
          <w:lang w:val="en-US"/>
        </w:rPr>
        <w:t xml:space="preserve">The impact of the DIgSILENT </w:t>
      </w:r>
      <w:proofErr w:type="spellStart"/>
      <w:r w:rsidRPr="00B477EC">
        <w:rPr>
          <w:sz w:val="24"/>
          <w:szCs w:val="24"/>
          <w:lang w:val="en-US"/>
        </w:rPr>
        <w:t>PowerFactory</w:t>
      </w:r>
      <w:proofErr w:type="spellEnd"/>
      <w:r w:rsidRPr="00B477EC">
        <w:rPr>
          <w:sz w:val="24"/>
          <w:szCs w:val="24"/>
          <w:lang w:val="en-US"/>
        </w:rPr>
        <w:t xml:space="preserve"> default composite load model and the AEMO composite load model on voltage stability is compared by applying each load model separately to the 628 MW </w:t>
      </w:r>
      <w:r w:rsidRPr="00B477EC">
        <w:rPr>
          <w:sz w:val="24"/>
          <w:szCs w:val="24"/>
          <w:lang w:val="en-US"/>
        </w:rPr>
        <w:lastRenderedPageBreak/>
        <w:t xml:space="preserve">load connected at Bus 20. A three-phase short-circuit fault is applied at the midpoint of Line 16-19 at 1 s and cleared at 1.1 s. The resulting voltage response at Bus 20 is then observed, as shown in </w:t>
      </w:r>
      <w:r w:rsidR="0004468B" w:rsidRPr="00B477EC">
        <w:rPr>
          <w:sz w:val="24"/>
          <w:szCs w:val="24"/>
        </w:rPr>
        <w:t>Figur</w:t>
      </w:r>
      <w:r w:rsidR="009855CC">
        <w:rPr>
          <w:sz w:val="24"/>
          <w:szCs w:val="24"/>
        </w:rPr>
        <w:t>e 55</w:t>
      </w:r>
      <w:r w:rsidR="0004468B" w:rsidRPr="00B477EC">
        <w:rPr>
          <w:sz w:val="24"/>
          <w:szCs w:val="24"/>
        </w:rPr>
        <w:t>.</w:t>
      </w:r>
      <w:bookmarkEnd w:id="330"/>
      <w:bookmarkEnd w:id="331"/>
    </w:p>
    <w:p w14:paraId="6EAAD060" w14:textId="4B0A998A" w:rsidR="00F06ADD" w:rsidRDefault="00F06ADD" w:rsidP="00CD4F3A">
      <w:pPr>
        <w:pStyle w:val="Caption"/>
        <w:spacing w:line="240" w:lineRule="auto"/>
      </w:pPr>
      <w:bookmarkStart w:id="332" w:name="_Toc223626380"/>
      <w:bookmarkStart w:id="333" w:name="_Toc224235141"/>
    </w:p>
    <w:p w14:paraId="38E43314" w14:textId="11532203" w:rsidR="00F06ADD" w:rsidRDefault="00F06ADD" w:rsidP="00CD4F3A">
      <w:pPr>
        <w:pStyle w:val="Caption"/>
        <w:spacing w:line="240" w:lineRule="auto"/>
      </w:pPr>
      <w:r w:rsidRPr="00722849">
        <w:rPr>
          <w:noProof/>
        </w:rPr>
        <w:drawing>
          <wp:inline distT="0" distB="0" distL="0" distR="0" wp14:anchorId="3D4C84E9" wp14:editId="66529FD1">
            <wp:extent cx="6120130" cy="3211830"/>
            <wp:effectExtent l="0" t="0" r="0" b="7620"/>
            <wp:docPr id="11" name="Picture 10" descr="A graph showing a number of data">
              <a:extLst xmlns:a="http://schemas.openxmlformats.org/drawingml/2006/main">
                <a:ext uri="{FF2B5EF4-FFF2-40B4-BE49-F238E27FC236}">
                  <a16:creationId xmlns:a16="http://schemas.microsoft.com/office/drawing/2014/main" id="{8F97608C-AC98-111F-7084-F7CA762EB3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showing a number of data">
                      <a:extLst>
                        <a:ext uri="{FF2B5EF4-FFF2-40B4-BE49-F238E27FC236}">
                          <a16:creationId xmlns:a16="http://schemas.microsoft.com/office/drawing/2014/main" id="{8F97608C-AC98-111F-7084-F7CA762EB319}"/>
                        </a:ext>
                      </a:extLst>
                    </pic:cNvPr>
                    <pic:cNvPicPr>
                      <a:picLocks noChangeAspect="1"/>
                    </pic:cNvPicPr>
                  </pic:nvPicPr>
                  <pic:blipFill>
                    <a:blip r:embed="rId129"/>
                    <a:stretch>
                      <a:fillRect/>
                    </a:stretch>
                  </pic:blipFill>
                  <pic:spPr>
                    <a:xfrm>
                      <a:off x="0" y="0"/>
                      <a:ext cx="6120130" cy="3211830"/>
                    </a:xfrm>
                    <a:prstGeom prst="rect">
                      <a:avLst/>
                    </a:prstGeom>
                    <a:noFill/>
                    <a:ln>
                      <a:noFill/>
                    </a:ln>
                  </pic:spPr>
                </pic:pic>
              </a:graphicData>
            </a:graphic>
          </wp:inline>
        </w:drawing>
      </w:r>
    </w:p>
    <w:p w14:paraId="5535F8F6" w14:textId="6480B3B4" w:rsidR="00A31EEA" w:rsidRPr="00E27D3B" w:rsidRDefault="00A31EEA" w:rsidP="00CD4F3A">
      <w:pPr>
        <w:pStyle w:val="Caption"/>
        <w:spacing w:line="240" w:lineRule="auto"/>
      </w:pPr>
      <w:bookmarkStart w:id="334" w:name="_Toc233735062"/>
      <w:r w:rsidRPr="00E27D3B">
        <w:t xml:space="preserve">Figure </w:t>
      </w:r>
      <w:fldSimple w:instr=" SEQ Figure \* ARABIC ">
        <w:r w:rsidR="00A85006">
          <w:rPr>
            <w:noProof/>
          </w:rPr>
          <w:t>55</w:t>
        </w:r>
      </w:fldSimple>
      <w:r w:rsidR="00463216">
        <w:t>:</w:t>
      </w:r>
      <w:r w:rsidRPr="00E27D3B">
        <w:t xml:space="preserve"> Impact on </w:t>
      </w:r>
      <w:r w:rsidRPr="005C746B">
        <w:t>voltage</w:t>
      </w:r>
      <w:r w:rsidRPr="00E27D3B">
        <w:t xml:space="preserve"> </w:t>
      </w:r>
      <w:r w:rsidRPr="005C746B">
        <w:t>using</w:t>
      </w:r>
      <w:r w:rsidRPr="00E27D3B">
        <w:t xml:space="preserve"> DIgSILENT composite load vs AEMO composite load model for load at bus </w:t>
      </w:r>
      <w:bookmarkEnd w:id="332"/>
      <w:bookmarkEnd w:id="333"/>
      <w:r>
        <w:t>20</w:t>
      </w:r>
      <w:r w:rsidR="009855CC">
        <w:t>.</w:t>
      </w:r>
      <w:bookmarkEnd w:id="334"/>
    </w:p>
    <w:p w14:paraId="045156FB" w14:textId="77777777" w:rsidR="009855CC" w:rsidRDefault="009855CC" w:rsidP="00CD4F3A">
      <w:pPr>
        <w:pStyle w:val="BodyText"/>
        <w:spacing w:before="0" w:line="240" w:lineRule="auto"/>
        <w:jc w:val="both"/>
        <w:rPr>
          <w:lang w:val="en-US"/>
        </w:rPr>
      </w:pPr>
    </w:p>
    <w:p w14:paraId="129CD61A" w14:textId="4454CD36" w:rsidR="00A31EEA" w:rsidRPr="00542153" w:rsidRDefault="00A31EEA" w:rsidP="00952484">
      <w:pPr>
        <w:pStyle w:val="BodyText"/>
        <w:spacing w:after="0"/>
        <w:jc w:val="both"/>
        <w:rPr>
          <w:lang w:val="en-US"/>
        </w:rPr>
      </w:pPr>
      <w:r w:rsidRPr="00787A67">
        <w:rPr>
          <w:lang w:val="en-US"/>
        </w:rPr>
        <w:t xml:space="preserve">The figure suggests that the AEMO composite load model exhibits a shallower first-swing voltage dip following fault clearing compared to the default WECC composite load model in DIgSILENT </w:t>
      </w:r>
      <w:proofErr w:type="spellStart"/>
      <w:r w:rsidRPr="00787A67">
        <w:rPr>
          <w:lang w:val="en-US"/>
        </w:rPr>
        <w:t>PowerFactory</w:t>
      </w:r>
      <w:proofErr w:type="spellEnd"/>
      <w:r w:rsidRPr="00787A67">
        <w:rPr>
          <w:lang w:val="en-US"/>
        </w:rPr>
        <w:t>. In addition, the post-fault response under the AEMO model is characterized by higher-frequency oscillations, whereas the WECC model produces a comparatively smoother dynamic response.</w:t>
      </w:r>
    </w:p>
    <w:p w14:paraId="25CE6A08" w14:textId="77777777" w:rsidR="00A31EEA" w:rsidRPr="00E27D3B" w:rsidRDefault="00A31EEA" w:rsidP="00952484">
      <w:pPr>
        <w:pStyle w:val="Heading4"/>
        <w:spacing w:before="120" w:after="0" w:line="264" w:lineRule="auto"/>
      </w:pPr>
      <w:r w:rsidRPr="00E27D3B">
        <w:t>Impact of Fault Location on STVS</w:t>
      </w:r>
    </w:p>
    <w:p w14:paraId="7AC66C6D" w14:textId="1BF0F3AA" w:rsidR="00A31EEA" w:rsidRDefault="00A31EEA" w:rsidP="00952484">
      <w:pPr>
        <w:spacing w:after="0"/>
      </w:pPr>
      <w:bookmarkStart w:id="335" w:name="_Toc230342850"/>
      <w:bookmarkStart w:id="336" w:name="_Toc230858793"/>
      <w:r w:rsidRPr="00E27D3B">
        <w:rPr>
          <w:sz w:val="24"/>
          <w:szCs w:val="24"/>
        </w:rPr>
        <w:t xml:space="preserve">A three-phase fault was created at locations 0%, 10%, 20%, 30%, 40%, 50%, 60%, 70%, 80%, 90%, and 100% of </w:t>
      </w:r>
      <w:r>
        <w:rPr>
          <w:sz w:val="24"/>
          <w:szCs w:val="24"/>
        </w:rPr>
        <w:t>Line 16-19</w:t>
      </w:r>
      <w:r w:rsidRPr="00E27D3B">
        <w:rPr>
          <w:sz w:val="24"/>
          <w:szCs w:val="24"/>
        </w:rPr>
        <w:t xml:space="preserve">. The impact on voltage at bus 20 was recorded for all the cases. The results are shown in </w:t>
      </w:r>
      <w:r w:rsidR="0004468B" w:rsidRPr="00C6577E">
        <w:rPr>
          <w:sz w:val="24"/>
          <w:szCs w:val="24"/>
        </w:rPr>
        <w:t xml:space="preserve">Figure </w:t>
      </w:r>
      <w:r w:rsidR="009855CC">
        <w:rPr>
          <w:sz w:val="24"/>
          <w:szCs w:val="24"/>
        </w:rPr>
        <w:t>56</w:t>
      </w:r>
      <w:r w:rsidR="0004468B" w:rsidRPr="00E27D3B">
        <w:t>.</w:t>
      </w:r>
      <w:bookmarkEnd w:id="335"/>
      <w:bookmarkEnd w:id="336"/>
    </w:p>
    <w:p w14:paraId="42720735" w14:textId="2D25BE0B" w:rsidR="00B8464F" w:rsidRPr="00E27D3B" w:rsidRDefault="00B8464F" w:rsidP="00952484">
      <w:pPr>
        <w:spacing w:after="0"/>
        <w:rPr>
          <w:sz w:val="24"/>
          <w:szCs w:val="24"/>
        </w:rPr>
      </w:pPr>
      <w:r w:rsidRPr="00E27D3B">
        <w:rPr>
          <w:sz w:val="24"/>
          <w:szCs w:val="24"/>
        </w:rPr>
        <w:t xml:space="preserve">To better demonstrate the trend, </w:t>
      </w:r>
      <w:r w:rsidRPr="00E27D3B">
        <w:t xml:space="preserve">Figure </w:t>
      </w:r>
      <w:r w:rsidR="009855CC">
        <w:t>57</w:t>
      </w:r>
      <w:r w:rsidRPr="00E27D3B">
        <w:t xml:space="preserve"> </w:t>
      </w:r>
      <w:r w:rsidRPr="00E27D3B">
        <w:rPr>
          <w:sz w:val="24"/>
          <w:szCs w:val="24"/>
        </w:rPr>
        <w:t xml:space="preserve">shows that 100% fault location results in minimum voltage, whereas 0% fault location results in maximum voltage at bus 20. As bus 19 is nearer to bus 20, the fault at 100% of </w:t>
      </w:r>
      <w:r>
        <w:rPr>
          <w:sz w:val="24"/>
          <w:szCs w:val="24"/>
        </w:rPr>
        <w:t>Line 16-19</w:t>
      </w:r>
      <w:r w:rsidRPr="00E27D3B">
        <w:rPr>
          <w:sz w:val="24"/>
          <w:szCs w:val="24"/>
        </w:rPr>
        <w:t xml:space="preserve"> is at bus 19 and having greater influence on bus 20 voltage. As the fault location moves away from bus 20, the impact on voltage decreases until minimum for a fault at 0% of </w:t>
      </w:r>
      <w:r>
        <w:rPr>
          <w:sz w:val="24"/>
          <w:szCs w:val="24"/>
        </w:rPr>
        <w:t>Line 16-19</w:t>
      </w:r>
      <w:r w:rsidRPr="00E27D3B">
        <w:rPr>
          <w:sz w:val="24"/>
          <w:szCs w:val="24"/>
        </w:rPr>
        <w:t xml:space="preserve"> or at bus 16.</w:t>
      </w:r>
    </w:p>
    <w:p w14:paraId="26D6E710" w14:textId="77777777" w:rsidR="00AE30D6" w:rsidRPr="00787A67" w:rsidRDefault="00AE30D6" w:rsidP="00952484">
      <w:pPr>
        <w:pStyle w:val="Heading4"/>
        <w:spacing w:before="120" w:after="0" w:line="264" w:lineRule="auto"/>
      </w:pPr>
      <w:r w:rsidRPr="00787A67">
        <w:t>Impact of Fault Clearing Time on STVS</w:t>
      </w:r>
    </w:p>
    <w:p w14:paraId="1D6B0C02" w14:textId="350AB8A1" w:rsidR="00AE30D6" w:rsidRPr="00787A67" w:rsidRDefault="00AE30D6" w:rsidP="00952484">
      <w:pPr>
        <w:pStyle w:val="BodyText"/>
        <w:spacing w:after="0"/>
      </w:pPr>
      <w:r w:rsidRPr="00787A67">
        <w:t>To assess the impact of different fault clearing times (0.1 s, 0.15 s, and 0.2 s) on STVS, a three-phase short-circuit fault was applied at the midpoint of Line 16-19. The resulting voltage waveforms at bus 20 (load bus) and generator G03 terminals are shown in Figure</w:t>
      </w:r>
      <w:r w:rsidR="009855CC">
        <w:t xml:space="preserve"> 58</w:t>
      </w:r>
      <w:r w:rsidRPr="00787A67">
        <w:t xml:space="preserve"> and Figure</w:t>
      </w:r>
      <w:r w:rsidR="009855CC">
        <w:t xml:space="preserve"> 59 </w:t>
      </w:r>
      <w:r w:rsidRPr="00787A67">
        <w:t xml:space="preserve">respectively. </w:t>
      </w:r>
    </w:p>
    <w:p w14:paraId="2EB86F3C" w14:textId="71711EC1" w:rsidR="00AE30D6" w:rsidRDefault="00AE30D6" w:rsidP="00CD4F3A">
      <w:pPr>
        <w:pStyle w:val="BodyText"/>
        <w:keepNext/>
        <w:spacing w:line="240" w:lineRule="auto"/>
      </w:pPr>
      <w:bookmarkStart w:id="337" w:name="_Toc230342854"/>
      <w:bookmarkStart w:id="338" w:name="_Toc230858797"/>
      <w:r w:rsidRPr="00787A67">
        <w:lastRenderedPageBreak/>
        <w:t>Figure</w:t>
      </w:r>
      <w:r w:rsidR="009855CC">
        <w:t xml:space="preserve"> 58 </w:t>
      </w:r>
      <w:r w:rsidRPr="00787A67">
        <w:t xml:space="preserve">illustrates that fault clearing times of 0.1 s and 0.15 s </w:t>
      </w:r>
      <w:r w:rsidR="00511702" w:rsidRPr="00787A67">
        <w:t>can</w:t>
      </w:r>
      <w:r w:rsidRPr="00787A67">
        <w:t xml:space="preserve"> maintain voltage stability at the load bus. However, the 0.2 s fault clearing time results in voltage instability.</w:t>
      </w:r>
      <w:bookmarkEnd w:id="337"/>
      <w:bookmarkEnd w:id="338"/>
      <w:r w:rsidRPr="0007289A">
        <w:t xml:space="preserve"> </w:t>
      </w:r>
      <w:r w:rsidRPr="00787A67">
        <w:t>Similarly, Figure</w:t>
      </w:r>
      <w:r w:rsidR="009855CC">
        <w:t xml:space="preserve"> 59 </w:t>
      </w:r>
      <w:r w:rsidRPr="00787A67">
        <w:t>shows that fault clearing times of 0.1 s and 0.15 s maintain voltage stability at the generator terminals, whereas the 0.2 s case leads to voltage instability.</w:t>
      </w:r>
    </w:p>
    <w:p w14:paraId="293A824B" w14:textId="77777777" w:rsidR="00A31EEA" w:rsidRPr="00E27D3B" w:rsidRDefault="00A31EEA" w:rsidP="00CD4F3A">
      <w:pPr>
        <w:keepNext/>
        <w:spacing w:after="0"/>
      </w:pPr>
      <w:r w:rsidRPr="00E27D3B">
        <w:rPr>
          <w:b/>
          <w:bCs/>
          <w:noProof/>
        </w:rPr>
        <w:drawing>
          <wp:inline distT="0" distB="0" distL="0" distR="0" wp14:anchorId="312F6A66" wp14:editId="03FC08A5">
            <wp:extent cx="6173470" cy="3313786"/>
            <wp:effectExtent l="0" t="0" r="0" b="1270"/>
            <wp:docPr id="1948089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0">
                      <a:extLst>
                        <a:ext uri="{28A0092B-C50C-407E-A947-70E740481C1C}">
                          <a14:useLocalDpi xmlns:a14="http://schemas.microsoft.com/office/drawing/2010/main" val="0"/>
                        </a:ext>
                      </a:extLst>
                    </a:blip>
                    <a:srcRect l="7841" r="6898" b="2066"/>
                    <a:stretch/>
                  </pic:blipFill>
                  <pic:spPr bwMode="auto">
                    <a:xfrm>
                      <a:off x="0" y="0"/>
                      <a:ext cx="6174046" cy="3314095"/>
                    </a:xfrm>
                    <a:prstGeom prst="rect">
                      <a:avLst/>
                    </a:prstGeom>
                    <a:noFill/>
                    <a:ln>
                      <a:noFill/>
                    </a:ln>
                    <a:extLst>
                      <a:ext uri="{53640926-AAD7-44D8-BBD7-CCE9431645EC}">
                        <a14:shadowObscured xmlns:a14="http://schemas.microsoft.com/office/drawing/2010/main"/>
                      </a:ext>
                    </a:extLst>
                  </pic:spPr>
                </pic:pic>
              </a:graphicData>
            </a:graphic>
          </wp:inline>
        </w:drawing>
      </w:r>
    </w:p>
    <w:p w14:paraId="44A531EA" w14:textId="5E89D9D8" w:rsidR="00A31EEA" w:rsidRPr="00E27D3B" w:rsidRDefault="00A31EEA" w:rsidP="00CD4F3A">
      <w:pPr>
        <w:pStyle w:val="Caption"/>
        <w:spacing w:line="240" w:lineRule="auto"/>
      </w:pPr>
      <w:bookmarkStart w:id="339" w:name="_Toc223626382"/>
      <w:bookmarkStart w:id="340" w:name="_Toc224235143"/>
      <w:bookmarkStart w:id="341" w:name="_Toc233735063"/>
      <w:r w:rsidRPr="00E27D3B">
        <w:t xml:space="preserve">Figure </w:t>
      </w:r>
      <w:fldSimple w:instr=" SEQ Figure \* ARABIC ">
        <w:r w:rsidR="00A85006">
          <w:rPr>
            <w:noProof/>
          </w:rPr>
          <w:t>56</w:t>
        </w:r>
      </w:fldSimple>
      <w:r w:rsidR="00463216">
        <w:t>:</w:t>
      </w:r>
      <w:r w:rsidRPr="00E27D3B">
        <w:t xml:space="preserve"> Impact of fault </w:t>
      </w:r>
      <w:r w:rsidRPr="005C746B">
        <w:t>location</w:t>
      </w:r>
      <w:r w:rsidRPr="00E27D3B">
        <w:t xml:space="preserve"> on voltage stability</w:t>
      </w:r>
      <w:bookmarkEnd w:id="339"/>
      <w:bookmarkEnd w:id="340"/>
      <w:r w:rsidR="00952484">
        <w:t>.</w:t>
      </w:r>
      <w:bookmarkEnd w:id="341"/>
    </w:p>
    <w:p w14:paraId="037C62A3" w14:textId="77777777" w:rsidR="00A31EEA" w:rsidRPr="00E27D3B" w:rsidRDefault="00A31EEA" w:rsidP="00CD4F3A">
      <w:pPr>
        <w:keepNext/>
        <w:spacing w:after="0"/>
      </w:pPr>
      <w:r w:rsidRPr="00E27D3B">
        <w:rPr>
          <w:noProof/>
        </w:rPr>
        <w:drawing>
          <wp:inline distT="0" distB="0" distL="0" distR="0" wp14:anchorId="55A245DD" wp14:editId="5D9F11CD">
            <wp:extent cx="6047329" cy="3328416"/>
            <wp:effectExtent l="0" t="0" r="0" b="5715"/>
            <wp:docPr id="2120190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1">
                      <a:extLst>
                        <a:ext uri="{28A0092B-C50C-407E-A947-70E740481C1C}">
                          <a14:useLocalDpi xmlns:a14="http://schemas.microsoft.com/office/drawing/2010/main" val="0"/>
                        </a:ext>
                      </a:extLst>
                    </a:blip>
                    <a:srcRect l="8294" r="8752" b="2300"/>
                    <a:stretch/>
                  </pic:blipFill>
                  <pic:spPr bwMode="auto">
                    <a:xfrm>
                      <a:off x="0" y="0"/>
                      <a:ext cx="6048000" cy="3328785"/>
                    </a:xfrm>
                    <a:prstGeom prst="rect">
                      <a:avLst/>
                    </a:prstGeom>
                    <a:noFill/>
                    <a:ln>
                      <a:noFill/>
                    </a:ln>
                    <a:extLst>
                      <a:ext uri="{53640926-AAD7-44D8-BBD7-CCE9431645EC}">
                        <a14:shadowObscured xmlns:a14="http://schemas.microsoft.com/office/drawing/2010/main"/>
                      </a:ext>
                    </a:extLst>
                  </pic:spPr>
                </pic:pic>
              </a:graphicData>
            </a:graphic>
          </wp:inline>
        </w:drawing>
      </w:r>
    </w:p>
    <w:p w14:paraId="55E0ACAE" w14:textId="4A4ADD13" w:rsidR="00A31EEA" w:rsidRDefault="00A31EEA" w:rsidP="00CD4F3A">
      <w:pPr>
        <w:pStyle w:val="Caption"/>
        <w:spacing w:line="240" w:lineRule="auto"/>
      </w:pPr>
      <w:bookmarkStart w:id="342" w:name="_Toc223626383"/>
      <w:bookmarkStart w:id="343" w:name="_Toc224235144"/>
      <w:bookmarkStart w:id="344" w:name="_Toc233735064"/>
      <w:r w:rsidRPr="00E27D3B">
        <w:t xml:space="preserve">Figure </w:t>
      </w:r>
      <w:fldSimple w:instr=" SEQ Figure \* ARABIC ">
        <w:r w:rsidR="00A85006">
          <w:rPr>
            <w:noProof/>
          </w:rPr>
          <w:t>57</w:t>
        </w:r>
      </w:fldSimple>
      <w:r w:rsidR="00463216">
        <w:t>:</w:t>
      </w:r>
      <w:r w:rsidRPr="00E27D3B">
        <w:t xml:space="preserve"> Impact of </w:t>
      </w:r>
      <w:r w:rsidRPr="005C746B">
        <w:t>fault</w:t>
      </w:r>
      <w:r w:rsidRPr="00E27D3B">
        <w:t xml:space="preserve"> location </w:t>
      </w:r>
      <w:bookmarkEnd w:id="342"/>
      <w:r w:rsidRPr="00E27D3B">
        <w:t>analysed.</w:t>
      </w:r>
      <w:bookmarkEnd w:id="343"/>
      <w:bookmarkEnd w:id="344"/>
    </w:p>
    <w:p w14:paraId="322523C4" w14:textId="09475F28" w:rsidR="009855CC" w:rsidRPr="005A748B" w:rsidRDefault="00BB5AB2" w:rsidP="00467655">
      <w:pPr>
        <w:pStyle w:val="BodyText"/>
        <w:spacing w:before="0"/>
      </w:pPr>
      <w:r w:rsidRPr="00787A67">
        <w:t xml:space="preserve">Overall, the results indicate that the system maintains short-term voltage stability for fault clearing times up to 0.15 s, whereas a clearing time of 0.2 s exceeds the transient voltage stability limit and results in voltage instability. This </w:t>
      </w:r>
      <w:r w:rsidR="009855CC" w:rsidRPr="00787A67">
        <w:t>behaviour</w:t>
      </w:r>
      <w:r w:rsidRPr="00787A67">
        <w:t xml:space="preserve"> highlights the strong sensitivity of the system to fault duration under the considered operating condition. As the fault clearing time increases, </w:t>
      </w:r>
      <w:r w:rsidRPr="00787A67">
        <w:lastRenderedPageBreak/>
        <w:t>the system experiences more severe voltage depression and reduced post-fault voltage recovery capability, eventually leading to instability. Therefore, fast fault detection and clearing are essential for maintaining secure operation and preventing voltage collapse under large disturbances.</w:t>
      </w:r>
    </w:p>
    <w:p w14:paraId="572E1DC2" w14:textId="77777777" w:rsidR="00490119" w:rsidRDefault="00A31EEA" w:rsidP="001B317B">
      <w:pPr>
        <w:pStyle w:val="BodyText"/>
        <w:keepNext/>
        <w:spacing w:before="0" w:after="0" w:line="240" w:lineRule="auto"/>
        <w:jc w:val="center"/>
      </w:pPr>
      <w:r w:rsidRPr="00547C88">
        <w:rPr>
          <w:noProof/>
        </w:rPr>
        <w:drawing>
          <wp:inline distT="0" distB="0" distL="0" distR="0" wp14:anchorId="54831B8E" wp14:editId="7C96CB1E">
            <wp:extent cx="5186817" cy="2873253"/>
            <wp:effectExtent l="0" t="0" r="0" b="3810"/>
            <wp:docPr id="1100590587" name="Picture 11">
              <a:extLst xmlns:a="http://schemas.openxmlformats.org/drawingml/2006/main">
                <a:ext uri="{FF2B5EF4-FFF2-40B4-BE49-F238E27FC236}">
                  <a16:creationId xmlns:a16="http://schemas.microsoft.com/office/drawing/2014/main" id="{6E84158F-61B0-B822-87B3-F9559265E4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6E84158F-61B0-B822-87B3-F9559265E430}"/>
                        </a:ext>
                      </a:extLst>
                    </pic:cNvPr>
                    <pic:cNvPicPr>
                      <a:picLocks noChangeAspect="1"/>
                    </pic:cNvPicPr>
                  </pic:nvPicPr>
                  <pic:blipFill>
                    <a:blip r:embed="rId132"/>
                    <a:stretch>
                      <a:fillRect/>
                    </a:stretch>
                  </pic:blipFill>
                  <pic:spPr>
                    <a:xfrm>
                      <a:off x="0" y="0"/>
                      <a:ext cx="5206819" cy="2884333"/>
                    </a:xfrm>
                    <a:prstGeom prst="rect">
                      <a:avLst/>
                    </a:prstGeom>
                  </pic:spPr>
                </pic:pic>
              </a:graphicData>
            </a:graphic>
          </wp:inline>
        </w:drawing>
      </w:r>
    </w:p>
    <w:p w14:paraId="1BF14909" w14:textId="30ADC838" w:rsidR="009855CC" w:rsidRPr="009855CC" w:rsidRDefault="00490119" w:rsidP="00467655">
      <w:pPr>
        <w:pStyle w:val="Caption"/>
        <w:spacing w:line="240" w:lineRule="auto"/>
      </w:pPr>
      <w:bookmarkStart w:id="345" w:name="_Hlk230341193"/>
      <w:bookmarkStart w:id="346" w:name="_Toc233735065"/>
      <w:r w:rsidRPr="00787A67">
        <w:t xml:space="preserve">Figure </w:t>
      </w:r>
      <w:fldSimple w:instr=" SEQ Figure \* ARABIC ">
        <w:r w:rsidR="00A85006" w:rsidRPr="00787A67">
          <w:rPr>
            <w:noProof/>
          </w:rPr>
          <w:t>58</w:t>
        </w:r>
      </w:fldSimple>
      <w:r w:rsidR="00463216">
        <w:t>:</w:t>
      </w:r>
      <w:r w:rsidR="00A85006" w:rsidRPr="00787A67">
        <w:t xml:space="preserve"> </w:t>
      </w:r>
      <w:r w:rsidR="00A31EEA" w:rsidRPr="00787A67">
        <w:t>Impact of different fault clearing times on the voltage at Bus 20.</w:t>
      </w:r>
      <w:bookmarkEnd w:id="346"/>
    </w:p>
    <w:p w14:paraId="2E260557" w14:textId="6307C5D6" w:rsidR="00A85006" w:rsidRDefault="00A31EEA" w:rsidP="001B317B">
      <w:pPr>
        <w:pStyle w:val="BodyText"/>
        <w:keepNext/>
        <w:spacing w:before="180" w:line="240" w:lineRule="auto"/>
        <w:jc w:val="center"/>
      </w:pPr>
      <w:bookmarkStart w:id="347" w:name="_Toc230342856"/>
      <w:bookmarkStart w:id="348" w:name="_Toc230858799"/>
      <w:bookmarkEnd w:id="345"/>
      <w:r w:rsidRPr="00547C88">
        <w:rPr>
          <w:noProof/>
        </w:rPr>
        <w:drawing>
          <wp:inline distT="0" distB="0" distL="0" distR="0" wp14:anchorId="528A744B" wp14:editId="274676C4">
            <wp:extent cx="5195270" cy="2860454"/>
            <wp:effectExtent l="0" t="0" r="5715" b="0"/>
            <wp:docPr id="1436393374" name="Picture 6" descr="A graph of a graph&#10;&#10;Description automatically generated with medium confidence">
              <a:extLst xmlns:a="http://schemas.openxmlformats.org/drawingml/2006/main">
                <a:ext uri="{FF2B5EF4-FFF2-40B4-BE49-F238E27FC236}">
                  <a16:creationId xmlns:a16="http://schemas.microsoft.com/office/drawing/2014/main" id="{C3D7DBED-6A52-CA4A-3E16-B4C7A75E82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93374" name="Picture 6" descr="A graph of a graph&#10;&#10;Description automatically generated with medium confidence">
                      <a:extLst>
                        <a:ext uri="{FF2B5EF4-FFF2-40B4-BE49-F238E27FC236}">
                          <a16:creationId xmlns:a16="http://schemas.microsoft.com/office/drawing/2014/main" id="{C3D7DBED-6A52-CA4A-3E16-B4C7A75E8258}"/>
                        </a:ext>
                      </a:extLst>
                    </pic:cNvPr>
                    <pic:cNvPicPr>
                      <a:picLocks noChangeAspect="1"/>
                    </pic:cNvPicPr>
                  </pic:nvPicPr>
                  <pic:blipFill>
                    <a:blip r:embed="rId133"/>
                    <a:stretch>
                      <a:fillRect/>
                    </a:stretch>
                  </pic:blipFill>
                  <pic:spPr>
                    <a:xfrm>
                      <a:off x="0" y="0"/>
                      <a:ext cx="5217865" cy="2872895"/>
                    </a:xfrm>
                    <a:prstGeom prst="rect">
                      <a:avLst/>
                    </a:prstGeom>
                  </pic:spPr>
                </pic:pic>
              </a:graphicData>
            </a:graphic>
          </wp:inline>
        </w:drawing>
      </w:r>
      <w:bookmarkEnd w:id="347"/>
      <w:bookmarkEnd w:id="348"/>
    </w:p>
    <w:p w14:paraId="1892A98D" w14:textId="1A109341" w:rsidR="00A31EEA" w:rsidRDefault="00A85006" w:rsidP="00CD4F3A">
      <w:pPr>
        <w:pStyle w:val="Caption"/>
        <w:spacing w:line="240" w:lineRule="auto"/>
      </w:pPr>
      <w:bookmarkStart w:id="349" w:name="_Toc233735066"/>
      <w:r>
        <w:t xml:space="preserve">Figure </w:t>
      </w:r>
      <w:fldSimple w:instr=" SEQ Figure \* ARABIC ">
        <w:r>
          <w:rPr>
            <w:noProof/>
          </w:rPr>
          <w:t>59</w:t>
        </w:r>
      </w:fldSimple>
      <w:r w:rsidR="00463216">
        <w:t>:</w:t>
      </w:r>
      <w:r w:rsidRPr="00787A67">
        <w:t xml:space="preserve"> </w:t>
      </w:r>
      <w:r w:rsidR="00A31EEA" w:rsidRPr="00787A67">
        <w:t xml:space="preserve">Impact of </w:t>
      </w:r>
      <w:r w:rsidR="00A31EEA" w:rsidRPr="005C746B">
        <w:t>different</w:t>
      </w:r>
      <w:r w:rsidR="00A31EEA" w:rsidRPr="00787A67">
        <w:t xml:space="preserve"> fault clearing times on the generator (G 03) terminal voltage.</w:t>
      </w:r>
      <w:bookmarkEnd w:id="349"/>
    </w:p>
    <w:p w14:paraId="249BDC4A" w14:textId="77777777" w:rsidR="00A31EEA" w:rsidRPr="00E27D3B" w:rsidRDefault="00A31EEA" w:rsidP="00CD4F3A">
      <w:pPr>
        <w:pStyle w:val="Heading2"/>
      </w:pPr>
      <w:bookmarkStart w:id="350" w:name="_Toc223627376"/>
      <w:bookmarkStart w:id="351" w:name="_Toc224235080"/>
      <w:bookmarkStart w:id="352" w:name="_Toc233734322"/>
      <w:r w:rsidRPr="00E27D3B">
        <w:t>Long-Term Voltage Stability</w:t>
      </w:r>
      <w:bookmarkEnd w:id="350"/>
      <w:bookmarkEnd w:id="351"/>
      <w:bookmarkEnd w:id="352"/>
    </w:p>
    <w:p w14:paraId="0A5EBB9B" w14:textId="77777777" w:rsidR="00A31EEA" w:rsidRPr="00E27D3B" w:rsidRDefault="00A31EEA" w:rsidP="00467655">
      <w:pPr>
        <w:spacing w:after="0"/>
        <w:rPr>
          <w:sz w:val="24"/>
          <w:szCs w:val="24"/>
        </w:rPr>
      </w:pPr>
      <w:r w:rsidRPr="00E27D3B">
        <w:rPr>
          <w:sz w:val="24"/>
          <w:szCs w:val="24"/>
        </w:rPr>
        <w:t xml:space="preserve">Long-term voltage stability involves slower acting equipment such as </w:t>
      </w:r>
    </w:p>
    <w:p w14:paraId="6F4FF00A" w14:textId="77777777" w:rsidR="00A31EEA" w:rsidRPr="00E27D3B" w:rsidRDefault="00A31EEA" w:rsidP="00467655">
      <w:pPr>
        <w:pStyle w:val="ListParagraph0"/>
        <w:numPr>
          <w:ilvl w:val="0"/>
          <w:numId w:val="29"/>
        </w:numPr>
        <w:spacing w:before="120" w:after="0"/>
        <w:ind w:left="714" w:hanging="357"/>
        <w:contextualSpacing w:val="0"/>
      </w:pPr>
      <w:r w:rsidRPr="00E27D3B">
        <w:t xml:space="preserve">tap-changing transformers, </w:t>
      </w:r>
    </w:p>
    <w:p w14:paraId="68B89B74" w14:textId="77777777" w:rsidR="00A31EEA" w:rsidRPr="00E27D3B" w:rsidRDefault="00A31EEA" w:rsidP="00467655">
      <w:pPr>
        <w:pStyle w:val="ListParagraph0"/>
        <w:numPr>
          <w:ilvl w:val="0"/>
          <w:numId w:val="29"/>
        </w:numPr>
        <w:spacing w:before="120" w:after="0"/>
        <w:ind w:left="714" w:hanging="357"/>
        <w:contextualSpacing w:val="0"/>
      </w:pPr>
      <w:r w:rsidRPr="00E27D3B">
        <w:t xml:space="preserve">thermostatically controlled loads, </w:t>
      </w:r>
    </w:p>
    <w:p w14:paraId="0D3099AB" w14:textId="77777777" w:rsidR="00A31EEA" w:rsidRPr="00E27D3B" w:rsidRDefault="00A31EEA" w:rsidP="00467655">
      <w:pPr>
        <w:pStyle w:val="ListParagraph0"/>
        <w:numPr>
          <w:ilvl w:val="0"/>
          <w:numId w:val="29"/>
        </w:numPr>
        <w:spacing w:before="120" w:after="0"/>
        <w:ind w:left="714" w:hanging="357"/>
        <w:contextualSpacing w:val="0"/>
      </w:pPr>
      <w:r w:rsidRPr="00E27D3B">
        <w:t xml:space="preserve">and generator current limiters. </w:t>
      </w:r>
    </w:p>
    <w:p w14:paraId="1C83F783" w14:textId="0BA2E43D" w:rsidR="00A31EEA" w:rsidRPr="00E27D3B" w:rsidRDefault="00A31EEA" w:rsidP="00467655">
      <w:pPr>
        <w:spacing w:after="0"/>
        <w:rPr>
          <w:sz w:val="24"/>
          <w:szCs w:val="24"/>
        </w:rPr>
      </w:pPr>
      <w:r w:rsidRPr="00E27D3B">
        <w:rPr>
          <w:sz w:val="24"/>
          <w:szCs w:val="24"/>
        </w:rPr>
        <w:lastRenderedPageBreak/>
        <w:t xml:space="preserve">The study period of interest starts from 10 to 20 seconds after the disturbance and lasts up to tens of minutes </w:t>
      </w:r>
      <w:r w:rsidR="00762DBF">
        <w:rPr>
          <w:sz w:val="24"/>
          <w:szCs w:val="24"/>
        </w:rPr>
        <w:fldChar w:fldCharType="begin"/>
      </w:r>
      <w:r w:rsidR="00762DBF">
        <w:rPr>
          <w:sz w:val="24"/>
          <w:szCs w:val="24"/>
        </w:rPr>
        <w:instrText xml:space="preserve"> REF _Ref230446708 \w \h </w:instrText>
      </w:r>
      <w:r w:rsidR="00CD4F3A">
        <w:rPr>
          <w:sz w:val="24"/>
          <w:szCs w:val="24"/>
        </w:rPr>
        <w:instrText xml:space="preserve"> \* MERGEFORMAT </w:instrText>
      </w:r>
      <w:r w:rsidR="00762DBF">
        <w:rPr>
          <w:sz w:val="24"/>
          <w:szCs w:val="24"/>
        </w:rPr>
      </w:r>
      <w:r w:rsidR="00762DBF">
        <w:rPr>
          <w:sz w:val="24"/>
          <w:szCs w:val="24"/>
        </w:rPr>
        <w:fldChar w:fldCharType="separate"/>
      </w:r>
      <w:r w:rsidR="00486C1D">
        <w:rPr>
          <w:sz w:val="24"/>
          <w:szCs w:val="24"/>
        </w:rPr>
        <w:t>[112]</w:t>
      </w:r>
      <w:r w:rsidR="00762DBF">
        <w:rPr>
          <w:sz w:val="24"/>
          <w:szCs w:val="24"/>
        </w:rPr>
        <w:fldChar w:fldCharType="end"/>
      </w:r>
      <w:r w:rsidRPr="00E27D3B">
        <w:rPr>
          <w:sz w:val="24"/>
          <w:szCs w:val="24"/>
        </w:rPr>
        <w:t>. In the long-term voltage stability study, it is assumed that the system has survived the transient period after a disturbance</w:t>
      </w:r>
      <w:r w:rsidR="000433A3">
        <w:rPr>
          <w:sz w:val="24"/>
          <w:szCs w:val="24"/>
        </w:rPr>
        <w:t xml:space="preserve"> </w:t>
      </w:r>
      <w:r w:rsidR="000433A3">
        <w:rPr>
          <w:sz w:val="24"/>
          <w:szCs w:val="24"/>
        </w:rPr>
        <w:fldChar w:fldCharType="begin"/>
      </w:r>
      <w:r w:rsidR="000433A3">
        <w:rPr>
          <w:sz w:val="24"/>
          <w:szCs w:val="24"/>
        </w:rPr>
        <w:instrText xml:space="preserve"> REF _Ref230446026 \w \h </w:instrText>
      </w:r>
      <w:r w:rsidR="00CD4F3A">
        <w:rPr>
          <w:sz w:val="24"/>
          <w:szCs w:val="24"/>
        </w:rPr>
        <w:instrText xml:space="preserve"> \* MERGEFORMAT </w:instrText>
      </w:r>
      <w:r w:rsidR="000433A3">
        <w:rPr>
          <w:sz w:val="24"/>
          <w:szCs w:val="24"/>
        </w:rPr>
      </w:r>
      <w:r w:rsidR="000433A3">
        <w:rPr>
          <w:sz w:val="24"/>
          <w:szCs w:val="24"/>
        </w:rPr>
        <w:fldChar w:fldCharType="separate"/>
      </w:r>
      <w:r w:rsidR="00486C1D">
        <w:rPr>
          <w:sz w:val="24"/>
          <w:szCs w:val="24"/>
        </w:rPr>
        <w:t>[91]</w:t>
      </w:r>
      <w:r w:rsidR="000433A3">
        <w:rPr>
          <w:sz w:val="24"/>
          <w:szCs w:val="24"/>
        </w:rPr>
        <w:fldChar w:fldCharType="end"/>
      </w:r>
      <w:r w:rsidRPr="00E27D3B">
        <w:rPr>
          <w:sz w:val="24"/>
          <w:szCs w:val="24"/>
        </w:rPr>
        <w:t xml:space="preserve">. Stability is usually determined by the resulting outage of equipment, rather than the severity of the initial disturbance. Instability is due to the loss of long-term equilibrium (e.g., when loads try to restore their power beyond the capability of the transmission network and connected generation), or a lack of attraction toward the stable post-disturbance equilibrium (e.g., when a remedial action is applied too late). </w:t>
      </w:r>
    </w:p>
    <w:p w14:paraId="0DBB0D85" w14:textId="67616D58" w:rsidR="00A31EEA" w:rsidRPr="00E27D3B" w:rsidRDefault="00A31EEA" w:rsidP="00467655">
      <w:pPr>
        <w:spacing w:after="0"/>
        <w:rPr>
          <w:sz w:val="24"/>
          <w:szCs w:val="24"/>
        </w:rPr>
      </w:pPr>
      <w:r w:rsidRPr="00E27D3B">
        <w:rPr>
          <w:sz w:val="24"/>
          <w:szCs w:val="24"/>
        </w:rPr>
        <w:t xml:space="preserve"> Although voltage instability is typically associated with a gradual reduction in bus voltages, overvoltage instability may also arise and has been reported in some situations. It typically occurs due to the capacitive </w:t>
      </w:r>
      <w:r w:rsidR="009855CC" w:rsidRPr="00E27D3B">
        <w:rPr>
          <w:sz w:val="24"/>
          <w:szCs w:val="24"/>
        </w:rPr>
        <w:t>behaviour</w:t>
      </w:r>
      <w:r w:rsidRPr="00E27D3B">
        <w:rPr>
          <w:sz w:val="24"/>
          <w:szCs w:val="24"/>
        </w:rPr>
        <w:t xml:space="preserve"> of the network, for example when EHV/HV transmission lines operate below their surge impedance loading, combined with the action of under-excitation limiters that prevent generators or synchronous compensators from absorbing surplus reactive power. In this case, the instability is associated with the inability of the combined generation and transmission system to operate below a minimum load consumption level.</w:t>
      </w:r>
    </w:p>
    <w:p w14:paraId="5C02723E" w14:textId="031ABAED" w:rsidR="00A31EEA" w:rsidRPr="00E27D3B" w:rsidRDefault="00A31EEA" w:rsidP="00467655">
      <w:pPr>
        <w:spacing w:after="0"/>
      </w:pPr>
      <w:r w:rsidRPr="00E27D3B">
        <w:rPr>
          <w:sz w:val="24"/>
          <w:szCs w:val="24"/>
        </w:rPr>
        <w:t>The Western Electricity Coordinating Council (WECC) specifies that the minimum P–V margin should be at least 5% for single (N-1) contingencies, 2.5% for double (N-2) contingencies, and greater than zero for multiple contingencies (N ≥ 3)</w:t>
      </w:r>
      <w:r w:rsidR="000433A3">
        <w:rPr>
          <w:sz w:val="24"/>
          <w:szCs w:val="24"/>
        </w:rPr>
        <w:t xml:space="preserve"> </w:t>
      </w:r>
      <w:r w:rsidR="000433A3">
        <w:rPr>
          <w:sz w:val="24"/>
          <w:szCs w:val="24"/>
        </w:rPr>
        <w:fldChar w:fldCharType="begin"/>
      </w:r>
      <w:r w:rsidR="000433A3">
        <w:rPr>
          <w:sz w:val="24"/>
          <w:szCs w:val="24"/>
        </w:rPr>
        <w:instrText xml:space="preserve"> REF _Ref230448127 \w \h </w:instrText>
      </w:r>
      <w:r w:rsidR="00CD4F3A">
        <w:rPr>
          <w:sz w:val="24"/>
          <w:szCs w:val="24"/>
        </w:rPr>
        <w:instrText xml:space="preserve"> \* MERGEFORMAT </w:instrText>
      </w:r>
      <w:r w:rsidR="000433A3">
        <w:rPr>
          <w:sz w:val="24"/>
          <w:szCs w:val="24"/>
        </w:rPr>
      </w:r>
      <w:r w:rsidR="000433A3">
        <w:rPr>
          <w:sz w:val="24"/>
          <w:szCs w:val="24"/>
        </w:rPr>
        <w:fldChar w:fldCharType="separate"/>
      </w:r>
      <w:r w:rsidR="00486C1D">
        <w:rPr>
          <w:sz w:val="24"/>
          <w:szCs w:val="24"/>
        </w:rPr>
        <w:t>[143]</w:t>
      </w:r>
      <w:r w:rsidR="000433A3">
        <w:rPr>
          <w:sz w:val="24"/>
          <w:szCs w:val="24"/>
        </w:rPr>
        <w:fldChar w:fldCharType="end"/>
      </w:r>
      <w:r w:rsidRPr="00E27D3B">
        <w:rPr>
          <w:sz w:val="24"/>
          <w:szCs w:val="24"/>
        </w:rPr>
        <w:t>.</w:t>
      </w:r>
    </w:p>
    <w:p w14:paraId="64E5A6F0" w14:textId="77777777" w:rsidR="00A31EEA" w:rsidRPr="00E27D3B" w:rsidRDefault="00A31EEA" w:rsidP="00CD4F3A">
      <w:pPr>
        <w:pStyle w:val="Heading2"/>
      </w:pPr>
      <w:bookmarkStart w:id="353" w:name="_Toc223627377"/>
      <w:bookmarkStart w:id="354" w:name="_Toc224235081"/>
      <w:bookmarkStart w:id="355" w:name="_Toc233734323"/>
      <w:r w:rsidRPr="00E27D3B">
        <w:t>Motivation for Long-Term Voltage Stability Assessment</w:t>
      </w:r>
      <w:bookmarkEnd w:id="353"/>
      <w:bookmarkEnd w:id="354"/>
      <w:bookmarkEnd w:id="355"/>
    </w:p>
    <w:p w14:paraId="59422D09" w14:textId="77777777" w:rsidR="00A31EEA" w:rsidRPr="00E27D3B" w:rsidRDefault="00A31EEA" w:rsidP="00CD4F3A">
      <w:pPr>
        <w:rPr>
          <w:sz w:val="24"/>
          <w:szCs w:val="24"/>
        </w:rPr>
      </w:pPr>
      <w:r w:rsidRPr="00E27D3B">
        <w:rPr>
          <w:sz w:val="24"/>
          <w:szCs w:val="24"/>
        </w:rPr>
        <w:t>Long-term voltage stability assessment is essential for secure system operation under slow dynamic and control processes, supporting the following objectives:</w:t>
      </w:r>
    </w:p>
    <w:p w14:paraId="5AC6A908" w14:textId="2049D419" w:rsidR="00A31EEA" w:rsidRPr="00E27D3B" w:rsidRDefault="00A31EEA" w:rsidP="00CD4F3A">
      <w:pPr>
        <w:numPr>
          <w:ilvl w:val="0"/>
          <w:numId w:val="31"/>
        </w:numPr>
        <w:ind w:left="714" w:hanging="357"/>
        <w:rPr>
          <w:sz w:val="24"/>
          <w:szCs w:val="24"/>
          <w:lang w:val="en-US"/>
        </w:rPr>
      </w:pPr>
      <w:r w:rsidRPr="00E27D3B">
        <w:rPr>
          <w:sz w:val="24"/>
          <w:szCs w:val="24"/>
        </w:rPr>
        <w:t>To investigate the root causes of blackouts driven by slow-acting controls</w:t>
      </w:r>
      <w:r w:rsidR="00467655">
        <w:rPr>
          <w:sz w:val="24"/>
          <w:szCs w:val="24"/>
        </w:rPr>
        <w:t>.</w:t>
      </w:r>
    </w:p>
    <w:p w14:paraId="124F6DED" w14:textId="66E50618" w:rsidR="00A31EEA" w:rsidRPr="00E27D3B" w:rsidRDefault="00A31EEA" w:rsidP="00CD4F3A">
      <w:pPr>
        <w:numPr>
          <w:ilvl w:val="0"/>
          <w:numId w:val="31"/>
        </w:numPr>
        <w:ind w:left="714" w:hanging="357"/>
        <w:rPr>
          <w:sz w:val="24"/>
          <w:szCs w:val="24"/>
          <w:lang w:val="en-US"/>
        </w:rPr>
      </w:pPr>
      <w:r w:rsidRPr="00E27D3B">
        <w:rPr>
          <w:sz w:val="24"/>
          <w:szCs w:val="24"/>
        </w:rPr>
        <w:t>To prevent large-scale blackouts by enabling effective preventive actions</w:t>
      </w:r>
      <w:r w:rsidR="00467655">
        <w:rPr>
          <w:sz w:val="24"/>
          <w:szCs w:val="24"/>
        </w:rPr>
        <w:t>.</w:t>
      </w:r>
    </w:p>
    <w:p w14:paraId="0C38E4A8" w14:textId="58E663A8" w:rsidR="00A31EEA" w:rsidRPr="00E27D3B" w:rsidRDefault="00A31EEA" w:rsidP="00CD4F3A">
      <w:pPr>
        <w:numPr>
          <w:ilvl w:val="0"/>
          <w:numId w:val="31"/>
        </w:numPr>
        <w:ind w:left="714" w:hanging="357"/>
        <w:rPr>
          <w:sz w:val="24"/>
          <w:szCs w:val="24"/>
          <w:lang w:val="en-US"/>
        </w:rPr>
      </w:pPr>
      <w:r w:rsidRPr="00E27D3B">
        <w:rPr>
          <w:sz w:val="24"/>
          <w:szCs w:val="24"/>
        </w:rPr>
        <w:t>To support system operators in enhancing their emergency response capability</w:t>
      </w:r>
      <w:r w:rsidR="00467655">
        <w:rPr>
          <w:sz w:val="24"/>
          <w:szCs w:val="24"/>
        </w:rPr>
        <w:t>.</w:t>
      </w:r>
    </w:p>
    <w:p w14:paraId="7DA8C669" w14:textId="4BE99DDE" w:rsidR="00A31EEA" w:rsidRPr="00E27D3B" w:rsidRDefault="00A31EEA" w:rsidP="00CD4F3A">
      <w:pPr>
        <w:numPr>
          <w:ilvl w:val="0"/>
          <w:numId w:val="31"/>
        </w:numPr>
        <w:ind w:left="714" w:hanging="357"/>
        <w:rPr>
          <w:sz w:val="24"/>
          <w:szCs w:val="24"/>
          <w:lang w:val="en-US"/>
        </w:rPr>
      </w:pPr>
      <w:r w:rsidRPr="00E27D3B">
        <w:rPr>
          <w:sz w:val="24"/>
          <w:szCs w:val="24"/>
        </w:rPr>
        <w:t>To avoid long-term reactive power deficiency</w:t>
      </w:r>
      <w:r w:rsidR="00467655">
        <w:rPr>
          <w:sz w:val="24"/>
          <w:szCs w:val="24"/>
        </w:rPr>
        <w:t>.</w:t>
      </w:r>
    </w:p>
    <w:p w14:paraId="4ED0B1FD" w14:textId="5179AA41" w:rsidR="00A31EEA" w:rsidRPr="00E27D3B" w:rsidRDefault="00A31EEA" w:rsidP="00CD4F3A">
      <w:pPr>
        <w:numPr>
          <w:ilvl w:val="0"/>
          <w:numId w:val="31"/>
        </w:numPr>
        <w:ind w:left="714" w:hanging="357"/>
        <w:rPr>
          <w:sz w:val="24"/>
          <w:szCs w:val="24"/>
          <w:lang w:val="en-US"/>
        </w:rPr>
      </w:pPr>
      <w:r w:rsidRPr="00E27D3B">
        <w:rPr>
          <w:sz w:val="24"/>
          <w:szCs w:val="24"/>
        </w:rPr>
        <w:t>To develop and evaluate load shedding strategies for avoiding long-term voltage degradation</w:t>
      </w:r>
      <w:r w:rsidR="00A4069F">
        <w:rPr>
          <w:sz w:val="24"/>
          <w:szCs w:val="24"/>
        </w:rPr>
        <w:t>.</w:t>
      </w:r>
    </w:p>
    <w:p w14:paraId="37491CE3" w14:textId="32C21B57" w:rsidR="00A31EEA" w:rsidRPr="00E27D3B" w:rsidRDefault="00A31EEA" w:rsidP="00CD4F3A">
      <w:pPr>
        <w:numPr>
          <w:ilvl w:val="0"/>
          <w:numId w:val="31"/>
        </w:numPr>
        <w:ind w:left="714" w:hanging="357"/>
        <w:rPr>
          <w:sz w:val="24"/>
          <w:szCs w:val="24"/>
          <w:lang w:val="en-US"/>
        </w:rPr>
      </w:pPr>
      <w:r w:rsidRPr="00E27D3B">
        <w:rPr>
          <w:sz w:val="24"/>
          <w:szCs w:val="24"/>
        </w:rPr>
        <w:t>To evaluate the effectiveness of reactive power support</w:t>
      </w:r>
      <w:r w:rsidR="00A4069F">
        <w:rPr>
          <w:sz w:val="24"/>
          <w:szCs w:val="24"/>
        </w:rPr>
        <w:t>.</w:t>
      </w:r>
      <w:r w:rsidRPr="00E27D3B">
        <w:rPr>
          <w:sz w:val="24"/>
          <w:szCs w:val="24"/>
        </w:rPr>
        <w:t xml:space="preserve"> </w:t>
      </w:r>
    </w:p>
    <w:p w14:paraId="0AE6127A" w14:textId="0D4CA79E" w:rsidR="00A31EEA" w:rsidRPr="00E27D3B" w:rsidRDefault="00A31EEA" w:rsidP="00CD4F3A">
      <w:pPr>
        <w:numPr>
          <w:ilvl w:val="0"/>
          <w:numId w:val="31"/>
        </w:numPr>
        <w:ind w:left="714" w:hanging="357"/>
        <w:rPr>
          <w:sz w:val="24"/>
          <w:szCs w:val="24"/>
          <w:lang w:val="en-US"/>
        </w:rPr>
      </w:pPr>
      <w:r w:rsidRPr="00E27D3B">
        <w:rPr>
          <w:sz w:val="24"/>
          <w:szCs w:val="24"/>
        </w:rPr>
        <w:t>To study the allocation and distribution of spinning reserves to improve long-term system recovery</w:t>
      </w:r>
      <w:r w:rsidR="00A4069F">
        <w:rPr>
          <w:sz w:val="24"/>
          <w:szCs w:val="24"/>
        </w:rPr>
        <w:t>.</w:t>
      </w:r>
    </w:p>
    <w:p w14:paraId="375F75EA" w14:textId="27019207" w:rsidR="00A31EEA" w:rsidRPr="00E27D3B" w:rsidRDefault="00A31EEA" w:rsidP="00CD4F3A">
      <w:pPr>
        <w:numPr>
          <w:ilvl w:val="0"/>
          <w:numId w:val="31"/>
        </w:numPr>
        <w:ind w:left="714" w:hanging="357"/>
        <w:rPr>
          <w:sz w:val="24"/>
          <w:szCs w:val="24"/>
          <w:lang w:val="en-US"/>
        </w:rPr>
      </w:pPr>
      <w:r w:rsidRPr="00E27D3B">
        <w:rPr>
          <w:sz w:val="24"/>
          <w:szCs w:val="24"/>
        </w:rPr>
        <w:t>To study the impact of response from boiler control system (including reactor) and auxiliary equipment of power plant after large disturbance on the operation characteristics of power plants and coordinate the control and protection system of power plants</w:t>
      </w:r>
      <w:r w:rsidR="00A4069F">
        <w:rPr>
          <w:sz w:val="24"/>
          <w:szCs w:val="24"/>
        </w:rPr>
        <w:t>.</w:t>
      </w:r>
    </w:p>
    <w:p w14:paraId="643B5032" w14:textId="3294BDFF" w:rsidR="00A31EEA" w:rsidRPr="00E27D3B" w:rsidRDefault="00030C99" w:rsidP="00CD4F3A">
      <w:pPr>
        <w:pStyle w:val="Heading2"/>
      </w:pPr>
      <w:bookmarkStart w:id="356" w:name="_Toc223627378"/>
      <w:bookmarkStart w:id="357" w:name="_Toc224235082"/>
      <w:r>
        <w:t xml:space="preserve"> </w:t>
      </w:r>
      <w:bookmarkStart w:id="358" w:name="_Toc233734324"/>
      <w:r w:rsidR="00A31EEA" w:rsidRPr="00E27D3B">
        <w:t>Long-Term Voltage Stability Assessment Methods</w:t>
      </w:r>
      <w:bookmarkEnd w:id="356"/>
      <w:bookmarkEnd w:id="357"/>
      <w:bookmarkEnd w:id="358"/>
    </w:p>
    <w:p w14:paraId="52808539" w14:textId="3B94340E" w:rsidR="00A31EEA" w:rsidRPr="00A4069F" w:rsidRDefault="00A31EEA" w:rsidP="00A4069F">
      <w:pPr>
        <w:spacing w:after="0"/>
        <w:rPr>
          <w:sz w:val="24"/>
          <w:szCs w:val="24"/>
        </w:rPr>
      </w:pPr>
      <w:bookmarkStart w:id="359" w:name="_Toc230342898"/>
      <w:bookmarkStart w:id="360" w:name="_Toc233735319"/>
      <w:r w:rsidRPr="00A4069F">
        <w:rPr>
          <w:sz w:val="24"/>
          <w:szCs w:val="24"/>
        </w:rPr>
        <w:t xml:space="preserve">A comparative analysis of different methods for LTVS assessment is given below in Table </w:t>
      </w:r>
      <w:r w:rsidR="00AA7B4F" w:rsidRPr="00A4069F">
        <w:rPr>
          <w:sz w:val="24"/>
          <w:szCs w:val="24"/>
        </w:rPr>
        <w:fldChar w:fldCharType="begin"/>
      </w:r>
      <w:r w:rsidR="00AA7B4F" w:rsidRPr="00A4069F">
        <w:rPr>
          <w:sz w:val="24"/>
          <w:szCs w:val="24"/>
        </w:rPr>
        <w:instrText xml:space="preserve"> SEQ Table \* ARABIC </w:instrText>
      </w:r>
      <w:r w:rsidR="00AA7B4F" w:rsidRPr="00A4069F">
        <w:rPr>
          <w:sz w:val="24"/>
          <w:szCs w:val="24"/>
        </w:rPr>
        <w:fldChar w:fldCharType="separate"/>
      </w:r>
      <w:r w:rsidR="00AA7B4F" w:rsidRPr="00A4069F">
        <w:rPr>
          <w:noProof/>
          <w:sz w:val="24"/>
          <w:szCs w:val="24"/>
        </w:rPr>
        <w:t>23</w:t>
      </w:r>
      <w:r w:rsidR="00AA7B4F" w:rsidRPr="00A4069F">
        <w:rPr>
          <w:noProof/>
          <w:sz w:val="24"/>
          <w:szCs w:val="24"/>
        </w:rPr>
        <w:fldChar w:fldCharType="end"/>
      </w:r>
      <w:r w:rsidRPr="00A4069F">
        <w:rPr>
          <w:sz w:val="24"/>
          <w:szCs w:val="24"/>
        </w:rPr>
        <w:t>. It shows that time-domain simulation is an appropriate method for LTVS assessment.</w:t>
      </w:r>
      <w:bookmarkEnd w:id="359"/>
      <w:bookmarkEnd w:id="360"/>
    </w:p>
    <w:p w14:paraId="78C4B5D0" w14:textId="618F6645" w:rsidR="00FC2771" w:rsidRPr="00A4069F" w:rsidRDefault="00FC2771" w:rsidP="00A4069F">
      <w:pPr>
        <w:spacing w:after="0"/>
        <w:rPr>
          <w:sz w:val="24"/>
          <w:szCs w:val="24"/>
        </w:rPr>
      </w:pPr>
      <w:r w:rsidRPr="00A4069F">
        <w:rPr>
          <w:sz w:val="24"/>
          <w:szCs w:val="24"/>
        </w:rPr>
        <w:t xml:space="preserve">Long-term voltage stability is commonly evaluated by estimating the stability margin, which represents the allowable increase in load demand from the initial operating point up to the </w:t>
      </w:r>
      <w:r w:rsidRPr="00A4069F">
        <w:rPr>
          <w:sz w:val="24"/>
          <w:szCs w:val="24"/>
        </w:rPr>
        <w:lastRenderedPageBreak/>
        <w:t xml:space="preserve">maximum power transfer point where voltage instability begins. Accurate representation of system </w:t>
      </w:r>
      <w:r w:rsidR="009855CC" w:rsidRPr="00A4069F">
        <w:rPr>
          <w:sz w:val="24"/>
          <w:szCs w:val="24"/>
        </w:rPr>
        <w:t>behaviour</w:t>
      </w:r>
      <w:r w:rsidRPr="00A4069F">
        <w:rPr>
          <w:sz w:val="24"/>
          <w:szCs w:val="24"/>
        </w:rPr>
        <w:t xml:space="preserve"> therefore requires nonlinear models capable of incorporating effects such as operational limits, deadbands, discrete tap-changer actions, and constant or variable time delays. Continuation power flow (CPF), commonly used for PV curve analysis, remains applicable for assessing long-term voltage stability. Nevertheless, accurate modelling of voltage-controlling sources and their associated reactive power limits is necessary to ensure realistic stability margins. Both quasi-steady-state long-term dynamic simulations and full time-scale dynamic simulations may be employed for the analysis </w:t>
      </w:r>
      <w:r w:rsidRPr="00A4069F">
        <w:rPr>
          <w:sz w:val="24"/>
          <w:szCs w:val="24"/>
        </w:rPr>
        <w:fldChar w:fldCharType="begin"/>
      </w:r>
      <w:r w:rsidRPr="00A4069F">
        <w:rPr>
          <w:sz w:val="24"/>
          <w:szCs w:val="24"/>
        </w:rPr>
        <w:instrText xml:space="preserve"> REF _Ref230446708 \w \h </w:instrText>
      </w:r>
      <w:r w:rsidR="00CD4F3A" w:rsidRPr="00A4069F">
        <w:rPr>
          <w:sz w:val="24"/>
          <w:szCs w:val="24"/>
        </w:rPr>
        <w:instrText xml:space="preserve"> \* MERGEFORMAT </w:instrText>
      </w:r>
      <w:r w:rsidRPr="00A4069F">
        <w:rPr>
          <w:sz w:val="24"/>
          <w:szCs w:val="24"/>
        </w:rPr>
      </w:r>
      <w:r w:rsidRPr="00A4069F">
        <w:rPr>
          <w:sz w:val="24"/>
          <w:szCs w:val="24"/>
        </w:rPr>
        <w:fldChar w:fldCharType="separate"/>
      </w:r>
      <w:r w:rsidRPr="00A4069F">
        <w:rPr>
          <w:sz w:val="24"/>
          <w:szCs w:val="24"/>
        </w:rPr>
        <w:t>[112]</w:t>
      </w:r>
      <w:r w:rsidRPr="00A4069F">
        <w:rPr>
          <w:sz w:val="24"/>
          <w:szCs w:val="24"/>
        </w:rPr>
        <w:fldChar w:fldCharType="end"/>
      </w:r>
      <w:r w:rsidRPr="00A4069F">
        <w:rPr>
          <w:sz w:val="24"/>
          <w:szCs w:val="24"/>
        </w:rPr>
        <w:t>.</w:t>
      </w:r>
    </w:p>
    <w:p w14:paraId="2783CD9A" w14:textId="56AD11F4" w:rsidR="00A31EEA" w:rsidRPr="00E27D3B" w:rsidRDefault="00A31EEA" w:rsidP="00CD4F3A">
      <w:pPr>
        <w:pStyle w:val="Caption"/>
        <w:spacing w:line="240" w:lineRule="auto"/>
      </w:pPr>
      <w:bookmarkStart w:id="361" w:name="_Toc223626413"/>
      <w:bookmarkStart w:id="362" w:name="_Toc224235174"/>
      <w:bookmarkStart w:id="363" w:name="_Toc233735320"/>
      <w:r w:rsidRPr="00E27D3B">
        <w:t xml:space="preserve">Table </w:t>
      </w:r>
      <w:fldSimple w:instr=" SEQ Table \* ARABIC ">
        <w:r w:rsidR="00753DAF">
          <w:rPr>
            <w:noProof/>
          </w:rPr>
          <w:t>23</w:t>
        </w:r>
      </w:fldSimple>
      <w:r w:rsidR="00463216">
        <w:t>:</w:t>
      </w:r>
      <w:r w:rsidRPr="00E27D3B">
        <w:t xml:space="preserve"> A comparison </w:t>
      </w:r>
      <w:r w:rsidRPr="005C746B">
        <w:t>of</w:t>
      </w:r>
      <w:r w:rsidRPr="00E27D3B">
        <w:t xml:space="preserve"> LTVS assessment methods </w:t>
      </w:r>
      <w:bookmarkEnd w:id="361"/>
      <w:bookmarkEnd w:id="362"/>
      <w:r w:rsidR="00BD4A64">
        <w:fldChar w:fldCharType="begin"/>
      </w:r>
      <w:r w:rsidR="00BD4A64">
        <w:instrText xml:space="preserve"> REF _Ref230446704 \w \h </w:instrText>
      </w:r>
      <w:r w:rsidR="00CD4F3A">
        <w:instrText xml:space="preserve"> \* MERGEFORMAT </w:instrText>
      </w:r>
      <w:r w:rsidR="00BD4A64">
        <w:fldChar w:fldCharType="separate"/>
      </w:r>
      <w:r w:rsidR="00F53F6F">
        <w:t>[111]</w:t>
      </w:r>
      <w:r w:rsidR="00BD4A64">
        <w:fldChar w:fldCharType="end"/>
      </w:r>
      <w:r w:rsidR="00BD4A64">
        <w:fldChar w:fldCharType="begin"/>
      </w:r>
      <w:r w:rsidR="00BD4A64">
        <w:instrText xml:space="preserve"> REF _Ref230446708 \w \h </w:instrText>
      </w:r>
      <w:r w:rsidR="00CD4F3A">
        <w:instrText xml:space="preserve"> \* MERGEFORMAT </w:instrText>
      </w:r>
      <w:r w:rsidR="00BD4A64">
        <w:fldChar w:fldCharType="separate"/>
      </w:r>
      <w:r w:rsidR="00F53F6F">
        <w:t>[112]</w:t>
      </w:r>
      <w:r w:rsidR="00BD4A64">
        <w:fldChar w:fldCharType="end"/>
      </w:r>
      <w:r w:rsidR="00A4069F">
        <w:t>.</w:t>
      </w:r>
      <w:bookmarkEnd w:id="363"/>
    </w:p>
    <w:tbl>
      <w:tblPr>
        <w:tblW w:w="5000" w:type="pct"/>
        <w:tblCellMar>
          <w:left w:w="0" w:type="dxa"/>
          <w:right w:w="0" w:type="dxa"/>
        </w:tblCellMar>
        <w:tblLook w:val="0420" w:firstRow="1" w:lastRow="0" w:firstColumn="0" w:lastColumn="0" w:noHBand="0" w:noVBand="1"/>
      </w:tblPr>
      <w:tblGrid>
        <w:gridCol w:w="4218"/>
        <w:gridCol w:w="1797"/>
        <w:gridCol w:w="1108"/>
        <w:gridCol w:w="2495"/>
      </w:tblGrid>
      <w:tr w:rsidR="00A31EEA" w:rsidRPr="00E27D3B" w14:paraId="41F27480" w14:textId="77777777" w:rsidTr="00A413BB">
        <w:trPr>
          <w:trHeight w:val="382"/>
        </w:trPr>
        <w:tc>
          <w:tcPr>
            <w:tcW w:w="2193" w:type="pct"/>
            <w:tcBorders>
              <w:top w:val="single" w:sz="8" w:space="0" w:color="0602FF"/>
              <w:left w:val="single" w:sz="8" w:space="0" w:color="0602FF"/>
              <w:bottom w:val="single" w:sz="24" w:space="0" w:color="0602FF"/>
              <w:right w:val="single" w:sz="8" w:space="0" w:color="0602FF"/>
            </w:tcBorders>
            <w:shd w:val="clear" w:color="auto" w:fill="F9E3D0"/>
            <w:tcMar>
              <w:top w:w="0" w:type="dxa"/>
              <w:left w:w="142" w:type="dxa"/>
              <w:bottom w:w="0" w:type="dxa"/>
              <w:right w:w="142" w:type="dxa"/>
            </w:tcMar>
            <w:vAlign w:val="center"/>
            <w:hideMark/>
          </w:tcPr>
          <w:p w14:paraId="06734405" w14:textId="77777777" w:rsidR="00A31EEA" w:rsidRPr="00E27D3B" w:rsidRDefault="00A31EEA" w:rsidP="00CD4F3A">
            <w:pPr>
              <w:pStyle w:val="TableText"/>
              <w:rPr>
                <w:b/>
                <w:bCs/>
                <w:lang w:val="en-US"/>
              </w:rPr>
            </w:pPr>
            <w:r w:rsidRPr="00E27D3B">
              <w:rPr>
                <w:b/>
                <w:bCs/>
              </w:rPr>
              <w:t>Assessment Method</w:t>
            </w:r>
          </w:p>
        </w:tc>
        <w:tc>
          <w:tcPr>
            <w:tcW w:w="934" w:type="pct"/>
            <w:tcBorders>
              <w:top w:val="single" w:sz="8" w:space="0" w:color="0602FF"/>
              <w:left w:val="single" w:sz="8" w:space="0" w:color="0602FF"/>
              <w:bottom w:val="single" w:sz="24" w:space="0" w:color="0602FF"/>
              <w:right w:val="single" w:sz="8" w:space="0" w:color="0602FF"/>
            </w:tcBorders>
            <w:shd w:val="clear" w:color="auto" w:fill="F9E3D0"/>
            <w:tcMar>
              <w:top w:w="0" w:type="dxa"/>
              <w:left w:w="142" w:type="dxa"/>
              <w:bottom w:w="0" w:type="dxa"/>
              <w:right w:w="142" w:type="dxa"/>
            </w:tcMar>
            <w:vAlign w:val="center"/>
            <w:hideMark/>
          </w:tcPr>
          <w:p w14:paraId="0F053AB4" w14:textId="77777777" w:rsidR="00A31EEA" w:rsidRPr="00E27D3B" w:rsidRDefault="00A31EEA" w:rsidP="00CD4F3A">
            <w:pPr>
              <w:pStyle w:val="TableText"/>
              <w:rPr>
                <w:b/>
                <w:bCs/>
                <w:lang w:val="en-US"/>
              </w:rPr>
            </w:pPr>
            <w:r w:rsidRPr="00E27D3B">
              <w:rPr>
                <w:b/>
                <w:bCs/>
              </w:rPr>
              <w:t>Useful for</w:t>
            </w:r>
          </w:p>
          <w:p w14:paraId="56A9B86C" w14:textId="77777777" w:rsidR="00A31EEA" w:rsidRPr="00E27D3B" w:rsidRDefault="00A31EEA" w:rsidP="00CD4F3A">
            <w:pPr>
              <w:pStyle w:val="TableText"/>
              <w:rPr>
                <w:b/>
                <w:bCs/>
                <w:lang w:val="en-US"/>
              </w:rPr>
            </w:pPr>
            <w:r w:rsidRPr="00E27D3B">
              <w:rPr>
                <w:b/>
                <w:bCs/>
              </w:rPr>
              <w:t>IBR-rich Systems</w:t>
            </w:r>
          </w:p>
        </w:tc>
        <w:tc>
          <w:tcPr>
            <w:tcW w:w="576" w:type="pct"/>
            <w:tcBorders>
              <w:top w:val="single" w:sz="8" w:space="0" w:color="0602FF"/>
              <w:left w:val="single" w:sz="8" w:space="0" w:color="0602FF"/>
              <w:bottom w:val="single" w:sz="24" w:space="0" w:color="0602FF"/>
              <w:right w:val="single" w:sz="8" w:space="0" w:color="0602FF"/>
            </w:tcBorders>
            <w:shd w:val="clear" w:color="auto" w:fill="F9E3D0"/>
            <w:tcMar>
              <w:top w:w="0" w:type="dxa"/>
              <w:left w:w="142" w:type="dxa"/>
              <w:bottom w:w="0" w:type="dxa"/>
              <w:right w:w="142" w:type="dxa"/>
            </w:tcMar>
            <w:vAlign w:val="center"/>
            <w:hideMark/>
          </w:tcPr>
          <w:p w14:paraId="4814E771" w14:textId="77777777" w:rsidR="00A31EEA" w:rsidRPr="00E27D3B" w:rsidRDefault="00A31EEA" w:rsidP="00CD4F3A">
            <w:pPr>
              <w:pStyle w:val="TableText"/>
              <w:rPr>
                <w:b/>
                <w:bCs/>
                <w:lang w:val="en-US"/>
              </w:rPr>
            </w:pPr>
            <w:r w:rsidRPr="00E27D3B">
              <w:rPr>
                <w:b/>
                <w:bCs/>
              </w:rPr>
              <w:t>Accuracy</w:t>
            </w:r>
          </w:p>
        </w:tc>
        <w:tc>
          <w:tcPr>
            <w:tcW w:w="1297" w:type="pct"/>
            <w:tcBorders>
              <w:top w:val="single" w:sz="8" w:space="0" w:color="0602FF"/>
              <w:left w:val="single" w:sz="8" w:space="0" w:color="0602FF"/>
              <w:bottom w:val="single" w:sz="24" w:space="0" w:color="0602FF"/>
              <w:right w:val="single" w:sz="8" w:space="0" w:color="0602FF"/>
            </w:tcBorders>
            <w:shd w:val="clear" w:color="auto" w:fill="F9E3D0"/>
            <w:tcMar>
              <w:top w:w="0" w:type="dxa"/>
              <w:left w:w="142" w:type="dxa"/>
              <w:bottom w:w="0" w:type="dxa"/>
              <w:right w:w="142" w:type="dxa"/>
            </w:tcMar>
            <w:vAlign w:val="center"/>
            <w:hideMark/>
          </w:tcPr>
          <w:p w14:paraId="64FFBC94" w14:textId="77777777" w:rsidR="00A31EEA" w:rsidRPr="00E27D3B" w:rsidRDefault="00A31EEA" w:rsidP="00CD4F3A">
            <w:pPr>
              <w:pStyle w:val="TableText"/>
              <w:rPr>
                <w:b/>
                <w:bCs/>
                <w:lang w:val="en-US"/>
              </w:rPr>
            </w:pPr>
            <w:r w:rsidRPr="00E27D3B">
              <w:rPr>
                <w:b/>
                <w:bCs/>
              </w:rPr>
              <w:t>Computational Complexity</w:t>
            </w:r>
          </w:p>
        </w:tc>
      </w:tr>
      <w:tr w:rsidR="00A31EEA" w:rsidRPr="00E27D3B" w14:paraId="35CFEB6E" w14:textId="77777777" w:rsidTr="00A413BB">
        <w:trPr>
          <w:trHeight w:val="266"/>
        </w:trPr>
        <w:tc>
          <w:tcPr>
            <w:tcW w:w="2193" w:type="pct"/>
            <w:tcBorders>
              <w:top w:val="single" w:sz="24" w:space="0" w:color="0602FF"/>
              <w:left w:val="single" w:sz="8" w:space="0" w:color="0602FF"/>
              <w:bottom w:val="single" w:sz="8" w:space="0" w:color="0602FF"/>
              <w:right w:val="single" w:sz="8" w:space="0" w:color="0602FF"/>
            </w:tcBorders>
            <w:shd w:val="clear" w:color="auto" w:fill="FDF4EE"/>
            <w:tcMar>
              <w:top w:w="0" w:type="dxa"/>
              <w:left w:w="142" w:type="dxa"/>
              <w:bottom w:w="0" w:type="dxa"/>
              <w:right w:w="142" w:type="dxa"/>
            </w:tcMar>
            <w:vAlign w:val="center"/>
            <w:hideMark/>
          </w:tcPr>
          <w:p w14:paraId="0D6C1A36" w14:textId="77777777" w:rsidR="00A31EEA" w:rsidRPr="00E27D3B" w:rsidRDefault="00A31EEA" w:rsidP="00CD4F3A">
            <w:pPr>
              <w:pStyle w:val="TableText"/>
              <w:rPr>
                <w:lang w:val="en-US"/>
              </w:rPr>
            </w:pPr>
            <w:r w:rsidRPr="00E27D3B">
              <w:t>Time-domain simulation</w:t>
            </w:r>
          </w:p>
        </w:tc>
        <w:tc>
          <w:tcPr>
            <w:tcW w:w="934" w:type="pct"/>
            <w:tcBorders>
              <w:top w:val="single" w:sz="24" w:space="0" w:color="0602FF"/>
              <w:left w:val="single" w:sz="8" w:space="0" w:color="0602FF"/>
              <w:bottom w:val="single" w:sz="8" w:space="0" w:color="0602FF"/>
              <w:right w:val="single" w:sz="8" w:space="0" w:color="0602FF"/>
            </w:tcBorders>
            <w:shd w:val="clear" w:color="auto" w:fill="00B050"/>
            <w:tcMar>
              <w:top w:w="0" w:type="dxa"/>
              <w:left w:w="142" w:type="dxa"/>
              <w:bottom w:w="0" w:type="dxa"/>
              <w:right w:w="142" w:type="dxa"/>
            </w:tcMar>
            <w:vAlign w:val="center"/>
            <w:hideMark/>
          </w:tcPr>
          <w:p w14:paraId="07363694" w14:textId="77777777" w:rsidR="00A31EEA" w:rsidRPr="00E27D3B" w:rsidRDefault="00A31EEA" w:rsidP="00CD4F3A">
            <w:pPr>
              <w:pStyle w:val="TableText"/>
              <w:rPr>
                <w:lang w:val="en-US"/>
              </w:rPr>
            </w:pPr>
            <w:r w:rsidRPr="00E27D3B">
              <w:t>Very Useful</w:t>
            </w:r>
          </w:p>
        </w:tc>
        <w:tc>
          <w:tcPr>
            <w:tcW w:w="576" w:type="pct"/>
            <w:tcBorders>
              <w:top w:val="single" w:sz="24" w:space="0" w:color="0602FF"/>
              <w:left w:val="single" w:sz="8" w:space="0" w:color="0602FF"/>
              <w:bottom w:val="single" w:sz="8" w:space="0" w:color="0602FF"/>
              <w:right w:val="single" w:sz="8" w:space="0" w:color="0602FF"/>
            </w:tcBorders>
            <w:shd w:val="clear" w:color="auto" w:fill="00B050"/>
            <w:tcMar>
              <w:top w:w="0" w:type="dxa"/>
              <w:left w:w="142" w:type="dxa"/>
              <w:bottom w:w="0" w:type="dxa"/>
              <w:right w:w="142" w:type="dxa"/>
            </w:tcMar>
            <w:vAlign w:val="center"/>
            <w:hideMark/>
          </w:tcPr>
          <w:p w14:paraId="45D87EA4" w14:textId="77777777" w:rsidR="00A31EEA" w:rsidRPr="00E27D3B" w:rsidRDefault="00A31EEA" w:rsidP="00CD4F3A">
            <w:pPr>
              <w:pStyle w:val="TableText"/>
              <w:rPr>
                <w:lang w:val="en-US"/>
              </w:rPr>
            </w:pPr>
            <w:r w:rsidRPr="00E27D3B">
              <w:t>Very High</w:t>
            </w:r>
          </w:p>
        </w:tc>
        <w:tc>
          <w:tcPr>
            <w:tcW w:w="1297" w:type="pct"/>
            <w:tcBorders>
              <w:top w:val="single" w:sz="24" w:space="0" w:color="0602FF"/>
              <w:left w:val="single" w:sz="8" w:space="0" w:color="0602FF"/>
              <w:bottom w:val="single" w:sz="8" w:space="0" w:color="0602FF"/>
              <w:right w:val="single" w:sz="8" w:space="0" w:color="0602FF"/>
            </w:tcBorders>
            <w:shd w:val="clear" w:color="auto" w:fill="FD9477"/>
            <w:tcMar>
              <w:top w:w="0" w:type="dxa"/>
              <w:left w:w="142" w:type="dxa"/>
              <w:bottom w:w="0" w:type="dxa"/>
              <w:right w:w="142" w:type="dxa"/>
            </w:tcMar>
            <w:vAlign w:val="center"/>
            <w:hideMark/>
          </w:tcPr>
          <w:p w14:paraId="1D7F403B" w14:textId="77777777" w:rsidR="00A31EEA" w:rsidRPr="00E27D3B" w:rsidRDefault="00A31EEA" w:rsidP="00CD4F3A">
            <w:pPr>
              <w:pStyle w:val="TableText"/>
              <w:rPr>
                <w:lang w:val="en-US"/>
              </w:rPr>
            </w:pPr>
            <w:r w:rsidRPr="00E27D3B">
              <w:t>Very High</w:t>
            </w:r>
          </w:p>
        </w:tc>
      </w:tr>
      <w:tr w:rsidR="00A31EEA" w:rsidRPr="00E27D3B" w14:paraId="1879582F" w14:textId="77777777" w:rsidTr="00A413BB">
        <w:trPr>
          <w:trHeight w:val="56"/>
        </w:trPr>
        <w:tc>
          <w:tcPr>
            <w:tcW w:w="2193" w:type="pct"/>
            <w:tcBorders>
              <w:top w:val="single" w:sz="8" w:space="0" w:color="0602FF"/>
              <w:left w:val="single" w:sz="8" w:space="0" w:color="0602FF"/>
              <w:bottom w:val="single" w:sz="8" w:space="0" w:color="0602FF"/>
              <w:right w:val="single" w:sz="8" w:space="0" w:color="0602FF"/>
            </w:tcBorders>
            <w:shd w:val="clear" w:color="auto" w:fill="FEFAF7"/>
            <w:tcMar>
              <w:top w:w="0" w:type="dxa"/>
              <w:left w:w="142" w:type="dxa"/>
              <w:bottom w:w="0" w:type="dxa"/>
              <w:right w:w="142" w:type="dxa"/>
            </w:tcMar>
            <w:vAlign w:val="center"/>
            <w:hideMark/>
          </w:tcPr>
          <w:p w14:paraId="0487A631" w14:textId="77777777" w:rsidR="00A31EEA" w:rsidRPr="00E27D3B" w:rsidRDefault="00A31EEA" w:rsidP="00CD4F3A">
            <w:pPr>
              <w:pStyle w:val="TableText"/>
              <w:rPr>
                <w:lang w:val="en-US"/>
              </w:rPr>
            </w:pPr>
            <w:r w:rsidRPr="00E27D3B">
              <w:t>Adaptive continuation method</w:t>
            </w:r>
          </w:p>
        </w:tc>
        <w:tc>
          <w:tcPr>
            <w:tcW w:w="934" w:type="pct"/>
            <w:tcBorders>
              <w:top w:val="single" w:sz="8" w:space="0" w:color="0602FF"/>
              <w:left w:val="single" w:sz="8" w:space="0" w:color="0602FF"/>
              <w:bottom w:val="single" w:sz="8" w:space="0" w:color="0602FF"/>
              <w:right w:val="single" w:sz="8" w:space="0" w:color="0602FF"/>
            </w:tcBorders>
            <w:shd w:val="clear" w:color="auto" w:fill="30A173"/>
            <w:tcMar>
              <w:top w:w="0" w:type="dxa"/>
              <w:left w:w="142" w:type="dxa"/>
              <w:bottom w:w="0" w:type="dxa"/>
              <w:right w:w="142" w:type="dxa"/>
            </w:tcMar>
            <w:vAlign w:val="center"/>
            <w:hideMark/>
          </w:tcPr>
          <w:p w14:paraId="62FF675C" w14:textId="77777777" w:rsidR="00A31EEA" w:rsidRPr="00E27D3B" w:rsidRDefault="00A31EEA" w:rsidP="00CD4F3A">
            <w:pPr>
              <w:pStyle w:val="TableText"/>
              <w:rPr>
                <w:lang w:val="en-US"/>
              </w:rPr>
            </w:pPr>
            <w:r w:rsidRPr="00E27D3B">
              <w:t>Moderately Useful</w:t>
            </w:r>
          </w:p>
        </w:tc>
        <w:tc>
          <w:tcPr>
            <w:tcW w:w="576" w:type="pct"/>
            <w:tcBorders>
              <w:top w:val="single" w:sz="8" w:space="0" w:color="0602FF"/>
              <w:left w:val="single" w:sz="8" w:space="0" w:color="0602FF"/>
              <w:bottom w:val="single" w:sz="8" w:space="0" w:color="0602FF"/>
              <w:right w:val="single" w:sz="8" w:space="0" w:color="0602FF"/>
            </w:tcBorders>
            <w:shd w:val="clear" w:color="auto" w:fill="30A173"/>
            <w:tcMar>
              <w:top w:w="0" w:type="dxa"/>
              <w:left w:w="142" w:type="dxa"/>
              <w:bottom w:w="0" w:type="dxa"/>
              <w:right w:w="142" w:type="dxa"/>
            </w:tcMar>
            <w:vAlign w:val="center"/>
            <w:hideMark/>
          </w:tcPr>
          <w:p w14:paraId="7B2D3226" w14:textId="77777777" w:rsidR="00A31EEA" w:rsidRPr="00E27D3B" w:rsidRDefault="00A31EEA" w:rsidP="00CD4F3A">
            <w:pPr>
              <w:pStyle w:val="TableText"/>
              <w:rPr>
                <w:lang w:val="en-US"/>
              </w:rPr>
            </w:pPr>
            <w:r w:rsidRPr="00E27D3B">
              <w:t>High</w:t>
            </w:r>
          </w:p>
        </w:tc>
        <w:tc>
          <w:tcPr>
            <w:tcW w:w="1297" w:type="pct"/>
            <w:tcBorders>
              <w:top w:val="single" w:sz="8" w:space="0" w:color="0602FF"/>
              <w:left w:val="single" w:sz="8" w:space="0" w:color="0602FF"/>
              <w:bottom w:val="single" w:sz="8" w:space="0" w:color="0602FF"/>
              <w:right w:val="single" w:sz="8" w:space="0" w:color="0602FF"/>
            </w:tcBorders>
            <w:shd w:val="clear" w:color="auto" w:fill="99E0C3"/>
            <w:tcMar>
              <w:top w:w="0" w:type="dxa"/>
              <w:left w:w="142" w:type="dxa"/>
              <w:bottom w:w="0" w:type="dxa"/>
              <w:right w:w="142" w:type="dxa"/>
            </w:tcMar>
            <w:vAlign w:val="center"/>
            <w:hideMark/>
          </w:tcPr>
          <w:p w14:paraId="0FE9D411" w14:textId="77777777" w:rsidR="00A31EEA" w:rsidRPr="00E27D3B" w:rsidRDefault="00A31EEA" w:rsidP="00CD4F3A">
            <w:pPr>
              <w:pStyle w:val="TableText"/>
              <w:rPr>
                <w:lang w:val="en-US"/>
              </w:rPr>
            </w:pPr>
            <w:r w:rsidRPr="00E27D3B">
              <w:t>Moderate</w:t>
            </w:r>
          </w:p>
        </w:tc>
      </w:tr>
      <w:tr w:rsidR="00A31EEA" w:rsidRPr="00E27D3B" w14:paraId="76B64F45" w14:textId="77777777" w:rsidTr="00A413BB">
        <w:trPr>
          <w:trHeight w:val="118"/>
        </w:trPr>
        <w:tc>
          <w:tcPr>
            <w:tcW w:w="2193" w:type="pct"/>
            <w:tcBorders>
              <w:top w:val="single" w:sz="8" w:space="0" w:color="0602FF"/>
              <w:left w:val="single" w:sz="8" w:space="0" w:color="0602FF"/>
              <w:bottom w:val="single" w:sz="8" w:space="0" w:color="0602FF"/>
              <w:right w:val="single" w:sz="8" w:space="0" w:color="0602FF"/>
            </w:tcBorders>
            <w:shd w:val="clear" w:color="auto" w:fill="FDF4EE"/>
            <w:tcMar>
              <w:top w:w="0" w:type="dxa"/>
              <w:left w:w="142" w:type="dxa"/>
              <w:bottom w:w="0" w:type="dxa"/>
              <w:right w:w="142" w:type="dxa"/>
            </w:tcMar>
            <w:vAlign w:val="center"/>
            <w:hideMark/>
          </w:tcPr>
          <w:p w14:paraId="0238CBE9" w14:textId="77777777" w:rsidR="00A31EEA" w:rsidRPr="00E27D3B" w:rsidRDefault="00A31EEA" w:rsidP="00CD4F3A">
            <w:pPr>
              <w:pStyle w:val="TableText"/>
              <w:rPr>
                <w:lang w:val="en-US"/>
              </w:rPr>
            </w:pPr>
            <w:r w:rsidRPr="00E27D3B">
              <w:t>Energy function method</w:t>
            </w:r>
          </w:p>
        </w:tc>
        <w:tc>
          <w:tcPr>
            <w:tcW w:w="934" w:type="pct"/>
            <w:tcBorders>
              <w:top w:val="single" w:sz="8" w:space="0" w:color="0602FF"/>
              <w:left w:val="single" w:sz="8" w:space="0" w:color="0602FF"/>
              <w:bottom w:val="single" w:sz="8" w:space="0" w:color="0602FF"/>
              <w:right w:val="single" w:sz="8" w:space="0" w:color="0602FF"/>
            </w:tcBorders>
            <w:shd w:val="clear" w:color="auto" w:fill="FD9477"/>
            <w:tcMar>
              <w:top w:w="0" w:type="dxa"/>
              <w:left w:w="142" w:type="dxa"/>
              <w:bottom w:w="0" w:type="dxa"/>
              <w:right w:w="142" w:type="dxa"/>
            </w:tcMar>
            <w:vAlign w:val="center"/>
            <w:hideMark/>
          </w:tcPr>
          <w:p w14:paraId="57F34C09" w14:textId="77777777" w:rsidR="00A31EEA" w:rsidRPr="00E27D3B" w:rsidRDefault="00A31EEA" w:rsidP="00CD4F3A">
            <w:pPr>
              <w:pStyle w:val="TableText"/>
              <w:rPr>
                <w:lang w:val="en-US"/>
              </w:rPr>
            </w:pPr>
            <w:r w:rsidRPr="00E27D3B">
              <w:t>Less Useful</w:t>
            </w:r>
          </w:p>
        </w:tc>
        <w:tc>
          <w:tcPr>
            <w:tcW w:w="576" w:type="pct"/>
            <w:tcBorders>
              <w:top w:val="single" w:sz="8" w:space="0" w:color="0602FF"/>
              <w:left w:val="single" w:sz="8" w:space="0" w:color="0602FF"/>
              <w:bottom w:val="single" w:sz="8" w:space="0" w:color="0602FF"/>
              <w:right w:val="single" w:sz="8" w:space="0" w:color="0602FF"/>
            </w:tcBorders>
            <w:shd w:val="clear" w:color="auto" w:fill="99E0C3"/>
            <w:tcMar>
              <w:top w:w="0" w:type="dxa"/>
              <w:left w:w="142" w:type="dxa"/>
              <w:bottom w:w="0" w:type="dxa"/>
              <w:right w:w="142" w:type="dxa"/>
            </w:tcMar>
            <w:vAlign w:val="center"/>
            <w:hideMark/>
          </w:tcPr>
          <w:p w14:paraId="2BB8DD6C" w14:textId="77777777" w:rsidR="00A31EEA" w:rsidRPr="00E27D3B" w:rsidRDefault="00A31EEA" w:rsidP="00CD4F3A">
            <w:pPr>
              <w:pStyle w:val="TableText"/>
              <w:rPr>
                <w:lang w:val="en-US"/>
              </w:rPr>
            </w:pPr>
            <w:r w:rsidRPr="00E27D3B">
              <w:t>Moderate</w:t>
            </w:r>
          </w:p>
        </w:tc>
        <w:tc>
          <w:tcPr>
            <w:tcW w:w="1297" w:type="pct"/>
            <w:tcBorders>
              <w:top w:val="single" w:sz="8" w:space="0" w:color="0602FF"/>
              <w:left w:val="single" w:sz="8" w:space="0" w:color="0602FF"/>
              <w:bottom w:val="single" w:sz="8" w:space="0" w:color="0602FF"/>
              <w:right w:val="single" w:sz="8" w:space="0" w:color="0602FF"/>
            </w:tcBorders>
            <w:shd w:val="clear" w:color="auto" w:fill="99E0C3"/>
            <w:tcMar>
              <w:top w:w="0" w:type="dxa"/>
              <w:left w:w="142" w:type="dxa"/>
              <w:bottom w:w="0" w:type="dxa"/>
              <w:right w:w="142" w:type="dxa"/>
            </w:tcMar>
            <w:vAlign w:val="center"/>
            <w:hideMark/>
          </w:tcPr>
          <w:p w14:paraId="6E135525" w14:textId="77777777" w:rsidR="00A31EEA" w:rsidRPr="00E27D3B" w:rsidRDefault="00A31EEA" w:rsidP="00CD4F3A">
            <w:pPr>
              <w:pStyle w:val="TableText"/>
              <w:rPr>
                <w:lang w:val="en-US"/>
              </w:rPr>
            </w:pPr>
            <w:r w:rsidRPr="00E27D3B">
              <w:t>Moderate</w:t>
            </w:r>
          </w:p>
        </w:tc>
      </w:tr>
      <w:tr w:rsidR="00A31EEA" w:rsidRPr="00E27D3B" w14:paraId="26846A02" w14:textId="77777777" w:rsidTr="00A413BB">
        <w:trPr>
          <w:trHeight w:val="43"/>
        </w:trPr>
        <w:tc>
          <w:tcPr>
            <w:tcW w:w="2193" w:type="pct"/>
            <w:tcBorders>
              <w:top w:val="single" w:sz="8" w:space="0" w:color="0602FF"/>
              <w:left w:val="single" w:sz="8" w:space="0" w:color="0602FF"/>
              <w:bottom w:val="single" w:sz="8" w:space="0" w:color="0602FF"/>
              <w:right w:val="single" w:sz="8" w:space="0" w:color="0602FF"/>
            </w:tcBorders>
            <w:shd w:val="clear" w:color="auto" w:fill="FEFAF7"/>
            <w:tcMar>
              <w:top w:w="0" w:type="dxa"/>
              <w:left w:w="142" w:type="dxa"/>
              <w:bottom w:w="0" w:type="dxa"/>
              <w:right w:w="142" w:type="dxa"/>
            </w:tcMar>
            <w:vAlign w:val="center"/>
            <w:hideMark/>
          </w:tcPr>
          <w:p w14:paraId="4B0BFA62" w14:textId="77777777" w:rsidR="00A31EEA" w:rsidRPr="00E27D3B" w:rsidRDefault="00A31EEA" w:rsidP="00CD4F3A">
            <w:pPr>
              <w:pStyle w:val="TableText"/>
              <w:rPr>
                <w:lang w:val="en-US"/>
              </w:rPr>
            </w:pPr>
            <w:r w:rsidRPr="00E27D3B">
              <w:t>Coupled single-port Thevenin equivalent method</w:t>
            </w:r>
          </w:p>
        </w:tc>
        <w:tc>
          <w:tcPr>
            <w:tcW w:w="934" w:type="pct"/>
            <w:tcBorders>
              <w:top w:val="single" w:sz="8" w:space="0" w:color="0602FF"/>
              <w:left w:val="single" w:sz="8" w:space="0" w:color="0602FF"/>
              <w:bottom w:val="single" w:sz="8" w:space="0" w:color="0602FF"/>
              <w:right w:val="single" w:sz="8" w:space="0" w:color="0602FF"/>
            </w:tcBorders>
            <w:shd w:val="clear" w:color="auto" w:fill="FD9477"/>
            <w:tcMar>
              <w:top w:w="0" w:type="dxa"/>
              <w:left w:w="142" w:type="dxa"/>
              <w:bottom w:w="0" w:type="dxa"/>
              <w:right w:w="142" w:type="dxa"/>
            </w:tcMar>
            <w:vAlign w:val="center"/>
            <w:hideMark/>
          </w:tcPr>
          <w:p w14:paraId="2591663B" w14:textId="77777777" w:rsidR="00A31EEA" w:rsidRPr="00E27D3B" w:rsidRDefault="00A31EEA" w:rsidP="00CD4F3A">
            <w:pPr>
              <w:pStyle w:val="TableText"/>
              <w:rPr>
                <w:lang w:val="en-US"/>
              </w:rPr>
            </w:pPr>
            <w:r w:rsidRPr="00E27D3B">
              <w:t>Less Useful</w:t>
            </w:r>
          </w:p>
        </w:tc>
        <w:tc>
          <w:tcPr>
            <w:tcW w:w="576" w:type="pct"/>
            <w:tcBorders>
              <w:top w:val="single" w:sz="8" w:space="0" w:color="0602FF"/>
              <w:left w:val="single" w:sz="8" w:space="0" w:color="0602FF"/>
              <w:bottom w:val="single" w:sz="8" w:space="0" w:color="0602FF"/>
              <w:right w:val="single" w:sz="8" w:space="0" w:color="0602FF"/>
            </w:tcBorders>
            <w:shd w:val="clear" w:color="auto" w:fill="FD9477"/>
            <w:tcMar>
              <w:top w:w="0" w:type="dxa"/>
              <w:left w:w="142" w:type="dxa"/>
              <w:bottom w:w="0" w:type="dxa"/>
              <w:right w:w="142" w:type="dxa"/>
            </w:tcMar>
            <w:vAlign w:val="center"/>
            <w:hideMark/>
          </w:tcPr>
          <w:p w14:paraId="560BBD19" w14:textId="77777777" w:rsidR="00A31EEA" w:rsidRPr="00E27D3B" w:rsidRDefault="00A31EEA" w:rsidP="00CD4F3A">
            <w:pPr>
              <w:pStyle w:val="TableText"/>
              <w:rPr>
                <w:lang w:val="en-US"/>
              </w:rPr>
            </w:pPr>
            <w:r w:rsidRPr="00E27D3B">
              <w:t>Low</w:t>
            </w:r>
          </w:p>
        </w:tc>
        <w:tc>
          <w:tcPr>
            <w:tcW w:w="1297" w:type="pct"/>
            <w:tcBorders>
              <w:top w:val="single" w:sz="8" w:space="0" w:color="0602FF"/>
              <w:left w:val="single" w:sz="8" w:space="0" w:color="0602FF"/>
              <w:bottom w:val="single" w:sz="8" w:space="0" w:color="0602FF"/>
              <w:right w:val="single" w:sz="8" w:space="0" w:color="0602FF"/>
            </w:tcBorders>
            <w:shd w:val="clear" w:color="auto" w:fill="00B050"/>
            <w:tcMar>
              <w:top w:w="0" w:type="dxa"/>
              <w:left w:w="142" w:type="dxa"/>
              <w:bottom w:w="0" w:type="dxa"/>
              <w:right w:w="142" w:type="dxa"/>
            </w:tcMar>
            <w:vAlign w:val="center"/>
            <w:hideMark/>
          </w:tcPr>
          <w:p w14:paraId="1B6255DB" w14:textId="77777777" w:rsidR="00A31EEA" w:rsidRPr="00E27D3B" w:rsidRDefault="00A31EEA" w:rsidP="00CD4F3A">
            <w:pPr>
              <w:pStyle w:val="TableText"/>
              <w:rPr>
                <w:lang w:val="en-US"/>
              </w:rPr>
            </w:pPr>
            <w:r w:rsidRPr="00E27D3B">
              <w:t>Low</w:t>
            </w:r>
          </w:p>
        </w:tc>
      </w:tr>
    </w:tbl>
    <w:p w14:paraId="3AB1DC86" w14:textId="77777777" w:rsidR="00A31EEA" w:rsidRPr="00E27D3B" w:rsidRDefault="00A31EEA" w:rsidP="00CD4F3A">
      <w:pPr>
        <w:pStyle w:val="Heading4"/>
      </w:pPr>
      <w:r w:rsidRPr="00E27D3B">
        <w:t>Impact of Increasing Renewable Penetration for Different Contingencies on LTVS</w:t>
      </w:r>
    </w:p>
    <w:p w14:paraId="5465D1AD" w14:textId="201CCBC3" w:rsidR="00A31EEA" w:rsidRPr="00A4069F" w:rsidRDefault="00A31EEA" w:rsidP="00DC298B">
      <w:pPr>
        <w:spacing w:after="0"/>
        <w:rPr>
          <w:sz w:val="24"/>
          <w:szCs w:val="24"/>
        </w:rPr>
      </w:pPr>
      <w:r w:rsidRPr="00A4069F">
        <w:rPr>
          <w:sz w:val="24"/>
          <w:szCs w:val="24"/>
        </w:rPr>
        <w:t>For assessing the impact of increased penetration of renewable generation, synchronous generators in IEEE 39-bus test system were gradually replaced with wind farms of the same MVA and MW rating as shown in</w:t>
      </w:r>
      <w:r w:rsidR="00F06ADD" w:rsidRPr="00A4069F">
        <w:rPr>
          <w:sz w:val="24"/>
          <w:szCs w:val="24"/>
        </w:rPr>
        <w:t xml:space="preserve"> </w:t>
      </w:r>
      <w:r w:rsidR="00F06ADD" w:rsidRPr="00A4069F">
        <w:rPr>
          <w:sz w:val="24"/>
          <w:szCs w:val="24"/>
        </w:rPr>
        <w:fldChar w:fldCharType="begin"/>
      </w:r>
      <w:r w:rsidR="00F06ADD" w:rsidRPr="00A4069F">
        <w:rPr>
          <w:sz w:val="24"/>
          <w:szCs w:val="24"/>
        </w:rPr>
        <w:instrText xml:space="preserve"> REF _Ref233547902 \h </w:instrText>
      </w:r>
      <w:r w:rsidR="00A4069F">
        <w:rPr>
          <w:sz w:val="24"/>
          <w:szCs w:val="24"/>
        </w:rPr>
        <w:instrText xml:space="preserve"> \* MERGEFORMAT </w:instrText>
      </w:r>
      <w:r w:rsidR="00F06ADD" w:rsidRPr="00A4069F">
        <w:rPr>
          <w:sz w:val="24"/>
          <w:szCs w:val="24"/>
        </w:rPr>
      </w:r>
      <w:r w:rsidR="00F06ADD" w:rsidRPr="00A4069F">
        <w:rPr>
          <w:sz w:val="24"/>
          <w:szCs w:val="24"/>
        </w:rPr>
        <w:fldChar w:fldCharType="separate"/>
      </w:r>
      <w:r w:rsidR="00F06ADD" w:rsidRPr="00A4069F">
        <w:rPr>
          <w:sz w:val="24"/>
          <w:szCs w:val="24"/>
        </w:rPr>
        <w:t xml:space="preserve">Table </w:t>
      </w:r>
      <w:r w:rsidR="00F06ADD" w:rsidRPr="00A4069F">
        <w:rPr>
          <w:noProof/>
          <w:sz w:val="24"/>
          <w:szCs w:val="24"/>
        </w:rPr>
        <w:t>24</w:t>
      </w:r>
      <w:r w:rsidR="00F06ADD" w:rsidRPr="00A4069F">
        <w:rPr>
          <w:sz w:val="24"/>
          <w:szCs w:val="24"/>
        </w:rPr>
        <w:fldChar w:fldCharType="end"/>
      </w:r>
      <w:r w:rsidRPr="00A4069F">
        <w:rPr>
          <w:sz w:val="24"/>
          <w:szCs w:val="24"/>
        </w:rPr>
        <w:t xml:space="preserve">. The wind turbine generators were assigned a reactive power capability of ±0.436 </w:t>
      </w:r>
      <w:proofErr w:type="spellStart"/>
      <w:r w:rsidRPr="00A4069F">
        <w:rPr>
          <w:sz w:val="24"/>
          <w:szCs w:val="24"/>
        </w:rPr>
        <w:t>pu</w:t>
      </w:r>
      <w:proofErr w:type="spellEnd"/>
      <w:r w:rsidRPr="00A4069F">
        <w:rPr>
          <w:sz w:val="24"/>
          <w:szCs w:val="24"/>
        </w:rPr>
        <w:t xml:space="preserve"> and operated in voltage control mode. Voltage stability limits in terms of maximum </w:t>
      </w:r>
      <w:proofErr w:type="spellStart"/>
      <w:r w:rsidRPr="00A4069F">
        <w:rPr>
          <w:sz w:val="24"/>
          <w:szCs w:val="24"/>
        </w:rPr>
        <w:t>loadability</w:t>
      </w:r>
      <w:proofErr w:type="spellEnd"/>
      <w:r w:rsidRPr="00A4069F">
        <w:rPr>
          <w:sz w:val="24"/>
          <w:szCs w:val="24"/>
        </w:rPr>
        <w:t xml:space="preserve"> are shown in </w:t>
      </w:r>
      <w:r w:rsidR="00BE1504" w:rsidRPr="00A4069F">
        <w:rPr>
          <w:sz w:val="24"/>
          <w:szCs w:val="24"/>
        </w:rPr>
        <w:t>Figur</w:t>
      </w:r>
      <w:r w:rsidR="009855CC" w:rsidRPr="00A4069F">
        <w:rPr>
          <w:sz w:val="24"/>
          <w:szCs w:val="24"/>
        </w:rPr>
        <w:t>e 60</w:t>
      </w:r>
      <w:r w:rsidRPr="00A4069F">
        <w:rPr>
          <w:sz w:val="24"/>
          <w:szCs w:val="24"/>
        </w:rPr>
        <w:t>.</w:t>
      </w:r>
    </w:p>
    <w:p w14:paraId="243BDB1C" w14:textId="75481A11" w:rsidR="00B44089" w:rsidRPr="00E27D3B" w:rsidRDefault="00B44089" w:rsidP="00CD4F3A">
      <w:pPr>
        <w:pStyle w:val="Caption"/>
        <w:spacing w:line="240" w:lineRule="auto"/>
      </w:pPr>
      <w:bookmarkStart w:id="364" w:name="_Ref233547902"/>
      <w:bookmarkStart w:id="365" w:name="_Toc223626414"/>
      <w:bookmarkStart w:id="366" w:name="_Toc224235175"/>
      <w:bookmarkStart w:id="367" w:name="_Toc233735321"/>
      <w:r w:rsidRPr="00E27D3B">
        <w:t xml:space="preserve">Table </w:t>
      </w:r>
      <w:fldSimple w:instr=" SEQ Table \* ARABIC ">
        <w:r>
          <w:rPr>
            <w:noProof/>
          </w:rPr>
          <w:t>24</w:t>
        </w:r>
      </w:fldSimple>
      <w:bookmarkEnd w:id="364"/>
      <w:r w:rsidR="00463216">
        <w:t>:</w:t>
      </w:r>
      <w:r w:rsidRPr="00E27D3B">
        <w:t xml:space="preserve"> Different penetration levels of </w:t>
      </w:r>
      <w:r w:rsidRPr="005C746B">
        <w:t>wind</w:t>
      </w:r>
      <w:r w:rsidRPr="00E27D3B">
        <w:t xml:space="preserve"> power by replacing synchronous generators</w:t>
      </w:r>
      <w:bookmarkEnd w:id="365"/>
      <w:bookmarkEnd w:id="366"/>
      <w:r w:rsidR="00A4069F">
        <w:t>.</w:t>
      </w:r>
      <w:bookmarkEnd w:id="367"/>
    </w:p>
    <w:tbl>
      <w:tblPr>
        <w:tblStyle w:val="TableCSIRO"/>
        <w:tblW w:w="0" w:type="auto"/>
        <w:jc w:val="center"/>
        <w:tblInd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704"/>
        <w:gridCol w:w="704"/>
        <w:gridCol w:w="704"/>
        <w:gridCol w:w="704"/>
        <w:gridCol w:w="704"/>
        <w:gridCol w:w="700"/>
        <w:gridCol w:w="700"/>
        <w:gridCol w:w="700"/>
        <w:gridCol w:w="663"/>
        <w:gridCol w:w="663"/>
      </w:tblGrid>
      <w:tr w:rsidR="00B44089" w:rsidRPr="00E27D3B" w14:paraId="3D3BFA6F" w14:textId="77777777" w:rsidTr="00CA03DF">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05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517746" w14:textId="77777777" w:rsidR="00B44089" w:rsidRDefault="00B44089" w:rsidP="00CD4F3A">
            <w:pPr>
              <w:pStyle w:val="TableText"/>
              <w:rPr>
                <w:b w:val="0"/>
                <w:bCs w:val="0"/>
                <w:color w:val="FFFFFF" w:themeColor="background1"/>
              </w:rPr>
            </w:pPr>
            <w:r w:rsidRPr="00E27D3B">
              <w:rPr>
                <w:color w:val="FFFFFF" w:themeColor="background1"/>
              </w:rPr>
              <w:t>Wind Power Penetration</w:t>
            </w:r>
          </w:p>
          <w:p w14:paraId="7B597172" w14:textId="77777777" w:rsidR="00B44089" w:rsidRPr="00E27D3B" w:rsidRDefault="00B44089" w:rsidP="00CD4F3A">
            <w:pPr>
              <w:pStyle w:val="TableText"/>
              <w:rPr>
                <w:b w:val="0"/>
                <w:bCs w:val="0"/>
                <w:color w:val="FFFFFF" w:themeColor="background1"/>
              </w:rPr>
            </w:pPr>
            <w:r w:rsidRPr="00E27D3B">
              <w:rPr>
                <w:color w:val="FFFFFF" w:themeColor="background1"/>
              </w:rPr>
              <w:t xml:space="preserve"> Level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622B62"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G 10 at</w:t>
            </w:r>
          </w:p>
          <w:p w14:paraId="1E2729F1"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 Bus 30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80C622"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G 08 at</w:t>
            </w:r>
          </w:p>
          <w:p w14:paraId="6A3E0068"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 Bus 37</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A291DC"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G 09 at</w:t>
            </w:r>
          </w:p>
          <w:p w14:paraId="62C29D54"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 Bus 38</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1A9BBF"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G 07 at</w:t>
            </w:r>
          </w:p>
          <w:p w14:paraId="1AD5CE5F"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 Bus 36</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5AE024"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G 05 at</w:t>
            </w:r>
          </w:p>
          <w:p w14:paraId="14557F73"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D3B">
              <w:rPr>
                <w:color w:val="FFFFFF" w:themeColor="background1"/>
              </w:rPr>
              <w:t xml:space="preserve"> Bus 34</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07255C"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G 04 at</w:t>
            </w:r>
          </w:p>
          <w:p w14:paraId="4031184F"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Bus 33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7E5907"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G 03 at</w:t>
            </w:r>
          </w:p>
          <w:p w14:paraId="282A4294"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Bus 33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48E3DB"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G 02 at</w:t>
            </w:r>
          </w:p>
          <w:p w14:paraId="1F5A3C53"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Bus 31</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C9080E"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G06 at</w:t>
            </w:r>
          </w:p>
          <w:p w14:paraId="3246DB00" w14:textId="77777777" w:rsidR="00B44089" w:rsidRPr="00E27D3B" w:rsidRDefault="00B44089" w:rsidP="00CD4F3A">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Bus 35</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4C67A3"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G01 at</w:t>
            </w:r>
          </w:p>
          <w:p w14:paraId="0530D3DA" w14:textId="77777777" w:rsidR="00B44089" w:rsidRDefault="00B44089" w:rsidP="00CD4F3A">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Bus 39</w:t>
            </w:r>
          </w:p>
        </w:tc>
      </w:tr>
      <w:tr w:rsidR="00B44089" w:rsidRPr="00E27D3B" w14:paraId="16812202" w14:textId="77777777" w:rsidTr="00CA03DF">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059" w:type="dxa"/>
            <w:vMerge/>
            <w:tcBorders>
              <w:left w:val="none" w:sz="0" w:space="0" w:color="auto"/>
              <w:right w:val="none" w:sz="0" w:space="0" w:color="auto"/>
            </w:tcBorders>
          </w:tcPr>
          <w:p w14:paraId="41033C8E" w14:textId="77777777" w:rsidR="00B44089" w:rsidRPr="00E27D3B" w:rsidRDefault="00B44089" w:rsidP="00CD4F3A">
            <w:pPr>
              <w:pStyle w:val="TableText"/>
            </w:pPr>
          </w:p>
        </w:tc>
        <w:tc>
          <w:tcPr>
            <w:tcW w:w="0" w:type="auto"/>
            <w:tcBorders>
              <w:left w:val="none" w:sz="0" w:space="0" w:color="auto"/>
              <w:right w:val="none" w:sz="0" w:space="0" w:color="auto"/>
            </w:tcBorders>
            <w:vAlign w:val="center"/>
          </w:tcPr>
          <w:p w14:paraId="3436F153"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250 </w:t>
            </w:r>
          </w:p>
          <w:p w14:paraId="3AD4B98C"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MW</w:t>
            </w:r>
          </w:p>
        </w:tc>
        <w:tc>
          <w:tcPr>
            <w:tcW w:w="0" w:type="auto"/>
            <w:tcBorders>
              <w:left w:val="none" w:sz="0" w:space="0" w:color="auto"/>
              <w:right w:val="none" w:sz="0" w:space="0" w:color="auto"/>
            </w:tcBorders>
            <w:vAlign w:val="center"/>
          </w:tcPr>
          <w:p w14:paraId="0DDEF2C6"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540 </w:t>
            </w:r>
          </w:p>
          <w:p w14:paraId="3D14514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MW</w:t>
            </w:r>
          </w:p>
        </w:tc>
        <w:tc>
          <w:tcPr>
            <w:tcW w:w="0" w:type="auto"/>
            <w:tcBorders>
              <w:left w:val="none" w:sz="0" w:space="0" w:color="auto"/>
              <w:right w:val="none" w:sz="0" w:space="0" w:color="auto"/>
            </w:tcBorders>
            <w:vAlign w:val="center"/>
          </w:tcPr>
          <w:p w14:paraId="4F7EBEE0"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830 </w:t>
            </w:r>
          </w:p>
          <w:p w14:paraId="4C6D660D"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MW</w:t>
            </w:r>
          </w:p>
        </w:tc>
        <w:tc>
          <w:tcPr>
            <w:tcW w:w="0" w:type="auto"/>
            <w:tcBorders>
              <w:left w:val="none" w:sz="0" w:space="0" w:color="auto"/>
              <w:right w:val="none" w:sz="0" w:space="0" w:color="auto"/>
            </w:tcBorders>
            <w:vAlign w:val="center"/>
          </w:tcPr>
          <w:p w14:paraId="1BF0CFED"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560 </w:t>
            </w:r>
          </w:p>
          <w:p w14:paraId="00656A5A"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MW</w:t>
            </w:r>
          </w:p>
        </w:tc>
        <w:tc>
          <w:tcPr>
            <w:tcW w:w="0" w:type="auto"/>
            <w:tcBorders>
              <w:left w:val="none" w:sz="0" w:space="0" w:color="auto"/>
              <w:right w:val="none" w:sz="0" w:space="0" w:color="auto"/>
            </w:tcBorders>
            <w:vAlign w:val="center"/>
          </w:tcPr>
          <w:p w14:paraId="4DADBB76"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t xml:space="preserve">508 </w:t>
            </w:r>
          </w:p>
          <w:p w14:paraId="1CFD83A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t>
            </w:r>
            <w:r w:rsidRPr="00E27D3B">
              <w:t>W</w:t>
            </w:r>
          </w:p>
        </w:tc>
        <w:tc>
          <w:tcPr>
            <w:tcW w:w="0" w:type="auto"/>
            <w:tcBorders>
              <w:left w:val="none" w:sz="0" w:space="0" w:color="auto"/>
              <w:right w:val="none" w:sz="0" w:space="0" w:color="auto"/>
            </w:tcBorders>
            <w:vAlign w:val="center"/>
          </w:tcPr>
          <w:p w14:paraId="44AF4640"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 xml:space="preserve">632 </w:t>
            </w:r>
          </w:p>
          <w:p w14:paraId="1326D6C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w:t>
            </w:r>
          </w:p>
        </w:tc>
        <w:tc>
          <w:tcPr>
            <w:tcW w:w="0" w:type="auto"/>
            <w:tcBorders>
              <w:left w:val="none" w:sz="0" w:space="0" w:color="auto"/>
              <w:right w:val="none" w:sz="0" w:space="0" w:color="auto"/>
            </w:tcBorders>
            <w:vAlign w:val="center"/>
          </w:tcPr>
          <w:p w14:paraId="540A3562"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 xml:space="preserve">650 </w:t>
            </w:r>
          </w:p>
          <w:p w14:paraId="26AEC712"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w:t>
            </w:r>
          </w:p>
        </w:tc>
        <w:tc>
          <w:tcPr>
            <w:tcW w:w="0" w:type="auto"/>
            <w:tcBorders>
              <w:left w:val="none" w:sz="0" w:space="0" w:color="auto"/>
              <w:right w:val="none" w:sz="0" w:space="0" w:color="auto"/>
            </w:tcBorders>
            <w:vAlign w:val="center"/>
          </w:tcPr>
          <w:p w14:paraId="1A17C88C"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 xml:space="preserve">520 </w:t>
            </w:r>
          </w:p>
          <w:p w14:paraId="1D754F85"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w:t>
            </w:r>
          </w:p>
        </w:tc>
        <w:tc>
          <w:tcPr>
            <w:tcW w:w="0" w:type="auto"/>
            <w:tcBorders>
              <w:left w:val="none" w:sz="0" w:space="0" w:color="auto"/>
              <w:right w:val="none" w:sz="0" w:space="0" w:color="auto"/>
            </w:tcBorders>
            <w:vAlign w:val="center"/>
          </w:tcPr>
          <w:p w14:paraId="38785EAF"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 xml:space="preserve">650 </w:t>
            </w:r>
          </w:p>
          <w:p w14:paraId="7CD53058"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w:t>
            </w:r>
          </w:p>
        </w:tc>
        <w:tc>
          <w:tcPr>
            <w:tcW w:w="0" w:type="auto"/>
            <w:tcBorders>
              <w:left w:val="none" w:sz="0" w:space="0" w:color="auto"/>
              <w:right w:val="none" w:sz="0" w:space="0" w:color="auto"/>
            </w:tcBorders>
            <w:vAlign w:val="center"/>
          </w:tcPr>
          <w:p w14:paraId="19AC98D5" w14:textId="77777777" w:rsidR="00B44089"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 xml:space="preserve">1000 </w:t>
            </w:r>
          </w:p>
          <w:p w14:paraId="0D6FD669"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t>MW</w:t>
            </w:r>
          </w:p>
        </w:tc>
      </w:tr>
      <w:tr w:rsidR="00B44089" w:rsidRPr="00E27D3B" w14:paraId="6E7DD933" w14:textId="77777777" w:rsidTr="00CA03DF">
        <w:trPr>
          <w:jc w:val="center"/>
        </w:trPr>
        <w:tc>
          <w:tcPr>
            <w:cnfStyle w:val="001000000000" w:firstRow="0" w:lastRow="0" w:firstColumn="1" w:lastColumn="0" w:oddVBand="0" w:evenVBand="0" w:oddHBand="0" w:evenHBand="0" w:firstRowFirstColumn="0" w:firstRowLastColumn="0" w:lastRowFirstColumn="0" w:lastRowLastColumn="0"/>
            <w:tcW w:w="1059" w:type="dxa"/>
          </w:tcPr>
          <w:p w14:paraId="7302727A" w14:textId="77777777" w:rsidR="00B44089" w:rsidRPr="00E27D3B" w:rsidRDefault="00B44089" w:rsidP="00CD4F3A">
            <w:pPr>
              <w:pStyle w:val="TableText"/>
            </w:pPr>
            <w:r w:rsidRPr="00E27D3B">
              <w:t>4 %</w:t>
            </w:r>
          </w:p>
        </w:tc>
        <w:tc>
          <w:tcPr>
            <w:tcW w:w="0" w:type="auto"/>
          </w:tcPr>
          <w:p w14:paraId="3FEEA4A9"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color w:val="FF0000"/>
              </w:rPr>
            </w:pPr>
            <w:r w:rsidRPr="00E27D3B">
              <w:rPr>
                <w:rFonts w:ascii="Segoe UI Symbol" w:hAnsi="Segoe UI Symbol" w:cs="Segoe UI Symbol"/>
                <w:color w:val="000000" w:themeColor="text1"/>
              </w:rPr>
              <w:t>✓</w:t>
            </w:r>
          </w:p>
        </w:tc>
        <w:tc>
          <w:tcPr>
            <w:tcW w:w="0" w:type="auto"/>
          </w:tcPr>
          <w:p w14:paraId="412FC86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6128E00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7828467C"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3C24F53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70E0F81A"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019B0093"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3271B615"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4F6323B0"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295CF709"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r>
      <w:tr w:rsidR="00B44089" w:rsidRPr="00E27D3B" w14:paraId="09D08BA1" w14:textId="77777777" w:rsidTr="00CA03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9" w:type="dxa"/>
            <w:tcBorders>
              <w:left w:val="none" w:sz="0" w:space="0" w:color="auto"/>
              <w:right w:val="none" w:sz="0" w:space="0" w:color="auto"/>
            </w:tcBorders>
          </w:tcPr>
          <w:p w14:paraId="6D027DEC" w14:textId="77777777" w:rsidR="00B44089" w:rsidRPr="00E27D3B" w:rsidRDefault="00B44089" w:rsidP="00CD4F3A">
            <w:pPr>
              <w:pStyle w:val="TableText"/>
            </w:pPr>
            <w:r w:rsidRPr="00E27D3B">
              <w:t>13%</w:t>
            </w:r>
          </w:p>
        </w:tc>
        <w:tc>
          <w:tcPr>
            <w:tcW w:w="0" w:type="auto"/>
            <w:tcBorders>
              <w:left w:val="none" w:sz="0" w:space="0" w:color="auto"/>
              <w:right w:val="none" w:sz="0" w:space="0" w:color="auto"/>
            </w:tcBorders>
          </w:tcPr>
          <w:p w14:paraId="13A5C571"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9943985"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266F895F"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1FF5C42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3271C57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51B0FE6E"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0E1DB581"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24C8CCCA"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46651A54"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2FAFE427"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r>
      <w:tr w:rsidR="00B44089" w:rsidRPr="00E27D3B" w14:paraId="280004AE" w14:textId="77777777" w:rsidTr="00CA03DF">
        <w:trPr>
          <w:jc w:val="center"/>
        </w:trPr>
        <w:tc>
          <w:tcPr>
            <w:cnfStyle w:val="001000000000" w:firstRow="0" w:lastRow="0" w:firstColumn="1" w:lastColumn="0" w:oddVBand="0" w:evenVBand="0" w:oddHBand="0" w:evenHBand="0" w:firstRowFirstColumn="0" w:firstRowLastColumn="0" w:lastRowFirstColumn="0" w:lastRowLastColumn="0"/>
            <w:tcW w:w="1059" w:type="dxa"/>
          </w:tcPr>
          <w:p w14:paraId="208962B4" w14:textId="77777777" w:rsidR="00B44089" w:rsidRPr="00E27D3B" w:rsidRDefault="00B44089" w:rsidP="00CD4F3A">
            <w:pPr>
              <w:pStyle w:val="TableText"/>
            </w:pPr>
            <w:r w:rsidRPr="00E27D3B">
              <w:t>26%</w:t>
            </w:r>
          </w:p>
        </w:tc>
        <w:tc>
          <w:tcPr>
            <w:tcW w:w="0" w:type="auto"/>
          </w:tcPr>
          <w:p w14:paraId="519C443E"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72F2E8D8"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6BDB9D01"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632316F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5435C9D7"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2E8D2675"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780918D0"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1009DA41"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6506984C"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c>
          <w:tcPr>
            <w:tcW w:w="0" w:type="auto"/>
          </w:tcPr>
          <w:p w14:paraId="490D8DA6"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p>
        </w:tc>
      </w:tr>
      <w:tr w:rsidR="00B44089" w:rsidRPr="00E27D3B" w14:paraId="6648FE86" w14:textId="77777777" w:rsidTr="00CA03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9" w:type="dxa"/>
            <w:tcBorders>
              <w:left w:val="none" w:sz="0" w:space="0" w:color="auto"/>
              <w:right w:val="none" w:sz="0" w:space="0" w:color="auto"/>
            </w:tcBorders>
          </w:tcPr>
          <w:p w14:paraId="23C045DA" w14:textId="77777777" w:rsidR="00B44089" w:rsidRPr="00E27D3B" w:rsidRDefault="00B44089" w:rsidP="00CD4F3A">
            <w:pPr>
              <w:pStyle w:val="TableText"/>
            </w:pPr>
            <w:r w:rsidRPr="00E27D3B">
              <w:t>35%</w:t>
            </w:r>
          </w:p>
        </w:tc>
        <w:tc>
          <w:tcPr>
            <w:tcW w:w="0" w:type="auto"/>
            <w:tcBorders>
              <w:left w:val="none" w:sz="0" w:space="0" w:color="auto"/>
              <w:right w:val="none" w:sz="0" w:space="0" w:color="auto"/>
            </w:tcBorders>
          </w:tcPr>
          <w:p w14:paraId="22449058"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3B6232C5"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41428F4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317E625E"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8907B0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39CB9A73"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52F0F363"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00B5ECFE"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5E517F73"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c>
          <w:tcPr>
            <w:tcW w:w="0" w:type="auto"/>
            <w:tcBorders>
              <w:left w:val="none" w:sz="0" w:space="0" w:color="auto"/>
              <w:right w:val="none" w:sz="0" w:space="0" w:color="auto"/>
            </w:tcBorders>
          </w:tcPr>
          <w:p w14:paraId="77933AF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pPr>
          </w:p>
        </w:tc>
      </w:tr>
      <w:tr w:rsidR="00B44089" w:rsidRPr="00E27D3B" w14:paraId="567141AA" w14:textId="77777777" w:rsidTr="00CA03DF">
        <w:trPr>
          <w:jc w:val="center"/>
        </w:trPr>
        <w:tc>
          <w:tcPr>
            <w:cnfStyle w:val="001000000000" w:firstRow="0" w:lastRow="0" w:firstColumn="1" w:lastColumn="0" w:oddVBand="0" w:evenVBand="0" w:oddHBand="0" w:evenHBand="0" w:firstRowFirstColumn="0" w:firstRowLastColumn="0" w:lastRowFirstColumn="0" w:lastRowLastColumn="0"/>
            <w:tcW w:w="1059" w:type="dxa"/>
          </w:tcPr>
          <w:p w14:paraId="195945E8" w14:textId="77777777" w:rsidR="00B44089" w:rsidRPr="00E27D3B" w:rsidRDefault="00B44089" w:rsidP="00CD4F3A">
            <w:pPr>
              <w:pStyle w:val="TableText"/>
            </w:pPr>
            <w:r w:rsidRPr="00E27D3B">
              <w:t>44%</w:t>
            </w:r>
          </w:p>
        </w:tc>
        <w:tc>
          <w:tcPr>
            <w:tcW w:w="0" w:type="auto"/>
          </w:tcPr>
          <w:p w14:paraId="10DB85F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50AFF0EF"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08BAD93E"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032CDFE4"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6B95E26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pPr>
            <w:r w:rsidRPr="00E27D3B">
              <w:rPr>
                <w:rFonts w:ascii="Segoe UI Symbol" w:hAnsi="Segoe UI Symbol" w:cs="Segoe UI Symbol"/>
                <w:color w:val="000000" w:themeColor="text1"/>
              </w:rPr>
              <w:t>✓</w:t>
            </w:r>
          </w:p>
        </w:tc>
        <w:tc>
          <w:tcPr>
            <w:tcW w:w="0" w:type="auto"/>
          </w:tcPr>
          <w:p w14:paraId="701C5D11"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0B2B547C"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1854BD8A"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05F81C38"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1A5F55F4"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r>
      <w:tr w:rsidR="00B44089" w:rsidRPr="00E27D3B" w14:paraId="770B1F31" w14:textId="77777777" w:rsidTr="00CA03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9" w:type="dxa"/>
            <w:tcBorders>
              <w:left w:val="none" w:sz="0" w:space="0" w:color="auto"/>
              <w:right w:val="none" w:sz="0" w:space="0" w:color="auto"/>
            </w:tcBorders>
          </w:tcPr>
          <w:p w14:paraId="51F0F04C" w14:textId="77777777" w:rsidR="00B44089" w:rsidRPr="00E27D3B" w:rsidRDefault="00B44089" w:rsidP="00CD4F3A">
            <w:pPr>
              <w:pStyle w:val="TableText"/>
            </w:pPr>
            <w:r>
              <w:t>54%</w:t>
            </w:r>
          </w:p>
        </w:tc>
        <w:tc>
          <w:tcPr>
            <w:tcW w:w="0" w:type="auto"/>
            <w:tcBorders>
              <w:left w:val="none" w:sz="0" w:space="0" w:color="auto"/>
              <w:right w:val="none" w:sz="0" w:space="0" w:color="auto"/>
            </w:tcBorders>
          </w:tcPr>
          <w:p w14:paraId="233F6FC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3AFC27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18C335C8"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13F2ED23"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9800305"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F00D691"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0E346D44"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c>
          <w:tcPr>
            <w:tcW w:w="0" w:type="auto"/>
            <w:tcBorders>
              <w:left w:val="none" w:sz="0" w:space="0" w:color="auto"/>
              <w:right w:val="none" w:sz="0" w:space="0" w:color="auto"/>
            </w:tcBorders>
          </w:tcPr>
          <w:p w14:paraId="0C50957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c>
          <w:tcPr>
            <w:tcW w:w="0" w:type="auto"/>
            <w:tcBorders>
              <w:left w:val="none" w:sz="0" w:space="0" w:color="auto"/>
              <w:right w:val="none" w:sz="0" w:space="0" w:color="auto"/>
            </w:tcBorders>
          </w:tcPr>
          <w:p w14:paraId="0A82757C"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c>
          <w:tcPr>
            <w:tcW w:w="0" w:type="auto"/>
            <w:tcBorders>
              <w:left w:val="none" w:sz="0" w:space="0" w:color="auto"/>
              <w:right w:val="none" w:sz="0" w:space="0" w:color="auto"/>
            </w:tcBorders>
          </w:tcPr>
          <w:p w14:paraId="49E1D091"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r>
      <w:tr w:rsidR="00B44089" w:rsidRPr="00E27D3B" w14:paraId="56ED23CD" w14:textId="77777777" w:rsidTr="00CA03DF">
        <w:trPr>
          <w:jc w:val="center"/>
        </w:trPr>
        <w:tc>
          <w:tcPr>
            <w:cnfStyle w:val="001000000000" w:firstRow="0" w:lastRow="0" w:firstColumn="1" w:lastColumn="0" w:oddVBand="0" w:evenVBand="0" w:oddHBand="0" w:evenHBand="0" w:firstRowFirstColumn="0" w:firstRowLastColumn="0" w:lastRowFirstColumn="0" w:lastRowLastColumn="0"/>
            <w:tcW w:w="1059" w:type="dxa"/>
          </w:tcPr>
          <w:p w14:paraId="00B896D0" w14:textId="77777777" w:rsidR="00B44089" w:rsidRPr="00E27D3B" w:rsidRDefault="00B44089" w:rsidP="00CD4F3A">
            <w:pPr>
              <w:pStyle w:val="TableText"/>
            </w:pPr>
            <w:r>
              <w:t>64%</w:t>
            </w:r>
          </w:p>
        </w:tc>
        <w:tc>
          <w:tcPr>
            <w:tcW w:w="0" w:type="auto"/>
          </w:tcPr>
          <w:p w14:paraId="447E4E5A"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3C90B3A7"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1648F49F"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07DD4145"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4E1DAECF"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63C8249F"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1031D768"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63217CFB"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16C49EF9"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c>
          <w:tcPr>
            <w:tcW w:w="0" w:type="auto"/>
          </w:tcPr>
          <w:p w14:paraId="10137E9E"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r>
      <w:tr w:rsidR="00B44089" w:rsidRPr="00E27D3B" w14:paraId="33682B6A" w14:textId="77777777" w:rsidTr="00CA03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9" w:type="dxa"/>
            <w:tcBorders>
              <w:left w:val="none" w:sz="0" w:space="0" w:color="auto"/>
              <w:right w:val="none" w:sz="0" w:space="0" w:color="auto"/>
            </w:tcBorders>
          </w:tcPr>
          <w:p w14:paraId="62835659" w14:textId="77777777" w:rsidR="00B44089" w:rsidRPr="00E27D3B" w:rsidRDefault="00B44089" w:rsidP="00CD4F3A">
            <w:pPr>
              <w:pStyle w:val="TableText"/>
            </w:pPr>
            <w:r>
              <w:t>73%</w:t>
            </w:r>
          </w:p>
        </w:tc>
        <w:tc>
          <w:tcPr>
            <w:tcW w:w="0" w:type="auto"/>
            <w:tcBorders>
              <w:left w:val="none" w:sz="0" w:space="0" w:color="auto"/>
              <w:right w:val="none" w:sz="0" w:space="0" w:color="auto"/>
            </w:tcBorders>
          </w:tcPr>
          <w:p w14:paraId="63947D3B"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29525A9"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3ED2AD72"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3354BB37"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49F0DC9"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74E0CBEE"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EFC699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46B90B5"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0D9B5B48"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c>
          <w:tcPr>
            <w:tcW w:w="0" w:type="auto"/>
            <w:tcBorders>
              <w:left w:val="none" w:sz="0" w:space="0" w:color="auto"/>
              <w:right w:val="none" w:sz="0" w:space="0" w:color="auto"/>
            </w:tcBorders>
          </w:tcPr>
          <w:p w14:paraId="1C097F5F"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r>
      <w:tr w:rsidR="00B44089" w:rsidRPr="00E27D3B" w14:paraId="69095244" w14:textId="77777777" w:rsidTr="00CA03DF">
        <w:trPr>
          <w:jc w:val="center"/>
        </w:trPr>
        <w:tc>
          <w:tcPr>
            <w:cnfStyle w:val="001000000000" w:firstRow="0" w:lastRow="0" w:firstColumn="1" w:lastColumn="0" w:oddVBand="0" w:evenVBand="0" w:oddHBand="0" w:evenHBand="0" w:firstRowFirstColumn="0" w:firstRowLastColumn="0" w:lastRowFirstColumn="0" w:lastRowLastColumn="0"/>
            <w:tcW w:w="1059" w:type="dxa"/>
          </w:tcPr>
          <w:p w14:paraId="3E565B6C" w14:textId="77777777" w:rsidR="00B44089" w:rsidRPr="00E27D3B" w:rsidRDefault="00B44089" w:rsidP="00CD4F3A">
            <w:pPr>
              <w:pStyle w:val="TableText"/>
            </w:pPr>
            <w:r>
              <w:t>83%</w:t>
            </w:r>
          </w:p>
        </w:tc>
        <w:tc>
          <w:tcPr>
            <w:tcW w:w="0" w:type="auto"/>
          </w:tcPr>
          <w:p w14:paraId="11FE16E1"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5BC064A4"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7EE1DC8A"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39D688BA"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7648254D"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48CC0417"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55C5CFC7"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20C0F4F0"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25816764"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Pr>
          <w:p w14:paraId="706836C0" w14:textId="77777777" w:rsidR="00B44089" w:rsidRPr="00E27D3B" w:rsidRDefault="00B44089" w:rsidP="00CD4F3A">
            <w:pPr>
              <w:pStyle w:val="TableTex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color w:val="000000" w:themeColor="text1"/>
              </w:rPr>
            </w:pPr>
          </w:p>
        </w:tc>
      </w:tr>
      <w:tr w:rsidR="00B44089" w:rsidRPr="00E27D3B" w14:paraId="2886ACEA" w14:textId="77777777" w:rsidTr="00CA03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9" w:type="dxa"/>
            <w:tcBorders>
              <w:left w:val="none" w:sz="0" w:space="0" w:color="auto"/>
              <w:right w:val="none" w:sz="0" w:space="0" w:color="auto"/>
            </w:tcBorders>
          </w:tcPr>
          <w:p w14:paraId="25A5F7E9" w14:textId="77777777" w:rsidR="00B44089" w:rsidRPr="00E27D3B" w:rsidRDefault="00B44089" w:rsidP="00CD4F3A">
            <w:pPr>
              <w:pStyle w:val="TableText"/>
            </w:pPr>
            <w:r>
              <w:t>95%</w:t>
            </w:r>
          </w:p>
        </w:tc>
        <w:tc>
          <w:tcPr>
            <w:tcW w:w="0" w:type="auto"/>
            <w:tcBorders>
              <w:left w:val="none" w:sz="0" w:space="0" w:color="auto"/>
              <w:right w:val="none" w:sz="0" w:space="0" w:color="auto"/>
            </w:tcBorders>
          </w:tcPr>
          <w:p w14:paraId="6B246D2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p>
        </w:tc>
        <w:tc>
          <w:tcPr>
            <w:tcW w:w="0" w:type="auto"/>
            <w:tcBorders>
              <w:left w:val="none" w:sz="0" w:space="0" w:color="auto"/>
              <w:right w:val="none" w:sz="0" w:space="0" w:color="auto"/>
            </w:tcBorders>
          </w:tcPr>
          <w:p w14:paraId="6F7B4967"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7BBDA18"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2CAAB74B"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2C46734B"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25C1BCD2"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14757D16"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7A4C82B1"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643EA800"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c>
          <w:tcPr>
            <w:tcW w:w="0" w:type="auto"/>
            <w:tcBorders>
              <w:left w:val="none" w:sz="0" w:space="0" w:color="auto"/>
              <w:right w:val="none" w:sz="0" w:space="0" w:color="auto"/>
            </w:tcBorders>
          </w:tcPr>
          <w:p w14:paraId="52BFF0D3" w14:textId="77777777" w:rsidR="00B44089" w:rsidRPr="00E27D3B" w:rsidRDefault="00B44089" w:rsidP="00CD4F3A">
            <w:pPr>
              <w:pStyle w:val="Table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color w:val="000000" w:themeColor="text1"/>
              </w:rPr>
            </w:pPr>
            <w:r w:rsidRPr="00E27D3B">
              <w:rPr>
                <w:rFonts w:ascii="Segoe UI Symbol" w:hAnsi="Segoe UI Symbol" w:cs="Segoe UI Symbol"/>
                <w:color w:val="000000" w:themeColor="text1"/>
              </w:rPr>
              <w:t>✓</w:t>
            </w:r>
          </w:p>
        </w:tc>
      </w:tr>
    </w:tbl>
    <w:p w14:paraId="78CFFD9F" w14:textId="77777777" w:rsidR="00B44089" w:rsidRPr="00576C7D" w:rsidRDefault="00B44089" w:rsidP="00CD4F3A">
      <w:pPr>
        <w:spacing w:before="180"/>
        <w:rPr>
          <w:sz w:val="24"/>
          <w:szCs w:val="24"/>
        </w:rPr>
      </w:pPr>
      <w:r w:rsidRPr="00732254">
        <w:rPr>
          <w:sz w:val="24"/>
          <w:szCs w:val="24"/>
        </w:rPr>
        <w:lastRenderedPageBreak/>
        <w:t>The adaptive continuation-based PV-curve analysis of the base-case and contingency cases has revealed the critical contingency and critical buses as highlighted in Figure 61. The outcomes of the analysis are discussed below:</w:t>
      </w:r>
    </w:p>
    <w:p w14:paraId="21368BCC" w14:textId="77777777" w:rsidR="00EC19B4" w:rsidRPr="005509F8" w:rsidRDefault="00EC19B4" w:rsidP="00CD4F3A">
      <w:pPr>
        <w:pStyle w:val="ListParagraph0"/>
        <w:numPr>
          <w:ilvl w:val="0"/>
          <w:numId w:val="30"/>
        </w:numPr>
        <w:spacing w:before="0" w:line="240" w:lineRule="auto"/>
        <w:ind w:left="357" w:hanging="357"/>
        <w:contextualSpacing w:val="0"/>
        <w:jc w:val="both"/>
      </w:pPr>
      <w:r w:rsidRPr="005509F8">
        <w:t>For the base case with no renewable generation, the outage of Line 16-19 is identified as critical contingency, while bus 12 emerges as the critical bus.</w:t>
      </w:r>
    </w:p>
    <w:p w14:paraId="17D9BD8B" w14:textId="77777777" w:rsidR="00A31EEA" w:rsidRDefault="00A31EEA" w:rsidP="00CD4F3A">
      <w:pPr>
        <w:pStyle w:val="Caption"/>
        <w:spacing w:line="240" w:lineRule="auto"/>
      </w:pPr>
      <w:bookmarkStart w:id="368" w:name="_Toc223626384"/>
      <w:bookmarkStart w:id="369" w:name="_Toc224235145"/>
      <w:r>
        <w:rPr>
          <w:noProof/>
        </w:rPr>
        <w:drawing>
          <wp:inline distT="0" distB="0" distL="0" distR="0" wp14:anchorId="1B8D4A65" wp14:editId="7FE3C3DA">
            <wp:extent cx="5606716" cy="2526632"/>
            <wp:effectExtent l="0" t="0" r="0" b="7620"/>
            <wp:docPr id="965394796" name="Chart 1">
              <a:extLst xmlns:a="http://schemas.openxmlformats.org/drawingml/2006/main">
                <a:ext uri="{FF2B5EF4-FFF2-40B4-BE49-F238E27FC236}">
                  <a16:creationId xmlns:a16="http://schemas.microsoft.com/office/drawing/2014/main" id="{F89DE954-53F9-F7EB-AC0E-07EEA6EDDF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17493CE3" w14:textId="6E59E4CF" w:rsidR="00A31EEA" w:rsidRDefault="00A31EEA" w:rsidP="00CD4F3A">
      <w:pPr>
        <w:pStyle w:val="Caption"/>
        <w:spacing w:line="240" w:lineRule="auto"/>
      </w:pPr>
      <w:bookmarkStart w:id="370" w:name="_Toc233735067"/>
      <w:r w:rsidRPr="00E27D3B">
        <w:t xml:space="preserve">Figure </w:t>
      </w:r>
      <w:fldSimple w:instr=" SEQ Figure \* ARABIC ">
        <w:r w:rsidR="00A85006">
          <w:rPr>
            <w:noProof/>
          </w:rPr>
          <w:t>60</w:t>
        </w:r>
      </w:fldSimple>
      <w:r w:rsidR="00463216">
        <w:t>:</w:t>
      </w:r>
      <w:r w:rsidRPr="00E27D3B">
        <w:t xml:space="preserve"> </w:t>
      </w:r>
      <w:bookmarkEnd w:id="368"/>
      <w:r w:rsidRPr="00E27D3B">
        <w:t xml:space="preserve">The impact of </w:t>
      </w:r>
      <w:r w:rsidRPr="005C746B">
        <w:t>different</w:t>
      </w:r>
      <w:r w:rsidRPr="00E27D3B">
        <w:t xml:space="preserve"> renewable penetration levels on maximum </w:t>
      </w:r>
      <w:proofErr w:type="spellStart"/>
      <w:r w:rsidRPr="00E27D3B">
        <w:t>loadability</w:t>
      </w:r>
      <w:proofErr w:type="spellEnd"/>
      <w:r w:rsidRPr="00E27D3B">
        <w:t xml:space="preserve"> for contingencies</w:t>
      </w:r>
      <w:bookmarkEnd w:id="369"/>
      <w:r w:rsidR="00CA03DF">
        <w:t>.</w:t>
      </w:r>
      <w:bookmarkEnd w:id="370"/>
    </w:p>
    <w:p w14:paraId="57ADD234" w14:textId="721915AE" w:rsidR="00655027" w:rsidRDefault="00723E03" w:rsidP="00CD4F3A">
      <w:pPr>
        <w:pStyle w:val="Caption"/>
        <w:spacing w:after="0" w:line="240" w:lineRule="auto"/>
        <w:contextualSpacing w:val="0"/>
        <w:jc w:val="center"/>
      </w:pPr>
      <w:r>
        <w:rPr>
          <w:noProof/>
        </w:rPr>
        <w:drawing>
          <wp:inline distT="0" distB="0" distL="0" distR="0" wp14:anchorId="017A03CA" wp14:editId="0116AB4B">
            <wp:extent cx="6120130" cy="4548505"/>
            <wp:effectExtent l="0" t="0" r="0" b="4445"/>
            <wp:docPr id="1101118823" name="Picture 6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18823" name="Picture 63" descr="A diagram of a diagram&#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0130" cy="4548505"/>
                    </a:xfrm>
                    <a:prstGeom prst="rect">
                      <a:avLst/>
                    </a:prstGeom>
                    <a:noFill/>
                    <a:ln>
                      <a:noFill/>
                    </a:ln>
                  </pic:spPr>
                </pic:pic>
              </a:graphicData>
            </a:graphic>
          </wp:inline>
        </w:drawing>
      </w:r>
    </w:p>
    <w:p w14:paraId="4456D0AC" w14:textId="1CD60EE8" w:rsidR="009E68AB" w:rsidRPr="009E68AB" w:rsidRDefault="009E68AB" w:rsidP="00AE6297">
      <w:pPr>
        <w:pStyle w:val="Caption"/>
        <w:spacing w:line="240" w:lineRule="auto"/>
      </w:pPr>
      <w:r w:rsidRPr="00E27D3B">
        <w:t xml:space="preserve">Figure </w:t>
      </w:r>
      <w:r>
        <w:t>61</w:t>
      </w:r>
      <w:r w:rsidR="00463216">
        <w:t>:</w:t>
      </w:r>
      <w:r w:rsidRPr="00E27D3B">
        <w:t xml:space="preserve"> </w:t>
      </w:r>
      <w:r>
        <w:t xml:space="preserve">IEEE 39-bus </w:t>
      </w:r>
      <w:r w:rsidRPr="005C746B">
        <w:t>test</w:t>
      </w:r>
      <w:r>
        <w:t xml:space="preserve"> system with highlighted critical contingency and critical buses.</w:t>
      </w:r>
    </w:p>
    <w:p w14:paraId="6152ACBA" w14:textId="77777777" w:rsidR="001F548C" w:rsidRPr="005509F8" w:rsidRDefault="001F548C" w:rsidP="00DC298B">
      <w:pPr>
        <w:pStyle w:val="ListParagraph0"/>
        <w:numPr>
          <w:ilvl w:val="0"/>
          <w:numId w:val="30"/>
        </w:numPr>
        <w:spacing w:before="120" w:after="0"/>
        <w:ind w:left="357" w:hanging="357"/>
        <w:contextualSpacing w:val="0"/>
        <w:jc w:val="both"/>
      </w:pPr>
      <w:r w:rsidRPr="005509F8">
        <w:t xml:space="preserve">At renewable penetration from 4-54%, the outage of Line 16-19 is identified as the critical contingency resulting in the lowest </w:t>
      </w:r>
      <w:proofErr w:type="spellStart"/>
      <w:r w:rsidRPr="005509F8">
        <w:t>loadability</w:t>
      </w:r>
      <w:proofErr w:type="spellEnd"/>
      <w:r w:rsidRPr="005509F8">
        <w:t xml:space="preserve"> limit, while Bus 08 appears as the critical bus.</w:t>
      </w:r>
    </w:p>
    <w:p w14:paraId="3BB939AE" w14:textId="77777777" w:rsidR="001F548C" w:rsidRPr="005509F8" w:rsidRDefault="001F548C" w:rsidP="00DC298B">
      <w:pPr>
        <w:pStyle w:val="ListParagraph0"/>
        <w:numPr>
          <w:ilvl w:val="0"/>
          <w:numId w:val="30"/>
        </w:numPr>
        <w:spacing w:before="120" w:after="0"/>
        <w:ind w:left="357" w:hanging="357"/>
        <w:contextualSpacing w:val="0"/>
        <w:jc w:val="both"/>
      </w:pPr>
      <w:r w:rsidRPr="005509F8">
        <w:lastRenderedPageBreak/>
        <w:t>At renewable penetration of 64-83%, the outage of Line 16-19 is identified as the critical contingency, while Bus 12 emerges as the critical bus.</w:t>
      </w:r>
    </w:p>
    <w:p w14:paraId="4BE6A772" w14:textId="77777777" w:rsidR="001F548C" w:rsidRPr="005509F8" w:rsidRDefault="001F548C" w:rsidP="00DC298B">
      <w:pPr>
        <w:pStyle w:val="ListParagraph0"/>
        <w:numPr>
          <w:ilvl w:val="0"/>
          <w:numId w:val="30"/>
        </w:numPr>
        <w:spacing w:before="120" w:after="0"/>
        <w:ind w:left="357" w:hanging="357"/>
        <w:contextualSpacing w:val="0"/>
        <w:jc w:val="both"/>
      </w:pPr>
      <w:r w:rsidRPr="005509F8">
        <w:t>At renewable generation penetration level of 95%, the outage of Line 16-19 is identified as critical contingency, while bus 3 appears as the critical bus.</w:t>
      </w:r>
    </w:p>
    <w:p w14:paraId="6AB29515" w14:textId="77777777" w:rsidR="001F548C" w:rsidRPr="00655027" w:rsidRDefault="001F548C" w:rsidP="00DC298B">
      <w:pPr>
        <w:pStyle w:val="ListParagraph0"/>
        <w:numPr>
          <w:ilvl w:val="0"/>
          <w:numId w:val="30"/>
        </w:numPr>
        <w:spacing w:before="120" w:after="0"/>
        <w:ind w:left="357" w:hanging="357"/>
        <w:contextualSpacing w:val="0"/>
        <w:jc w:val="both"/>
        <w:rPr>
          <w:lang w:val="en-US"/>
        </w:rPr>
      </w:pPr>
      <w:r w:rsidRPr="005509F8">
        <w:t xml:space="preserve">Gradually replacing synchronous generators with wind-based generators to achieve renewable penetration levels of up to 95% shows that the maximum </w:t>
      </w:r>
      <w:proofErr w:type="spellStart"/>
      <w:r w:rsidRPr="005509F8">
        <w:t>loadability</w:t>
      </w:r>
      <w:proofErr w:type="spellEnd"/>
      <w:r w:rsidRPr="005509F8">
        <w:t xml:space="preserve"> decreases as renewable penetration increases. Moreover, the critical buses vary across different renewable penetration levels, whereas the critical contingency remains consistent.</w:t>
      </w:r>
    </w:p>
    <w:p w14:paraId="23A862E1" w14:textId="3F276859" w:rsidR="00A31EEA" w:rsidRPr="00E27D3B" w:rsidRDefault="00030C99" w:rsidP="00CD4F3A">
      <w:pPr>
        <w:pStyle w:val="Heading2"/>
      </w:pPr>
      <w:bookmarkStart w:id="371" w:name="_Toc224235083"/>
      <w:r>
        <w:t xml:space="preserve"> </w:t>
      </w:r>
      <w:bookmarkStart w:id="372" w:name="_Toc233734325"/>
      <w:r w:rsidR="00A31EEA">
        <w:t>Chapter Summary</w:t>
      </w:r>
      <w:bookmarkEnd w:id="371"/>
      <w:bookmarkEnd w:id="372"/>
      <w:r w:rsidR="00A31EEA">
        <w:t xml:space="preserve"> </w:t>
      </w:r>
    </w:p>
    <w:p w14:paraId="4086AA01" w14:textId="77777777" w:rsidR="00B6748E" w:rsidRDefault="00A31EEA" w:rsidP="00C16F69">
      <w:pPr>
        <w:pStyle w:val="ListNumber"/>
        <w:numPr>
          <w:ilvl w:val="0"/>
          <w:numId w:val="0"/>
        </w:numPr>
        <w:tabs>
          <w:tab w:val="clear" w:pos="397"/>
          <w:tab w:val="left" w:pos="0"/>
        </w:tabs>
        <w:spacing w:after="0"/>
        <w:jc w:val="both"/>
        <w:rPr>
          <w:szCs w:val="20"/>
        </w:rPr>
      </w:pPr>
      <w:r w:rsidRPr="00E27D3B">
        <w:rPr>
          <w:szCs w:val="20"/>
        </w:rPr>
        <w:t>In conclusion, this study demonstrates that the increasing penetration of inverter-based resources and the presence of highly dynamic loads introduce significant challenges for maintaining large-disturbance voltage stability in modern power systems. The adaptive continuation method used for long-term voltage stability assessment, applied to the modified IEEE 39-bus test system, shows that higher renewable penetration reduces voltage stability margins due to reduced system inertia, limited fault current contribution, and constrained reactive power support from inverter-based resources</w:t>
      </w:r>
      <w:r w:rsidRPr="00547C88">
        <w:rPr>
          <w:szCs w:val="20"/>
        </w:rPr>
        <w:t xml:space="preserve">. Adaptive continuation-based PV-curve analysis under both base-case and contingency conditions shows that progressively increasing renewable generation penetration reduces the maximum </w:t>
      </w:r>
      <w:proofErr w:type="spellStart"/>
      <w:r w:rsidRPr="00547C88">
        <w:rPr>
          <w:szCs w:val="20"/>
        </w:rPr>
        <w:t>loadability</w:t>
      </w:r>
      <w:proofErr w:type="spellEnd"/>
      <w:r w:rsidRPr="00547C88">
        <w:rPr>
          <w:szCs w:val="20"/>
        </w:rPr>
        <w:t xml:space="preserve"> of the system. The results further indicate that the critical contingency remains unchanged across different levels of renewable generation penetration, whereas the critical buses vary with the penetration level. Among the investigated line contingencies, the outage of Line 16–19 is identified as the critical contingency for all renewable penetration levels ranging from 4% to 95%. The corresponding critical buses shift from Bus 12 at zero renewable penetration to Bus 08 at 4%–54% penetration, Bus 12 at 64%–83% penetration, and Bus 03 at 95% renewable penetration. Furthermore, the reactive power capability of renewable energy-based IBRs is identified as an important factor influencing the location of the critical buses. </w:t>
      </w:r>
    </w:p>
    <w:p w14:paraId="0DE615DA" w14:textId="703F1E9F" w:rsidR="00A31EEA" w:rsidRPr="00AE61F9" w:rsidRDefault="00A31EEA" w:rsidP="00C16F69">
      <w:pPr>
        <w:pStyle w:val="ListNumber"/>
        <w:numPr>
          <w:ilvl w:val="0"/>
          <w:numId w:val="0"/>
        </w:numPr>
        <w:tabs>
          <w:tab w:val="clear" w:pos="397"/>
          <w:tab w:val="left" w:pos="0"/>
        </w:tabs>
        <w:spacing w:after="0"/>
        <w:jc w:val="both"/>
        <w:rPr>
          <w:szCs w:val="20"/>
        </w:rPr>
      </w:pPr>
      <w:r w:rsidRPr="00547C88">
        <w:rPr>
          <w:szCs w:val="20"/>
        </w:rPr>
        <w:t xml:space="preserve">Variations in the reactive power capability of the generators result in changes to the corresponding critical buses. Time-domain simulations conducted for short-term voltage stability assessment highlight that the choice of composite load model significantly influences the large-disturbance voltage response. Compared to the default WECC composite load model in DIgSILENT </w:t>
      </w:r>
      <w:proofErr w:type="spellStart"/>
      <w:r w:rsidRPr="00547C88">
        <w:rPr>
          <w:szCs w:val="20"/>
        </w:rPr>
        <w:t>PowerFactory</w:t>
      </w:r>
      <w:proofErr w:type="spellEnd"/>
      <w:r w:rsidRPr="00547C88">
        <w:rPr>
          <w:szCs w:val="20"/>
        </w:rPr>
        <w:t>, the AEMO composite load model produces a shallower first-swing voltage dip following fault clearance but exhibits higher-frequency post-fault oscillations, highlighting the importance of using region-specific load models for accurate voltage stability assessment in Australian power systems. The results confirm that three-phase faults represent the most severe disturbance for voltage stability assessment, producing the largest voltage depression and weakest post-fault recovery. The analysis further shows that the system remains short-term voltage stable for fault clearing times up to 0.15 s, whereas a clearing time of 0.2 s leads to voltage instability. These findings highlight the strong sensitivity of the system to fault duration, emphasizing the importance of rapid fault detection and clearing to maintain secure operation and prevent voltage collapse under large disturbances.</w:t>
      </w:r>
      <w:r>
        <w:rPr>
          <w:szCs w:val="20"/>
        </w:rPr>
        <w:t xml:space="preserve"> </w:t>
      </w:r>
      <w:r w:rsidRPr="00E27D3B">
        <w:rPr>
          <w:szCs w:val="20"/>
        </w:rPr>
        <w:t xml:space="preserve">Overall, the results provide important insights into stability limits and weak network locations in future IBR-dominated systems and support the development of reliable assessment methods to assist system operators in maintaining secure and stable operation of the NEM. </w:t>
      </w:r>
    </w:p>
    <w:p w14:paraId="26A95C99" w14:textId="77777777" w:rsidR="003033F3" w:rsidRPr="00E27D3B" w:rsidRDefault="00E42B76" w:rsidP="00CD4F3A">
      <w:pPr>
        <w:pStyle w:val="Heading1"/>
        <w:spacing w:line="240" w:lineRule="auto"/>
      </w:pPr>
      <w:bookmarkStart w:id="373" w:name="_Toc233734326"/>
      <w:r w:rsidRPr="00E27D3B">
        <w:lastRenderedPageBreak/>
        <w:t xml:space="preserve">Small-Disturbance Voltage </w:t>
      </w:r>
      <w:r w:rsidR="003033F3" w:rsidRPr="00E27D3B">
        <w:t>Stability</w:t>
      </w:r>
      <w:bookmarkEnd w:id="373"/>
      <w:r w:rsidR="003033F3" w:rsidRPr="00E27D3B">
        <w:t xml:space="preserve"> </w:t>
      </w:r>
    </w:p>
    <w:p w14:paraId="4A520FC1" w14:textId="77777777" w:rsidR="003033F3" w:rsidRPr="00E27D3B" w:rsidRDefault="003033F3" w:rsidP="00CD4F3A">
      <w:pPr>
        <w:pStyle w:val="Heading2"/>
      </w:pPr>
      <w:bookmarkStart w:id="374" w:name="_Toc224235085"/>
      <w:bookmarkStart w:id="375" w:name="_Toc233734327"/>
      <w:r w:rsidRPr="00E27D3B">
        <w:t>Introduction</w:t>
      </w:r>
      <w:bookmarkEnd w:id="374"/>
      <w:bookmarkEnd w:id="375"/>
    </w:p>
    <w:p w14:paraId="49334577" w14:textId="4D3A1659" w:rsidR="003033F3" w:rsidRPr="00E27D3B" w:rsidRDefault="003033F3" w:rsidP="00C16F69">
      <w:pPr>
        <w:spacing w:after="0"/>
        <w:ind w:right="-23"/>
        <w:rPr>
          <w:sz w:val="24"/>
          <w:szCs w:val="24"/>
        </w:rPr>
      </w:pPr>
      <w:r w:rsidRPr="60762895">
        <w:rPr>
          <w:sz w:val="24"/>
          <w:szCs w:val="24"/>
        </w:rPr>
        <w:t xml:space="preserve">Small-disturbance voltage stability assessment is particularly relevant for emerging developments that lead to concentrated demand in specific network locations. Large computational loads, including AI-oriented data </w:t>
      </w:r>
      <w:proofErr w:type="spellStart"/>
      <w:r w:rsidRPr="60762895">
        <w:rPr>
          <w:sz w:val="24"/>
          <w:szCs w:val="24"/>
        </w:rPr>
        <w:t>centers</w:t>
      </w:r>
      <w:proofErr w:type="spellEnd"/>
      <w:r w:rsidRPr="60762895">
        <w:rPr>
          <w:sz w:val="24"/>
          <w:szCs w:val="24"/>
        </w:rPr>
        <w:t xml:space="preserve">, are explicitly highlighted as fast-growing and operationally consequential because they combine high energy demand, substantial cooling requirements, and fast ramps that can stress voltage and frequency regulation </w:t>
      </w:r>
      <w:r w:rsidRPr="60762895">
        <w:rPr>
          <w:sz w:val="24"/>
          <w:szCs w:val="24"/>
        </w:rPr>
        <w:fldChar w:fldCharType="begin"/>
      </w:r>
      <w:r w:rsidRPr="60762895">
        <w:rPr>
          <w:sz w:val="24"/>
          <w:szCs w:val="24"/>
        </w:rPr>
        <w:instrText xml:space="preserve"> REF _Ref223656934 \r \h  \* MERGEFORMAT </w:instrText>
      </w:r>
      <w:r w:rsidRPr="60762895">
        <w:rPr>
          <w:sz w:val="24"/>
          <w:szCs w:val="24"/>
        </w:rPr>
      </w:r>
      <w:r w:rsidRPr="60762895">
        <w:rPr>
          <w:sz w:val="24"/>
          <w:szCs w:val="24"/>
        </w:rPr>
        <w:fldChar w:fldCharType="separate"/>
      </w:r>
      <w:r w:rsidR="001E2D68">
        <w:rPr>
          <w:sz w:val="24"/>
          <w:szCs w:val="24"/>
        </w:rPr>
        <w:t>[144]</w:t>
      </w:r>
      <w:r w:rsidRPr="60762895">
        <w:rPr>
          <w:sz w:val="24"/>
          <w:szCs w:val="24"/>
        </w:rPr>
        <w:fldChar w:fldCharType="end"/>
      </w:r>
      <w:r w:rsidRPr="60762895">
        <w:rPr>
          <w:sz w:val="24"/>
          <w:szCs w:val="24"/>
        </w:rPr>
        <w:t xml:space="preserve">. In parallel, higher penetration of inverter-based generation changes how voltage is supported (reactive power control behaviour, current limits, plant-level controls, and reduced synchronous strength), which can shift weak areas and reduce the stability margin under both normal and contingency conditions if not managed carefully </w:t>
      </w:r>
      <w:r w:rsidRPr="60762895">
        <w:rPr>
          <w:sz w:val="24"/>
          <w:szCs w:val="24"/>
        </w:rPr>
        <w:fldChar w:fldCharType="begin"/>
      </w:r>
      <w:r w:rsidRPr="60762895">
        <w:rPr>
          <w:sz w:val="24"/>
          <w:szCs w:val="24"/>
        </w:rPr>
        <w:instrText xml:space="preserve"> REF _Ref223656954 \r \h  \* MERGEFORMAT </w:instrText>
      </w:r>
      <w:r w:rsidRPr="60762895">
        <w:rPr>
          <w:sz w:val="24"/>
          <w:szCs w:val="24"/>
        </w:rPr>
      </w:r>
      <w:r w:rsidRPr="60762895">
        <w:rPr>
          <w:sz w:val="24"/>
          <w:szCs w:val="24"/>
        </w:rPr>
        <w:fldChar w:fldCharType="separate"/>
      </w:r>
      <w:r w:rsidR="001E2D68">
        <w:rPr>
          <w:sz w:val="24"/>
          <w:szCs w:val="24"/>
        </w:rPr>
        <w:t>[145]</w:t>
      </w:r>
      <w:r w:rsidRPr="60762895">
        <w:rPr>
          <w:sz w:val="24"/>
          <w:szCs w:val="24"/>
        </w:rPr>
        <w:fldChar w:fldCharType="end"/>
      </w:r>
      <w:r w:rsidRPr="60762895">
        <w:rPr>
          <w:sz w:val="24"/>
          <w:szCs w:val="24"/>
        </w:rPr>
        <w:t>.</w:t>
      </w:r>
    </w:p>
    <w:p w14:paraId="4EFCC4B7" w14:textId="77777777" w:rsidR="003033F3" w:rsidRPr="00E27D3B" w:rsidRDefault="003033F3" w:rsidP="00A1192A">
      <w:pPr>
        <w:spacing w:after="0"/>
        <w:ind w:right="-23"/>
        <w:rPr>
          <w:sz w:val="24"/>
          <w:szCs w:val="24"/>
        </w:rPr>
      </w:pPr>
      <w:r w:rsidRPr="00E27D3B">
        <w:rPr>
          <w:sz w:val="24"/>
          <w:szCs w:val="24"/>
        </w:rPr>
        <w:t xml:space="preserve">The rest of the chapter is organised as follows. The theoretical background of small-disturbance voltage stability is presented in Section 5.2. Small-disturbance voltage stability assessment methods, simulation tools, and test systems are discussed in Section 5.3.  Section 5.4 presents the simulation results for various operating scenarios like different renewable penetration levels, load levels, and AI data </w:t>
      </w:r>
      <w:proofErr w:type="spellStart"/>
      <w:r w:rsidRPr="00E27D3B">
        <w:rPr>
          <w:sz w:val="24"/>
          <w:szCs w:val="24"/>
        </w:rPr>
        <w:t>center</w:t>
      </w:r>
      <w:proofErr w:type="spellEnd"/>
      <w:r w:rsidRPr="00E27D3B">
        <w:rPr>
          <w:sz w:val="24"/>
          <w:szCs w:val="24"/>
        </w:rPr>
        <w:t xml:space="preserve"> load levels. Finally, the work is concluded, and future research direction is provided in Section 5.5.</w:t>
      </w:r>
    </w:p>
    <w:p w14:paraId="52137C31" w14:textId="48A20396" w:rsidR="003033F3" w:rsidRPr="00E27D3B" w:rsidRDefault="003033F3" w:rsidP="00CD4F3A">
      <w:pPr>
        <w:pStyle w:val="Heading2"/>
      </w:pPr>
      <w:bookmarkStart w:id="376" w:name="_Toc223627382"/>
      <w:bookmarkStart w:id="377" w:name="_Toc224235086"/>
      <w:bookmarkStart w:id="378" w:name="_Toc233734328"/>
      <w:r w:rsidRPr="00E27D3B">
        <w:t xml:space="preserve">Definition of </w:t>
      </w:r>
      <w:r w:rsidR="00A1192A">
        <w:t>S</w:t>
      </w:r>
      <w:r w:rsidRPr="00E27D3B">
        <w:t>mall-</w:t>
      </w:r>
      <w:r w:rsidR="00A1192A">
        <w:t>D</w:t>
      </w:r>
      <w:r w:rsidRPr="00E27D3B">
        <w:t xml:space="preserve">isturbance </w:t>
      </w:r>
      <w:r w:rsidR="00A1192A">
        <w:t>V</w:t>
      </w:r>
      <w:r w:rsidRPr="00E27D3B">
        <w:t xml:space="preserve">oltage </w:t>
      </w:r>
      <w:r w:rsidR="00A1192A">
        <w:t>S</w:t>
      </w:r>
      <w:r w:rsidRPr="00E27D3B">
        <w:t>tability</w:t>
      </w:r>
      <w:bookmarkEnd w:id="376"/>
      <w:bookmarkEnd w:id="377"/>
      <w:bookmarkEnd w:id="378"/>
    </w:p>
    <w:p w14:paraId="50904A3A" w14:textId="742ABB56" w:rsidR="003033F3" w:rsidRPr="00C16F69" w:rsidRDefault="003033F3" w:rsidP="00A1192A">
      <w:pPr>
        <w:pStyle w:val="BodyText"/>
        <w:spacing w:after="0"/>
        <w:rPr>
          <w:szCs w:val="24"/>
        </w:rPr>
      </w:pPr>
      <w:r w:rsidRPr="00C16F69">
        <w:rPr>
          <w:szCs w:val="24"/>
        </w:rPr>
        <w:t xml:space="preserve">In the IEEE </w:t>
      </w:r>
      <w:r w:rsidRPr="00C16F69">
        <w:rPr>
          <w:szCs w:val="24"/>
        </w:rPr>
        <w:fldChar w:fldCharType="begin"/>
      </w:r>
      <w:r w:rsidRPr="00C16F69">
        <w:rPr>
          <w:szCs w:val="24"/>
        </w:rPr>
        <w:instrText xml:space="preserve"> REF _Ref223657004 \r \h  \* MERGEFORMAT </w:instrText>
      </w:r>
      <w:r w:rsidRPr="00C16F69">
        <w:rPr>
          <w:szCs w:val="24"/>
        </w:rPr>
      </w:r>
      <w:r w:rsidRPr="00C16F69">
        <w:rPr>
          <w:szCs w:val="24"/>
        </w:rPr>
        <w:fldChar w:fldCharType="separate"/>
      </w:r>
      <w:r w:rsidR="003C2949" w:rsidRPr="00C16F69">
        <w:rPr>
          <w:szCs w:val="24"/>
        </w:rPr>
        <w:t>[146]</w:t>
      </w:r>
      <w:r w:rsidRPr="00C16F69">
        <w:rPr>
          <w:szCs w:val="24"/>
        </w:rPr>
        <w:fldChar w:fldCharType="end"/>
      </w:r>
      <w:r w:rsidRPr="00C16F69">
        <w:rPr>
          <w:szCs w:val="24"/>
        </w:rPr>
        <w:t xml:space="preserve"> /CIGRE </w:t>
      </w:r>
      <w:r w:rsidRPr="00C16F69">
        <w:rPr>
          <w:szCs w:val="24"/>
        </w:rPr>
        <w:fldChar w:fldCharType="begin"/>
      </w:r>
      <w:r w:rsidRPr="00C16F69">
        <w:rPr>
          <w:szCs w:val="24"/>
        </w:rPr>
        <w:instrText xml:space="preserve"> REF _Ref223657024 \r \h  \* MERGEFORMAT </w:instrText>
      </w:r>
      <w:r w:rsidRPr="00C16F69">
        <w:rPr>
          <w:szCs w:val="24"/>
        </w:rPr>
      </w:r>
      <w:r w:rsidRPr="00C16F69">
        <w:rPr>
          <w:szCs w:val="24"/>
        </w:rPr>
        <w:fldChar w:fldCharType="separate"/>
      </w:r>
      <w:r w:rsidR="00753DAF" w:rsidRPr="00C16F69">
        <w:rPr>
          <w:szCs w:val="24"/>
          <w:cs/>
        </w:rPr>
        <w:t>‎</w:t>
      </w:r>
      <w:r w:rsidR="0084098A" w:rsidRPr="00C16F69">
        <w:rPr>
          <w:szCs w:val="24"/>
        </w:rPr>
        <w:t>[112]</w:t>
      </w:r>
      <w:r w:rsidRPr="00C16F69">
        <w:rPr>
          <w:szCs w:val="24"/>
        </w:rPr>
        <w:fldChar w:fldCharType="end"/>
      </w:r>
      <w:r w:rsidRPr="00C16F69">
        <w:rPr>
          <w:szCs w:val="24"/>
        </w:rPr>
        <w:t xml:space="preserve"> stability framework, small-disturbance voltage stability is defined as the ability of a power system to maintain steady voltages when subjected to small perturbations such as incremental changes in system load or generation. It is influenced by load characteristics, continuous controls, and discrete controls at a given instant of time; and, under suitable assumptions, it can be studied by linearizing the system equations around the operating point to obtain sensitivity information that helps identify factors driving instability </w:t>
      </w:r>
      <w:r w:rsidRPr="00C16F69">
        <w:rPr>
          <w:szCs w:val="24"/>
        </w:rPr>
        <w:fldChar w:fldCharType="begin"/>
      </w:r>
      <w:r w:rsidRPr="00C16F69">
        <w:rPr>
          <w:szCs w:val="24"/>
        </w:rPr>
        <w:instrText xml:space="preserve"> REF _Ref223657024 \r \h  \* MERGEFORMAT </w:instrText>
      </w:r>
      <w:r w:rsidRPr="00C16F69">
        <w:rPr>
          <w:szCs w:val="24"/>
        </w:rPr>
      </w:r>
      <w:r w:rsidRPr="00C16F69">
        <w:rPr>
          <w:szCs w:val="24"/>
        </w:rPr>
        <w:fldChar w:fldCharType="separate"/>
      </w:r>
      <w:r w:rsidR="00753DAF" w:rsidRPr="00C16F69">
        <w:rPr>
          <w:szCs w:val="24"/>
          <w:cs/>
        </w:rPr>
        <w:t>‎</w:t>
      </w:r>
      <w:r w:rsidR="0084098A" w:rsidRPr="00C16F69">
        <w:rPr>
          <w:szCs w:val="24"/>
        </w:rPr>
        <w:t>[112]</w:t>
      </w:r>
      <w:r w:rsidRPr="00C16F69">
        <w:rPr>
          <w:szCs w:val="24"/>
        </w:rPr>
        <w:fldChar w:fldCharType="end"/>
      </w:r>
      <w:r w:rsidRPr="00C16F69">
        <w:rPr>
          <w:szCs w:val="24"/>
        </w:rPr>
        <w:t>.</w:t>
      </w:r>
    </w:p>
    <w:p w14:paraId="4A7C7886" w14:textId="595CA514" w:rsidR="003033F3" w:rsidRPr="00C16F69" w:rsidRDefault="003033F3" w:rsidP="00A1192A">
      <w:pPr>
        <w:pStyle w:val="BodyText"/>
        <w:spacing w:after="0"/>
        <w:rPr>
          <w:szCs w:val="24"/>
        </w:rPr>
      </w:pPr>
      <w:r w:rsidRPr="00C16F69">
        <w:rPr>
          <w:szCs w:val="24"/>
        </w:rPr>
        <w:t xml:space="preserve">Mechanistically, voltage instability is tied to the inability of the combined transmission-generation system to supply the reactive power and voltage support needed as loads attempt to restore power consumption, leading to progressively falling voltages and possible collapse </w:t>
      </w:r>
      <w:r w:rsidRPr="00C16F69">
        <w:rPr>
          <w:szCs w:val="24"/>
        </w:rPr>
        <w:fldChar w:fldCharType="begin"/>
      </w:r>
      <w:r w:rsidRPr="00C16F69">
        <w:rPr>
          <w:szCs w:val="24"/>
        </w:rPr>
        <w:instrText xml:space="preserve"> REF _Ref223657079 \r \h  \* MERGEFORMAT </w:instrText>
      </w:r>
      <w:r w:rsidRPr="00C16F69">
        <w:rPr>
          <w:szCs w:val="24"/>
        </w:rPr>
      </w:r>
      <w:r w:rsidRPr="00C16F69">
        <w:rPr>
          <w:szCs w:val="24"/>
        </w:rPr>
        <w:fldChar w:fldCharType="separate"/>
      </w:r>
      <w:r w:rsidR="00247F92" w:rsidRPr="00C16F69">
        <w:rPr>
          <w:szCs w:val="24"/>
        </w:rPr>
        <w:t>[147]</w:t>
      </w:r>
      <w:r w:rsidRPr="00C16F69">
        <w:rPr>
          <w:szCs w:val="24"/>
        </w:rPr>
        <w:fldChar w:fldCharType="end"/>
      </w:r>
      <w:r w:rsidRPr="00C16F69">
        <w:rPr>
          <w:szCs w:val="24"/>
        </w:rPr>
        <w:t xml:space="preserve">. In static (steady state) terms, the practical boundary is frequently associated with a maximum </w:t>
      </w:r>
      <w:proofErr w:type="spellStart"/>
      <w:r w:rsidRPr="00C16F69">
        <w:rPr>
          <w:szCs w:val="24"/>
        </w:rPr>
        <w:t>loadability</w:t>
      </w:r>
      <w:proofErr w:type="spellEnd"/>
      <w:r w:rsidRPr="00C16F69">
        <w:rPr>
          <w:szCs w:val="24"/>
        </w:rPr>
        <w:t xml:space="preserve"> point that appears as the “nose” of a PV curve </w:t>
      </w:r>
      <w:r w:rsidRPr="00C16F69">
        <w:rPr>
          <w:szCs w:val="24"/>
        </w:rPr>
        <w:fldChar w:fldCharType="begin"/>
      </w:r>
      <w:r w:rsidRPr="00C16F69">
        <w:rPr>
          <w:szCs w:val="24"/>
        </w:rPr>
        <w:instrText xml:space="preserve"> REF _Ref223657004 \r \h  \* MERGEFORMAT </w:instrText>
      </w:r>
      <w:r w:rsidRPr="00C16F69">
        <w:rPr>
          <w:szCs w:val="24"/>
        </w:rPr>
      </w:r>
      <w:r w:rsidRPr="00C16F69">
        <w:rPr>
          <w:szCs w:val="24"/>
        </w:rPr>
        <w:fldChar w:fldCharType="separate"/>
      </w:r>
      <w:r w:rsidR="00247F92" w:rsidRPr="00C16F69">
        <w:rPr>
          <w:szCs w:val="24"/>
        </w:rPr>
        <w:t>[146]</w:t>
      </w:r>
      <w:r w:rsidRPr="00C16F69">
        <w:rPr>
          <w:szCs w:val="24"/>
        </w:rPr>
        <w:fldChar w:fldCharType="end"/>
      </w:r>
      <w:r w:rsidRPr="00C16F69">
        <w:rPr>
          <w:szCs w:val="24"/>
        </w:rPr>
        <w:t>.</w:t>
      </w:r>
    </w:p>
    <w:p w14:paraId="416731DE" w14:textId="7BFB951B" w:rsidR="003033F3" w:rsidRPr="00E27D3B" w:rsidRDefault="003033F3" w:rsidP="00CD4F3A">
      <w:pPr>
        <w:pStyle w:val="Heading2"/>
      </w:pPr>
      <w:bookmarkStart w:id="379" w:name="_Toc223627383"/>
      <w:bookmarkStart w:id="380" w:name="_Toc224235087"/>
      <w:bookmarkStart w:id="381" w:name="_Toc233734329"/>
      <w:r w:rsidRPr="00E27D3B">
        <w:t xml:space="preserve">Methodology for </w:t>
      </w:r>
      <w:r w:rsidR="00A1192A">
        <w:t>S</w:t>
      </w:r>
      <w:r w:rsidRPr="00E27D3B">
        <w:t>mall-</w:t>
      </w:r>
      <w:r w:rsidR="00A1192A">
        <w:t>D</w:t>
      </w:r>
      <w:r w:rsidRPr="00E27D3B">
        <w:t xml:space="preserve">isturbance </w:t>
      </w:r>
      <w:r w:rsidR="00A1192A">
        <w:t>V</w:t>
      </w:r>
      <w:r w:rsidRPr="00E27D3B">
        <w:t xml:space="preserve">oltage </w:t>
      </w:r>
      <w:r w:rsidR="00A1192A">
        <w:t>S</w:t>
      </w:r>
      <w:r w:rsidRPr="00E27D3B">
        <w:t xml:space="preserve">tability </w:t>
      </w:r>
      <w:r w:rsidR="00A1192A">
        <w:t>A</w:t>
      </w:r>
      <w:r w:rsidRPr="00E27D3B">
        <w:t>ssessment</w:t>
      </w:r>
      <w:bookmarkEnd w:id="379"/>
      <w:bookmarkEnd w:id="380"/>
      <w:bookmarkEnd w:id="381"/>
    </w:p>
    <w:p w14:paraId="2EF0F395" w14:textId="7319F69D" w:rsidR="003033F3" w:rsidRPr="00E27D3B" w:rsidRDefault="003033F3" w:rsidP="00CD4F3A">
      <w:pPr>
        <w:pStyle w:val="Heading3"/>
      </w:pPr>
      <w:r w:rsidRPr="00E27D3B">
        <w:t xml:space="preserve">Small-disturbance </w:t>
      </w:r>
      <w:r w:rsidR="00A1192A">
        <w:t>V</w:t>
      </w:r>
      <w:r w:rsidRPr="00E27D3B">
        <w:t xml:space="preserve">oltage </w:t>
      </w:r>
      <w:r w:rsidR="00A1192A">
        <w:t>S</w:t>
      </w:r>
      <w:r w:rsidRPr="00E27D3B">
        <w:t xml:space="preserve">tability </w:t>
      </w:r>
      <w:r w:rsidR="00A1192A">
        <w:t>A</w:t>
      </w:r>
      <w:r w:rsidRPr="00E27D3B">
        <w:t xml:space="preserve">ssessment </w:t>
      </w:r>
      <w:r w:rsidR="00A1192A">
        <w:t>M</w:t>
      </w:r>
      <w:r w:rsidRPr="00E27D3B">
        <w:t>ethods</w:t>
      </w:r>
    </w:p>
    <w:p w14:paraId="6CBD5E1D" w14:textId="3DA71B58" w:rsidR="003033F3" w:rsidRPr="00A1192A" w:rsidRDefault="003033F3" w:rsidP="00A1192A">
      <w:pPr>
        <w:pStyle w:val="BodyText"/>
        <w:spacing w:after="0"/>
        <w:rPr>
          <w:szCs w:val="24"/>
        </w:rPr>
      </w:pPr>
      <w:r w:rsidRPr="00A1192A">
        <w:rPr>
          <w:szCs w:val="24"/>
        </w:rPr>
        <w:t>Small-disturbance voltage stability assessment methods can be grouped by what they compute (such as stability margin, sensitivities, modes, or indices), how much modelling detail they need, and whether they are intended for offline planning studies or near-real-time monitoring</w:t>
      </w:r>
      <w:r w:rsidR="009B02D9" w:rsidRPr="00A1192A">
        <w:rPr>
          <w:szCs w:val="24"/>
        </w:rPr>
        <w:t xml:space="preserve"> </w:t>
      </w:r>
      <w:r w:rsidR="009B02D9" w:rsidRPr="00A1192A">
        <w:rPr>
          <w:szCs w:val="24"/>
        </w:rPr>
        <w:fldChar w:fldCharType="begin"/>
      </w:r>
      <w:r w:rsidR="009B02D9" w:rsidRPr="00A1192A">
        <w:rPr>
          <w:szCs w:val="24"/>
        </w:rPr>
        <w:instrText xml:space="preserve"> REF _Ref230895645 \r \h </w:instrText>
      </w:r>
      <w:r w:rsidR="00CD4F3A" w:rsidRPr="00A1192A">
        <w:rPr>
          <w:szCs w:val="24"/>
        </w:rPr>
        <w:instrText xml:space="preserve"> \* MERGEFORMAT </w:instrText>
      </w:r>
      <w:r w:rsidR="009B02D9" w:rsidRPr="00A1192A">
        <w:rPr>
          <w:szCs w:val="24"/>
        </w:rPr>
      </w:r>
      <w:r w:rsidR="009B02D9" w:rsidRPr="00A1192A">
        <w:rPr>
          <w:szCs w:val="24"/>
        </w:rPr>
        <w:fldChar w:fldCharType="separate"/>
      </w:r>
      <w:r w:rsidR="009B02D9" w:rsidRPr="00A1192A">
        <w:rPr>
          <w:szCs w:val="24"/>
        </w:rPr>
        <w:t>[66]</w:t>
      </w:r>
      <w:r w:rsidR="009B02D9" w:rsidRPr="00A1192A">
        <w:rPr>
          <w:szCs w:val="24"/>
        </w:rPr>
        <w:fldChar w:fldCharType="end"/>
      </w:r>
      <w:r w:rsidRPr="00A1192A">
        <w:rPr>
          <w:szCs w:val="24"/>
        </w:rPr>
        <w:t xml:space="preserve">. The </w:t>
      </w:r>
      <w:r w:rsidRPr="00A1192A">
        <w:rPr>
          <w:szCs w:val="24"/>
        </w:rPr>
        <w:lastRenderedPageBreak/>
        <w:t xml:space="preserve">IEEE/CIGRE framework explicitly notes that linearization enables valuable sensitivity </w:t>
      </w:r>
      <w:proofErr w:type="gramStart"/>
      <w:r w:rsidRPr="00A1192A">
        <w:rPr>
          <w:szCs w:val="24"/>
        </w:rPr>
        <w:t>information, but</w:t>
      </w:r>
      <w:proofErr w:type="gramEnd"/>
      <w:r w:rsidRPr="00A1192A">
        <w:rPr>
          <w:szCs w:val="24"/>
        </w:rPr>
        <w:t xml:space="preserve"> also cautions that purely linearized analysis cannot capture some nonlinearities (for example, discrete tap-changer effects), so complementary nonlinear analyses are often used in practice </w:t>
      </w:r>
      <w:r w:rsidRPr="00A1192A">
        <w:rPr>
          <w:szCs w:val="24"/>
        </w:rPr>
        <w:fldChar w:fldCharType="begin"/>
      </w:r>
      <w:r w:rsidRPr="00A1192A">
        <w:rPr>
          <w:szCs w:val="24"/>
        </w:rPr>
        <w:instrText xml:space="preserve"> REF _Ref223657024 \r \h  \* MERGEFORMAT </w:instrText>
      </w:r>
      <w:r w:rsidRPr="00A1192A">
        <w:rPr>
          <w:szCs w:val="24"/>
        </w:rPr>
      </w:r>
      <w:r w:rsidRPr="00A1192A">
        <w:rPr>
          <w:szCs w:val="24"/>
        </w:rPr>
        <w:fldChar w:fldCharType="separate"/>
      </w:r>
      <w:r w:rsidR="00753DAF" w:rsidRPr="00A1192A">
        <w:rPr>
          <w:szCs w:val="24"/>
          <w:cs/>
        </w:rPr>
        <w:t>‎</w:t>
      </w:r>
      <w:r w:rsidR="0084098A" w:rsidRPr="00A1192A">
        <w:rPr>
          <w:szCs w:val="24"/>
        </w:rPr>
        <w:t>[112]</w:t>
      </w:r>
      <w:r w:rsidRPr="00A1192A">
        <w:rPr>
          <w:szCs w:val="24"/>
        </w:rPr>
        <w:fldChar w:fldCharType="end"/>
      </w:r>
      <w:r w:rsidRPr="00A1192A">
        <w:rPr>
          <w:szCs w:val="24"/>
        </w:rPr>
        <w:t xml:space="preserve">. In small-disturbance voltage stability approaches (shown in </w:t>
      </w:r>
      <w:r w:rsidRPr="00A1192A">
        <w:rPr>
          <w:szCs w:val="24"/>
        </w:rPr>
        <w:fldChar w:fldCharType="begin"/>
      </w:r>
      <w:r w:rsidRPr="00A1192A">
        <w:rPr>
          <w:szCs w:val="24"/>
        </w:rPr>
        <w:instrText xml:space="preserve"> REF _Ref223658215 \h  \* MERGEFORMAT </w:instrText>
      </w:r>
      <w:r w:rsidRPr="00A1192A">
        <w:rPr>
          <w:szCs w:val="24"/>
        </w:rPr>
      </w:r>
      <w:r w:rsidRPr="00A1192A">
        <w:rPr>
          <w:szCs w:val="24"/>
        </w:rPr>
        <w:fldChar w:fldCharType="separate"/>
      </w:r>
      <w:r w:rsidR="00753DAF" w:rsidRPr="00A1192A">
        <w:rPr>
          <w:szCs w:val="24"/>
        </w:rPr>
        <w:t xml:space="preserve">Figure </w:t>
      </w:r>
      <w:r w:rsidR="00D7213C" w:rsidRPr="00A1192A">
        <w:rPr>
          <w:noProof/>
          <w:szCs w:val="24"/>
        </w:rPr>
        <w:t>62</w:t>
      </w:r>
      <w:r w:rsidRPr="00A1192A">
        <w:rPr>
          <w:szCs w:val="24"/>
        </w:rPr>
        <w:fldChar w:fldCharType="end"/>
      </w:r>
      <w:r w:rsidRPr="00A1192A">
        <w:rPr>
          <w:szCs w:val="24"/>
        </w:rPr>
        <w:t>), the following families are most relevant:</w:t>
      </w:r>
    </w:p>
    <w:p w14:paraId="08D3F971" w14:textId="77777777" w:rsidR="00F453EA" w:rsidRPr="00E27D3B" w:rsidRDefault="00F453EA" w:rsidP="00CD4F3A">
      <w:pPr>
        <w:pStyle w:val="BodyText"/>
        <w:keepNext/>
        <w:spacing w:before="180" w:after="0" w:line="240" w:lineRule="auto"/>
      </w:pPr>
      <w:r w:rsidRPr="00E27D3B">
        <w:rPr>
          <w:rFonts w:cs="Calibri"/>
          <w:noProof/>
          <w:sz w:val="18"/>
          <w:szCs w:val="18"/>
        </w:rPr>
        <w:drawing>
          <wp:inline distT="0" distB="0" distL="0" distR="0" wp14:anchorId="11A14BC9" wp14:editId="73E50940">
            <wp:extent cx="5943600" cy="3101645"/>
            <wp:effectExtent l="0" t="0" r="0" b="3810"/>
            <wp:docPr id="1418081255" name="Chart 1">
              <a:extLst xmlns:a="http://schemas.openxmlformats.org/drawingml/2006/main">
                <a:ext uri="{FF2B5EF4-FFF2-40B4-BE49-F238E27FC236}">
                  <a16:creationId xmlns:a16="http://schemas.microsoft.com/office/drawing/2014/main" id="{86731C5E-E8A4-E4C4-41AC-B07B93FDA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471527B6" w14:textId="77777777" w:rsidR="00F453EA" w:rsidRPr="00F453EA" w:rsidRDefault="00F453EA" w:rsidP="00CD4F3A">
      <w:pPr>
        <w:pStyle w:val="Caption"/>
        <w:spacing w:line="240" w:lineRule="auto"/>
      </w:pPr>
      <w:bookmarkStart w:id="382" w:name="_Toc233735068"/>
      <w:r w:rsidRPr="00F453EA">
        <w:t xml:space="preserve">Figure </w:t>
      </w:r>
      <w:fldSimple w:instr=" SEQ Figure \* ARABIC ">
        <w:r w:rsidRPr="00F453EA">
          <w:t>62</w:t>
        </w:r>
      </w:fldSimple>
      <w:r w:rsidRPr="00F453EA">
        <w:t>: Frequently used small-disturbance voltage stability assessment methods.</w:t>
      </w:r>
      <w:bookmarkEnd w:id="382"/>
    </w:p>
    <w:p w14:paraId="37D06736" w14:textId="71F3A654" w:rsidR="003033F3" w:rsidRPr="00E27D3B" w:rsidRDefault="003033F3" w:rsidP="00A1192A">
      <w:pPr>
        <w:pStyle w:val="BodyText"/>
        <w:spacing w:after="0"/>
      </w:pPr>
      <w:r w:rsidRPr="00E27D3B">
        <w:t>Continuation-based PV/QV tracing (</w:t>
      </w:r>
      <w:proofErr w:type="gramStart"/>
      <w:r w:rsidRPr="00E27D3B">
        <w:t>most commonly called</w:t>
      </w:r>
      <w:proofErr w:type="gramEnd"/>
      <w:r w:rsidRPr="00E27D3B">
        <w:t xml:space="preserve"> continuation power flow (CPF)) directly traces equilibrium solutions as loading is parameterized and increased, producing PV (and sometimes QV) curves, identifying the critical point, and allowing a </w:t>
      </w:r>
      <w:proofErr w:type="spellStart"/>
      <w:r w:rsidRPr="00E27D3B">
        <w:t>loadability</w:t>
      </w:r>
      <w:proofErr w:type="spellEnd"/>
      <w:r w:rsidRPr="00E27D3B">
        <w:t xml:space="preserve"> margin to be quantified. This approach aligns naturally with incremental-load (small-disturbance) questions and with long-term/quasi-steady-state interpretations of voltage stability </w:t>
      </w:r>
      <w:r w:rsidRPr="00E27D3B">
        <w:fldChar w:fldCharType="begin"/>
      </w:r>
      <w:r w:rsidRPr="00E27D3B">
        <w:instrText xml:space="preserve"> REF _Ref223657024 \r \h  \* MERGEFORMAT </w:instrText>
      </w:r>
      <w:r w:rsidRPr="00E27D3B">
        <w:fldChar w:fldCharType="separate"/>
      </w:r>
      <w:r w:rsidR="00753DAF">
        <w:rPr>
          <w:cs/>
        </w:rPr>
        <w:t>‎</w:t>
      </w:r>
      <w:r w:rsidR="0084098A">
        <w:t>[112]</w:t>
      </w:r>
      <w:r w:rsidRPr="00E27D3B">
        <w:fldChar w:fldCharType="end"/>
      </w:r>
      <w:r w:rsidRPr="00E27D3B">
        <w:t>.</w:t>
      </w:r>
    </w:p>
    <w:p w14:paraId="51145304" w14:textId="3B70DAA4" w:rsidR="003033F3" w:rsidRPr="00E27D3B" w:rsidRDefault="003033F3" w:rsidP="00A1192A">
      <w:pPr>
        <w:pStyle w:val="BodyText"/>
        <w:spacing w:after="0"/>
      </w:pPr>
      <w:r w:rsidRPr="00E27D3B">
        <w:t xml:space="preserve">Modal (eigenvalue) analysis evaluates voltage stability by computing eigenvalues and eigenvectors of a reduced power-flow Jacobian, helping to identify critical modes and participation factors useful for locating weak buses/areas and understanding which state combinations drive proximity to instability </w:t>
      </w:r>
      <w:r w:rsidRPr="00E27D3B">
        <w:fldChar w:fldCharType="begin"/>
      </w:r>
      <w:r w:rsidRPr="00E27D3B">
        <w:instrText xml:space="preserve"> REF _Ref223657168 \r \h  \* MERGEFORMAT </w:instrText>
      </w:r>
      <w:r w:rsidRPr="00E27D3B">
        <w:fldChar w:fldCharType="separate"/>
      </w:r>
      <w:r w:rsidR="00247F92">
        <w:t>[149]</w:t>
      </w:r>
      <w:r w:rsidRPr="00E27D3B">
        <w:fldChar w:fldCharType="end"/>
      </w:r>
      <w:r w:rsidRPr="00E27D3B">
        <w:t xml:space="preserve">. Singular value decomposition (SVD)-based indices use the smallest singular value of the power-flow Jacobian as a proximity indicator; the singular vectors provide directional sensitivity information for voltages and injections </w:t>
      </w:r>
      <w:r w:rsidRPr="00E27D3B">
        <w:fldChar w:fldCharType="begin"/>
      </w:r>
      <w:r w:rsidRPr="00E27D3B">
        <w:instrText xml:space="preserve"> REF _Ref223657180 \r \h  \* MERGEFORMAT </w:instrText>
      </w:r>
      <w:r w:rsidRPr="00E27D3B">
        <w:fldChar w:fldCharType="separate"/>
      </w:r>
      <w:r w:rsidR="00247F92">
        <w:t>[150]</w:t>
      </w:r>
      <w:r w:rsidRPr="00E27D3B">
        <w:fldChar w:fldCharType="end"/>
      </w:r>
      <w:r w:rsidRPr="00E27D3B">
        <w:t>.</w:t>
      </w:r>
    </w:p>
    <w:p w14:paraId="13C19679" w14:textId="28626CAA" w:rsidR="003033F3" w:rsidRPr="00E27D3B" w:rsidRDefault="003033F3" w:rsidP="00A1192A">
      <w:pPr>
        <w:pStyle w:val="BodyText"/>
        <w:spacing w:after="0"/>
      </w:pPr>
      <w:r w:rsidRPr="00E27D3B">
        <w:t xml:space="preserve">Thevenin-equivalent and impedance-matching methods estimate a local Thevenin equivalent seen by a bus or corridor and infer proximity to maximum power transfer; these methods can be attractive for online monitoring but can have limitations in multi-load systems and when system conditions and controls change rapidly, motivating improved or wide-area variants </w:t>
      </w:r>
      <w:r w:rsidRPr="00E27D3B">
        <w:fldChar w:fldCharType="begin"/>
      </w:r>
      <w:r w:rsidRPr="00E27D3B">
        <w:instrText xml:space="preserve"> REF _Ref223657194 \r \h  \* MERGEFORMAT </w:instrText>
      </w:r>
      <w:r w:rsidRPr="00E27D3B">
        <w:fldChar w:fldCharType="separate"/>
      </w:r>
      <w:r w:rsidR="00247F92">
        <w:t>[151]</w:t>
      </w:r>
      <w:r w:rsidRPr="00E27D3B">
        <w:fldChar w:fldCharType="end"/>
      </w:r>
      <w:r w:rsidRPr="00E27D3B">
        <w:t xml:space="preserve">. </w:t>
      </w:r>
      <w:proofErr w:type="spellStart"/>
      <w:r w:rsidRPr="00E27D3B">
        <w:t>Synchrophasor</w:t>
      </w:r>
      <w:proofErr w:type="spellEnd"/>
      <w:r w:rsidRPr="00E27D3B">
        <w:t xml:space="preserve">-based and state-estimation-based monitoring approaches compute voltage stability indices or margins from PMU measurements, aiming for operational visibility with fast refresh rates; these are commonly positioned as monitoring layers rather than replacements for planning-grade margin studies </w:t>
      </w:r>
      <w:r w:rsidRPr="00E27D3B">
        <w:fldChar w:fldCharType="begin"/>
      </w:r>
      <w:r w:rsidRPr="00E27D3B">
        <w:instrText xml:space="preserve"> REF _Ref223657210 \r \h  \* MERGEFORMAT </w:instrText>
      </w:r>
      <w:r w:rsidRPr="00E27D3B">
        <w:fldChar w:fldCharType="separate"/>
      </w:r>
      <w:r w:rsidR="00247F92">
        <w:t>[152]</w:t>
      </w:r>
      <w:r w:rsidRPr="00E27D3B">
        <w:fldChar w:fldCharType="end"/>
      </w:r>
      <w:r w:rsidRPr="00E27D3B">
        <w:t>.</w:t>
      </w:r>
    </w:p>
    <w:p w14:paraId="04B66784" w14:textId="5D3F79EC" w:rsidR="003033F3" w:rsidRPr="00E27D3B" w:rsidRDefault="003033F3" w:rsidP="00A1192A">
      <w:pPr>
        <w:pStyle w:val="BodyText"/>
        <w:spacing w:after="0"/>
      </w:pPr>
      <w:r w:rsidRPr="00E27D3B">
        <w:t xml:space="preserve">The decision to use CPF is fundamentally about robustness and interpretability near the critical operating boundary. Conventional repeated Newton-Raphson power flows, run by progressively </w:t>
      </w:r>
      <w:r w:rsidRPr="00E27D3B">
        <w:lastRenderedPageBreak/>
        <w:t xml:space="preserve">increasing load, often suffer convergence problems close to collapse and do not reliably locate the actual limit; this becomes especially problematic when the study needs a precise margin and when many control limits (generator reactive limits, regulating transformers, HVDC controls) can change the system equations along the path </w:t>
      </w:r>
      <w:r w:rsidRPr="00E27D3B">
        <w:fldChar w:fldCharType="begin"/>
      </w:r>
      <w:r w:rsidRPr="00E27D3B">
        <w:instrText xml:space="preserve"> REF _Ref223657004 \r \h  \* MERGEFORMAT </w:instrText>
      </w:r>
      <w:r w:rsidRPr="00E27D3B">
        <w:fldChar w:fldCharType="separate"/>
      </w:r>
      <w:r w:rsidR="00247F92">
        <w:t>[146]</w:t>
      </w:r>
      <w:r w:rsidRPr="00E27D3B">
        <w:fldChar w:fldCharType="end"/>
      </w:r>
      <w:r w:rsidRPr="00E27D3B">
        <w:t xml:space="preserve">. Continuation methods were developed precisely to overcome these limitations by reliably computing the solution path and the bifurcation point </w:t>
      </w:r>
      <w:r w:rsidRPr="00E27D3B">
        <w:fldChar w:fldCharType="begin"/>
      </w:r>
      <w:r w:rsidRPr="00E27D3B">
        <w:instrText xml:space="preserve"> REF _Ref223657004 \r \h  \* MERGEFORMAT </w:instrText>
      </w:r>
      <w:r w:rsidRPr="00E27D3B">
        <w:fldChar w:fldCharType="separate"/>
      </w:r>
      <w:r w:rsidR="00247F92">
        <w:t>[146]</w:t>
      </w:r>
      <w:r w:rsidRPr="00E27D3B">
        <w:fldChar w:fldCharType="end"/>
      </w:r>
      <w:r w:rsidRPr="00E27D3B">
        <w:t>.</w:t>
      </w:r>
    </w:p>
    <w:p w14:paraId="64ADF856" w14:textId="24A73D40" w:rsidR="003033F3" w:rsidRPr="00E27D3B" w:rsidRDefault="003033F3" w:rsidP="00A1192A">
      <w:pPr>
        <w:pStyle w:val="BodyText"/>
        <w:spacing w:after="0"/>
      </w:pPr>
      <w:r w:rsidRPr="00E27D3B">
        <w:t xml:space="preserve">A second reason is that CPF produces outputs that map cleanly to operational questions. PV curves provide a direct visual and numerical link between loading levels and bus voltages and identify the critical point of voltage instability </w:t>
      </w:r>
      <w:r w:rsidRPr="00E27D3B">
        <w:fldChar w:fldCharType="begin"/>
      </w:r>
      <w:r w:rsidRPr="00E27D3B">
        <w:instrText xml:space="preserve"> REF _Ref223657279 \r \h  \* MERGEFORMAT </w:instrText>
      </w:r>
      <w:r w:rsidRPr="00E27D3B">
        <w:fldChar w:fldCharType="separate"/>
      </w:r>
      <w:r w:rsidR="00247F92">
        <w:t>[153]</w:t>
      </w:r>
      <w:r w:rsidRPr="00E27D3B">
        <w:fldChar w:fldCharType="end"/>
      </w:r>
      <w:r w:rsidRPr="00E27D3B">
        <w:t xml:space="preserve">. When paired with contingency analysis (N−1 screening), CPF-based margins can be computed for normal operation and for the “limiting contingency,” giving planners and operators a concrete prioritization of risk and a defensible basis for preventive or corrective measures </w:t>
      </w:r>
      <w:r w:rsidRPr="00E27D3B">
        <w:fldChar w:fldCharType="begin"/>
      </w:r>
      <w:r w:rsidRPr="00E27D3B">
        <w:instrText xml:space="preserve"> REF _Ref223657279 \r \h  \* MERGEFORMAT </w:instrText>
      </w:r>
      <w:r w:rsidRPr="00E27D3B">
        <w:fldChar w:fldCharType="separate"/>
      </w:r>
      <w:r w:rsidR="00247F92">
        <w:t>[153]</w:t>
      </w:r>
      <w:r w:rsidRPr="00E27D3B">
        <w:fldChar w:fldCharType="end"/>
      </w:r>
      <w:r w:rsidRPr="00E27D3B">
        <w:t>.</w:t>
      </w:r>
    </w:p>
    <w:p w14:paraId="011CDCBA" w14:textId="6D71213B" w:rsidR="003033F3" w:rsidRPr="00E27D3B" w:rsidRDefault="003033F3" w:rsidP="00A1192A">
      <w:pPr>
        <w:pStyle w:val="BodyText"/>
        <w:spacing w:after="0"/>
      </w:pPr>
      <w:r w:rsidRPr="00E27D3B">
        <w:t xml:space="preserve">A third reason is alignment with the meaning of “small disturbance” in the IEEE/CIGRE definition: incremental changes in system load and generation. CPF explicitly parameterizes these incremental changes and can be combined with linearized sensitivities along the path to identify which controls or buses become critical as the system approaches the boundary </w:t>
      </w:r>
      <w:r w:rsidRPr="00E27D3B">
        <w:fldChar w:fldCharType="begin"/>
      </w:r>
      <w:r w:rsidRPr="00E27D3B">
        <w:instrText xml:space="preserve"> REF _Ref223657024 \r \h  \* MERGEFORMAT </w:instrText>
      </w:r>
      <w:r w:rsidRPr="00E27D3B">
        <w:fldChar w:fldCharType="separate"/>
      </w:r>
      <w:r w:rsidR="00753DAF">
        <w:rPr>
          <w:cs/>
        </w:rPr>
        <w:t>‎</w:t>
      </w:r>
      <w:r w:rsidR="0084098A">
        <w:t>[112]</w:t>
      </w:r>
      <w:r w:rsidRPr="00E27D3B">
        <w:fldChar w:fldCharType="end"/>
      </w:r>
      <w:r w:rsidRPr="00E27D3B">
        <w:t>. Practically, this supports both planning use and operational use.</w:t>
      </w:r>
    </w:p>
    <w:p w14:paraId="4EECCD28" w14:textId="65C159AB" w:rsidR="003033F3" w:rsidRPr="00E27D3B" w:rsidRDefault="003033F3" w:rsidP="00CD4F3A">
      <w:pPr>
        <w:pStyle w:val="Heading3"/>
      </w:pPr>
      <w:r w:rsidRPr="00E27D3B">
        <w:t xml:space="preserve">Frequently used </w:t>
      </w:r>
      <w:r w:rsidR="00A1192A">
        <w:t>T</w:t>
      </w:r>
      <w:r w:rsidRPr="00E27D3B">
        <w:t xml:space="preserve">ools for </w:t>
      </w:r>
      <w:r w:rsidR="00A1192A">
        <w:t>S</w:t>
      </w:r>
      <w:r w:rsidRPr="00E27D3B">
        <w:t>mall-</w:t>
      </w:r>
      <w:r w:rsidR="00A1192A">
        <w:t>D</w:t>
      </w:r>
      <w:r w:rsidRPr="00E27D3B">
        <w:t xml:space="preserve">isturbance </w:t>
      </w:r>
      <w:r w:rsidR="00A1192A">
        <w:t>V</w:t>
      </w:r>
      <w:r w:rsidRPr="00E27D3B">
        <w:t xml:space="preserve">oltage </w:t>
      </w:r>
      <w:r w:rsidR="00A1192A">
        <w:t>S</w:t>
      </w:r>
      <w:r w:rsidRPr="00E27D3B">
        <w:t xml:space="preserve">tability and </w:t>
      </w:r>
      <w:r w:rsidR="00A1192A">
        <w:t>W</w:t>
      </w:r>
      <w:r w:rsidRPr="00E27D3B">
        <w:t xml:space="preserve">hy DIgSILENT </w:t>
      </w:r>
      <w:proofErr w:type="spellStart"/>
      <w:r w:rsidRPr="00E27D3B">
        <w:t>PowerFactory</w:t>
      </w:r>
      <w:proofErr w:type="spellEnd"/>
      <w:r w:rsidRPr="00E27D3B">
        <w:t xml:space="preserve"> was </w:t>
      </w:r>
      <w:r w:rsidR="00A1192A">
        <w:t>S</w:t>
      </w:r>
      <w:r w:rsidRPr="00E27D3B">
        <w:t>elected</w:t>
      </w:r>
    </w:p>
    <w:p w14:paraId="6D8753B1" w14:textId="52C7BFBD" w:rsidR="003033F3" w:rsidRPr="00A1192A" w:rsidRDefault="003033F3" w:rsidP="00A1192A">
      <w:pPr>
        <w:pStyle w:val="BodyText"/>
        <w:spacing w:after="0"/>
        <w:rPr>
          <w:szCs w:val="24"/>
        </w:rPr>
      </w:pPr>
      <w:r w:rsidRPr="00A1192A">
        <w:rPr>
          <w:szCs w:val="24"/>
        </w:rPr>
        <w:t xml:space="preserve">In open and research-centric workflows, MATLAB-based ecosystems are common: PSAT documents an integrated set of power-flow, CPF, small-signal stability analysis, time-domain simulation, and extensive component models (including load tap changers and thermostatically controlled loads), which explains why it is frequently used in academic voltage stability workflows </w:t>
      </w:r>
      <w:r w:rsidRPr="00A1192A">
        <w:rPr>
          <w:szCs w:val="24"/>
        </w:rPr>
        <w:fldChar w:fldCharType="begin"/>
      </w:r>
      <w:r w:rsidRPr="00A1192A">
        <w:rPr>
          <w:szCs w:val="24"/>
        </w:rPr>
        <w:instrText xml:space="preserve"> REF _Ref223657335 \r \h  \* MERGEFORMAT </w:instrText>
      </w:r>
      <w:r w:rsidRPr="00A1192A">
        <w:rPr>
          <w:szCs w:val="24"/>
        </w:rPr>
      </w:r>
      <w:r w:rsidRPr="00A1192A">
        <w:rPr>
          <w:szCs w:val="24"/>
        </w:rPr>
        <w:fldChar w:fldCharType="separate"/>
      </w:r>
      <w:r w:rsidR="00247F92" w:rsidRPr="00A1192A">
        <w:rPr>
          <w:szCs w:val="24"/>
        </w:rPr>
        <w:t>[154]</w:t>
      </w:r>
      <w:r w:rsidRPr="00A1192A">
        <w:rPr>
          <w:szCs w:val="24"/>
        </w:rPr>
        <w:fldChar w:fldCharType="end"/>
      </w:r>
      <w:r w:rsidRPr="00A1192A">
        <w:rPr>
          <w:szCs w:val="24"/>
        </w:rPr>
        <w:t xml:space="preserve">. MATPOWER is similarly positioned as a widely used research and education package explicitly supporting power flow, CPF, and optimal power flow in a form designed to be easy to modify and automate </w:t>
      </w:r>
      <w:r w:rsidRPr="00A1192A">
        <w:rPr>
          <w:szCs w:val="24"/>
        </w:rPr>
        <w:fldChar w:fldCharType="begin"/>
      </w:r>
      <w:r w:rsidRPr="00A1192A">
        <w:rPr>
          <w:szCs w:val="24"/>
        </w:rPr>
        <w:instrText xml:space="preserve"> REF _Ref223657349 \r \h  \* MERGEFORMAT </w:instrText>
      </w:r>
      <w:r w:rsidRPr="00A1192A">
        <w:rPr>
          <w:szCs w:val="24"/>
        </w:rPr>
      </w:r>
      <w:r w:rsidRPr="00A1192A">
        <w:rPr>
          <w:szCs w:val="24"/>
        </w:rPr>
        <w:fldChar w:fldCharType="separate"/>
      </w:r>
      <w:r w:rsidR="00247F92" w:rsidRPr="00A1192A">
        <w:rPr>
          <w:szCs w:val="24"/>
        </w:rPr>
        <w:t>[155]</w:t>
      </w:r>
      <w:r w:rsidRPr="00A1192A">
        <w:rPr>
          <w:szCs w:val="24"/>
        </w:rPr>
        <w:fldChar w:fldCharType="end"/>
      </w:r>
      <w:r w:rsidRPr="00A1192A">
        <w:rPr>
          <w:szCs w:val="24"/>
        </w:rPr>
        <w:t>.</w:t>
      </w:r>
    </w:p>
    <w:p w14:paraId="7BA2972C" w14:textId="3F6CF217" w:rsidR="003033F3" w:rsidRPr="00A1192A" w:rsidRDefault="003033F3" w:rsidP="00A1192A">
      <w:pPr>
        <w:pStyle w:val="BodyText"/>
        <w:spacing w:after="0"/>
        <w:rPr>
          <w:szCs w:val="24"/>
        </w:rPr>
      </w:pPr>
      <w:r w:rsidRPr="00A1192A">
        <w:rPr>
          <w:szCs w:val="24"/>
        </w:rPr>
        <w:t xml:space="preserve">At the same time, industry-grade studies, particularly those that must reflect detailed equipment limits, standard dynamic model libraries, and utility-style contingency and reporting workflows frequently rely on commercial platforms, real-time digital simulators, or hybrid pipelines. The RTDS Simulator, for example, is designed for real-time EMT simulation and hardware-in-the-loop testing of protection/control devices, which is a different value proposition than a CPF-based static margin engine </w:t>
      </w:r>
      <w:r w:rsidRPr="00A1192A">
        <w:rPr>
          <w:szCs w:val="24"/>
        </w:rPr>
        <w:fldChar w:fldCharType="begin"/>
      </w:r>
      <w:r w:rsidRPr="00A1192A">
        <w:rPr>
          <w:szCs w:val="24"/>
        </w:rPr>
        <w:instrText xml:space="preserve"> REF _Ref223657360 \r \h  \* MERGEFORMAT </w:instrText>
      </w:r>
      <w:r w:rsidRPr="00A1192A">
        <w:rPr>
          <w:szCs w:val="24"/>
        </w:rPr>
      </w:r>
      <w:r w:rsidRPr="00A1192A">
        <w:rPr>
          <w:szCs w:val="24"/>
        </w:rPr>
        <w:fldChar w:fldCharType="separate"/>
      </w:r>
      <w:r w:rsidR="00247F92" w:rsidRPr="00A1192A">
        <w:rPr>
          <w:szCs w:val="24"/>
        </w:rPr>
        <w:t>[156]</w:t>
      </w:r>
      <w:r w:rsidRPr="00A1192A">
        <w:rPr>
          <w:szCs w:val="24"/>
        </w:rPr>
        <w:fldChar w:fldCharType="end"/>
      </w:r>
      <w:r w:rsidRPr="00A1192A">
        <w:rPr>
          <w:szCs w:val="24"/>
        </w:rPr>
        <w:t>.</w:t>
      </w:r>
    </w:p>
    <w:p w14:paraId="278E6627" w14:textId="0C52C3E5" w:rsidR="003033F3" w:rsidRPr="00A1192A" w:rsidRDefault="003033F3" w:rsidP="00A1192A">
      <w:pPr>
        <w:pStyle w:val="BodyText"/>
        <w:spacing w:after="0"/>
        <w:rPr>
          <w:szCs w:val="24"/>
        </w:rPr>
      </w:pPr>
      <w:r w:rsidRPr="00A1192A">
        <w:rPr>
          <w:szCs w:val="24"/>
        </w:rPr>
        <w:t xml:space="preserve">Within that tool spectrum, the selection of DIgSILENT </w:t>
      </w:r>
      <w:proofErr w:type="spellStart"/>
      <w:r w:rsidRPr="00A1192A">
        <w:rPr>
          <w:szCs w:val="24"/>
        </w:rPr>
        <w:t>PowerFactory</w:t>
      </w:r>
      <w:proofErr w:type="spellEnd"/>
      <w:r w:rsidRPr="00A1192A">
        <w:rPr>
          <w:szCs w:val="24"/>
        </w:rPr>
        <w:t xml:space="preserve"> </w:t>
      </w:r>
      <w:r w:rsidRPr="00A1192A">
        <w:rPr>
          <w:szCs w:val="24"/>
        </w:rPr>
        <w:fldChar w:fldCharType="begin"/>
      </w:r>
      <w:r w:rsidRPr="00A1192A">
        <w:rPr>
          <w:szCs w:val="24"/>
        </w:rPr>
        <w:instrText xml:space="preserve"> REF _Ref223657024 \r \h  \* MERGEFORMAT </w:instrText>
      </w:r>
      <w:r w:rsidRPr="00A1192A">
        <w:rPr>
          <w:szCs w:val="24"/>
        </w:rPr>
      </w:r>
      <w:r w:rsidRPr="00A1192A">
        <w:rPr>
          <w:szCs w:val="24"/>
        </w:rPr>
        <w:fldChar w:fldCharType="separate"/>
      </w:r>
      <w:r w:rsidR="00753DAF" w:rsidRPr="00A1192A">
        <w:rPr>
          <w:szCs w:val="24"/>
          <w:cs/>
        </w:rPr>
        <w:t>‎</w:t>
      </w:r>
      <w:r w:rsidR="0084098A" w:rsidRPr="00A1192A">
        <w:rPr>
          <w:szCs w:val="24"/>
        </w:rPr>
        <w:t>[112]</w:t>
      </w:r>
      <w:r w:rsidRPr="00A1192A">
        <w:rPr>
          <w:szCs w:val="24"/>
        </w:rPr>
        <w:fldChar w:fldCharType="end"/>
      </w:r>
      <w:r w:rsidRPr="00A1192A">
        <w:rPr>
          <w:szCs w:val="24"/>
        </w:rPr>
        <w:t xml:space="preserve"> is justified by direct feature support and by workflow fit for this objective. </w:t>
      </w:r>
      <w:proofErr w:type="spellStart"/>
      <w:r w:rsidRPr="00A1192A">
        <w:rPr>
          <w:szCs w:val="24"/>
        </w:rPr>
        <w:t>PowerFactory</w:t>
      </w:r>
      <w:proofErr w:type="spellEnd"/>
      <w:r w:rsidRPr="00A1192A">
        <w:rPr>
          <w:szCs w:val="24"/>
        </w:rPr>
        <w:t xml:space="preserve"> explicitly provides PV curve calculation for voltage stability assessment by determination of the critical point of voltage instability, and QV curves for voltage stability limit assessment and reactive compensation evaluation; it also ties these functions to contingency analysis for limiting-contingency identification </w:t>
      </w:r>
      <w:r w:rsidRPr="00A1192A">
        <w:rPr>
          <w:szCs w:val="24"/>
        </w:rPr>
        <w:fldChar w:fldCharType="begin"/>
      </w:r>
      <w:r w:rsidRPr="00A1192A">
        <w:rPr>
          <w:szCs w:val="24"/>
        </w:rPr>
        <w:instrText xml:space="preserve"> REF _Ref223657279 \r \h  \* MERGEFORMAT </w:instrText>
      </w:r>
      <w:r w:rsidRPr="00A1192A">
        <w:rPr>
          <w:szCs w:val="24"/>
        </w:rPr>
      </w:r>
      <w:r w:rsidRPr="00A1192A">
        <w:rPr>
          <w:szCs w:val="24"/>
        </w:rPr>
        <w:fldChar w:fldCharType="separate"/>
      </w:r>
      <w:r w:rsidR="002D5914" w:rsidRPr="00A1192A">
        <w:rPr>
          <w:szCs w:val="24"/>
        </w:rPr>
        <w:t>[153]</w:t>
      </w:r>
      <w:r w:rsidRPr="00A1192A">
        <w:rPr>
          <w:szCs w:val="24"/>
        </w:rPr>
        <w:fldChar w:fldCharType="end"/>
      </w:r>
      <w:r w:rsidRPr="00A1192A">
        <w:rPr>
          <w:szCs w:val="24"/>
        </w:rPr>
        <w:t xml:space="preserve">. This matches the core deliverable of a small-disturbance voltage stability objective: compute, compare, and explain margins across scenarios. Beyond the static engine, </w:t>
      </w:r>
      <w:proofErr w:type="spellStart"/>
      <w:r w:rsidRPr="00A1192A">
        <w:rPr>
          <w:szCs w:val="24"/>
        </w:rPr>
        <w:t>PowerFactory’s</w:t>
      </w:r>
      <w:proofErr w:type="spellEnd"/>
      <w:r w:rsidRPr="00A1192A">
        <w:rPr>
          <w:szCs w:val="24"/>
        </w:rPr>
        <w:t xml:space="preserve"> RMS simulation environment supports mid-term and long-term transient studies with a large library of standard models (IEEE/IEC/WECC) and user-defined modeling via DIgSILENT </w:t>
      </w:r>
      <w:r w:rsidRPr="00A1192A">
        <w:rPr>
          <w:szCs w:val="24"/>
        </w:rPr>
        <w:lastRenderedPageBreak/>
        <w:t xml:space="preserve">Simulation Language (DSL), which matters when the project needs to connect static margins to dynamic behavior </w:t>
      </w:r>
      <w:r w:rsidRPr="00A1192A">
        <w:rPr>
          <w:szCs w:val="24"/>
        </w:rPr>
        <w:fldChar w:fldCharType="begin"/>
      </w:r>
      <w:r w:rsidRPr="00A1192A">
        <w:rPr>
          <w:szCs w:val="24"/>
        </w:rPr>
        <w:instrText xml:space="preserve"> REF _Ref223657279 \r \h  \* MERGEFORMAT </w:instrText>
      </w:r>
      <w:r w:rsidRPr="00A1192A">
        <w:rPr>
          <w:szCs w:val="24"/>
        </w:rPr>
      </w:r>
      <w:r w:rsidRPr="00A1192A">
        <w:rPr>
          <w:szCs w:val="24"/>
        </w:rPr>
        <w:fldChar w:fldCharType="separate"/>
      </w:r>
      <w:r w:rsidR="002D5914" w:rsidRPr="00A1192A">
        <w:rPr>
          <w:szCs w:val="24"/>
        </w:rPr>
        <w:t>[153]</w:t>
      </w:r>
      <w:r w:rsidRPr="00A1192A">
        <w:rPr>
          <w:szCs w:val="24"/>
        </w:rPr>
        <w:fldChar w:fldCharType="end"/>
      </w:r>
      <w:r w:rsidRPr="00A1192A">
        <w:rPr>
          <w:szCs w:val="24"/>
        </w:rPr>
        <w:t xml:space="preserve">. Finally, the platform supports scripting and automation via Python and the DIgSILENT Programming Language (DPL), enabling parametric studies across renewable penetration levels, load levels, and contingency sets without turning the study into a manual exercise </w:t>
      </w:r>
      <w:r w:rsidRPr="00A1192A">
        <w:rPr>
          <w:szCs w:val="24"/>
        </w:rPr>
        <w:fldChar w:fldCharType="begin"/>
      </w:r>
      <w:r w:rsidRPr="00A1192A">
        <w:rPr>
          <w:szCs w:val="24"/>
        </w:rPr>
        <w:instrText xml:space="preserve"> REF _Ref223657410 \r \h  \* MERGEFORMAT </w:instrText>
      </w:r>
      <w:r w:rsidRPr="00A1192A">
        <w:rPr>
          <w:szCs w:val="24"/>
        </w:rPr>
      </w:r>
      <w:r w:rsidRPr="00A1192A">
        <w:rPr>
          <w:szCs w:val="24"/>
        </w:rPr>
        <w:fldChar w:fldCharType="separate"/>
      </w:r>
      <w:r w:rsidR="002D5914" w:rsidRPr="00A1192A">
        <w:rPr>
          <w:szCs w:val="24"/>
        </w:rPr>
        <w:t>[157]</w:t>
      </w:r>
      <w:r w:rsidRPr="00A1192A">
        <w:rPr>
          <w:szCs w:val="24"/>
        </w:rPr>
        <w:fldChar w:fldCharType="end"/>
      </w:r>
      <w:r w:rsidRPr="00A1192A">
        <w:rPr>
          <w:szCs w:val="24"/>
        </w:rPr>
        <w:t>.</w:t>
      </w:r>
    </w:p>
    <w:p w14:paraId="1CF1A0B0" w14:textId="01277F1E" w:rsidR="003033F3" w:rsidRPr="00E27D3B" w:rsidRDefault="003033F3" w:rsidP="00CD4F3A">
      <w:pPr>
        <w:pStyle w:val="Heading3"/>
      </w:pPr>
      <w:r w:rsidRPr="00E27D3B">
        <w:t xml:space="preserve">Frequently used </w:t>
      </w:r>
      <w:r w:rsidR="00A1192A">
        <w:t>T</w:t>
      </w:r>
      <w:r w:rsidRPr="00E27D3B">
        <w:t xml:space="preserve">est </w:t>
      </w:r>
      <w:r w:rsidR="00A1192A">
        <w:t>S</w:t>
      </w:r>
      <w:r w:rsidRPr="00E27D3B">
        <w:t xml:space="preserve">ystems and </w:t>
      </w:r>
      <w:r w:rsidR="00A1192A">
        <w:t>R</w:t>
      </w:r>
      <w:r w:rsidRPr="00E27D3B">
        <w:t xml:space="preserve">ationale for the </w:t>
      </w:r>
      <w:r w:rsidR="00A1192A">
        <w:t>M</w:t>
      </w:r>
      <w:r w:rsidRPr="00E27D3B">
        <w:t xml:space="preserve">odified IEEE 39-bus </w:t>
      </w:r>
      <w:r w:rsidR="00A1192A">
        <w:t>S</w:t>
      </w:r>
      <w:r w:rsidRPr="00E27D3B">
        <w:t>ystem</w:t>
      </w:r>
    </w:p>
    <w:p w14:paraId="7CAE5474" w14:textId="5E0BF183" w:rsidR="003033F3" w:rsidRPr="00E27D3B" w:rsidRDefault="003033F3" w:rsidP="00F80F24">
      <w:pPr>
        <w:pStyle w:val="ListNumber"/>
        <w:numPr>
          <w:ilvl w:val="0"/>
          <w:numId w:val="0"/>
        </w:numPr>
        <w:tabs>
          <w:tab w:val="clear" w:pos="397"/>
          <w:tab w:val="left" w:pos="0"/>
        </w:tabs>
        <w:spacing w:after="0"/>
      </w:pPr>
      <w:r w:rsidRPr="60762895">
        <w:t xml:space="preserve">Small-disturbance voltage stability research frequently uses benchmark IEEE systems (e.g., IEEE 14-, 30-, 57-, 118-bus) because they provide shared reference points that make method comparisons meaningful and reproducible across papers and tools. The New England IEEE 39-bus case is widely recognized as the 10-machine New England power system, with parameters traceable to classic stability study sources, and is commonly used as a benchmark for stability studies </w:t>
      </w:r>
      <w:r w:rsidRPr="00E27D3B">
        <w:rPr>
          <w:szCs w:val="20"/>
        </w:rPr>
        <w:fldChar w:fldCharType="begin"/>
      </w:r>
      <w:r w:rsidRPr="00E27D3B">
        <w:rPr>
          <w:szCs w:val="20"/>
        </w:rPr>
        <w:instrText xml:space="preserve"> REF _Ref223657429 \r \h  \* MERGEFORMAT </w:instrText>
      </w:r>
      <w:r w:rsidRPr="00E27D3B">
        <w:rPr>
          <w:szCs w:val="20"/>
        </w:rPr>
      </w:r>
      <w:r w:rsidRPr="00E27D3B">
        <w:rPr>
          <w:szCs w:val="20"/>
        </w:rPr>
        <w:fldChar w:fldCharType="separate"/>
      </w:r>
      <w:r w:rsidR="002D5914" w:rsidRPr="002D5914">
        <w:t>[158]</w:t>
      </w:r>
      <w:r w:rsidRPr="00E27D3B">
        <w:rPr>
          <w:szCs w:val="20"/>
        </w:rPr>
        <w:fldChar w:fldCharType="end"/>
      </w:r>
      <w:r w:rsidRPr="00E27D3B">
        <w:rPr>
          <w:szCs w:val="20"/>
        </w:rPr>
        <w:t>.</w:t>
      </w:r>
    </w:p>
    <w:p w14:paraId="46EAE226" w14:textId="46034F1E" w:rsidR="003033F3" w:rsidRDefault="003033F3" w:rsidP="00F80F24">
      <w:pPr>
        <w:pStyle w:val="ListNumber"/>
        <w:numPr>
          <w:ilvl w:val="0"/>
          <w:numId w:val="0"/>
        </w:numPr>
        <w:tabs>
          <w:tab w:val="clear" w:pos="397"/>
          <w:tab w:val="left" w:pos="0"/>
        </w:tabs>
        <w:spacing w:after="0"/>
      </w:pPr>
      <w:r w:rsidRPr="60762895">
        <w:t xml:space="preserve">The modified IEEE 39-bus test system used in this study was adapted to incorporate two stressors aligned with the project objectives: renewable generation penetration and emerging large load (AI data centre) integration. Methodologically, the modifications can be described as (i) replacing selected synchronous generators with aggregated inverter-based renewable plants to reach target penetration levels (4% penetration at G10; 13% penetration at G10+G08), (ii) applying small, systematic load scaling (e.g., 90% to 110% of base load) to represent incremental demand drift consistent with the small-disturbance definition, and (iii) adding a large data </w:t>
      </w:r>
      <w:proofErr w:type="spellStart"/>
      <w:r w:rsidRPr="60762895">
        <w:t>center</w:t>
      </w:r>
      <w:proofErr w:type="spellEnd"/>
      <w:r w:rsidRPr="60762895">
        <w:t xml:space="preserve"> load block (500 MW and 1000 MW) at the chosen interconnection bus to test how concentrated demand reshapes the PV/QV margin under normal operation and a selected limiting N−1 contingency. The rationale for these particular modifications is that they target two mechanisms known to be voltage-stability-relevant: reduced synchronous reactive strength and changed voltage control behaviour as inverter-based resources displace synchronous generation, and increased reactive demand/voltage sensitivity as large, power-electronics-dominated loads and their cooling systems concentrate at specific buses </w:t>
      </w:r>
      <w:r w:rsidRPr="00E27D3B">
        <w:rPr>
          <w:szCs w:val="20"/>
        </w:rPr>
        <w:fldChar w:fldCharType="begin"/>
      </w:r>
      <w:r w:rsidRPr="00E27D3B">
        <w:rPr>
          <w:szCs w:val="20"/>
        </w:rPr>
        <w:instrText xml:space="preserve"> REF _Ref223657024 \r \h  \* MERGEFORMAT </w:instrText>
      </w:r>
      <w:r w:rsidRPr="00E27D3B">
        <w:rPr>
          <w:szCs w:val="20"/>
        </w:rPr>
      </w:r>
      <w:r w:rsidRPr="00E27D3B">
        <w:rPr>
          <w:szCs w:val="20"/>
        </w:rPr>
        <w:fldChar w:fldCharType="separate"/>
      </w:r>
      <w:r w:rsidR="00753DAF" w:rsidRPr="00753DAF">
        <w:rPr>
          <w:cs/>
        </w:rPr>
        <w:t>‎</w:t>
      </w:r>
      <w:r w:rsidR="0084098A">
        <w:t>[112]</w:t>
      </w:r>
      <w:r w:rsidRPr="00E27D3B">
        <w:rPr>
          <w:szCs w:val="20"/>
        </w:rPr>
        <w:fldChar w:fldCharType="end"/>
      </w:r>
      <w:r w:rsidRPr="00E27D3B">
        <w:rPr>
          <w:szCs w:val="20"/>
        </w:rPr>
        <w:t xml:space="preserve">. </w:t>
      </w:r>
      <w:r w:rsidRPr="00E27D3B">
        <w:rPr>
          <w:szCs w:val="20"/>
        </w:rPr>
        <w:fldChar w:fldCharType="begin"/>
      </w:r>
      <w:r w:rsidRPr="00E27D3B">
        <w:rPr>
          <w:szCs w:val="20"/>
        </w:rPr>
        <w:instrText xml:space="preserve"> REF _Ref223658257 \h  \* MERGEFORMAT </w:instrText>
      </w:r>
      <w:r w:rsidRPr="00E27D3B">
        <w:rPr>
          <w:szCs w:val="20"/>
        </w:rPr>
      </w:r>
      <w:r w:rsidRPr="00E27D3B">
        <w:rPr>
          <w:szCs w:val="20"/>
        </w:rPr>
        <w:fldChar w:fldCharType="separate"/>
      </w:r>
      <w:r w:rsidR="00753DAF" w:rsidRPr="00E27D3B">
        <w:t xml:space="preserve">Figure </w:t>
      </w:r>
      <w:r w:rsidR="00753DAF">
        <w:rPr>
          <w:noProof/>
        </w:rPr>
        <w:t>6</w:t>
      </w:r>
      <w:r w:rsidR="00A92B6A">
        <w:rPr>
          <w:noProof/>
        </w:rPr>
        <w:t>3</w:t>
      </w:r>
      <w:r w:rsidRPr="00E27D3B">
        <w:rPr>
          <w:szCs w:val="20"/>
        </w:rPr>
        <w:fldChar w:fldCharType="end"/>
      </w:r>
      <w:r w:rsidRPr="60762895">
        <w:t xml:space="preserve"> illustrates the modified IEEE 39-bus test system used for small-disturbance voltage stability studies, where selected synchronous generators are replaced with aggregated inverter-based renewable plants to achieve the target penetration levels.</w:t>
      </w:r>
    </w:p>
    <w:p w14:paraId="2FC57B32" w14:textId="2238C6DF" w:rsidR="00576C7D" w:rsidRPr="00E27D3B" w:rsidRDefault="00576C7D" w:rsidP="00CD4F3A">
      <w:pPr>
        <w:pStyle w:val="Heading2"/>
      </w:pPr>
      <w:bookmarkStart w:id="383" w:name="_Toc223627384"/>
      <w:bookmarkStart w:id="384" w:name="_Toc224235088"/>
      <w:bookmarkStart w:id="385" w:name="_Toc233734330"/>
      <w:r w:rsidRPr="00E27D3B">
        <w:t xml:space="preserve">Results and </w:t>
      </w:r>
      <w:r w:rsidR="00F80F24">
        <w:t>D</w:t>
      </w:r>
      <w:r w:rsidRPr="00E27D3B">
        <w:t xml:space="preserve">iscussion: </w:t>
      </w:r>
      <w:r w:rsidR="00F80F24">
        <w:t>R</w:t>
      </w:r>
      <w:r w:rsidRPr="00E27D3B">
        <w:t xml:space="preserve">enewable </w:t>
      </w:r>
      <w:r w:rsidR="00F80F24">
        <w:t>P</w:t>
      </w:r>
      <w:r w:rsidRPr="00E27D3B">
        <w:t xml:space="preserve">enetration, </w:t>
      </w:r>
      <w:r w:rsidR="00F80F24">
        <w:t>S</w:t>
      </w:r>
      <w:r w:rsidRPr="00E27D3B">
        <w:t xml:space="preserve">mall </w:t>
      </w:r>
      <w:r w:rsidR="00F80F24">
        <w:t>L</w:t>
      </w:r>
      <w:r w:rsidRPr="00E27D3B">
        <w:t xml:space="preserve">oad </w:t>
      </w:r>
      <w:r w:rsidR="00F80F24">
        <w:t>C</w:t>
      </w:r>
      <w:r w:rsidRPr="00E27D3B">
        <w:t xml:space="preserve">hanges, and AI </w:t>
      </w:r>
      <w:r w:rsidR="00F80F24">
        <w:t>D</w:t>
      </w:r>
      <w:r w:rsidRPr="00E27D3B">
        <w:t xml:space="preserve">ata </w:t>
      </w:r>
      <w:proofErr w:type="spellStart"/>
      <w:r w:rsidR="00F80F24">
        <w:t>C</w:t>
      </w:r>
      <w:r w:rsidRPr="00E27D3B">
        <w:t>enter</w:t>
      </w:r>
      <w:proofErr w:type="spellEnd"/>
      <w:r w:rsidRPr="00E27D3B">
        <w:t xml:space="preserve"> </w:t>
      </w:r>
      <w:r w:rsidR="00F80F24">
        <w:t>L</w:t>
      </w:r>
      <w:r w:rsidRPr="00E27D3B">
        <w:t>oad</w:t>
      </w:r>
      <w:bookmarkEnd w:id="383"/>
      <w:bookmarkEnd w:id="384"/>
      <w:bookmarkEnd w:id="385"/>
    </w:p>
    <w:p w14:paraId="3EC88EBC" w14:textId="77777777" w:rsidR="002C2977" w:rsidRDefault="00576C7D" w:rsidP="00F80F24">
      <w:pPr>
        <w:pStyle w:val="ListNumber"/>
        <w:numPr>
          <w:ilvl w:val="0"/>
          <w:numId w:val="0"/>
        </w:numPr>
        <w:tabs>
          <w:tab w:val="clear" w:pos="397"/>
          <w:tab w:val="left" w:pos="0"/>
        </w:tabs>
        <w:spacing w:after="0"/>
        <w:contextualSpacing/>
        <w:rPr>
          <w:szCs w:val="20"/>
        </w:rPr>
      </w:pPr>
      <w:r w:rsidRPr="60762895">
        <w:t xml:space="preserve">The renewable penetration scenarios show a consistent and operationally intuitive pattern: as renewable penetration increases, the voltage stability margin decreases, and the sensitivity to small load increases becomes sharper. This is consistent with the broader observation that voltage instability is driven by the system’s inability to meet the combined real and reactive power requirements as operating conditions become stressed, and with evidence that weak-grid behaviours and control limits become more consequential as inverter-based resources displace synchronous strength </w:t>
      </w:r>
      <w:r w:rsidRPr="00E27D3B">
        <w:rPr>
          <w:szCs w:val="20"/>
        </w:rPr>
        <w:fldChar w:fldCharType="begin"/>
      </w:r>
      <w:r w:rsidRPr="00E27D3B">
        <w:rPr>
          <w:szCs w:val="20"/>
        </w:rPr>
        <w:instrText xml:space="preserve"> REF _Ref223657079 \r \h  \* MERGEFORMAT </w:instrText>
      </w:r>
      <w:r w:rsidRPr="00E27D3B">
        <w:rPr>
          <w:szCs w:val="20"/>
        </w:rPr>
      </w:r>
      <w:r w:rsidRPr="00E27D3B">
        <w:rPr>
          <w:szCs w:val="20"/>
        </w:rPr>
        <w:fldChar w:fldCharType="separate"/>
      </w:r>
      <w:r w:rsidRPr="002D5914">
        <w:t>[147]</w:t>
      </w:r>
      <w:r w:rsidRPr="00E27D3B">
        <w:rPr>
          <w:szCs w:val="20"/>
        </w:rPr>
        <w:fldChar w:fldCharType="end"/>
      </w:r>
      <w:r w:rsidRPr="00E27D3B">
        <w:rPr>
          <w:szCs w:val="20"/>
        </w:rPr>
        <w:t>.</w:t>
      </w:r>
    </w:p>
    <w:p w14:paraId="23F506E4" w14:textId="74B53520" w:rsidR="00F00BD1" w:rsidRPr="00E27D3B" w:rsidRDefault="00F00BD1" w:rsidP="00CD4F3A">
      <w:pPr>
        <w:pStyle w:val="Heading3"/>
      </w:pPr>
      <w:r w:rsidRPr="00E27D3B">
        <w:lastRenderedPageBreak/>
        <w:t>Small-</w:t>
      </w:r>
      <w:r w:rsidR="00F80F24">
        <w:t>D</w:t>
      </w:r>
      <w:r w:rsidRPr="00E27D3B">
        <w:t xml:space="preserve">isturbance </w:t>
      </w:r>
      <w:r w:rsidR="00F80F24">
        <w:t>V</w:t>
      </w:r>
      <w:r w:rsidRPr="00E27D3B">
        <w:t xml:space="preserve">oltage </w:t>
      </w:r>
      <w:r w:rsidR="00F80F24">
        <w:t>S</w:t>
      </w:r>
      <w:r w:rsidRPr="00E27D3B">
        <w:t xml:space="preserve">tability </w:t>
      </w:r>
      <w:r w:rsidR="00F80F24">
        <w:t>A</w:t>
      </w:r>
      <w:r w:rsidRPr="00E27D3B">
        <w:t xml:space="preserve">ssessment under </w:t>
      </w:r>
      <w:r w:rsidR="00F80F24">
        <w:t>D</w:t>
      </w:r>
      <w:r w:rsidRPr="00E27D3B">
        <w:t xml:space="preserve">ifferent </w:t>
      </w:r>
      <w:r w:rsidR="00F80F24">
        <w:t>R</w:t>
      </w:r>
      <w:r w:rsidRPr="00E27D3B">
        <w:t xml:space="preserve">enewable </w:t>
      </w:r>
      <w:r w:rsidR="00F80F24">
        <w:t>P</w:t>
      </w:r>
      <w:r w:rsidRPr="00E27D3B">
        <w:t xml:space="preserve">enetration and </w:t>
      </w:r>
      <w:r w:rsidR="00F80F24">
        <w:t>L</w:t>
      </w:r>
      <w:r w:rsidRPr="00E27D3B">
        <w:t xml:space="preserve">oad </w:t>
      </w:r>
      <w:r w:rsidR="00F80F24">
        <w:t>L</w:t>
      </w:r>
      <w:r w:rsidRPr="00E27D3B">
        <w:t>evels</w:t>
      </w:r>
    </w:p>
    <w:p w14:paraId="7113C73B" w14:textId="3C008960" w:rsidR="002C2977" w:rsidRPr="00F80F24" w:rsidRDefault="00F00BD1" w:rsidP="00F80F24">
      <w:pPr>
        <w:pStyle w:val="ListNumber"/>
        <w:numPr>
          <w:ilvl w:val="0"/>
          <w:numId w:val="0"/>
        </w:numPr>
        <w:tabs>
          <w:tab w:val="clear" w:pos="397"/>
          <w:tab w:val="left" w:pos="0"/>
        </w:tabs>
        <w:spacing w:after="0"/>
        <w:rPr>
          <w:szCs w:val="24"/>
        </w:rPr>
      </w:pPr>
      <w:r w:rsidRPr="00F80F24">
        <w:rPr>
          <w:szCs w:val="24"/>
        </w:rPr>
        <w:fldChar w:fldCharType="begin"/>
      </w:r>
      <w:r w:rsidRPr="00F80F24">
        <w:rPr>
          <w:szCs w:val="24"/>
        </w:rPr>
        <w:instrText xml:space="preserve"> REF _Ref223658345 \h  \* MERGEFORMAT </w:instrText>
      </w:r>
      <w:r w:rsidRPr="00F80F24">
        <w:rPr>
          <w:szCs w:val="24"/>
        </w:rPr>
      </w:r>
      <w:r w:rsidRPr="00F80F24">
        <w:rPr>
          <w:szCs w:val="24"/>
        </w:rPr>
        <w:fldChar w:fldCharType="separate"/>
      </w:r>
      <w:r w:rsidRPr="00F80F24">
        <w:rPr>
          <w:szCs w:val="24"/>
        </w:rPr>
        <w:t xml:space="preserve">Table </w:t>
      </w:r>
      <w:r w:rsidRPr="00F80F24">
        <w:rPr>
          <w:noProof/>
          <w:szCs w:val="24"/>
        </w:rPr>
        <w:t>25</w:t>
      </w:r>
      <w:r w:rsidRPr="00F80F24">
        <w:rPr>
          <w:szCs w:val="24"/>
        </w:rPr>
        <w:fldChar w:fldCharType="end"/>
      </w:r>
      <w:r w:rsidRPr="00F80F24">
        <w:rPr>
          <w:szCs w:val="24"/>
        </w:rPr>
        <w:t xml:space="preserve"> compares the voltage stability margins across different renewable penetration scenarios and load levels. For the targeted renewable cases, the CPF-derived margins decline materially when moving from the base case (no renewables) to 4% renewable penetration at G10, and further to 13% renewable penetration at G10+G08, across the full ±10% load-scaling band. At 100% base load, the margin drops from 56.65% (no renewables) to 48.83% (4%) and to 46.87% (13%). At 110% base load, the same trend intensifies: 43.73% (no renewables) falls to 36.44% (4%) and then to 34.69% (13%). Interpreted through a stability lens, the incremental load increase pushes the operating point toward the PV “nose,” while the renewable replacement reduces the system’s effective voltage-support headroom </w:t>
      </w:r>
      <w:r w:rsidRPr="00F80F24">
        <w:rPr>
          <w:szCs w:val="24"/>
        </w:rPr>
        <w:fldChar w:fldCharType="begin"/>
      </w:r>
      <w:r w:rsidRPr="00F80F24">
        <w:rPr>
          <w:szCs w:val="24"/>
        </w:rPr>
        <w:instrText xml:space="preserve"> REF _Ref223657024 \r \h  \* MERGEFORMAT </w:instrText>
      </w:r>
      <w:r w:rsidRPr="00F80F24">
        <w:rPr>
          <w:szCs w:val="24"/>
        </w:rPr>
      </w:r>
      <w:r w:rsidRPr="00F80F24">
        <w:rPr>
          <w:szCs w:val="24"/>
        </w:rPr>
        <w:fldChar w:fldCharType="separate"/>
      </w:r>
      <w:r w:rsidRPr="00F80F24">
        <w:rPr>
          <w:szCs w:val="24"/>
          <w:cs/>
        </w:rPr>
        <w:t>‎</w:t>
      </w:r>
      <w:r w:rsidRPr="00F80F24">
        <w:rPr>
          <w:szCs w:val="24"/>
        </w:rPr>
        <w:t>[112]</w:t>
      </w:r>
      <w:r w:rsidRPr="00F80F24">
        <w:rPr>
          <w:szCs w:val="24"/>
        </w:rPr>
        <w:fldChar w:fldCharType="end"/>
      </w:r>
      <w:r w:rsidRPr="00F80F24">
        <w:rPr>
          <w:szCs w:val="24"/>
        </w:rPr>
        <w:t>.</w:t>
      </w:r>
    </w:p>
    <w:p w14:paraId="3BF296F5" w14:textId="59B6397E" w:rsidR="003033F3" w:rsidRPr="00E27D3B" w:rsidRDefault="003033F3" w:rsidP="0096244D">
      <w:pPr>
        <w:pStyle w:val="ListNumber"/>
        <w:numPr>
          <w:ilvl w:val="0"/>
          <w:numId w:val="0"/>
        </w:numPr>
        <w:tabs>
          <w:tab w:val="clear" w:pos="397"/>
          <w:tab w:val="left" w:pos="0"/>
        </w:tabs>
        <w:spacing w:before="180" w:line="240" w:lineRule="auto"/>
        <w:jc w:val="center"/>
      </w:pPr>
      <w:r w:rsidRPr="00E27D3B">
        <w:rPr>
          <w:rFonts w:cs="Calibri"/>
          <w:noProof/>
        </w:rPr>
        <w:drawing>
          <wp:inline distT="0" distB="0" distL="0" distR="0" wp14:anchorId="001E79B9" wp14:editId="6F2CC1FA">
            <wp:extent cx="5764979" cy="2547244"/>
            <wp:effectExtent l="0" t="0" r="7620" b="5715"/>
            <wp:docPr id="177108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8872" name=""/>
                    <pic:cNvPicPr/>
                  </pic:nvPicPr>
                  <pic:blipFill rotWithShape="1">
                    <a:blip r:embed="rId137"/>
                    <a:srcRect t="16619"/>
                    <a:stretch>
                      <a:fillRect/>
                    </a:stretch>
                  </pic:blipFill>
                  <pic:spPr bwMode="auto">
                    <a:xfrm>
                      <a:off x="0" y="0"/>
                      <a:ext cx="5790932" cy="2558711"/>
                    </a:xfrm>
                    <a:prstGeom prst="rect">
                      <a:avLst/>
                    </a:prstGeom>
                    <a:ln>
                      <a:noFill/>
                    </a:ln>
                    <a:extLst>
                      <a:ext uri="{53640926-AAD7-44D8-BBD7-CCE9431645EC}">
                        <a14:shadowObscured xmlns:a14="http://schemas.microsoft.com/office/drawing/2010/main"/>
                      </a:ext>
                    </a:extLst>
                  </pic:spPr>
                </pic:pic>
              </a:graphicData>
            </a:graphic>
          </wp:inline>
        </w:drawing>
      </w:r>
    </w:p>
    <w:p w14:paraId="649615F6" w14:textId="066EA969" w:rsidR="003033F3" w:rsidRPr="00F31CDF" w:rsidRDefault="003033F3" w:rsidP="00CD4F3A">
      <w:pPr>
        <w:pStyle w:val="Caption"/>
        <w:spacing w:line="240" w:lineRule="auto"/>
      </w:pPr>
      <w:bookmarkStart w:id="386" w:name="_Ref223658257"/>
      <w:bookmarkStart w:id="387" w:name="_Toc223626386"/>
      <w:bookmarkStart w:id="388" w:name="_Toc223699992"/>
      <w:bookmarkStart w:id="389" w:name="_Toc224235147"/>
      <w:bookmarkStart w:id="390" w:name="_Toc233735069"/>
      <w:r w:rsidRPr="00F31CDF">
        <w:t xml:space="preserve">Figure </w:t>
      </w:r>
      <w:fldSimple w:instr=" SEQ Figure \* ARABIC ">
        <w:r w:rsidR="00A85006" w:rsidRPr="00F31CDF">
          <w:t>6</w:t>
        </w:r>
        <w:r w:rsidR="00720861" w:rsidRPr="00F31CDF">
          <w:t>3</w:t>
        </w:r>
      </w:fldSimple>
      <w:bookmarkEnd w:id="386"/>
      <w:r w:rsidRPr="00F31CDF">
        <w:t>: Modified IEEE 39-bus system for small-disturbance voltage stability studies.</w:t>
      </w:r>
      <w:bookmarkEnd w:id="387"/>
      <w:bookmarkEnd w:id="388"/>
      <w:bookmarkEnd w:id="389"/>
      <w:bookmarkEnd w:id="390"/>
    </w:p>
    <w:p w14:paraId="47A538D2" w14:textId="3216446E" w:rsidR="003033F3" w:rsidRPr="00020CD3" w:rsidRDefault="003033F3" w:rsidP="00CD4F3A">
      <w:pPr>
        <w:pStyle w:val="BodyText"/>
        <w:spacing w:before="180" w:after="180" w:line="240" w:lineRule="auto"/>
        <w:contextualSpacing/>
        <w:rPr>
          <w:b/>
          <w:bCs/>
          <w:sz w:val="20"/>
          <w:szCs w:val="20"/>
        </w:rPr>
      </w:pPr>
      <w:bookmarkStart w:id="391" w:name="_Ref223658345"/>
      <w:bookmarkStart w:id="392" w:name="_Toc223626415"/>
      <w:bookmarkStart w:id="393" w:name="_Toc224235176"/>
      <w:bookmarkStart w:id="394" w:name="_Toc233735322"/>
      <w:r w:rsidRPr="00020CD3">
        <w:rPr>
          <w:b/>
          <w:bCs/>
          <w:sz w:val="20"/>
          <w:szCs w:val="20"/>
        </w:rPr>
        <w:t xml:space="preserve">Table </w:t>
      </w:r>
      <w:r w:rsidR="00753DAF" w:rsidRPr="00020CD3">
        <w:rPr>
          <w:b/>
          <w:bCs/>
          <w:sz w:val="20"/>
          <w:szCs w:val="20"/>
        </w:rPr>
        <w:fldChar w:fldCharType="begin"/>
      </w:r>
      <w:r w:rsidR="00753DAF" w:rsidRPr="00020CD3">
        <w:rPr>
          <w:b/>
          <w:bCs/>
          <w:sz w:val="20"/>
          <w:szCs w:val="20"/>
        </w:rPr>
        <w:instrText xml:space="preserve"> SEQ Table \* ARABIC </w:instrText>
      </w:r>
      <w:r w:rsidR="00753DAF" w:rsidRPr="00020CD3">
        <w:rPr>
          <w:b/>
          <w:bCs/>
          <w:sz w:val="20"/>
          <w:szCs w:val="20"/>
        </w:rPr>
        <w:fldChar w:fldCharType="separate"/>
      </w:r>
      <w:r w:rsidR="00753DAF" w:rsidRPr="00020CD3">
        <w:rPr>
          <w:b/>
          <w:bCs/>
          <w:noProof/>
          <w:sz w:val="20"/>
          <w:szCs w:val="20"/>
        </w:rPr>
        <w:t>25</w:t>
      </w:r>
      <w:r w:rsidR="00753DAF" w:rsidRPr="00020CD3">
        <w:rPr>
          <w:b/>
          <w:bCs/>
          <w:noProof/>
          <w:sz w:val="20"/>
          <w:szCs w:val="20"/>
        </w:rPr>
        <w:fldChar w:fldCharType="end"/>
      </w:r>
      <w:bookmarkEnd w:id="391"/>
      <w:r w:rsidRPr="00020CD3">
        <w:rPr>
          <w:b/>
          <w:bCs/>
          <w:sz w:val="20"/>
          <w:szCs w:val="20"/>
        </w:rPr>
        <w:t>: A comparison of voltage stability margin under different renewable penetration and load levels.</w:t>
      </w:r>
      <w:bookmarkEnd w:id="392"/>
      <w:bookmarkEnd w:id="393"/>
      <w:bookmarkEnd w:id="394"/>
    </w:p>
    <w:tbl>
      <w:tblPr>
        <w:tblStyle w:val="TableCSIRO"/>
        <w:tblW w:w="5000" w:type="pct"/>
        <w:jc w:val="center"/>
        <w:tblInd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874"/>
        <w:gridCol w:w="3066"/>
        <w:gridCol w:w="3195"/>
      </w:tblGrid>
      <w:tr w:rsidR="003033F3" w:rsidRPr="00E27D3B" w14:paraId="2EDE865C" w14:textId="77777777" w:rsidTr="00F80F24">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77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81A123" w14:textId="77777777" w:rsidR="003033F3" w:rsidRPr="00E27D3B" w:rsidRDefault="003033F3" w:rsidP="00CD4F3A">
            <w:pPr>
              <w:spacing w:before="60" w:after="60"/>
              <w:rPr>
                <w:rFonts w:eastAsia="Times New Roman" w:cs="Calibri"/>
                <w:color w:val="auto"/>
                <w:sz w:val="18"/>
                <w:szCs w:val="18"/>
              </w:rPr>
            </w:pPr>
            <w:r w:rsidRPr="00E27D3B">
              <w:rPr>
                <w:rFonts w:cs="Calibri"/>
                <w:color w:val="auto"/>
                <w:sz w:val="18"/>
                <w:szCs w:val="18"/>
              </w:rPr>
              <w:t>Base Load</w:t>
            </w:r>
          </w:p>
        </w:tc>
        <w:tc>
          <w:tcPr>
            <w:tcW w:w="97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0F952F" w14:textId="77777777" w:rsidR="003033F3" w:rsidRPr="00E27D3B" w:rsidRDefault="003033F3" w:rsidP="00CD4F3A">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Calibri"/>
                <w:color w:val="auto"/>
                <w:sz w:val="18"/>
                <w:szCs w:val="18"/>
              </w:rPr>
            </w:pPr>
            <w:r w:rsidRPr="00E27D3B">
              <w:rPr>
                <w:rFonts w:cs="Calibri"/>
                <w:color w:val="auto"/>
                <w:sz w:val="18"/>
                <w:szCs w:val="18"/>
              </w:rPr>
              <w:t>Base Case</w:t>
            </w:r>
            <w:r w:rsidRPr="00E27D3B">
              <w:rPr>
                <w:rFonts w:cs="Calibri"/>
                <w:color w:val="auto"/>
                <w:sz w:val="18"/>
                <w:szCs w:val="18"/>
              </w:rPr>
              <w:br/>
              <w:t xml:space="preserve">(No Renewable </w:t>
            </w:r>
            <w:r w:rsidRPr="00E27D3B">
              <w:rPr>
                <w:rFonts w:cs="Calibri"/>
                <w:color w:val="auto"/>
                <w:sz w:val="18"/>
                <w:szCs w:val="18"/>
              </w:rPr>
              <w:br/>
              <w:t>Generation)</w:t>
            </w:r>
          </w:p>
        </w:tc>
        <w:tc>
          <w:tcPr>
            <w:tcW w:w="159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DADAE8" w14:textId="77777777" w:rsidR="003033F3" w:rsidRPr="00E27D3B" w:rsidRDefault="003033F3" w:rsidP="00CD4F3A">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Calibri"/>
                <w:color w:val="auto"/>
                <w:sz w:val="18"/>
                <w:szCs w:val="18"/>
              </w:rPr>
            </w:pPr>
            <w:r w:rsidRPr="00E27D3B">
              <w:rPr>
                <w:rFonts w:cs="Calibri"/>
                <w:color w:val="auto"/>
                <w:sz w:val="18"/>
                <w:szCs w:val="18"/>
              </w:rPr>
              <w:t>4% Renewable Generation</w:t>
            </w:r>
            <w:r w:rsidRPr="00E27D3B">
              <w:rPr>
                <w:rFonts w:cs="Calibri"/>
                <w:color w:val="auto"/>
                <w:sz w:val="18"/>
                <w:szCs w:val="18"/>
              </w:rPr>
              <w:br/>
              <w:t>(Wind Farm)</w:t>
            </w:r>
          </w:p>
        </w:tc>
        <w:tc>
          <w:tcPr>
            <w:tcW w:w="165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0CBDEA" w14:textId="77777777" w:rsidR="003033F3" w:rsidRPr="00E27D3B" w:rsidRDefault="003033F3" w:rsidP="00CD4F3A">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Calibri"/>
                <w:color w:val="auto"/>
                <w:sz w:val="18"/>
                <w:szCs w:val="18"/>
              </w:rPr>
            </w:pPr>
            <w:r w:rsidRPr="00E27D3B">
              <w:rPr>
                <w:rFonts w:cs="Calibri"/>
                <w:color w:val="auto"/>
                <w:sz w:val="18"/>
                <w:szCs w:val="18"/>
              </w:rPr>
              <w:t>13% Renewable Generation</w:t>
            </w:r>
            <w:r w:rsidRPr="00E27D3B">
              <w:rPr>
                <w:rFonts w:cs="Calibri"/>
                <w:color w:val="auto"/>
                <w:sz w:val="18"/>
                <w:szCs w:val="18"/>
              </w:rPr>
              <w:br/>
              <w:t>(Wind Farm+ PV Plant)</w:t>
            </w:r>
          </w:p>
        </w:tc>
      </w:tr>
      <w:tr w:rsidR="003033F3" w:rsidRPr="00E27D3B" w14:paraId="649525BD" w14:textId="77777777" w:rsidTr="00F80F2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6" w:type="pct"/>
            <w:tcBorders>
              <w:left w:val="none" w:sz="0" w:space="0" w:color="auto"/>
              <w:right w:val="none" w:sz="0" w:space="0" w:color="auto"/>
            </w:tcBorders>
          </w:tcPr>
          <w:p w14:paraId="29D554C9" w14:textId="77777777" w:rsidR="003033F3" w:rsidRPr="00E27D3B" w:rsidRDefault="003033F3" w:rsidP="00CD4F3A">
            <w:pPr>
              <w:pStyle w:val="TableText"/>
              <w:rPr>
                <w:rFonts w:eastAsia="Times New Roman"/>
              </w:rPr>
            </w:pPr>
            <w:r w:rsidRPr="00E27D3B">
              <w:t>0.9 (90%)</w:t>
            </w:r>
          </w:p>
        </w:tc>
        <w:tc>
          <w:tcPr>
            <w:tcW w:w="973" w:type="pct"/>
            <w:tcBorders>
              <w:left w:val="none" w:sz="0" w:space="0" w:color="auto"/>
              <w:right w:val="none" w:sz="0" w:space="0" w:color="auto"/>
            </w:tcBorders>
          </w:tcPr>
          <w:p w14:paraId="782262EE"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71.94%</w:t>
            </w:r>
          </w:p>
        </w:tc>
        <w:tc>
          <w:tcPr>
            <w:tcW w:w="1592" w:type="pct"/>
            <w:tcBorders>
              <w:left w:val="none" w:sz="0" w:space="0" w:color="auto"/>
              <w:right w:val="none" w:sz="0" w:space="0" w:color="auto"/>
            </w:tcBorders>
          </w:tcPr>
          <w:p w14:paraId="5A3A4257"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63.61%</w:t>
            </w:r>
          </w:p>
        </w:tc>
        <w:tc>
          <w:tcPr>
            <w:tcW w:w="1659" w:type="pct"/>
            <w:tcBorders>
              <w:left w:val="none" w:sz="0" w:space="0" w:color="auto"/>
              <w:right w:val="none" w:sz="0" w:space="0" w:color="auto"/>
            </w:tcBorders>
          </w:tcPr>
          <w:p w14:paraId="080FE371"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61.39%</w:t>
            </w:r>
          </w:p>
        </w:tc>
      </w:tr>
      <w:tr w:rsidR="003033F3" w:rsidRPr="00E27D3B" w14:paraId="340254BC" w14:textId="77777777" w:rsidTr="00F80F24">
        <w:trPr>
          <w:trHeight w:val="300"/>
          <w:jc w:val="center"/>
        </w:trPr>
        <w:tc>
          <w:tcPr>
            <w:cnfStyle w:val="001000000000" w:firstRow="0" w:lastRow="0" w:firstColumn="1" w:lastColumn="0" w:oddVBand="0" w:evenVBand="0" w:oddHBand="0" w:evenHBand="0" w:firstRowFirstColumn="0" w:firstRowLastColumn="0" w:lastRowFirstColumn="0" w:lastRowLastColumn="0"/>
            <w:tcW w:w="776" w:type="pct"/>
          </w:tcPr>
          <w:p w14:paraId="48D5ACA2" w14:textId="77777777" w:rsidR="003033F3" w:rsidRPr="00E27D3B" w:rsidRDefault="003033F3" w:rsidP="00CD4F3A">
            <w:pPr>
              <w:pStyle w:val="TableText"/>
              <w:rPr>
                <w:rFonts w:eastAsia="Times New Roman"/>
              </w:rPr>
            </w:pPr>
            <w:r w:rsidRPr="00E27D3B">
              <w:t>0.95 (95%)</w:t>
            </w:r>
          </w:p>
        </w:tc>
        <w:tc>
          <w:tcPr>
            <w:tcW w:w="973" w:type="pct"/>
          </w:tcPr>
          <w:p w14:paraId="484CAF0C"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63.97%</w:t>
            </w:r>
          </w:p>
        </w:tc>
        <w:tc>
          <w:tcPr>
            <w:tcW w:w="1592" w:type="pct"/>
          </w:tcPr>
          <w:p w14:paraId="40E4444A"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55.98%</w:t>
            </w:r>
          </w:p>
        </w:tc>
        <w:tc>
          <w:tcPr>
            <w:tcW w:w="1659" w:type="pct"/>
          </w:tcPr>
          <w:p w14:paraId="101C9810"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53.81%</w:t>
            </w:r>
          </w:p>
        </w:tc>
      </w:tr>
      <w:tr w:rsidR="003033F3" w:rsidRPr="00E27D3B" w14:paraId="43DF9435" w14:textId="77777777" w:rsidTr="00F80F2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6" w:type="pct"/>
            <w:tcBorders>
              <w:left w:val="none" w:sz="0" w:space="0" w:color="auto"/>
              <w:right w:val="none" w:sz="0" w:space="0" w:color="auto"/>
            </w:tcBorders>
          </w:tcPr>
          <w:p w14:paraId="58798F9B" w14:textId="77777777" w:rsidR="003033F3" w:rsidRPr="00E27D3B" w:rsidRDefault="003033F3" w:rsidP="00CD4F3A">
            <w:pPr>
              <w:pStyle w:val="TableText"/>
              <w:rPr>
                <w:rFonts w:eastAsia="Times New Roman"/>
              </w:rPr>
            </w:pPr>
            <w:r w:rsidRPr="00E27D3B">
              <w:t>1.0 (100%)</w:t>
            </w:r>
          </w:p>
        </w:tc>
        <w:tc>
          <w:tcPr>
            <w:tcW w:w="973" w:type="pct"/>
            <w:tcBorders>
              <w:left w:val="none" w:sz="0" w:space="0" w:color="auto"/>
              <w:right w:val="none" w:sz="0" w:space="0" w:color="auto"/>
            </w:tcBorders>
          </w:tcPr>
          <w:p w14:paraId="4A8708F2"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56.65%</w:t>
            </w:r>
          </w:p>
        </w:tc>
        <w:tc>
          <w:tcPr>
            <w:tcW w:w="1592" w:type="pct"/>
            <w:tcBorders>
              <w:left w:val="none" w:sz="0" w:space="0" w:color="auto"/>
              <w:right w:val="none" w:sz="0" w:space="0" w:color="auto"/>
            </w:tcBorders>
          </w:tcPr>
          <w:p w14:paraId="396F0B60"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48.83%</w:t>
            </w:r>
          </w:p>
        </w:tc>
        <w:tc>
          <w:tcPr>
            <w:tcW w:w="1659" w:type="pct"/>
            <w:tcBorders>
              <w:left w:val="none" w:sz="0" w:space="0" w:color="auto"/>
              <w:right w:val="none" w:sz="0" w:space="0" w:color="auto"/>
            </w:tcBorders>
          </w:tcPr>
          <w:p w14:paraId="74142515"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46.87%</w:t>
            </w:r>
          </w:p>
        </w:tc>
      </w:tr>
      <w:tr w:rsidR="003033F3" w:rsidRPr="00E27D3B" w14:paraId="7676B240" w14:textId="77777777" w:rsidTr="00F80F24">
        <w:trPr>
          <w:trHeight w:val="300"/>
          <w:jc w:val="center"/>
        </w:trPr>
        <w:tc>
          <w:tcPr>
            <w:cnfStyle w:val="001000000000" w:firstRow="0" w:lastRow="0" w:firstColumn="1" w:lastColumn="0" w:oddVBand="0" w:evenVBand="0" w:oddHBand="0" w:evenHBand="0" w:firstRowFirstColumn="0" w:firstRowLastColumn="0" w:lastRowFirstColumn="0" w:lastRowLastColumn="0"/>
            <w:tcW w:w="776" w:type="pct"/>
          </w:tcPr>
          <w:p w14:paraId="73459F93" w14:textId="77777777" w:rsidR="003033F3" w:rsidRPr="00E27D3B" w:rsidRDefault="003033F3" w:rsidP="00CD4F3A">
            <w:pPr>
              <w:pStyle w:val="TableText"/>
              <w:rPr>
                <w:rFonts w:eastAsia="Times New Roman"/>
              </w:rPr>
            </w:pPr>
            <w:r w:rsidRPr="00E27D3B">
              <w:t>1.05 (105%)</w:t>
            </w:r>
          </w:p>
        </w:tc>
        <w:tc>
          <w:tcPr>
            <w:tcW w:w="973" w:type="pct"/>
          </w:tcPr>
          <w:p w14:paraId="5107C0F0"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49.97%</w:t>
            </w:r>
          </w:p>
        </w:tc>
        <w:tc>
          <w:tcPr>
            <w:tcW w:w="1592" w:type="pct"/>
          </w:tcPr>
          <w:p w14:paraId="31819ED1"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42.38%</w:t>
            </w:r>
          </w:p>
        </w:tc>
        <w:tc>
          <w:tcPr>
            <w:tcW w:w="1659" w:type="pct"/>
          </w:tcPr>
          <w:p w14:paraId="54B6736B" w14:textId="77777777" w:rsidR="003033F3" w:rsidRPr="00E27D3B" w:rsidRDefault="003033F3" w:rsidP="00CD4F3A">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sidRPr="00E27D3B">
              <w:t>40.53%</w:t>
            </w:r>
          </w:p>
        </w:tc>
      </w:tr>
      <w:tr w:rsidR="003033F3" w:rsidRPr="00E27D3B" w14:paraId="7B1685D4" w14:textId="77777777" w:rsidTr="00F80F2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6" w:type="pct"/>
            <w:tcBorders>
              <w:left w:val="none" w:sz="0" w:space="0" w:color="auto"/>
              <w:right w:val="none" w:sz="0" w:space="0" w:color="auto"/>
            </w:tcBorders>
          </w:tcPr>
          <w:p w14:paraId="42A12E0C" w14:textId="77777777" w:rsidR="003033F3" w:rsidRPr="00E27D3B" w:rsidRDefault="003033F3" w:rsidP="00CD4F3A">
            <w:pPr>
              <w:pStyle w:val="TableText"/>
              <w:rPr>
                <w:rFonts w:eastAsia="Times New Roman"/>
              </w:rPr>
            </w:pPr>
            <w:r w:rsidRPr="00E27D3B">
              <w:t>1.1 (110%)</w:t>
            </w:r>
          </w:p>
        </w:tc>
        <w:tc>
          <w:tcPr>
            <w:tcW w:w="973" w:type="pct"/>
            <w:tcBorders>
              <w:left w:val="none" w:sz="0" w:space="0" w:color="auto"/>
              <w:right w:val="none" w:sz="0" w:space="0" w:color="auto"/>
            </w:tcBorders>
          </w:tcPr>
          <w:p w14:paraId="3C70524F"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43.73%</w:t>
            </w:r>
          </w:p>
        </w:tc>
        <w:tc>
          <w:tcPr>
            <w:tcW w:w="1592" w:type="pct"/>
            <w:tcBorders>
              <w:left w:val="none" w:sz="0" w:space="0" w:color="auto"/>
              <w:right w:val="none" w:sz="0" w:space="0" w:color="auto"/>
            </w:tcBorders>
          </w:tcPr>
          <w:p w14:paraId="3C127345"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36.44%</w:t>
            </w:r>
          </w:p>
        </w:tc>
        <w:tc>
          <w:tcPr>
            <w:tcW w:w="1659" w:type="pct"/>
            <w:tcBorders>
              <w:left w:val="none" w:sz="0" w:space="0" w:color="auto"/>
              <w:right w:val="none" w:sz="0" w:space="0" w:color="auto"/>
            </w:tcBorders>
          </w:tcPr>
          <w:p w14:paraId="2ADCFE5A" w14:textId="77777777" w:rsidR="003033F3" w:rsidRPr="00E27D3B" w:rsidRDefault="003033F3" w:rsidP="00CD4F3A">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E27D3B">
              <w:t>34.69%</w:t>
            </w:r>
          </w:p>
        </w:tc>
      </w:tr>
    </w:tbl>
    <w:p w14:paraId="1E0644A6" w14:textId="79DF3DA4" w:rsidR="003033F3" w:rsidRPr="00834C7D" w:rsidRDefault="003033F3" w:rsidP="00983700">
      <w:pPr>
        <w:pStyle w:val="ListNumber"/>
        <w:numPr>
          <w:ilvl w:val="0"/>
          <w:numId w:val="0"/>
        </w:numPr>
        <w:tabs>
          <w:tab w:val="left" w:pos="0"/>
        </w:tabs>
        <w:spacing w:after="0"/>
        <w:rPr>
          <w:rFonts w:asciiTheme="minorHAnsi" w:hAnsiTheme="minorHAnsi" w:cstheme="minorBidi"/>
        </w:rPr>
      </w:pPr>
      <w:r w:rsidRPr="00834C7D">
        <w:rPr>
          <w:rFonts w:asciiTheme="minorHAnsi" w:hAnsiTheme="minorHAnsi" w:cstheme="minorBidi"/>
        </w:rPr>
        <w:t xml:space="preserve">Figure </w:t>
      </w:r>
      <w:r w:rsidR="00230608" w:rsidRPr="00834C7D">
        <w:rPr>
          <w:rFonts w:asciiTheme="minorHAnsi" w:hAnsiTheme="minorHAnsi" w:cstheme="minorBidi"/>
        </w:rPr>
        <w:t>6</w:t>
      </w:r>
      <w:r w:rsidR="00A92B6A">
        <w:rPr>
          <w:rFonts w:asciiTheme="minorHAnsi" w:hAnsiTheme="minorHAnsi" w:cstheme="minorBidi"/>
        </w:rPr>
        <w:t>4</w:t>
      </w:r>
      <w:r w:rsidRPr="00834C7D">
        <w:rPr>
          <w:rFonts w:asciiTheme="minorHAnsi" w:hAnsiTheme="minorHAnsi" w:cstheme="minorBidi"/>
        </w:rPr>
        <w:t xml:space="preserve"> extends the voltage stability boundary assessment up to 95% renewable penetration under different base-load conditions. The extended results confirm the same trend observed earlier: the voltage stability margin decreases consistently as both renewable penetration and load level increase. At the 100% base-load point, the margin falls from 36.16% in the no-renewable base case to 32.81% at 4%, 31.91% at 13%, 28.50% at 44%, 22.47% at 83%, and finally 20.17% at 95% renewable penetration. This represents a total reduction of about 16 percentage points from the base case to the 95% renewable case.</w:t>
      </w:r>
    </w:p>
    <w:p w14:paraId="718444B5" w14:textId="77777777" w:rsidR="003033F3" w:rsidRPr="00834C7D" w:rsidRDefault="003033F3" w:rsidP="00983700">
      <w:pPr>
        <w:pStyle w:val="ListNumber"/>
        <w:numPr>
          <w:ilvl w:val="0"/>
          <w:numId w:val="0"/>
        </w:numPr>
        <w:tabs>
          <w:tab w:val="left" w:pos="0"/>
        </w:tabs>
        <w:spacing w:after="0"/>
        <w:rPr>
          <w:rFonts w:asciiTheme="minorHAnsi" w:hAnsiTheme="minorHAnsi" w:cstheme="minorBidi"/>
        </w:rPr>
      </w:pPr>
      <w:r w:rsidRPr="00834C7D">
        <w:rPr>
          <w:rFonts w:asciiTheme="minorHAnsi" w:hAnsiTheme="minorHAnsi" w:cstheme="minorBidi"/>
        </w:rPr>
        <w:lastRenderedPageBreak/>
        <w:t>The higher renewable penetration cases show a sharper reduction in stability headroom, particularly under stressed loading conditions. For example, at 110% base load, the voltage stability margin decreases from 30.43% in the no-renewable case to only 12.81% at 95% renewable penetration, indicating that the system is operating much closer to its voltage stability boundary. Even at the lighter 90% load condition, the margin drops from 41.84% to 27.46% as renewable penetration increases to 95%, showing that the impact is not limited to heavily loaded operation.</w:t>
      </w:r>
    </w:p>
    <w:p w14:paraId="7A4CBAA1" w14:textId="4ECA4246" w:rsidR="003033F3" w:rsidRPr="00E27D3B" w:rsidRDefault="003033F3" w:rsidP="00983700">
      <w:pPr>
        <w:pStyle w:val="ListNumber"/>
        <w:numPr>
          <w:ilvl w:val="0"/>
          <w:numId w:val="0"/>
        </w:numPr>
        <w:tabs>
          <w:tab w:val="clear" w:pos="397"/>
          <w:tab w:val="left" w:pos="0"/>
        </w:tabs>
        <w:spacing w:after="0"/>
        <w:rPr>
          <w:rFonts w:asciiTheme="minorHAnsi" w:hAnsiTheme="minorHAnsi" w:cstheme="minorBidi"/>
        </w:rPr>
      </w:pPr>
      <w:r w:rsidRPr="00834C7D">
        <w:rPr>
          <w:rFonts w:asciiTheme="minorHAnsi" w:hAnsiTheme="minorHAnsi" w:cstheme="minorBidi"/>
        </w:rPr>
        <w:t xml:space="preserve">Overall, the extended results demonstrate that very high renewable penetration significantly reduces voltage stability margins, especially when combined with moderate load growth. The progressive decline from 83% to 95% renewable penetration further highlights that the system becomes increasingly sensitive to small load variations as synchronous generation is displaced by inverter-based resources. Therefore, at high renewable penetration levels, additional voltage support, reactive power capability, grid-forming inverter control, </w:t>
      </w:r>
      <w:r w:rsidR="007A5FC2" w:rsidRPr="00834C7D">
        <w:rPr>
          <w:rFonts w:asciiTheme="minorHAnsi" w:hAnsiTheme="minorHAnsi" w:cstheme="minorBidi"/>
        </w:rPr>
        <w:t>and</w:t>
      </w:r>
      <w:r w:rsidRPr="00834C7D">
        <w:rPr>
          <w:rFonts w:asciiTheme="minorHAnsi" w:hAnsiTheme="minorHAnsi" w:cstheme="minorBidi"/>
        </w:rPr>
        <w:t xml:space="preserve"> other stability enhancement measures </w:t>
      </w:r>
      <w:r w:rsidR="007A5FC2" w:rsidRPr="00834C7D">
        <w:rPr>
          <w:rFonts w:asciiTheme="minorHAnsi" w:hAnsiTheme="minorHAnsi" w:cstheme="minorBidi"/>
        </w:rPr>
        <w:t>ar</w:t>
      </w:r>
      <w:r w:rsidRPr="00834C7D">
        <w:rPr>
          <w:rFonts w:asciiTheme="minorHAnsi" w:hAnsiTheme="minorHAnsi" w:cstheme="minorBidi"/>
        </w:rPr>
        <w:t>e required to preserve adequate voltage stability margins under future operating conditions.</w:t>
      </w:r>
    </w:p>
    <w:p w14:paraId="6CA09B76" w14:textId="77777777" w:rsidR="003033F3" w:rsidRPr="004E0365" w:rsidRDefault="003033F3" w:rsidP="0096244D">
      <w:pPr>
        <w:pStyle w:val="BodyText"/>
        <w:keepNext/>
        <w:spacing w:line="240" w:lineRule="auto"/>
        <w:jc w:val="center"/>
        <w:rPr>
          <w:highlight w:val="yellow"/>
        </w:rPr>
      </w:pPr>
      <w:r w:rsidRPr="00547C88">
        <w:rPr>
          <w:noProof/>
        </w:rPr>
        <w:drawing>
          <wp:inline distT="0" distB="0" distL="0" distR="0" wp14:anchorId="55293EE1" wp14:editId="7A775B1B">
            <wp:extent cx="5802889" cy="3247053"/>
            <wp:effectExtent l="0" t="0" r="7620" b="10795"/>
            <wp:docPr id="820500661" name="Chart 1">
              <a:extLst xmlns:a="http://schemas.openxmlformats.org/drawingml/2006/main">
                <a:ext uri="{FF2B5EF4-FFF2-40B4-BE49-F238E27FC236}">
                  <a16:creationId xmlns:a16="http://schemas.microsoft.com/office/drawing/2014/main" id="{500A895D-17DA-54A9-169F-DBBF7F967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6878EA23" w14:textId="5C07B178" w:rsidR="003033F3" w:rsidRPr="00E27D3B" w:rsidRDefault="003033F3" w:rsidP="00CD4F3A">
      <w:pPr>
        <w:pStyle w:val="Caption"/>
        <w:spacing w:line="240" w:lineRule="auto"/>
      </w:pPr>
      <w:bookmarkStart w:id="395" w:name="_Ref223658285"/>
      <w:bookmarkStart w:id="396" w:name="_Toc223626387"/>
      <w:bookmarkStart w:id="397" w:name="_Toc223699993"/>
      <w:bookmarkStart w:id="398" w:name="_Toc224235148"/>
      <w:bookmarkStart w:id="399" w:name="_Toc233735070"/>
      <w:r w:rsidRPr="00920A7C">
        <w:t xml:space="preserve">Figure </w:t>
      </w:r>
      <w:fldSimple w:instr=" SEQ Figure \* ARABIC ">
        <w:r w:rsidR="00A85006" w:rsidRPr="00920A7C">
          <w:rPr>
            <w:noProof/>
          </w:rPr>
          <w:t>6</w:t>
        </w:r>
        <w:r w:rsidR="00A92B6A">
          <w:rPr>
            <w:noProof/>
          </w:rPr>
          <w:t>4</w:t>
        </w:r>
      </w:fldSimple>
      <w:bookmarkEnd w:id="395"/>
      <w:r w:rsidRPr="00920A7C">
        <w:t>: A comparison of voltage stability boundary under different renewable penetrations and load levels.</w:t>
      </w:r>
      <w:bookmarkEnd w:id="396"/>
      <w:bookmarkEnd w:id="397"/>
      <w:bookmarkEnd w:id="398"/>
      <w:bookmarkEnd w:id="399"/>
    </w:p>
    <w:p w14:paraId="01BB2CB1" w14:textId="483DE1C6" w:rsidR="003033F3" w:rsidRPr="00E27D3B" w:rsidRDefault="003033F3" w:rsidP="00CD4F3A">
      <w:pPr>
        <w:pStyle w:val="Heading3"/>
      </w:pPr>
      <w:r w:rsidRPr="00E27D3B">
        <w:t>Small-</w:t>
      </w:r>
      <w:r w:rsidR="007A0267">
        <w:t>D</w:t>
      </w:r>
      <w:r w:rsidRPr="00E27D3B">
        <w:t xml:space="preserve">isturbance </w:t>
      </w:r>
      <w:r w:rsidR="007A0267">
        <w:t>V</w:t>
      </w:r>
      <w:r w:rsidRPr="00E27D3B">
        <w:t xml:space="preserve">oltage </w:t>
      </w:r>
      <w:r w:rsidR="007A0267">
        <w:t>S</w:t>
      </w:r>
      <w:r w:rsidRPr="00E27D3B">
        <w:t xml:space="preserve">tability </w:t>
      </w:r>
      <w:r w:rsidR="007A0267">
        <w:t>A</w:t>
      </w:r>
      <w:r w:rsidRPr="00E27D3B">
        <w:t xml:space="preserve">ssessment under </w:t>
      </w:r>
      <w:r w:rsidR="007A0267">
        <w:t>D</w:t>
      </w:r>
      <w:r w:rsidRPr="00E27D3B">
        <w:t xml:space="preserve">ifferent AI </w:t>
      </w:r>
      <w:r w:rsidR="007A0267">
        <w:t>D</w:t>
      </w:r>
      <w:r w:rsidRPr="00E27D3B">
        <w:t xml:space="preserve">ata </w:t>
      </w:r>
      <w:proofErr w:type="spellStart"/>
      <w:r w:rsidR="007A0267">
        <w:t>C</w:t>
      </w:r>
      <w:r w:rsidRPr="00E27D3B">
        <w:t>enter</w:t>
      </w:r>
      <w:proofErr w:type="spellEnd"/>
      <w:r w:rsidRPr="00E27D3B">
        <w:t xml:space="preserve"> </w:t>
      </w:r>
      <w:r w:rsidR="007A0267">
        <w:t>L</w:t>
      </w:r>
      <w:r w:rsidRPr="00E27D3B">
        <w:t xml:space="preserve">oad </w:t>
      </w:r>
      <w:r w:rsidR="007A0267">
        <w:t>P</w:t>
      </w:r>
      <w:r w:rsidRPr="00E27D3B">
        <w:t>enetration</w:t>
      </w:r>
      <w:r w:rsidR="00537E61">
        <w:t xml:space="preserve"> </w:t>
      </w:r>
      <w:r w:rsidR="007A0267">
        <w:t>L</w:t>
      </w:r>
      <w:r w:rsidR="00537E61">
        <w:t>evels</w:t>
      </w:r>
    </w:p>
    <w:p w14:paraId="04AE2BF7" w14:textId="604623EA" w:rsidR="003033F3" w:rsidRPr="00920A7C" w:rsidRDefault="003033F3" w:rsidP="0096244D">
      <w:pPr>
        <w:pStyle w:val="ListNumber"/>
        <w:numPr>
          <w:ilvl w:val="0"/>
          <w:numId w:val="0"/>
        </w:numPr>
        <w:tabs>
          <w:tab w:val="left" w:pos="0"/>
        </w:tabs>
        <w:spacing w:after="0"/>
        <w:rPr>
          <w:rFonts w:asciiTheme="minorHAnsi" w:hAnsiTheme="minorHAnsi" w:cstheme="minorBidi"/>
        </w:rPr>
      </w:pPr>
      <w:r w:rsidRPr="00920A7C">
        <w:rPr>
          <w:rFonts w:asciiTheme="minorHAnsi" w:hAnsiTheme="minorHAnsi" w:cstheme="minorBidi"/>
        </w:rPr>
        <w:t xml:space="preserve">The extended results </w:t>
      </w:r>
      <w:r w:rsidR="00D00138" w:rsidRPr="00920A7C">
        <w:rPr>
          <w:rFonts w:asciiTheme="minorHAnsi" w:hAnsiTheme="minorHAnsi" w:cstheme="minorBidi"/>
        </w:rPr>
        <w:t xml:space="preserve">in </w:t>
      </w:r>
      <w:r w:rsidR="00715B55" w:rsidRPr="00920A7C">
        <w:rPr>
          <w:rFonts w:asciiTheme="minorHAnsi" w:hAnsiTheme="minorHAnsi" w:cstheme="minorBidi"/>
        </w:rPr>
        <w:t xml:space="preserve">Table 3 </w:t>
      </w:r>
      <w:r w:rsidRPr="00920A7C">
        <w:rPr>
          <w:rFonts w:asciiTheme="minorHAnsi" w:hAnsiTheme="minorHAnsi" w:cstheme="minorBidi"/>
        </w:rPr>
        <w:t xml:space="preserve">further show that voltage stability degradation is not driven by a single factor, but by the combined influence of renewable displacement, load concentration, and load dynamic characteristics. Compared with the base case, all three stressed scenarios reduce the voltage stability margin across the full loading range from 90% to 110%. However, the severity differs clearly. The 1000 MW traditional load case causes a moderate reduction in stability margin, while the 95% renewable case produces a much larger reduction due to the displacement of synchronous generation and the associated reduction in reactive power strength and voltage support. The 1000 MW AI data centre case produces the most severe impact, indicating that </w:t>
      </w:r>
      <w:r w:rsidRPr="00920A7C">
        <w:rPr>
          <w:rFonts w:asciiTheme="minorHAnsi" w:hAnsiTheme="minorHAnsi" w:cstheme="minorBidi"/>
        </w:rPr>
        <w:lastRenderedPageBreak/>
        <w:t>concentrated, power-electronics-heavy data centre demand creates a stronger voltage stability stress than an equivalent traditional load.</w:t>
      </w:r>
    </w:p>
    <w:p w14:paraId="28D955E9" w14:textId="1879F2BC" w:rsidR="003033F3" w:rsidRPr="00920A7C" w:rsidRDefault="003033F3" w:rsidP="0096244D">
      <w:pPr>
        <w:pStyle w:val="ListNumber"/>
        <w:numPr>
          <w:ilvl w:val="0"/>
          <w:numId w:val="0"/>
        </w:numPr>
        <w:tabs>
          <w:tab w:val="left" w:pos="0"/>
        </w:tabs>
        <w:spacing w:after="0"/>
        <w:rPr>
          <w:rFonts w:asciiTheme="minorHAnsi" w:hAnsiTheme="minorHAnsi" w:cstheme="minorBidi"/>
        </w:rPr>
      </w:pPr>
      <w:r w:rsidRPr="00920A7C">
        <w:rPr>
          <w:rFonts w:asciiTheme="minorHAnsi" w:hAnsiTheme="minorHAnsi" w:cstheme="minorBidi"/>
        </w:rPr>
        <w:t xml:space="preserve">At the 100% base-load condition, the voltage stability margin decreases from 36.16% in the base case to 29.16% with </w:t>
      </w:r>
      <w:r w:rsidR="00230608" w:rsidRPr="00920A7C">
        <w:rPr>
          <w:rFonts w:asciiTheme="minorHAnsi" w:hAnsiTheme="minorHAnsi" w:cstheme="minorBidi"/>
        </w:rPr>
        <w:t xml:space="preserve">the addition of </w:t>
      </w:r>
      <w:r w:rsidRPr="00920A7C">
        <w:rPr>
          <w:rFonts w:asciiTheme="minorHAnsi" w:hAnsiTheme="minorHAnsi" w:cstheme="minorBidi"/>
        </w:rPr>
        <w:t xml:space="preserve">a 1000 MW traditional load, 20.17% under the 95% renewable case, and only 11.96% with the 1000 MW AI data centre load. This means that the traditional 1000 MW load reduces the margin by about 7.0 percentage points, while the 95% renewable case reduces it by about 16.0 percentage points. The AI data centre case gives the largest reduction of about 24.2 percentage points, leaving the system much closer to the voltage </w:t>
      </w:r>
      <w:r w:rsidR="0091042B" w:rsidRPr="00920A7C">
        <w:rPr>
          <w:rFonts w:asciiTheme="minorHAnsi" w:hAnsiTheme="minorHAnsi" w:cstheme="minorBidi"/>
        </w:rPr>
        <w:t>stability</w:t>
      </w:r>
      <w:r w:rsidRPr="00920A7C">
        <w:rPr>
          <w:rFonts w:asciiTheme="minorHAnsi" w:hAnsiTheme="minorHAnsi" w:cstheme="minorBidi"/>
        </w:rPr>
        <w:t xml:space="preserve"> boundary.</w:t>
      </w:r>
    </w:p>
    <w:p w14:paraId="34C19870" w14:textId="77777777" w:rsidR="003033F3" w:rsidRPr="00920A7C" w:rsidRDefault="003033F3" w:rsidP="0096244D">
      <w:pPr>
        <w:pStyle w:val="ListNumber"/>
        <w:numPr>
          <w:ilvl w:val="0"/>
          <w:numId w:val="0"/>
        </w:numPr>
        <w:tabs>
          <w:tab w:val="left" w:pos="0"/>
        </w:tabs>
        <w:spacing w:after="0"/>
        <w:rPr>
          <w:rFonts w:asciiTheme="minorHAnsi" w:hAnsiTheme="minorHAnsi" w:cstheme="minorBidi"/>
        </w:rPr>
      </w:pPr>
      <w:r w:rsidRPr="00920A7C">
        <w:rPr>
          <w:rFonts w:asciiTheme="minorHAnsi" w:hAnsiTheme="minorHAnsi" w:cstheme="minorBidi"/>
        </w:rPr>
        <w:t>The difference becomes even more critical as the loading level increases. At 110% base load, the base case still maintains a margin of 30.43%, while the 1000 MW traditional load case falls to 23.30% and the 95% renewable case falls to 12.81%. In contrast, the 1000 MW AI data centre case drops sharply to only 4.81%, indicating a very limited remaining stability headroom. Similarly, at 105% loading, the AI data centre case has a margin of only 8.39%, already below a practical security buffer for stressed operating conditions.</w:t>
      </w:r>
    </w:p>
    <w:p w14:paraId="0201D240" w14:textId="2BBBF2BE" w:rsidR="003033F3" w:rsidRPr="00163827" w:rsidRDefault="003033F3" w:rsidP="0096244D">
      <w:pPr>
        <w:pStyle w:val="ListNumber"/>
        <w:numPr>
          <w:ilvl w:val="0"/>
          <w:numId w:val="0"/>
        </w:numPr>
        <w:tabs>
          <w:tab w:val="left" w:pos="0"/>
        </w:tabs>
        <w:spacing w:after="0"/>
        <w:rPr>
          <w:rFonts w:asciiTheme="minorHAnsi" w:hAnsiTheme="minorHAnsi" w:cstheme="minorBidi"/>
        </w:rPr>
      </w:pPr>
      <w:r w:rsidRPr="00163827">
        <w:rPr>
          <w:rFonts w:asciiTheme="minorHAnsi" w:hAnsiTheme="minorHAnsi" w:cstheme="minorBidi"/>
        </w:rPr>
        <w:t>Overall, the results show that a 1000 MW AI data centre load is more detrimental to voltage stability than a 1000 MW traditional load at every loading condition. The difference is particularly clear at the 100% base-load point, where the AI data centre margin is 17.20 percentage points lower than the traditional load case. This confirms that the impact of AI data centre</w:t>
      </w:r>
      <w:r w:rsidR="001D6096" w:rsidRPr="00163827">
        <w:rPr>
          <w:rFonts w:asciiTheme="minorHAnsi" w:hAnsiTheme="minorHAnsi" w:cstheme="minorBidi"/>
        </w:rPr>
        <w:t xml:space="preserve"> load</w:t>
      </w:r>
      <w:r w:rsidRPr="00163827">
        <w:rPr>
          <w:rFonts w:asciiTheme="minorHAnsi" w:hAnsiTheme="minorHAnsi" w:cstheme="minorBidi"/>
        </w:rPr>
        <w:t xml:space="preserve"> cannot be assessed only by their MW size; their concentrated location, high power density, cooling demand, power-electronics interface, and potential fast variability make them more challenging from a voltage stability perspective.</w:t>
      </w:r>
    </w:p>
    <w:p w14:paraId="1AEB9D02" w14:textId="44F20196" w:rsidR="003033F3" w:rsidRPr="00163827" w:rsidRDefault="003033F3" w:rsidP="0096244D">
      <w:pPr>
        <w:pStyle w:val="ListNumber"/>
        <w:numPr>
          <w:ilvl w:val="0"/>
          <w:numId w:val="0"/>
        </w:numPr>
        <w:tabs>
          <w:tab w:val="clear" w:pos="397"/>
          <w:tab w:val="left" w:pos="0"/>
        </w:tabs>
        <w:spacing w:after="0"/>
        <w:rPr>
          <w:rFonts w:asciiTheme="minorHAnsi" w:hAnsiTheme="minorHAnsi" w:cstheme="minorBidi"/>
        </w:rPr>
      </w:pPr>
      <w:r w:rsidRPr="00163827">
        <w:rPr>
          <w:rFonts w:asciiTheme="minorHAnsi" w:hAnsiTheme="minorHAnsi" w:cstheme="minorBidi"/>
        </w:rPr>
        <w:t xml:space="preserve">The comparison with the 95% renewable case is also important. While very high renewable penetration significantly reduces voltage stability margins, the 1000 MW AI data centre case produces an even lower margin. This suggests that future planning studies should treat high renewable penetration and large AI data centre </w:t>
      </w:r>
      <w:r w:rsidR="00E94FAC" w:rsidRPr="00163827">
        <w:rPr>
          <w:rFonts w:asciiTheme="minorHAnsi" w:hAnsiTheme="minorHAnsi" w:cstheme="minorBidi"/>
        </w:rPr>
        <w:t xml:space="preserve">load </w:t>
      </w:r>
      <w:r w:rsidRPr="00163827">
        <w:rPr>
          <w:rFonts w:asciiTheme="minorHAnsi" w:hAnsiTheme="minorHAnsi" w:cstheme="minorBidi"/>
        </w:rPr>
        <w:t xml:space="preserve">integration as separate but interacting stress factors. If both conditions occur simultaneously in weak areas of the grid, additional voltage support, dynamic reactive compensation, grid-forming inverter capability, </w:t>
      </w:r>
      <w:r w:rsidR="00E94FAC" w:rsidRPr="00163827">
        <w:rPr>
          <w:rFonts w:asciiTheme="minorHAnsi" w:hAnsiTheme="minorHAnsi" w:cstheme="minorBidi"/>
        </w:rPr>
        <w:t>and</w:t>
      </w:r>
      <w:r w:rsidRPr="00163827">
        <w:rPr>
          <w:rFonts w:asciiTheme="minorHAnsi" w:hAnsiTheme="minorHAnsi" w:cstheme="minorBidi"/>
        </w:rPr>
        <w:t xml:space="preserve"> network reinforcement may be required to maintain sufficient voltage stability margin.</w:t>
      </w:r>
    </w:p>
    <w:p w14:paraId="5BF316F4" w14:textId="18D2EC93" w:rsidR="003033F3" w:rsidRPr="00163827" w:rsidRDefault="003033F3" w:rsidP="00CD4F3A">
      <w:pPr>
        <w:pStyle w:val="Caption"/>
        <w:spacing w:line="240" w:lineRule="auto"/>
      </w:pPr>
      <w:bookmarkStart w:id="400" w:name="_Ref223658368"/>
      <w:bookmarkStart w:id="401" w:name="_Toc223626416"/>
      <w:bookmarkStart w:id="402" w:name="_Toc224235177"/>
      <w:bookmarkStart w:id="403" w:name="_Toc233735323"/>
      <w:r w:rsidRPr="00163827">
        <w:t xml:space="preserve">Table </w:t>
      </w:r>
      <w:fldSimple w:instr=" SEQ Table \* ARABIC ">
        <w:r w:rsidR="00753DAF" w:rsidRPr="00163827">
          <w:rPr>
            <w:noProof/>
          </w:rPr>
          <w:t>26</w:t>
        </w:r>
      </w:fldSimple>
      <w:bookmarkEnd w:id="400"/>
      <w:r w:rsidRPr="00163827">
        <w:t xml:space="preserve">: A comparison of voltage stability margins under different </w:t>
      </w:r>
      <w:r w:rsidR="00230608" w:rsidRPr="00163827">
        <w:t>renewable, traditional load, and AI data centre penetration levels</w:t>
      </w:r>
      <w:r w:rsidRPr="00163827">
        <w:t>.</w:t>
      </w:r>
      <w:bookmarkEnd w:id="401"/>
      <w:bookmarkEnd w:id="402"/>
      <w:bookmarkEnd w:id="403"/>
    </w:p>
    <w:tbl>
      <w:tblPr>
        <w:tblStyle w:val="TableCSIRO"/>
        <w:tblW w:w="8774"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992"/>
        <w:gridCol w:w="2078"/>
        <w:gridCol w:w="1775"/>
        <w:gridCol w:w="1616"/>
      </w:tblGrid>
      <w:tr w:rsidR="003033F3" w:rsidRPr="00163827" w14:paraId="655F92A0" w14:textId="77777777" w:rsidTr="0096244D">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31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hideMark/>
          </w:tcPr>
          <w:p w14:paraId="17C470D6" w14:textId="77777777" w:rsidR="003033F3" w:rsidRPr="00163827" w:rsidRDefault="003033F3" w:rsidP="00CD4F3A">
            <w:pPr>
              <w:spacing w:before="60" w:after="60"/>
              <w:jc w:val="center"/>
              <w:rPr>
                <w:rFonts w:ascii="Arial" w:eastAsia="Times New Roman" w:hAnsi="Arial" w:cs="Arial"/>
                <w:color w:val="FFFFFF" w:themeColor="background1"/>
                <w:sz w:val="18"/>
                <w:szCs w:val="18"/>
              </w:rPr>
            </w:pPr>
            <w:r w:rsidRPr="00163827">
              <w:rPr>
                <w:rFonts w:ascii="Arial" w:eastAsia="Times New Roman" w:hAnsi="Arial" w:cs="Arial"/>
                <w:color w:val="FFFFFF" w:themeColor="background1"/>
                <w:sz w:val="18"/>
                <w:szCs w:val="18"/>
              </w:rPr>
              <w:t>Loading</w:t>
            </w:r>
          </w:p>
        </w:tc>
        <w:tc>
          <w:tcPr>
            <w:tcW w:w="1992"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ign w:val="center"/>
            <w:hideMark/>
          </w:tcPr>
          <w:p w14:paraId="662989F9" w14:textId="77777777" w:rsidR="003033F3" w:rsidRPr="00163827" w:rsidRDefault="003033F3" w:rsidP="00CD4F3A">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sz w:val="18"/>
                <w:szCs w:val="18"/>
              </w:rPr>
            </w:pPr>
            <w:r w:rsidRPr="00163827">
              <w:rPr>
                <w:rFonts w:eastAsia="Times New Roman" w:cs="Calibri"/>
                <w:color w:val="FFFFFF" w:themeColor="background1"/>
                <w:sz w:val="18"/>
                <w:szCs w:val="18"/>
              </w:rPr>
              <w:t>Base Case</w:t>
            </w:r>
          </w:p>
        </w:tc>
        <w:tc>
          <w:tcPr>
            <w:tcW w:w="2078"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ign w:val="center"/>
            <w:hideMark/>
          </w:tcPr>
          <w:p w14:paraId="629EF331" w14:textId="77777777" w:rsidR="003033F3" w:rsidRPr="00163827" w:rsidRDefault="003033F3" w:rsidP="00CD4F3A">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sz w:val="18"/>
                <w:szCs w:val="18"/>
              </w:rPr>
            </w:pPr>
            <w:r w:rsidRPr="00163827">
              <w:rPr>
                <w:rFonts w:eastAsia="Times New Roman" w:cs="Calibri"/>
                <w:color w:val="FFFFFF" w:themeColor="background1"/>
                <w:sz w:val="18"/>
                <w:szCs w:val="18"/>
              </w:rPr>
              <w:t>95% Renewable Case VSM (%)</w:t>
            </w:r>
          </w:p>
        </w:tc>
        <w:tc>
          <w:tcPr>
            <w:tcW w:w="1775"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ign w:val="center"/>
            <w:hideMark/>
          </w:tcPr>
          <w:p w14:paraId="06E4818F" w14:textId="77777777" w:rsidR="003033F3" w:rsidRPr="00163827" w:rsidRDefault="003033F3" w:rsidP="00CD4F3A">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sz w:val="18"/>
                <w:szCs w:val="18"/>
              </w:rPr>
            </w:pPr>
            <w:r w:rsidRPr="00163827">
              <w:rPr>
                <w:rFonts w:eastAsia="Times New Roman" w:cs="Calibri"/>
                <w:color w:val="FFFFFF" w:themeColor="background1"/>
                <w:sz w:val="18"/>
                <w:szCs w:val="18"/>
              </w:rPr>
              <w:t>1000 MW Traditional Load VSM (%)</w:t>
            </w:r>
          </w:p>
        </w:tc>
        <w:tc>
          <w:tcPr>
            <w:tcW w:w="1616"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ign w:val="center"/>
            <w:hideMark/>
          </w:tcPr>
          <w:p w14:paraId="074B0DDD" w14:textId="77777777" w:rsidR="003033F3" w:rsidRPr="00163827" w:rsidRDefault="003033F3" w:rsidP="00CD4F3A">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sz w:val="18"/>
                <w:szCs w:val="18"/>
              </w:rPr>
            </w:pPr>
            <w:r w:rsidRPr="00163827">
              <w:rPr>
                <w:rFonts w:eastAsia="Times New Roman" w:cs="Calibri"/>
                <w:color w:val="FFFFFF" w:themeColor="background1"/>
                <w:sz w:val="18"/>
                <w:szCs w:val="18"/>
              </w:rPr>
              <w:t xml:space="preserve">1000 MW AI Data </w:t>
            </w:r>
            <w:proofErr w:type="spellStart"/>
            <w:r w:rsidRPr="00163827">
              <w:rPr>
                <w:rFonts w:eastAsia="Times New Roman" w:cs="Calibri"/>
                <w:color w:val="FFFFFF" w:themeColor="background1"/>
                <w:sz w:val="18"/>
                <w:szCs w:val="18"/>
              </w:rPr>
              <w:t>Center</w:t>
            </w:r>
            <w:proofErr w:type="spellEnd"/>
            <w:r w:rsidRPr="00163827">
              <w:rPr>
                <w:rFonts w:eastAsia="Times New Roman" w:cs="Calibri"/>
                <w:color w:val="FFFFFF" w:themeColor="background1"/>
                <w:sz w:val="18"/>
                <w:szCs w:val="18"/>
              </w:rPr>
              <w:t xml:space="preserve"> VSM (%)</w:t>
            </w:r>
          </w:p>
        </w:tc>
      </w:tr>
      <w:tr w:rsidR="003033F3" w:rsidRPr="00163827" w14:paraId="29B7D582" w14:textId="77777777" w:rsidTr="0096244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right w:val="none" w:sz="0" w:space="0" w:color="auto"/>
            </w:tcBorders>
            <w:vAlign w:val="center"/>
            <w:hideMark/>
          </w:tcPr>
          <w:p w14:paraId="1E88FEEF" w14:textId="77777777" w:rsidR="003033F3" w:rsidRPr="00163827" w:rsidRDefault="003033F3" w:rsidP="00CD4F3A">
            <w:pPr>
              <w:pStyle w:val="TableText"/>
              <w:contextualSpacing/>
            </w:pPr>
            <w:r w:rsidRPr="00163827">
              <w:t>0.9 (90%)</w:t>
            </w:r>
          </w:p>
        </w:tc>
        <w:tc>
          <w:tcPr>
            <w:tcW w:w="1134" w:type="dxa"/>
            <w:tcBorders>
              <w:left w:val="none" w:sz="0" w:space="0" w:color="auto"/>
              <w:right w:val="none" w:sz="0" w:space="0" w:color="auto"/>
            </w:tcBorders>
            <w:noWrap/>
            <w:vAlign w:val="center"/>
            <w:hideMark/>
          </w:tcPr>
          <w:p w14:paraId="08A8E581"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41.83944716</w:t>
            </w:r>
          </w:p>
        </w:tc>
        <w:tc>
          <w:tcPr>
            <w:tcW w:w="1134" w:type="dxa"/>
            <w:tcBorders>
              <w:left w:val="none" w:sz="0" w:space="0" w:color="auto"/>
              <w:right w:val="none" w:sz="0" w:space="0" w:color="auto"/>
            </w:tcBorders>
            <w:noWrap/>
            <w:vAlign w:val="center"/>
            <w:hideMark/>
          </w:tcPr>
          <w:p w14:paraId="52792EB3"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27.46</w:t>
            </w:r>
          </w:p>
        </w:tc>
        <w:tc>
          <w:tcPr>
            <w:tcW w:w="1134" w:type="dxa"/>
            <w:tcBorders>
              <w:left w:val="none" w:sz="0" w:space="0" w:color="auto"/>
              <w:right w:val="none" w:sz="0" w:space="0" w:color="auto"/>
            </w:tcBorders>
            <w:noWrap/>
            <w:vAlign w:val="center"/>
            <w:hideMark/>
          </w:tcPr>
          <w:p w14:paraId="0E0162A5"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33.9382452</w:t>
            </w:r>
          </w:p>
        </w:tc>
        <w:tc>
          <w:tcPr>
            <w:tcW w:w="1134" w:type="dxa"/>
            <w:tcBorders>
              <w:left w:val="none" w:sz="0" w:space="0" w:color="auto"/>
              <w:right w:val="none" w:sz="0" w:space="0" w:color="auto"/>
            </w:tcBorders>
            <w:noWrap/>
            <w:vAlign w:val="center"/>
            <w:hideMark/>
          </w:tcPr>
          <w:p w14:paraId="663210B5"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18.968311</w:t>
            </w:r>
          </w:p>
        </w:tc>
      </w:tr>
      <w:tr w:rsidR="003033F3" w:rsidRPr="00163827" w14:paraId="606C90B9" w14:textId="77777777" w:rsidTr="0096244D">
        <w:trPr>
          <w:trHeight w:val="598"/>
        </w:trPr>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0C86A955" w14:textId="77777777" w:rsidR="003033F3" w:rsidRPr="00163827" w:rsidRDefault="003033F3" w:rsidP="00CD4F3A">
            <w:pPr>
              <w:pStyle w:val="TableText"/>
              <w:contextualSpacing/>
            </w:pPr>
            <w:r w:rsidRPr="00163827">
              <w:t>0.95 (95%)</w:t>
            </w:r>
          </w:p>
        </w:tc>
        <w:tc>
          <w:tcPr>
            <w:tcW w:w="1134" w:type="dxa"/>
            <w:noWrap/>
            <w:vAlign w:val="center"/>
            <w:hideMark/>
          </w:tcPr>
          <w:p w14:paraId="251AD1D6"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39.01295078</w:t>
            </w:r>
          </w:p>
        </w:tc>
        <w:tc>
          <w:tcPr>
            <w:tcW w:w="1134" w:type="dxa"/>
            <w:noWrap/>
            <w:vAlign w:val="center"/>
            <w:hideMark/>
          </w:tcPr>
          <w:p w14:paraId="10F0BBD0"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23.84</w:t>
            </w:r>
          </w:p>
        </w:tc>
        <w:tc>
          <w:tcPr>
            <w:tcW w:w="1134" w:type="dxa"/>
            <w:noWrap/>
            <w:vAlign w:val="center"/>
            <w:hideMark/>
          </w:tcPr>
          <w:p w14:paraId="7E61CF75"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32.0199993</w:t>
            </w:r>
          </w:p>
        </w:tc>
        <w:tc>
          <w:tcPr>
            <w:tcW w:w="1134" w:type="dxa"/>
            <w:noWrap/>
            <w:vAlign w:val="center"/>
            <w:hideMark/>
          </w:tcPr>
          <w:p w14:paraId="0960C4DA"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15.472779</w:t>
            </w:r>
          </w:p>
        </w:tc>
      </w:tr>
      <w:tr w:rsidR="003033F3" w:rsidRPr="00163827" w14:paraId="10D99708" w14:textId="77777777" w:rsidTr="0096244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right w:val="none" w:sz="0" w:space="0" w:color="auto"/>
            </w:tcBorders>
            <w:vAlign w:val="center"/>
            <w:hideMark/>
          </w:tcPr>
          <w:p w14:paraId="3FF8E585" w14:textId="77777777" w:rsidR="003033F3" w:rsidRPr="00163827" w:rsidRDefault="003033F3" w:rsidP="00CD4F3A">
            <w:pPr>
              <w:pStyle w:val="TableText"/>
              <w:contextualSpacing/>
            </w:pPr>
            <w:r w:rsidRPr="00163827">
              <w:t>1.0 (100%)</w:t>
            </w:r>
          </w:p>
        </w:tc>
        <w:tc>
          <w:tcPr>
            <w:tcW w:w="1134" w:type="dxa"/>
            <w:tcBorders>
              <w:left w:val="none" w:sz="0" w:space="0" w:color="auto"/>
              <w:right w:val="none" w:sz="0" w:space="0" w:color="auto"/>
            </w:tcBorders>
            <w:noWrap/>
            <w:vAlign w:val="center"/>
            <w:hideMark/>
          </w:tcPr>
          <w:p w14:paraId="4A89F0C3"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36.1615929</w:t>
            </w:r>
          </w:p>
        </w:tc>
        <w:tc>
          <w:tcPr>
            <w:tcW w:w="1134" w:type="dxa"/>
            <w:tcBorders>
              <w:left w:val="none" w:sz="0" w:space="0" w:color="auto"/>
              <w:right w:val="none" w:sz="0" w:space="0" w:color="auto"/>
            </w:tcBorders>
            <w:noWrap/>
            <w:vAlign w:val="center"/>
            <w:hideMark/>
          </w:tcPr>
          <w:p w14:paraId="28E653B0"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20.17</w:t>
            </w:r>
          </w:p>
        </w:tc>
        <w:tc>
          <w:tcPr>
            <w:tcW w:w="1134" w:type="dxa"/>
            <w:tcBorders>
              <w:left w:val="none" w:sz="0" w:space="0" w:color="auto"/>
              <w:right w:val="none" w:sz="0" w:space="0" w:color="auto"/>
            </w:tcBorders>
            <w:noWrap/>
            <w:vAlign w:val="center"/>
            <w:hideMark/>
          </w:tcPr>
          <w:p w14:paraId="27256187"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29.1577954</w:t>
            </w:r>
          </w:p>
        </w:tc>
        <w:tc>
          <w:tcPr>
            <w:tcW w:w="1134" w:type="dxa"/>
            <w:tcBorders>
              <w:left w:val="none" w:sz="0" w:space="0" w:color="auto"/>
              <w:right w:val="none" w:sz="0" w:space="0" w:color="auto"/>
            </w:tcBorders>
            <w:noWrap/>
            <w:vAlign w:val="center"/>
            <w:hideMark/>
          </w:tcPr>
          <w:p w14:paraId="601B42AB"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11.95568</w:t>
            </w:r>
          </w:p>
        </w:tc>
      </w:tr>
      <w:tr w:rsidR="003033F3" w:rsidRPr="00163827" w14:paraId="4804838E" w14:textId="77777777" w:rsidTr="0096244D">
        <w:trPr>
          <w:trHeight w:val="598"/>
        </w:trPr>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0683B985" w14:textId="77777777" w:rsidR="003033F3" w:rsidRPr="00163827" w:rsidRDefault="003033F3" w:rsidP="00CD4F3A">
            <w:pPr>
              <w:pStyle w:val="TableText"/>
              <w:contextualSpacing/>
            </w:pPr>
            <w:r w:rsidRPr="00163827">
              <w:t>1.05 (105%)</w:t>
            </w:r>
          </w:p>
        </w:tc>
        <w:tc>
          <w:tcPr>
            <w:tcW w:w="1134" w:type="dxa"/>
            <w:noWrap/>
            <w:vAlign w:val="center"/>
            <w:hideMark/>
          </w:tcPr>
          <w:p w14:paraId="0670CBDB"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33.31922007</w:t>
            </w:r>
          </w:p>
        </w:tc>
        <w:tc>
          <w:tcPr>
            <w:tcW w:w="1134" w:type="dxa"/>
            <w:noWrap/>
            <w:vAlign w:val="center"/>
            <w:hideMark/>
          </w:tcPr>
          <w:p w14:paraId="30494E4D"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16.50</w:t>
            </w:r>
          </w:p>
        </w:tc>
        <w:tc>
          <w:tcPr>
            <w:tcW w:w="1134" w:type="dxa"/>
            <w:noWrap/>
            <w:vAlign w:val="center"/>
            <w:hideMark/>
          </w:tcPr>
          <w:p w14:paraId="074DAD3A"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26.2571534</w:t>
            </w:r>
          </w:p>
        </w:tc>
        <w:tc>
          <w:tcPr>
            <w:tcW w:w="1134" w:type="dxa"/>
            <w:noWrap/>
            <w:vAlign w:val="center"/>
            <w:hideMark/>
          </w:tcPr>
          <w:p w14:paraId="49FB47F6" w14:textId="77777777" w:rsidR="003033F3" w:rsidRPr="00163827" w:rsidRDefault="003033F3" w:rsidP="00CD4F3A">
            <w:pPr>
              <w:pStyle w:val="TableText"/>
              <w:contextualSpacing/>
              <w:cnfStyle w:val="000000000000" w:firstRow="0" w:lastRow="0" w:firstColumn="0" w:lastColumn="0" w:oddVBand="0" w:evenVBand="0" w:oddHBand="0" w:evenHBand="0" w:firstRowFirstColumn="0" w:firstRowLastColumn="0" w:lastRowFirstColumn="0" w:lastRowLastColumn="0"/>
              <w:rPr>
                <w:rFonts w:cs="Calibri"/>
              </w:rPr>
            </w:pPr>
            <w:r w:rsidRPr="00163827">
              <w:rPr>
                <w:rFonts w:cs="Calibri"/>
              </w:rPr>
              <w:t>8.3922606</w:t>
            </w:r>
          </w:p>
        </w:tc>
      </w:tr>
      <w:tr w:rsidR="003033F3" w:rsidRPr="00F639AB" w14:paraId="6A59A267" w14:textId="77777777" w:rsidTr="0096244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right w:val="none" w:sz="0" w:space="0" w:color="auto"/>
            </w:tcBorders>
            <w:vAlign w:val="center"/>
            <w:hideMark/>
          </w:tcPr>
          <w:p w14:paraId="7037BA98" w14:textId="77777777" w:rsidR="003033F3" w:rsidRPr="00163827" w:rsidRDefault="003033F3" w:rsidP="00CD4F3A">
            <w:pPr>
              <w:pStyle w:val="TableText"/>
              <w:contextualSpacing/>
            </w:pPr>
            <w:r w:rsidRPr="00163827">
              <w:t>1.1 (110%)</w:t>
            </w:r>
          </w:p>
        </w:tc>
        <w:tc>
          <w:tcPr>
            <w:tcW w:w="1134" w:type="dxa"/>
            <w:tcBorders>
              <w:left w:val="none" w:sz="0" w:space="0" w:color="auto"/>
              <w:right w:val="none" w:sz="0" w:space="0" w:color="auto"/>
            </w:tcBorders>
            <w:noWrap/>
            <w:vAlign w:val="center"/>
            <w:hideMark/>
          </w:tcPr>
          <w:p w14:paraId="24FE5B85"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30.42728216</w:t>
            </w:r>
          </w:p>
        </w:tc>
        <w:tc>
          <w:tcPr>
            <w:tcW w:w="1134" w:type="dxa"/>
            <w:tcBorders>
              <w:left w:val="none" w:sz="0" w:space="0" w:color="auto"/>
              <w:right w:val="none" w:sz="0" w:space="0" w:color="auto"/>
            </w:tcBorders>
            <w:noWrap/>
            <w:vAlign w:val="center"/>
            <w:hideMark/>
          </w:tcPr>
          <w:p w14:paraId="4D09D25C"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12.81</w:t>
            </w:r>
          </w:p>
        </w:tc>
        <w:tc>
          <w:tcPr>
            <w:tcW w:w="1134" w:type="dxa"/>
            <w:tcBorders>
              <w:left w:val="none" w:sz="0" w:space="0" w:color="auto"/>
              <w:right w:val="none" w:sz="0" w:space="0" w:color="auto"/>
            </w:tcBorders>
            <w:noWrap/>
            <w:vAlign w:val="center"/>
            <w:hideMark/>
          </w:tcPr>
          <w:p w14:paraId="0CD7F37C" w14:textId="77777777" w:rsidR="003033F3" w:rsidRPr="00163827"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23.3029108</w:t>
            </w:r>
          </w:p>
        </w:tc>
        <w:tc>
          <w:tcPr>
            <w:tcW w:w="1134" w:type="dxa"/>
            <w:tcBorders>
              <w:left w:val="none" w:sz="0" w:space="0" w:color="auto"/>
              <w:right w:val="none" w:sz="0" w:space="0" w:color="auto"/>
            </w:tcBorders>
            <w:noWrap/>
            <w:vAlign w:val="center"/>
            <w:hideMark/>
          </w:tcPr>
          <w:p w14:paraId="53A48A47" w14:textId="77777777" w:rsidR="003033F3" w:rsidRPr="00F639AB" w:rsidRDefault="003033F3" w:rsidP="00CD4F3A">
            <w:pPr>
              <w:pStyle w:val="TableText"/>
              <w:contextualSpacing/>
              <w:cnfStyle w:val="000000100000" w:firstRow="0" w:lastRow="0" w:firstColumn="0" w:lastColumn="0" w:oddVBand="0" w:evenVBand="0" w:oddHBand="1" w:evenHBand="0" w:firstRowFirstColumn="0" w:firstRowLastColumn="0" w:lastRowFirstColumn="0" w:lastRowLastColumn="0"/>
              <w:rPr>
                <w:rFonts w:cs="Calibri"/>
              </w:rPr>
            </w:pPr>
            <w:r w:rsidRPr="00163827">
              <w:rPr>
                <w:rFonts w:cs="Calibri"/>
              </w:rPr>
              <w:t>4.8059583</w:t>
            </w:r>
          </w:p>
        </w:tc>
      </w:tr>
    </w:tbl>
    <w:p w14:paraId="0BB836BE" w14:textId="77777777" w:rsidR="003033F3" w:rsidRPr="00E27D3B" w:rsidRDefault="003033F3" w:rsidP="00CD4F3A">
      <w:pPr>
        <w:pStyle w:val="Heading2"/>
      </w:pPr>
      <w:bookmarkStart w:id="404" w:name="_Toc223627385"/>
      <w:bookmarkStart w:id="405" w:name="_Toc224235089"/>
      <w:bookmarkStart w:id="406" w:name="_Toc233734331"/>
      <w:r>
        <w:lastRenderedPageBreak/>
        <w:t>Chapter Summary</w:t>
      </w:r>
      <w:bookmarkEnd w:id="404"/>
      <w:bookmarkEnd w:id="405"/>
      <w:bookmarkEnd w:id="406"/>
      <w:r>
        <w:t xml:space="preserve"> </w:t>
      </w:r>
    </w:p>
    <w:p w14:paraId="796AD292" w14:textId="77777777" w:rsidR="0096244D" w:rsidRDefault="003033F3" w:rsidP="0096244D">
      <w:pPr>
        <w:pStyle w:val="ListNumber"/>
        <w:numPr>
          <w:ilvl w:val="0"/>
          <w:numId w:val="0"/>
        </w:numPr>
        <w:tabs>
          <w:tab w:val="clear" w:pos="397"/>
          <w:tab w:val="left" w:pos="0"/>
        </w:tabs>
        <w:spacing w:after="0"/>
      </w:pPr>
      <w:r w:rsidRPr="00547C88">
        <w:t xml:space="preserve">The combined results indicate that voltage stability margins can deteriorate through both supply-side transformation and demand-side load evolution, and that these effects become more critical under stressed operating conditions. On the supply side, increasing inverter-based renewable penetration progressively reduces the voltage stability margin as synchronous generation, reactive power strength, and short-circuit support are displaced. At the 100% base-load condition, the margin falls from 36.16% in the no-renewable base case to 20.17% at 95% renewable penetration, representing a reduction of about 16 percentage points. At 110% base loading, the margin further decreases to only 12.81% under 95% renewable penetration, confirming that very high renewable operation leaves the system much closer to the voltage stability boundary. </w:t>
      </w:r>
    </w:p>
    <w:p w14:paraId="3518CB06" w14:textId="5DBB66FD" w:rsidR="003033F3" w:rsidRPr="00E27D3B" w:rsidRDefault="003033F3" w:rsidP="0096244D">
      <w:pPr>
        <w:pStyle w:val="ListNumber"/>
        <w:numPr>
          <w:ilvl w:val="0"/>
          <w:numId w:val="0"/>
        </w:numPr>
        <w:tabs>
          <w:tab w:val="clear" w:pos="397"/>
          <w:tab w:val="left" w:pos="0"/>
        </w:tabs>
        <w:spacing w:after="0"/>
      </w:pPr>
      <w:r w:rsidRPr="00547C88">
        <w:t>On the demand side, the results show that large-load integration is not only a question of additional MW capacity, but also of load type, location, concentration, and dynamic characteristics. A 1000 MW traditional load reduces the voltage stability margin at the 100% base-load point to 29.16%, whereas the 1000 MW AI data centre load reduces it more severely to 11.96%. The difference becomes even more pronounced at 110% base loading, where the AI data centre case leaves only 4.81% margin, compared with 23.30% for the traditional load case and 12.81% for the 95% renewable case. These results confirm that high renewable penetration and large AI data centre integration should be treated as separate but interacting voltage stability stress factors. Therefore, future planning studies should explicitly consider renewable displacement, large-load interconnection, reactive power adequacy, and dynamic load behaviour together. Adequate voltage support, dynamic reactive compensation, grid-forming inverter capability, BESS reactive power control, and targeted network reinforcement may be required to preserve sufficient voltage stability margins in future low-inertia, high-IBR power systems [1</w:t>
      </w:r>
      <w:r w:rsidR="00AE3167" w:rsidRPr="00547C88">
        <w:t>27</w:t>
      </w:r>
      <w:r w:rsidRPr="00547C88">
        <w:t>], [1</w:t>
      </w:r>
      <w:r w:rsidR="00AE3167" w:rsidRPr="00547C88">
        <w:t>28</w:t>
      </w:r>
      <w:r w:rsidRPr="00547C88">
        <w:t>].</w:t>
      </w:r>
      <w:r w:rsidRPr="00E27D3B">
        <w:rPr>
          <w:szCs w:val="20"/>
        </w:rPr>
        <w:t xml:space="preserve"> </w:t>
      </w:r>
    </w:p>
    <w:p w14:paraId="13318145" w14:textId="77777777" w:rsidR="003033F3" w:rsidRPr="00E27D3B" w:rsidRDefault="003033F3" w:rsidP="00CD4F3A">
      <w:pPr>
        <w:pStyle w:val="BodyText"/>
        <w:spacing w:line="240" w:lineRule="auto"/>
      </w:pPr>
    </w:p>
    <w:p w14:paraId="6D38F09B" w14:textId="77777777" w:rsidR="003033F3" w:rsidRPr="00E27D3B" w:rsidRDefault="003033F3" w:rsidP="00CD4F3A"/>
    <w:p w14:paraId="4D59BC0E" w14:textId="77777777" w:rsidR="00854AAB" w:rsidRPr="00E27D3B" w:rsidRDefault="00854AAB" w:rsidP="00CD4F3A"/>
    <w:p w14:paraId="35F6333B" w14:textId="547F92CA" w:rsidR="00C272F9" w:rsidRPr="00E27D3B" w:rsidRDefault="00C272F9" w:rsidP="00CD4F3A">
      <w:pPr>
        <w:pStyle w:val="Reference"/>
        <w:spacing w:after="0" w:line="240" w:lineRule="auto"/>
        <w:ind w:left="0" w:firstLine="0"/>
        <w:rPr>
          <w:lang w:val="en-GB"/>
        </w:rPr>
      </w:pPr>
      <w:r w:rsidRPr="00E27D3B">
        <w:rPr>
          <w:lang w:val="en-GB"/>
        </w:rPr>
        <w:br w:type="page"/>
      </w:r>
    </w:p>
    <w:p w14:paraId="150F3C63" w14:textId="77777777" w:rsidR="00E42B76" w:rsidRPr="00E27D3B" w:rsidRDefault="00E42B76" w:rsidP="00CD4F3A">
      <w:pPr>
        <w:ind w:right="-22"/>
        <w:rPr>
          <w:lang w:val="en-GB"/>
        </w:rPr>
        <w:sectPr w:rsidR="00E42B76" w:rsidRPr="00E27D3B" w:rsidSect="00382421">
          <w:footerReference w:type="even" r:id="rId139"/>
          <w:footerReference w:type="default" r:id="rId140"/>
          <w:pgSz w:w="11906" w:h="16838" w:code="9"/>
          <w:pgMar w:top="1134" w:right="1134" w:bottom="1134" w:left="1134" w:header="510" w:footer="624" w:gutter="0"/>
          <w:cols w:space="284"/>
          <w:docGrid w:linePitch="360"/>
        </w:sectPr>
      </w:pPr>
    </w:p>
    <w:bookmarkStart w:id="407" w:name="_Toc233734332" w:displacedByCustomXml="next"/>
    <w:sdt>
      <w:sdtPr>
        <w:rPr>
          <w:rStyle w:val="PartNumber"/>
          <w:b/>
          <w:bCs/>
          <w:sz w:val="24"/>
          <w:szCs w:val="24"/>
        </w:rPr>
        <w:id w:val="1076323240"/>
        <w:docPartObj>
          <w:docPartGallery w:val="Cover Pages"/>
        </w:docPartObj>
      </w:sdtPr>
      <w:sdtEndPr>
        <w:rPr>
          <w:rStyle w:val="DefaultParagraphFont"/>
          <w:b w:val="0"/>
          <w:bCs w:val="0"/>
          <w:color w:val="000000"/>
        </w:rPr>
      </w:sdtEndPr>
      <w:sdtContent>
        <w:sdt>
          <w:sdtPr>
            <w:rPr>
              <w:rStyle w:val="PartNumber"/>
              <w:b/>
              <w:bCs/>
              <w:sz w:val="24"/>
              <w:szCs w:val="24"/>
            </w:rPr>
            <w:id w:val="-1965502005"/>
            <w:docPartObj>
              <w:docPartGallery w:val="Cover Pages"/>
            </w:docPartObj>
          </w:sdtPr>
          <w:sdtEndPr>
            <w:rPr>
              <w:rStyle w:val="DefaultParagraphFont"/>
              <w:b w:val="0"/>
              <w:bCs w:val="0"/>
              <w:color w:val="757579" w:themeColor="accent3"/>
              <w:sz w:val="80"/>
              <w:szCs w:val="80"/>
            </w:rPr>
          </w:sdtEndPr>
          <w:sdtContent>
            <w:p w14:paraId="41182218" w14:textId="50793E91" w:rsidR="007550FC" w:rsidRPr="00E27D3B" w:rsidRDefault="007550FC" w:rsidP="00CD4F3A">
              <w:pPr>
                <w:pStyle w:val="PartTitle"/>
              </w:pPr>
              <w:r w:rsidRPr="00E27D3B">
                <w:rPr>
                  <w:rStyle w:val="PartNumber"/>
                </w:rPr>
                <w:t>Part II</w:t>
              </w:r>
              <w:r w:rsidRPr="00E27D3B">
                <w:rPr>
                  <w:rStyle w:val="PartNumber"/>
                </w:rPr>
                <w:tab/>
              </w:r>
              <w:r w:rsidR="00A60333" w:rsidRPr="00E27D3B">
                <w:t>Large Load Model</w:t>
              </w:r>
            </w:p>
          </w:sdtContent>
        </w:sdt>
        <w:bookmarkEnd w:id="407" w:displacedByCustomXml="prev"/>
        <w:p w14:paraId="55E0D8D8" w14:textId="77777777" w:rsidR="007550FC" w:rsidRPr="00E27D3B" w:rsidRDefault="007550FC"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527168" behindDoc="1" locked="0" layoutInCell="1" allowOverlap="1" wp14:anchorId="2F92D0F6" wp14:editId="0196F715">
                    <wp:simplePos x="0" y="0"/>
                    <wp:positionH relativeFrom="page">
                      <wp:posOffset>0</wp:posOffset>
                    </wp:positionH>
                    <wp:positionV relativeFrom="page">
                      <wp:align>bottom</wp:align>
                    </wp:positionV>
                    <wp:extent cx="7596000" cy="5400000"/>
                    <wp:effectExtent l="0" t="0" r="5080" b="0"/>
                    <wp:wrapNone/>
                    <wp:docPr id="249520955" name="Text Box 2495209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875617923"/>
                                  <w:picture/>
                                </w:sdtPr>
                                <w:sdtEndPr/>
                                <w:sdtContent>
                                  <w:p w14:paraId="072B8DEF" w14:textId="77777777" w:rsidR="007550FC" w:rsidRDefault="007550FC" w:rsidP="007550FC">
                                    <w:r>
                                      <w:rPr>
                                        <w:noProof/>
                                      </w:rPr>
                                      <w:drawing>
                                        <wp:inline distT="0" distB="0" distL="0" distR="0" wp14:anchorId="28AC9AE4" wp14:editId="00BEE224">
                                          <wp:extent cx="7635600" cy="5426540"/>
                                          <wp:effectExtent l="0" t="0" r="3810" b="3175"/>
                                          <wp:docPr id="10464841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2D0F6" id="Text Box 249520955" o:spid="_x0000_s1052" type="#_x0000_t202" alt="&quot;&quot;" style="position:absolute;margin-left:0;margin-top:0;width:598.1pt;height:425.2pt;z-index:-25178931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" fillcolor="#00a9ce [3204]" stroked="f" strokeweight=".5pt">
                    <v:textbox inset="0,0,0,0">
                      <w:txbxContent>
                        <w:sdt>
                          <w:sdtPr>
                            <w:id w:val="-875617923"/>
                            <w:picture/>
                          </w:sdtPr>
                          <w:sdtEndPr/>
                          <w:sdtContent>
                            <w:p w14:paraId="072B8DEF" w14:textId="77777777" w:rsidR="007550FC" w:rsidRDefault="007550FC" w:rsidP="007550FC">
                              <w:r>
                                <w:rPr>
                                  <w:noProof/>
                                </w:rPr>
                                <w:drawing>
                                  <wp:inline distT="0" distB="0" distL="0" distR="0" wp14:anchorId="28AC9AE4" wp14:editId="00BEE224">
                                    <wp:extent cx="7635600" cy="5426540"/>
                                    <wp:effectExtent l="0" t="0" r="3810" b="3175"/>
                                    <wp:docPr id="10464841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600896" behindDoc="1" locked="1" layoutInCell="1" allowOverlap="1" wp14:anchorId="48914B8B" wp14:editId="1791A292">
                    <wp:simplePos x="0" y="0"/>
                    <wp:positionH relativeFrom="page">
                      <wp:align>left</wp:align>
                    </wp:positionH>
                    <wp:positionV relativeFrom="page">
                      <wp:align>top</wp:align>
                    </wp:positionV>
                    <wp:extent cx="7559675" cy="5345430"/>
                    <wp:effectExtent l="0" t="0" r="3175" b="7620"/>
                    <wp:wrapNone/>
                    <wp:docPr id="1643235186"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A567" id="Rectangle 85" o:spid="_x0000_s1026" alt="&quot;&quot;" style="position:absolute;margin-left:0;margin-top:0;width:595.25pt;height:420.9pt;z-index:-2517155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58879327" w14:textId="77777777" w:rsidR="00C577CA" w:rsidRPr="00E27D3B" w:rsidRDefault="00897F6D" w:rsidP="00CD4F3A">
      <w:pPr>
        <w:pStyle w:val="Heading1"/>
        <w:spacing w:line="240" w:lineRule="auto"/>
      </w:pPr>
      <w:bookmarkStart w:id="408" w:name="_Toc233734333"/>
      <w:r w:rsidRPr="00E27D3B">
        <w:lastRenderedPageBreak/>
        <w:t xml:space="preserve">Large Load </w:t>
      </w:r>
      <w:r w:rsidR="00C577CA" w:rsidRPr="00E27D3B">
        <w:t>Model</w:t>
      </w:r>
      <w:bookmarkEnd w:id="408"/>
    </w:p>
    <w:p w14:paraId="6425327B" w14:textId="77777777" w:rsidR="00C577CA" w:rsidRPr="00E27D3B" w:rsidRDefault="00C577CA" w:rsidP="00CD4F3A">
      <w:pPr>
        <w:pStyle w:val="Heading2"/>
      </w:pPr>
      <w:bookmarkStart w:id="409" w:name="_Toc224235092"/>
      <w:bookmarkStart w:id="410" w:name="_Toc233734334"/>
      <w:r w:rsidRPr="00E27D3B">
        <w:t>Introduction</w:t>
      </w:r>
      <w:bookmarkEnd w:id="409"/>
      <w:bookmarkEnd w:id="410"/>
    </w:p>
    <w:p w14:paraId="020E876F" w14:textId="77777777" w:rsidR="00C577CA" w:rsidRPr="00E27D3B" w:rsidRDefault="00C577CA" w:rsidP="0096244D">
      <w:pPr>
        <w:spacing w:after="0"/>
        <w:rPr>
          <w:rFonts w:asciiTheme="minorHAnsi" w:hAnsiTheme="minorHAnsi" w:cstheme="minorHAnsi"/>
          <w:sz w:val="24"/>
          <w:szCs w:val="24"/>
        </w:rPr>
      </w:pPr>
      <w:r w:rsidRPr="00E27D3B">
        <w:rPr>
          <w:rFonts w:asciiTheme="minorHAnsi" w:hAnsiTheme="minorHAnsi" w:cstheme="minorHAnsi"/>
          <w:sz w:val="24"/>
          <w:szCs w:val="24"/>
        </w:rPr>
        <w:t>For roughly the mid-2000s to late-2010s, electricity consumption in many developed economies remained flat (or even declined slightly) despite economic growth. This occurred because improvements in energy efficiency largely offset increases in demand drivers such as population growth, GDP growth, and new electrical appliances. However, aggregate system demand is projected to increase substantially in the coming years, largely driven by the proliferation of large-scale data centres supporting artificial intelligence (AI) workloads. Such facilities typically exhibit power demands ranging from tens of megawatts to multiple gigawatts, representing concentrated, high-density loads connected at single points within the transmission or sub-transmission network.</w:t>
      </w:r>
    </w:p>
    <w:p w14:paraId="026E4C46" w14:textId="63F782E8" w:rsidR="00C577CA" w:rsidRDefault="00C577CA" w:rsidP="0096244D">
      <w:pPr>
        <w:spacing w:after="0"/>
        <w:rPr>
          <w:rFonts w:asciiTheme="minorHAnsi" w:hAnsiTheme="minorHAnsi" w:cstheme="minorHAnsi"/>
          <w:sz w:val="24"/>
          <w:szCs w:val="24"/>
        </w:rPr>
      </w:pPr>
      <w:r w:rsidRPr="00E27D3B">
        <w:rPr>
          <w:rFonts w:asciiTheme="minorHAnsi" w:hAnsiTheme="minorHAnsi" w:cstheme="minorHAnsi"/>
          <w:sz w:val="24"/>
          <w:szCs w:val="24"/>
        </w:rPr>
        <w:t xml:space="preserve">In addition to data centres and cryptocurrency mining operations, green hydrogen production facilities are also emerging as large-scale electrical loads. A common characteristic of these loads is the extensive use of power electronic converters. For example, in data centres and crypto mining facilities, approximately 90% of the load is associated with server racks, which are supplied through rectifier-based power conversion systems </w:t>
      </w:r>
      <w:r w:rsidRPr="00E27D3B">
        <w:rPr>
          <w:rFonts w:asciiTheme="minorHAnsi" w:hAnsiTheme="minorHAnsi" w:cstheme="minorHAnsi"/>
          <w:sz w:val="24"/>
          <w:szCs w:val="24"/>
        </w:rPr>
        <w:fldChar w:fldCharType="begin"/>
      </w:r>
      <w:r w:rsidRPr="00E27D3B">
        <w:rPr>
          <w:rFonts w:asciiTheme="minorHAnsi" w:hAnsiTheme="minorHAnsi" w:cstheme="minorHAnsi"/>
          <w:sz w:val="24"/>
          <w:szCs w:val="24"/>
        </w:rPr>
        <w:instrText xml:space="preserve"> REF _Ref224201036 \n \h  \* MERGEFORMAT </w:instrText>
      </w:r>
      <w:r w:rsidRPr="00E27D3B">
        <w:rPr>
          <w:rFonts w:asciiTheme="minorHAnsi" w:hAnsiTheme="minorHAnsi" w:cstheme="minorHAnsi"/>
          <w:sz w:val="24"/>
          <w:szCs w:val="24"/>
        </w:rPr>
      </w:r>
      <w:r w:rsidRPr="00E27D3B">
        <w:rPr>
          <w:rFonts w:asciiTheme="minorHAnsi" w:hAnsiTheme="minorHAnsi" w:cstheme="minorHAnsi"/>
          <w:sz w:val="24"/>
          <w:szCs w:val="24"/>
        </w:rPr>
        <w:fldChar w:fldCharType="separate"/>
      </w:r>
      <w:r w:rsidR="0022274F">
        <w:rPr>
          <w:rFonts w:asciiTheme="minorHAnsi" w:hAnsiTheme="minorHAnsi" w:cstheme="minorHAnsi"/>
          <w:sz w:val="24"/>
          <w:szCs w:val="24"/>
        </w:rPr>
        <w:t>[159]</w:t>
      </w:r>
      <w:r w:rsidRPr="00E27D3B">
        <w:rPr>
          <w:rFonts w:asciiTheme="minorHAnsi" w:hAnsiTheme="minorHAnsi" w:cstheme="minorHAnsi"/>
          <w:sz w:val="24"/>
          <w:szCs w:val="24"/>
        </w:rPr>
        <w:fldChar w:fldCharType="end"/>
      </w:r>
      <w:r w:rsidRPr="00E27D3B">
        <w:rPr>
          <w:rFonts w:asciiTheme="minorHAnsi" w:hAnsiTheme="minorHAnsi" w:cstheme="minorHAnsi"/>
          <w:sz w:val="24"/>
          <w:szCs w:val="24"/>
        </w:rPr>
        <w:t>.</w:t>
      </w:r>
    </w:p>
    <w:p w14:paraId="459BEA7F" w14:textId="4A9D3892" w:rsidR="00A931A2" w:rsidRDefault="00A931A2" w:rsidP="0096244D">
      <w:pPr>
        <w:spacing w:after="0"/>
        <w:rPr>
          <w:rFonts w:asciiTheme="minorHAnsi" w:hAnsiTheme="minorHAnsi" w:cstheme="minorHAnsi"/>
          <w:sz w:val="24"/>
          <w:szCs w:val="24"/>
        </w:rPr>
      </w:pPr>
      <w:r w:rsidRPr="00A931A2">
        <w:rPr>
          <w:rFonts w:asciiTheme="minorHAnsi" w:hAnsiTheme="minorHAnsi" w:cstheme="minorHAnsi"/>
          <w:sz w:val="24"/>
          <w:szCs w:val="24"/>
        </w:rPr>
        <w:t>Loads such as computational, industrial, and hydrogen production facilities are connecting to the bulk power system (BPS) faster than ever before and at a magnitude beyond the largest currently operating loads. Figure 65 shows the timeline for large load deployment compared to the timeline for the installation of transmission system, renewable generations, and battery energy storage systems.</w:t>
      </w:r>
    </w:p>
    <w:p w14:paraId="01DB9297" w14:textId="77777777" w:rsidR="00A931A2" w:rsidRPr="00A931A2" w:rsidRDefault="00A931A2" w:rsidP="00CD4F3A">
      <w:pPr>
        <w:rPr>
          <w:rFonts w:asciiTheme="minorHAnsi" w:hAnsiTheme="minorHAnsi" w:cstheme="minorHAnsi"/>
          <w:sz w:val="12"/>
          <w:szCs w:val="12"/>
        </w:rPr>
      </w:pPr>
    </w:p>
    <w:p w14:paraId="6E8BA7C9" w14:textId="77777777" w:rsidR="00C577CA" w:rsidRPr="00E27D3B" w:rsidRDefault="00C577CA" w:rsidP="00CD4F3A">
      <w:pPr>
        <w:keepNext/>
        <w:jc w:val="center"/>
      </w:pPr>
      <w:r>
        <w:rPr>
          <w:noProof/>
        </w:rPr>
        <w:drawing>
          <wp:inline distT="0" distB="0" distL="0" distR="0" wp14:anchorId="52CCD378" wp14:editId="449F5168">
            <wp:extent cx="5964232" cy="3019246"/>
            <wp:effectExtent l="0" t="0" r="0" b="0"/>
            <wp:docPr id="157740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010388" cy="3042612"/>
                    </a:xfrm>
                    <a:prstGeom prst="rect">
                      <a:avLst/>
                    </a:prstGeom>
                    <a:noFill/>
                    <a:ln>
                      <a:noFill/>
                    </a:ln>
                  </pic:spPr>
                </pic:pic>
              </a:graphicData>
            </a:graphic>
          </wp:inline>
        </w:drawing>
      </w:r>
    </w:p>
    <w:p w14:paraId="7EB0BA55" w14:textId="61B5E706" w:rsidR="00C577CA" w:rsidRDefault="00C577CA" w:rsidP="00CD4F3A">
      <w:pPr>
        <w:pStyle w:val="Caption"/>
        <w:spacing w:line="240" w:lineRule="auto"/>
      </w:pPr>
      <w:bookmarkStart w:id="411" w:name="_Ref224226056"/>
      <w:bookmarkStart w:id="412" w:name="_Toc224235149"/>
      <w:bookmarkStart w:id="413" w:name="_Toc233735071"/>
      <w:r w:rsidRPr="00547C88">
        <w:t xml:space="preserve">Figure </w:t>
      </w:r>
      <w:fldSimple w:instr=" SEQ Figure \* ARABIC ">
        <w:r w:rsidR="00A85006" w:rsidRPr="00547C88">
          <w:rPr>
            <w:noProof/>
          </w:rPr>
          <w:t>6</w:t>
        </w:r>
        <w:r w:rsidR="007061C8">
          <w:rPr>
            <w:noProof/>
          </w:rPr>
          <w:t>5</w:t>
        </w:r>
      </w:fldSimple>
      <w:bookmarkEnd w:id="411"/>
      <w:r w:rsidRPr="00547C88">
        <w:t>: Deployment of various power system components</w:t>
      </w:r>
      <w:bookmarkEnd w:id="412"/>
      <w:r w:rsidR="00614CAB" w:rsidRPr="00B059E9">
        <w:fldChar w:fldCharType="begin"/>
      </w:r>
      <w:r w:rsidR="00614CAB" w:rsidRPr="00B059E9">
        <w:instrText xml:space="preserve"> REF _Ref224201036 \r \h </w:instrText>
      </w:r>
      <w:r w:rsidR="00B059E9" w:rsidRPr="00B059E9">
        <w:instrText xml:space="preserve"> \* MERGEFORMAT </w:instrText>
      </w:r>
      <w:r w:rsidR="00614CAB" w:rsidRPr="00B059E9">
        <w:fldChar w:fldCharType="separate"/>
      </w:r>
      <w:r w:rsidR="00614CAB" w:rsidRPr="00B059E9">
        <w:t>[159]</w:t>
      </w:r>
      <w:r w:rsidR="00614CAB" w:rsidRPr="00B059E9">
        <w:fldChar w:fldCharType="end"/>
      </w:r>
      <w:r w:rsidR="00614CAB" w:rsidRPr="00B059E9">
        <w:t>.</w:t>
      </w:r>
      <w:bookmarkEnd w:id="413"/>
    </w:p>
    <w:p w14:paraId="529451BC" w14:textId="77777777" w:rsidR="00A931A2" w:rsidRDefault="00A931A2" w:rsidP="00A931A2">
      <w:pPr>
        <w:pStyle w:val="BodyText"/>
      </w:pPr>
    </w:p>
    <w:p w14:paraId="5CE959DF" w14:textId="77777777" w:rsidR="00C577CA" w:rsidRPr="00E27D3B" w:rsidRDefault="00C577CA" w:rsidP="0096244D">
      <w:pPr>
        <w:spacing w:after="0"/>
        <w:rPr>
          <w:rFonts w:asciiTheme="minorHAnsi" w:hAnsiTheme="minorHAnsi" w:cstheme="minorHAnsi"/>
          <w:sz w:val="24"/>
          <w:szCs w:val="24"/>
        </w:rPr>
      </w:pPr>
      <w:r w:rsidRPr="00E27D3B">
        <w:rPr>
          <w:rFonts w:asciiTheme="minorHAnsi" w:hAnsiTheme="minorHAnsi" w:cstheme="minorHAnsi"/>
          <w:sz w:val="24"/>
          <w:szCs w:val="24"/>
        </w:rPr>
        <w:lastRenderedPageBreak/>
        <w:t>Large loads present emerging risks across both planning and operational timeframes. Accelerated connection timeframes and high peak demand levels can introduce generation and transmission adequacy risks. In addition, fast ramp rates and operational variability may contribute to voltage and frequency instability, particularly in weaker network areas.</w:t>
      </w:r>
    </w:p>
    <w:p w14:paraId="7F2997C0" w14:textId="77777777" w:rsidR="00C577CA" w:rsidRPr="00E27D3B" w:rsidRDefault="00C577CA" w:rsidP="0096244D">
      <w:pPr>
        <w:spacing w:after="0"/>
        <w:rPr>
          <w:rFonts w:asciiTheme="minorHAnsi" w:hAnsiTheme="minorHAnsi" w:cstheme="minorHAnsi"/>
          <w:sz w:val="24"/>
          <w:szCs w:val="24"/>
        </w:rPr>
      </w:pPr>
      <w:r w:rsidRPr="00E27D3B">
        <w:rPr>
          <w:rFonts w:asciiTheme="minorHAnsi" w:hAnsiTheme="minorHAnsi" w:cstheme="minorHAnsi"/>
          <w:sz w:val="24"/>
          <w:szCs w:val="24"/>
        </w:rPr>
        <w:t>Without accurate and validated dynamic models, system planners and operators may be unable to reliably predict ride-through capability and system response during disturbances. Furthermore, the high penetration of power electronic–based load within facilities such as data centres can introduce harmonics, voltage fluctuations, and other power quality concerns.</w:t>
      </w:r>
    </w:p>
    <w:p w14:paraId="79AF957C" w14:textId="72DEC097" w:rsidR="00C577CA" w:rsidRPr="00E27D3B" w:rsidRDefault="00C577CA" w:rsidP="0096244D">
      <w:pPr>
        <w:spacing w:after="0"/>
        <w:rPr>
          <w:rFonts w:asciiTheme="minorHAnsi" w:hAnsiTheme="minorHAnsi" w:cstheme="minorHAnsi"/>
          <w:sz w:val="24"/>
          <w:szCs w:val="24"/>
        </w:rPr>
      </w:pPr>
      <w:r w:rsidRPr="00E27D3B">
        <w:rPr>
          <w:rFonts w:asciiTheme="minorHAnsi" w:hAnsiTheme="minorHAnsi" w:cstheme="minorHAnsi"/>
          <w:sz w:val="24"/>
          <w:szCs w:val="24"/>
        </w:rPr>
        <w:t xml:space="preserve">Large loads are also exposed to cyber-security risks; malicious or coordinated actions could trigger rapid load ramps, potentially affecting system stability. The scale and speed of integration of these loads may therefore have adverse implications for overall system resilience if not properly assessed and managed. Accordingly, large loads must be appropriately considered in load-shedding obligations, under-frequency load-shedding (UFLS) program design, and black start restoration planning. Recognising these risks, the North American Electric Reliability Corporation (NERC) has prioritised large load–related risks, as summarised in </w:t>
      </w:r>
      <w:r w:rsidRPr="000674AC">
        <w:rPr>
          <w:rFonts w:asciiTheme="minorHAnsi" w:hAnsiTheme="minorHAnsi" w:cstheme="minorHAnsi"/>
          <w:sz w:val="24"/>
          <w:szCs w:val="24"/>
        </w:rPr>
        <w:fldChar w:fldCharType="begin"/>
      </w:r>
      <w:r w:rsidRPr="000674AC">
        <w:rPr>
          <w:rFonts w:asciiTheme="minorHAnsi" w:hAnsiTheme="minorHAnsi" w:cstheme="minorHAnsi"/>
          <w:sz w:val="24"/>
          <w:szCs w:val="24"/>
        </w:rPr>
        <w:instrText xml:space="preserve"> REF _Ref224227012 \h </w:instrText>
      </w:r>
      <w:r>
        <w:rPr>
          <w:rFonts w:asciiTheme="minorHAnsi" w:hAnsiTheme="minorHAnsi" w:cstheme="minorHAnsi"/>
          <w:sz w:val="24"/>
          <w:szCs w:val="24"/>
        </w:rPr>
        <w:instrText xml:space="preserve"> \* MERGEFORMAT </w:instrText>
      </w:r>
      <w:r w:rsidRPr="000674AC">
        <w:rPr>
          <w:rFonts w:asciiTheme="minorHAnsi" w:hAnsiTheme="minorHAnsi" w:cstheme="minorHAnsi"/>
          <w:sz w:val="24"/>
          <w:szCs w:val="24"/>
        </w:rPr>
      </w:r>
      <w:r w:rsidRPr="000674AC">
        <w:rPr>
          <w:rFonts w:asciiTheme="minorHAnsi" w:hAnsiTheme="minorHAnsi" w:cstheme="minorHAnsi"/>
          <w:sz w:val="24"/>
          <w:szCs w:val="24"/>
        </w:rPr>
        <w:fldChar w:fldCharType="separate"/>
      </w:r>
      <w:r w:rsidR="0022274F" w:rsidRPr="0022274F">
        <w:rPr>
          <w:sz w:val="24"/>
          <w:szCs w:val="24"/>
        </w:rPr>
        <w:t xml:space="preserve">Table </w:t>
      </w:r>
      <w:r w:rsidR="0022274F" w:rsidRPr="0022274F">
        <w:rPr>
          <w:noProof/>
          <w:sz w:val="24"/>
          <w:szCs w:val="24"/>
        </w:rPr>
        <w:t>27</w:t>
      </w:r>
      <w:r w:rsidRPr="000674AC">
        <w:rPr>
          <w:rFonts w:asciiTheme="minorHAnsi" w:hAnsiTheme="minorHAnsi" w:cstheme="minorHAnsi"/>
          <w:sz w:val="24"/>
          <w:szCs w:val="24"/>
        </w:rPr>
        <w:fldChar w:fldCharType="end"/>
      </w:r>
      <w:r>
        <w:rPr>
          <w:rFonts w:asciiTheme="minorHAnsi" w:hAnsiTheme="minorHAnsi" w:cstheme="minorHAnsi"/>
          <w:sz w:val="24"/>
          <w:szCs w:val="24"/>
        </w:rPr>
        <w:t xml:space="preserve">. </w:t>
      </w:r>
      <w:r w:rsidRPr="00547C88">
        <w:rPr>
          <w:rFonts w:asciiTheme="minorHAnsi" w:hAnsiTheme="minorHAnsi" w:cstheme="minorHAnsi"/>
          <w:sz w:val="24"/>
          <w:szCs w:val="24"/>
        </w:rPr>
        <w:t xml:space="preserve">This work aims to model the electromechanical dynamics of a large load, with a primary focus on voltage and angle stability, which are considered high-priority risks for secure and reliable system operation (as in </w:t>
      </w:r>
      <w:r w:rsidRPr="00547C88">
        <w:rPr>
          <w:rFonts w:asciiTheme="minorHAnsi" w:hAnsiTheme="minorHAnsi" w:cstheme="minorHAnsi"/>
          <w:sz w:val="24"/>
          <w:szCs w:val="24"/>
        </w:rPr>
        <w:fldChar w:fldCharType="begin"/>
      </w:r>
      <w:r w:rsidRPr="00547C88">
        <w:rPr>
          <w:rFonts w:asciiTheme="minorHAnsi" w:hAnsiTheme="minorHAnsi" w:cstheme="minorHAnsi"/>
          <w:sz w:val="24"/>
          <w:szCs w:val="24"/>
        </w:rPr>
        <w:instrText xml:space="preserve"> REF _Ref224227012 \h  \* MERGEFORMAT </w:instrText>
      </w:r>
      <w:r w:rsidRPr="00547C88">
        <w:rPr>
          <w:rFonts w:asciiTheme="minorHAnsi" w:hAnsiTheme="minorHAnsi" w:cstheme="minorHAnsi"/>
          <w:sz w:val="24"/>
          <w:szCs w:val="24"/>
        </w:rPr>
      </w:r>
      <w:r w:rsidRPr="00547C88">
        <w:rPr>
          <w:rFonts w:asciiTheme="minorHAnsi" w:hAnsiTheme="minorHAnsi" w:cstheme="minorHAnsi"/>
          <w:sz w:val="24"/>
          <w:szCs w:val="24"/>
        </w:rPr>
        <w:fldChar w:fldCharType="separate"/>
      </w:r>
      <w:r w:rsidR="0022274F" w:rsidRPr="00547C88">
        <w:rPr>
          <w:sz w:val="24"/>
          <w:szCs w:val="24"/>
        </w:rPr>
        <w:t xml:space="preserve">Table </w:t>
      </w:r>
      <w:r w:rsidR="0022274F" w:rsidRPr="00547C88">
        <w:rPr>
          <w:noProof/>
          <w:sz w:val="24"/>
          <w:szCs w:val="24"/>
        </w:rPr>
        <w:t>27</w:t>
      </w:r>
      <w:r w:rsidRPr="00547C88">
        <w:rPr>
          <w:rFonts w:asciiTheme="minorHAnsi" w:hAnsiTheme="minorHAnsi" w:cstheme="minorHAnsi"/>
          <w:sz w:val="24"/>
          <w:szCs w:val="24"/>
        </w:rPr>
        <w:fldChar w:fldCharType="end"/>
      </w:r>
      <w:r w:rsidRPr="00547C88">
        <w:rPr>
          <w:rFonts w:asciiTheme="minorHAnsi" w:hAnsiTheme="minorHAnsi" w:cstheme="minorHAnsi"/>
          <w:sz w:val="24"/>
          <w:szCs w:val="24"/>
        </w:rPr>
        <w:t>).</w:t>
      </w:r>
    </w:p>
    <w:p w14:paraId="6006B63F" w14:textId="3DA448AA" w:rsidR="00C577CA" w:rsidRPr="00E27D3B" w:rsidRDefault="00C577CA" w:rsidP="00CD4F3A">
      <w:pPr>
        <w:pStyle w:val="Caption"/>
        <w:spacing w:line="240" w:lineRule="auto"/>
      </w:pPr>
      <w:bookmarkStart w:id="414" w:name="_Ref224227012"/>
      <w:bookmarkStart w:id="415" w:name="_Toc224235178"/>
      <w:bookmarkStart w:id="416" w:name="_Toc233735324"/>
      <w:r>
        <w:t xml:space="preserve">Table </w:t>
      </w:r>
      <w:r w:rsidRPr="60762895">
        <w:fldChar w:fldCharType="begin"/>
      </w:r>
      <w:r>
        <w:instrText xml:space="preserve"> SEQ Table \* ARABIC </w:instrText>
      </w:r>
      <w:r w:rsidRPr="60762895">
        <w:fldChar w:fldCharType="separate"/>
      </w:r>
      <w:r w:rsidR="00753DAF">
        <w:rPr>
          <w:noProof/>
        </w:rPr>
        <w:t>27</w:t>
      </w:r>
      <w:r w:rsidRPr="60762895">
        <w:rPr>
          <w:noProof/>
        </w:rPr>
        <w:fldChar w:fldCharType="end"/>
      </w:r>
      <w:bookmarkEnd w:id="414"/>
      <w:r>
        <w:t xml:space="preserve">: Impact of large load on power systems </w:t>
      </w:r>
      <w:r>
        <w:fldChar w:fldCharType="begin"/>
      </w:r>
      <w:r>
        <w:instrText xml:space="preserve"> REF _Ref224201054 \n \h </w:instrText>
      </w:r>
      <w:r w:rsidR="00CD4F3A">
        <w:instrText xml:space="preserve"> \* MERGEFORMAT </w:instrText>
      </w:r>
      <w:r>
        <w:fldChar w:fldCharType="separate"/>
      </w:r>
      <w:r w:rsidR="00753DAF">
        <w:rPr>
          <w:cs/>
        </w:rPr>
        <w:t>‎</w:t>
      </w:r>
      <w:r>
        <w:fldChar w:fldCharType="end"/>
      </w:r>
      <w:bookmarkEnd w:id="415"/>
      <w:r w:rsidR="00592216">
        <w:fldChar w:fldCharType="begin"/>
      </w:r>
      <w:r w:rsidR="00592216">
        <w:instrText xml:space="preserve"> REF _Ref224201054 \r \h </w:instrText>
      </w:r>
      <w:r w:rsidR="00CD4F3A">
        <w:instrText xml:space="preserve"> \* MERGEFORMAT </w:instrText>
      </w:r>
      <w:r w:rsidR="00592216">
        <w:fldChar w:fldCharType="separate"/>
      </w:r>
      <w:r w:rsidR="00592216">
        <w:t>[160]</w:t>
      </w:r>
      <w:r w:rsidR="00592216">
        <w:fldChar w:fldCharType="end"/>
      </w:r>
      <w:r w:rsidR="00592216">
        <w:t>.</w:t>
      </w:r>
      <w:bookmarkEnd w:id="416"/>
    </w:p>
    <w:tbl>
      <w:tblPr>
        <w:tblStyle w:val="TableGrid10"/>
        <w:tblW w:w="0" w:type="auto"/>
        <w:jc w:val="center"/>
        <w:tblCellMar>
          <w:left w:w="0" w:type="dxa"/>
          <w:right w:w="0" w:type="dxa"/>
        </w:tblCellMar>
        <w:tblLook w:val="04A0" w:firstRow="1" w:lastRow="0" w:firstColumn="1" w:lastColumn="0" w:noHBand="0" w:noVBand="1"/>
      </w:tblPr>
      <w:tblGrid>
        <w:gridCol w:w="3549"/>
        <w:gridCol w:w="2809"/>
        <w:gridCol w:w="3270"/>
      </w:tblGrid>
      <w:tr w:rsidR="00C577CA" w:rsidRPr="00E27D3B" w14:paraId="2474E8E5" w14:textId="77777777" w:rsidTr="0002386E">
        <w:trPr>
          <w:trHeight w:val="444"/>
          <w:jc w:val="center"/>
        </w:trPr>
        <w:tc>
          <w:tcPr>
            <w:tcW w:w="0" w:type="auto"/>
            <w:shd w:val="clear" w:color="auto" w:fill="000000" w:themeFill="text1"/>
          </w:tcPr>
          <w:p w14:paraId="7C8A86FE" w14:textId="77777777" w:rsidR="00C577CA" w:rsidRPr="00E27D3B" w:rsidRDefault="00C577CA" w:rsidP="00CD4F3A">
            <w:pPr>
              <w:rPr>
                <w:rFonts w:asciiTheme="minorHAnsi" w:hAnsiTheme="minorHAnsi" w:cstheme="minorHAnsi"/>
                <w:b/>
                <w:bCs/>
                <w:color w:val="FFFFFF" w:themeColor="background1"/>
                <w:sz w:val="16"/>
                <w:szCs w:val="16"/>
              </w:rPr>
            </w:pPr>
            <w:r w:rsidRPr="00E27D3B">
              <w:rPr>
                <w:rFonts w:asciiTheme="minorHAnsi" w:hAnsiTheme="minorHAnsi" w:cstheme="minorHAnsi"/>
                <w:b/>
                <w:bCs/>
                <w:color w:val="FFFFFF" w:themeColor="background1"/>
                <w:sz w:val="16"/>
                <w:szCs w:val="16"/>
              </w:rPr>
              <w:t>High priority risks</w:t>
            </w:r>
          </w:p>
        </w:tc>
        <w:tc>
          <w:tcPr>
            <w:tcW w:w="0" w:type="auto"/>
            <w:shd w:val="clear" w:color="auto" w:fill="000000" w:themeFill="text1"/>
          </w:tcPr>
          <w:p w14:paraId="6969C4FE" w14:textId="77777777" w:rsidR="00C577CA" w:rsidRPr="00E27D3B" w:rsidRDefault="00C577CA" w:rsidP="00CD4F3A">
            <w:pPr>
              <w:rPr>
                <w:rFonts w:asciiTheme="minorHAnsi" w:hAnsiTheme="minorHAnsi" w:cstheme="minorHAnsi"/>
                <w:b/>
                <w:bCs/>
                <w:color w:val="FFFFFF" w:themeColor="background1"/>
                <w:sz w:val="16"/>
                <w:szCs w:val="16"/>
              </w:rPr>
            </w:pPr>
            <w:r w:rsidRPr="00E27D3B">
              <w:rPr>
                <w:rFonts w:asciiTheme="minorHAnsi" w:hAnsiTheme="minorHAnsi" w:cstheme="minorHAnsi"/>
                <w:b/>
                <w:bCs/>
                <w:color w:val="FFFFFF" w:themeColor="background1"/>
                <w:sz w:val="16"/>
                <w:szCs w:val="16"/>
              </w:rPr>
              <w:t>Medium priority risks</w:t>
            </w:r>
          </w:p>
        </w:tc>
        <w:tc>
          <w:tcPr>
            <w:tcW w:w="0" w:type="auto"/>
            <w:shd w:val="clear" w:color="auto" w:fill="000000" w:themeFill="text1"/>
          </w:tcPr>
          <w:p w14:paraId="19B734E5" w14:textId="77777777" w:rsidR="00C577CA" w:rsidRPr="00E27D3B" w:rsidRDefault="00C577CA" w:rsidP="00CD4F3A">
            <w:pPr>
              <w:rPr>
                <w:rFonts w:asciiTheme="minorHAnsi" w:hAnsiTheme="minorHAnsi" w:cstheme="minorHAnsi"/>
                <w:b/>
                <w:bCs/>
                <w:color w:val="FFFFFF" w:themeColor="background1"/>
                <w:sz w:val="16"/>
                <w:szCs w:val="16"/>
              </w:rPr>
            </w:pPr>
            <w:r w:rsidRPr="00E27D3B">
              <w:rPr>
                <w:rFonts w:asciiTheme="minorHAnsi" w:hAnsiTheme="minorHAnsi" w:cstheme="minorHAnsi"/>
                <w:b/>
                <w:bCs/>
                <w:color w:val="FFFFFF" w:themeColor="background1"/>
                <w:sz w:val="16"/>
                <w:szCs w:val="16"/>
              </w:rPr>
              <w:t>Low priority risks</w:t>
            </w:r>
          </w:p>
        </w:tc>
      </w:tr>
      <w:tr w:rsidR="00C577CA" w:rsidRPr="00E27D3B" w14:paraId="7425957B" w14:textId="77777777" w:rsidTr="00F12E16">
        <w:trPr>
          <w:trHeight w:hRule="exact" w:val="563"/>
          <w:jc w:val="center"/>
        </w:trPr>
        <w:tc>
          <w:tcPr>
            <w:tcW w:w="0" w:type="auto"/>
          </w:tcPr>
          <w:p w14:paraId="34175968"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Long-term planning-resource adequacy</w:t>
            </w:r>
            <w:r w:rsidRPr="00E27D3B">
              <w:rPr>
                <w:rFonts w:asciiTheme="minorHAnsi" w:hAnsiTheme="minorHAnsi" w:cstheme="minorHAnsi"/>
                <w:sz w:val="16"/>
                <w:szCs w:val="16"/>
              </w:rPr>
              <w:tab/>
            </w:r>
          </w:p>
        </w:tc>
        <w:tc>
          <w:tcPr>
            <w:tcW w:w="0" w:type="auto"/>
          </w:tcPr>
          <w:p w14:paraId="7ECDB7CE"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Medium-term planning-demand forecasting</w:t>
            </w:r>
          </w:p>
        </w:tc>
        <w:tc>
          <w:tcPr>
            <w:tcW w:w="0" w:type="auto"/>
          </w:tcPr>
          <w:p w14:paraId="35114F8D"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Power quality – harmonics and voltage fluctuations</w:t>
            </w:r>
          </w:p>
        </w:tc>
      </w:tr>
      <w:tr w:rsidR="00C577CA" w:rsidRPr="00E27D3B" w14:paraId="4498BC83" w14:textId="77777777" w:rsidTr="00F12E16">
        <w:trPr>
          <w:trHeight w:hRule="exact" w:val="609"/>
          <w:jc w:val="center"/>
        </w:trPr>
        <w:tc>
          <w:tcPr>
            <w:tcW w:w="0" w:type="auto"/>
            <w:shd w:val="clear" w:color="auto" w:fill="D9D9D9" w:themeFill="background1" w:themeFillShade="D9"/>
          </w:tcPr>
          <w:p w14:paraId="60E497E7"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Operations and balancing</w:t>
            </w:r>
          </w:p>
        </w:tc>
        <w:tc>
          <w:tcPr>
            <w:tcW w:w="0" w:type="auto"/>
            <w:shd w:val="clear" w:color="auto" w:fill="D9D9D9" w:themeFill="background1" w:themeFillShade="D9"/>
          </w:tcPr>
          <w:p w14:paraId="3CA45B73"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Stability-frequency stability</w:t>
            </w:r>
          </w:p>
        </w:tc>
        <w:tc>
          <w:tcPr>
            <w:tcW w:w="0" w:type="auto"/>
            <w:shd w:val="clear" w:color="auto" w:fill="D9D9D9" w:themeFill="background1" w:themeFillShade="D9"/>
          </w:tcPr>
          <w:p w14:paraId="08551F26"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System restoration</w:t>
            </w:r>
          </w:p>
        </w:tc>
      </w:tr>
      <w:tr w:rsidR="00C577CA" w:rsidRPr="00E27D3B" w14:paraId="774DCF1B" w14:textId="77777777" w:rsidTr="00F12E16">
        <w:trPr>
          <w:trHeight w:hRule="exact" w:val="669"/>
          <w:jc w:val="center"/>
        </w:trPr>
        <w:tc>
          <w:tcPr>
            <w:tcW w:w="0" w:type="auto"/>
          </w:tcPr>
          <w:p w14:paraId="3284C0E9"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Stability – voltage, angle, oscillations, fault-ride through</w:t>
            </w:r>
          </w:p>
        </w:tc>
        <w:tc>
          <w:tcPr>
            <w:tcW w:w="0" w:type="auto"/>
          </w:tcPr>
          <w:p w14:paraId="29E983E3"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Security – Cyber security</w:t>
            </w:r>
            <w:r w:rsidRPr="00E27D3B">
              <w:rPr>
                <w:rFonts w:asciiTheme="minorHAnsi" w:hAnsiTheme="minorHAnsi" w:cstheme="minorHAnsi"/>
                <w:sz w:val="16"/>
                <w:szCs w:val="16"/>
              </w:rPr>
              <w:tab/>
            </w:r>
          </w:p>
        </w:tc>
        <w:tc>
          <w:tcPr>
            <w:tcW w:w="0" w:type="auto"/>
          </w:tcPr>
          <w:p w14:paraId="7E755BC0" w14:textId="77777777" w:rsidR="00C577CA" w:rsidRPr="00E27D3B" w:rsidRDefault="00C577CA" w:rsidP="00CD4F3A">
            <w:pPr>
              <w:rPr>
                <w:rFonts w:asciiTheme="minorHAnsi" w:hAnsiTheme="minorHAnsi" w:cstheme="minorHAnsi"/>
                <w:sz w:val="16"/>
                <w:szCs w:val="16"/>
              </w:rPr>
            </w:pPr>
            <w:r w:rsidRPr="00E27D3B">
              <w:rPr>
                <w:rFonts w:asciiTheme="minorHAnsi" w:hAnsiTheme="minorHAnsi" w:cstheme="minorHAnsi"/>
                <w:sz w:val="16"/>
                <w:szCs w:val="16"/>
              </w:rPr>
              <w:t>-</w:t>
            </w:r>
          </w:p>
        </w:tc>
      </w:tr>
    </w:tbl>
    <w:p w14:paraId="7F0F3079" w14:textId="77777777" w:rsidR="00C577CA" w:rsidRPr="00E27D3B" w:rsidRDefault="00C577CA" w:rsidP="00CD4F3A">
      <w:pPr>
        <w:rPr>
          <w:rFonts w:asciiTheme="minorHAnsi" w:hAnsiTheme="minorHAnsi" w:cstheme="minorHAnsi"/>
          <w:sz w:val="24"/>
          <w:szCs w:val="24"/>
        </w:rPr>
      </w:pPr>
    </w:p>
    <w:p w14:paraId="04C380EE" w14:textId="77777777" w:rsidR="00C577CA" w:rsidRPr="00E27D3B" w:rsidRDefault="00C577CA" w:rsidP="00CD4F3A">
      <w:pPr>
        <w:pStyle w:val="Heading2"/>
      </w:pPr>
      <w:bookmarkStart w:id="417" w:name="_Toc224235093"/>
      <w:bookmarkStart w:id="418" w:name="_Toc233734335"/>
      <w:r w:rsidRPr="00E27D3B">
        <w:t>Large Load Model for Power System Studies</w:t>
      </w:r>
      <w:bookmarkEnd w:id="417"/>
      <w:bookmarkEnd w:id="418"/>
    </w:p>
    <w:p w14:paraId="5B35DE63" w14:textId="38B36F19" w:rsidR="00C577CA" w:rsidRPr="00E27D3B" w:rsidRDefault="00C577CA" w:rsidP="0096244D">
      <w:pPr>
        <w:spacing w:after="0"/>
        <w:rPr>
          <w:rFonts w:cs="Calibri"/>
          <w:sz w:val="24"/>
          <w:szCs w:val="24"/>
        </w:rPr>
      </w:pPr>
      <w:r w:rsidRPr="00E27D3B">
        <w:rPr>
          <w:rFonts w:cs="Calibri"/>
          <w:sz w:val="24"/>
          <w:szCs w:val="24"/>
        </w:rPr>
        <w:t>Although modelling system loads plays a critical role in power system security and reliability assessments, it differs significantly from generator modelling. In practice, it is common to model all generators individually</w:t>
      </w:r>
      <w:r w:rsidR="00EE08C7">
        <w:rPr>
          <w:rFonts w:cs="Calibri"/>
          <w:sz w:val="24"/>
          <w:szCs w:val="24"/>
        </w:rPr>
        <w:t xml:space="preserve"> for the transmission system studies</w:t>
      </w:r>
      <w:r w:rsidRPr="00E27D3B">
        <w:rPr>
          <w:rFonts w:cs="Calibri"/>
          <w:sz w:val="24"/>
          <w:szCs w:val="24"/>
        </w:rPr>
        <w:t xml:space="preserve">. </w:t>
      </w:r>
      <w:r w:rsidR="00EE08C7" w:rsidRPr="00EE08C7">
        <w:rPr>
          <w:rFonts w:cs="Calibri"/>
          <w:sz w:val="24"/>
          <w:szCs w:val="24"/>
        </w:rPr>
        <w:t>However, because the number of loads far exceeds the number of generators, it is generally impractical to represent each load in the same level of detail. Furthermore, it should be worth noting that the small-scale DERs are also represented as an aggregated model due to the large number of such generators in the distribution systems.</w:t>
      </w:r>
    </w:p>
    <w:p w14:paraId="3CA15115" w14:textId="2252416E" w:rsidR="00C577CA" w:rsidRPr="00E27D3B" w:rsidRDefault="00C577CA" w:rsidP="0096244D">
      <w:pPr>
        <w:spacing w:after="0"/>
        <w:rPr>
          <w:rFonts w:cs="Calibri"/>
          <w:sz w:val="24"/>
          <w:szCs w:val="24"/>
        </w:rPr>
      </w:pPr>
      <w:r w:rsidRPr="00E27D3B">
        <w:rPr>
          <w:rFonts w:cs="Calibri"/>
          <w:sz w:val="24"/>
          <w:szCs w:val="24"/>
        </w:rPr>
        <w:t xml:space="preserve">To develop an accurate large-load model, it is important to understand its operational characteristics, the components involved, and how it is connected to the power system. The size of large loads connecting to the power system often determines the appropriate point of connection, whether at distribution, sub-transmission, or transmission voltage levels. This is typically governed by local utility requirements and technical standards, although economic </w:t>
      </w:r>
      <w:r w:rsidRPr="00E27D3B">
        <w:rPr>
          <w:rFonts w:cs="Calibri"/>
          <w:sz w:val="24"/>
          <w:szCs w:val="24"/>
        </w:rPr>
        <w:lastRenderedPageBreak/>
        <w:t xml:space="preserve">considerations and overall cost-effectiveness may also influence the final connection arrangement </w:t>
      </w:r>
      <w:r w:rsidRPr="00E27D3B">
        <w:rPr>
          <w:rFonts w:cs="Calibri"/>
          <w:sz w:val="24"/>
          <w:szCs w:val="24"/>
        </w:rPr>
        <w:fldChar w:fldCharType="begin"/>
      </w:r>
      <w:r w:rsidRPr="00E27D3B">
        <w:rPr>
          <w:rFonts w:cs="Calibri"/>
          <w:sz w:val="24"/>
          <w:szCs w:val="24"/>
        </w:rPr>
        <w:instrText xml:space="preserve"> REF _Ref224201054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[160]</w:t>
      </w:r>
      <w:r w:rsidRPr="00E27D3B">
        <w:rPr>
          <w:rFonts w:cs="Calibri"/>
          <w:sz w:val="24"/>
          <w:szCs w:val="24"/>
        </w:rPr>
        <w:fldChar w:fldCharType="end"/>
      </w:r>
      <w:r w:rsidRPr="00E27D3B">
        <w:rPr>
          <w:rFonts w:cs="Calibri"/>
          <w:sz w:val="24"/>
          <w:szCs w:val="24"/>
        </w:rPr>
        <w:t>.</w:t>
      </w:r>
    </w:p>
    <w:p w14:paraId="13B079A9" w14:textId="77777777" w:rsidR="00C577CA" w:rsidRPr="00E27D3B" w:rsidRDefault="00C577CA" w:rsidP="0096244D">
      <w:pPr>
        <w:pStyle w:val="ListParagraph0"/>
        <w:numPr>
          <w:ilvl w:val="0"/>
          <w:numId w:val="19"/>
        </w:numPr>
        <w:spacing w:before="120" w:after="0"/>
        <w:rPr>
          <w:rFonts w:cs="Calibri"/>
        </w:rPr>
      </w:pPr>
      <w:r w:rsidRPr="00E27D3B">
        <w:rPr>
          <w:rFonts w:cs="Calibri"/>
        </w:rPr>
        <w:t>Large loads of approximately 5 MW are typically connected at the distribution level. Loads in the range of 5–20 MW may be connected at multiple points within the distribution network, depending on feeder capacity and network constraints.</w:t>
      </w:r>
    </w:p>
    <w:p w14:paraId="7437F280" w14:textId="77777777" w:rsidR="00C577CA" w:rsidRPr="00E27D3B" w:rsidRDefault="00C577CA" w:rsidP="0096244D">
      <w:pPr>
        <w:pStyle w:val="ListParagraph0"/>
        <w:numPr>
          <w:ilvl w:val="0"/>
          <w:numId w:val="19"/>
        </w:numPr>
        <w:spacing w:before="120" w:after="0"/>
        <w:rPr>
          <w:rFonts w:cs="Calibri"/>
        </w:rPr>
      </w:pPr>
      <w:r w:rsidRPr="00E27D3B">
        <w:rPr>
          <w:rFonts w:cs="Calibri"/>
        </w:rPr>
        <w:t>Large loads in the range of 20–150 MW are typically connected to the sub-transmission network, subject to local network capacity, fault level constraints, and system strength considerations.</w:t>
      </w:r>
    </w:p>
    <w:p w14:paraId="215F1BDA" w14:textId="77777777" w:rsidR="00C577CA" w:rsidRPr="00E27D3B" w:rsidRDefault="00C577CA" w:rsidP="0096244D">
      <w:pPr>
        <w:pStyle w:val="ListParagraph0"/>
        <w:numPr>
          <w:ilvl w:val="0"/>
          <w:numId w:val="19"/>
        </w:numPr>
        <w:spacing w:before="120" w:after="0"/>
        <w:rPr>
          <w:rFonts w:cs="Calibri"/>
        </w:rPr>
      </w:pPr>
      <w:r w:rsidRPr="00E27D3B">
        <w:rPr>
          <w:rFonts w:cs="Calibri"/>
        </w:rPr>
        <w:t>Loads of approximately 150 MW and above are generally connected to high-voltage transmission substations, typically at 132 kV or higher, to ensure adequate network capacity, voltage stability, and reliability.</w:t>
      </w:r>
    </w:p>
    <w:p w14:paraId="58BC3DB4" w14:textId="63BD80D7" w:rsidR="00C577CA" w:rsidRPr="00E27D3B" w:rsidRDefault="00C577CA" w:rsidP="0096244D">
      <w:pPr>
        <w:spacing w:after="0"/>
        <w:rPr>
          <w:rFonts w:cs="Calibri"/>
          <w:sz w:val="24"/>
          <w:szCs w:val="24"/>
        </w:rPr>
      </w:pPr>
      <w:r w:rsidRPr="00E27D3B">
        <w:rPr>
          <w:rFonts w:cs="Calibri"/>
          <w:sz w:val="24"/>
          <w:szCs w:val="24"/>
        </w:rPr>
        <w:t xml:space="preserve">As shown in the </w:t>
      </w:r>
      <w:r w:rsidRPr="000674AC">
        <w:rPr>
          <w:rFonts w:cs="Calibri"/>
          <w:sz w:val="24"/>
          <w:szCs w:val="24"/>
        </w:rPr>
        <w:fldChar w:fldCharType="begin"/>
      </w:r>
      <w:r w:rsidRPr="000674AC">
        <w:rPr>
          <w:rFonts w:cs="Calibri"/>
          <w:sz w:val="24"/>
          <w:szCs w:val="24"/>
        </w:rPr>
        <w:instrText xml:space="preserve"> REF _Ref224226176 \h </w:instrText>
      </w:r>
      <w:r>
        <w:rPr>
          <w:rFonts w:cs="Calibri"/>
          <w:sz w:val="24"/>
          <w:szCs w:val="24"/>
        </w:rPr>
        <w:instrText xml:space="preserve"> \* MERGEFORMAT </w:instrText>
      </w:r>
      <w:r w:rsidRPr="000674AC">
        <w:rPr>
          <w:rFonts w:cs="Calibri"/>
          <w:sz w:val="24"/>
          <w:szCs w:val="24"/>
        </w:rPr>
      </w:r>
      <w:r w:rsidRPr="000674AC">
        <w:rPr>
          <w:rFonts w:cs="Calibri"/>
          <w:sz w:val="24"/>
          <w:szCs w:val="24"/>
        </w:rPr>
        <w:fldChar w:fldCharType="separate"/>
      </w:r>
      <w:r w:rsidR="007078F5" w:rsidRPr="007078F5">
        <w:rPr>
          <w:sz w:val="24"/>
          <w:szCs w:val="24"/>
        </w:rPr>
        <w:t xml:space="preserve">Figure </w:t>
      </w:r>
      <w:r w:rsidR="007078F5" w:rsidRPr="007078F5">
        <w:rPr>
          <w:noProof/>
          <w:sz w:val="24"/>
          <w:szCs w:val="24"/>
        </w:rPr>
        <w:t>6</w:t>
      </w:r>
      <w:r w:rsidR="007061C8">
        <w:rPr>
          <w:noProof/>
          <w:sz w:val="24"/>
          <w:szCs w:val="24"/>
        </w:rPr>
        <w:t>6</w:t>
      </w:r>
      <w:r w:rsidRPr="000674AC">
        <w:rPr>
          <w:rFonts w:cs="Calibri"/>
          <w:sz w:val="24"/>
          <w:szCs w:val="24"/>
        </w:rPr>
        <w:fldChar w:fldCharType="end"/>
      </w:r>
      <w:r w:rsidRPr="00E27D3B">
        <w:rPr>
          <w:rFonts w:cs="Calibri"/>
          <w:sz w:val="24"/>
          <w:szCs w:val="24"/>
        </w:rPr>
        <w:t xml:space="preserve">, the data centre model comprises step-up transformers, on-site energy resources (such as energy storage systems and synchronous generators), lighting loads, cooling loads, multiple uninterruptible power supply (UPS) units, reactive power support devices, and a synchronous condenser to enable islanded operation </w:t>
      </w:r>
      <w:r w:rsidRPr="00E27D3B">
        <w:rPr>
          <w:rFonts w:cs="Calibri"/>
          <w:sz w:val="24"/>
          <w:szCs w:val="24"/>
        </w:rPr>
        <w:fldChar w:fldCharType="begin"/>
      </w:r>
      <w:r w:rsidRPr="00E27D3B">
        <w:rPr>
          <w:rFonts w:cs="Calibri"/>
          <w:sz w:val="24"/>
          <w:szCs w:val="24"/>
        </w:rPr>
        <w:instrText xml:space="preserve"> REF _Ref224201063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[161]</w:t>
      </w:r>
      <w:r w:rsidRPr="00E27D3B">
        <w:rPr>
          <w:rFonts w:cs="Calibri"/>
          <w:sz w:val="24"/>
          <w:szCs w:val="24"/>
        </w:rPr>
        <w:fldChar w:fldCharType="end"/>
      </w:r>
      <w:r w:rsidRPr="00E27D3B">
        <w:rPr>
          <w:rFonts w:cs="Calibri"/>
          <w:sz w:val="24"/>
          <w:szCs w:val="24"/>
        </w:rPr>
        <w:t>. This representation captures both the internal electrical infrastructure and the operational characteristics of the facility, ensuring that the dynamic behaviour of the data centre—under grid-connected and islanded conditions—is adequately reflected in system studies.</w:t>
      </w:r>
    </w:p>
    <w:p w14:paraId="4898157B" w14:textId="77777777" w:rsidR="00C577CA" w:rsidRPr="00E27D3B" w:rsidRDefault="00C577CA" w:rsidP="00CD4F3A">
      <w:pPr>
        <w:keepNext/>
        <w:jc w:val="center"/>
      </w:pPr>
      <w:r w:rsidRPr="00E27D3B">
        <w:rPr>
          <w:rFonts w:cs="Calibri"/>
          <w:noProof/>
          <w:sz w:val="24"/>
          <w:szCs w:val="24"/>
        </w:rPr>
        <w:drawing>
          <wp:inline distT="0" distB="0" distL="0" distR="0" wp14:anchorId="31FA4F50" wp14:editId="6AC18EEB">
            <wp:extent cx="5727700" cy="2292350"/>
            <wp:effectExtent l="0" t="0" r="6350" b="0"/>
            <wp:docPr id="8904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27700" cy="2292350"/>
                    </a:xfrm>
                    <a:prstGeom prst="rect">
                      <a:avLst/>
                    </a:prstGeom>
                    <a:noFill/>
                    <a:ln>
                      <a:noFill/>
                    </a:ln>
                  </pic:spPr>
                </pic:pic>
              </a:graphicData>
            </a:graphic>
          </wp:inline>
        </w:drawing>
      </w:r>
    </w:p>
    <w:p w14:paraId="0D7CE987" w14:textId="62847527" w:rsidR="00C577CA" w:rsidRDefault="00C577CA" w:rsidP="00CD4F3A">
      <w:pPr>
        <w:pStyle w:val="Caption"/>
        <w:spacing w:line="240" w:lineRule="auto"/>
      </w:pPr>
      <w:bookmarkStart w:id="419" w:name="_Ref224226176"/>
      <w:bookmarkStart w:id="420" w:name="_Toc224235150"/>
      <w:bookmarkStart w:id="421" w:name="_Toc233735072"/>
      <w:r>
        <w:t xml:space="preserve">Figure </w:t>
      </w:r>
      <w:fldSimple w:instr=" SEQ Figure \* ARABIC ">
        <w:r w:rsidR="00A85006">
          <w:rPr>
            <w:noProof/>
          </w:rPr>
          <w:t>6</w:t>
        </w:r>
        <w:r w:rsidR="007061C8">
          <w:rPr>
            <w:noProof/>
          </w:rPr>
          <w:t>6</w:t>
        </w:r>
      </w:fldSimple>
      <w:bookmarkEnd w:id="419"/>
      <w:r w:rsidRPr="00463252">
        <w:t xml:space="preserve">: High-level illustrative examples of grid connection for large loads </w:t>
      </w:r>
      <w:r>
        <w:fldChar w:fldCharType="begin"/>
      </w:r>
      <w:r>
        <w:instrText xml:space="preserve"> REF _Ref224201054 \n \h </w:instrText>
      </w:r>
      <w:r w:rsidR="00CD4F3A">
        <w:instrText xml:space="preserve"> \* MERGEFORMAT </w:instrText>
      </w:r>
      <w:r>
        <w:fldChar w:fldCharType="separate"/>
      </w:r>
      <w:r w:rsidR="007078F5">
        <w:t>[160]</w:t>
      </w:r>
      <w:r>
        <w:fldChar w:fldCharType="end"/>
      </w:r>
      <w:r w:rsidRPr="00463252">
        <w:t>.</w:t>
      </w:r>
      <w:bookmarkEnd w:id="420"/>
      <w:bookmarkEnd w:id="421"/>
    </w:p>
    <w:p w14:paraId="0C178B5B" w14:textId="55AE593A" w:rsidR="00C577CA" w:rsidRPr="0096244D" w:rsidRDefault="00C577CA" w:rsidP="0096244D">
      <w:pPr>
        <w:spacing w:after="0"/>
        <w:rPr>
          <w:rFonts w:cs="Calibri"/>
          <w:sz w:val="24"/>
          <w:szCs w:val="24"/>
        </w:rPr>
      </w:pPr>
      <w:r w:rsidRPr="0096244D">
        <w:rPr>
          <w:rFonts w:cs="Calibri"/>
          <w:sz w:val="24"/>
          <w:szCs w:val="24"/>
        </w:rPr>
        <w:t xml:space="preserve">While utility supply is typically arranged with redundancy to ensure reliable delivery of power, the electrical infrastructure within the customer boundary of a data centre is likewise designed to provide continuous and highly reliable power. This is achieved through built-in redundancy, backup systems, and multiple supply paths to prevent service interruptions. Power generally enters the customer switchyard at high voltage (HV) or medium voltage (MV) levels. The HV/MV busbar may be connected to switchgear, harmonic filters, shunt reactive compensation devices, power factor correction equipment, dynamic reactive power support systems, and other auxiliary loads. These components ensure voltage regulation, power quality, and compliance with grid requirements. MV-to-low voltage (LV) transformers then step the voltage down to suitable levels for internal distribution within the data centre. The LV network typically supplies critical loads such as IT equipment (via UPS systems), as well as large cooling units that are essential for maintaining thermal constraints and ensuring reliable operation of servers and associated infrastructure </w:t>
      </w:r>
      <w:r w:rsidRPr="0096244D">
        <w:rPr>
          <w:rFonts w:cs="Calibri"/>
          <w:sz w:val="24"/>
          <w:szCs w:val="24"/>
        </w:rPr>
        <w:fldChar w:fldCharType="begin"/>
      </w:r>
      <w:r w:rsidRPr="0096244D">
        <w:rPr>
          <w:rFonts w:cs="Calibri"/>
          <w:sz w:val="24"/>
          <w:szCs w:val="24"/>
        </w:rPr>
        <w:instrText xml:space="preserve"> REF _Ref224201063 \n \h </w:instrText>
      </w:r>
      <w:r w:rsidR="00CD4F3A" w:rsidRPr="0096244D">
        <w:rPr>
          <w:rFonts w:cs="Calibri"/>
          <w:sz w:val="24"/>
          <w:szCs w:val="24"/>
        </w:rPr>
        <w:instrText xml:space="preserve"> \* MERGEFORMAT </w:instrText>
      </w:r>
      <w:r w:rsidRPr="0096244D">
        <w:rPr>
          <w:rFonts w:cs="Calibri"/>
          <w:sz w:val="24"/>
          <w:szCs w:val="24"/>
        </w:rPr>
      </w:r>
      <w:r w:rsidRPr="0096244D">
        <w:rPr>
          <w:rFonts w:cs="Calibri"/>
          <w:sz w:val="24"/>
          <w:szCs w:val="24"/>
        </w:rPr>
        <w:fldChar w:fldCharType="separate"/>
      </w:r>
      <w:r w:rsidR="00753DAF" w:rsidRPr="0096244D">
        <w:rPr>
          <w:rFonts w:cs="Calibri"/>
          <w:sz w:val="24"/>
          <w:szCs w:val="24"/>
          <w:cs/>
        </w:rPr>
        <w:t>‎</w:t>
      </w:r>
      <w:r w:rsidR="00753DAF" w:rsidRPr="0096244D">
        <w:rPr>
          <w:rFonts w:cs="Calibri"/>
          <w:sz w:val="24"/>
          <w:szCs w:val="24"/>
        </w:rPr>
        <w:t>[148]</w:t>
      </w:r>
      <w:r w:rsidRPr="0096244D">
        <w:rPr>
          <w:rFonts w:cs="Calibri"/>
          <w:sz w:val="24"/>
          <w:szCs w:val="24"/>
        </w:rPr>
        <w:fldChar w:fldCharType="end"/>
      </w:r>
      <w:r w:rsidRPr="0096244D">
        <w:rPr>
          <w:rFonts w:cs="Calibri"/>
          <w:sz w:val="24"/>
          <w:szCs w:val="24"/>
        </w:rPr>
        <w:t xml:space="preserve">. </w:t>
      </w:r>
      <w:r w:rsidR="00A931A2" w:rsidRPr="0096244D">
        <w:rPr>
          <w:rFonts w:cs="Calibri"/>
          <w:sz w:val="24"/>
          <w:szCs w:val="24"/>
        </w:rPr>
        <w:lastRenderedPageBreak/>
        <w:fldChar w:fldCharType="begin"/>
      </w:r>
      <w:r w:rsidR="00A931A2" w:rsidRPr="0096244D">
        <w:rPr>
          <w:rFonts w:cs="Calibri"/>
          <w:sz w:val="24"/>
          <w:szCs w:val="24"/>
        </w:rPr>
        <w:instrText xml:space="preserve"> REF _Ref224226239 \h </w:instrText>
      </w:r>
      <w:r w:rsidR="0096244D">
        <w:rPr>
          <w:rFonts w:cs="Calibri"/>
          <w:sz w:val="24"/>
          <w:szCs w:val="24"/>
        </w:rPr>
        <w:instrText xml:space="preserve"> \* MERGEFORMAT </w:instrText>
      </w:r>
      <w:r w:rsidR="00A931A2" w:rsidRPr="0096244D">
        <w:rPr>
          <w:rFonts w:cs="Calibri"/>
          <w:sz w:val="24"/>
          <w:szCs w:val="24"/>
        </w:rPr>
      </w:r>
      <w:r w:rsidR="00A931A2" w:rsidRPr="0096244D">
        <w:rPr>
          <w:rFonts w:cs="Calibri"/>
          <w:sz w:val="24"/>
          <w:szCs w:val="24"/>
        </w:rPr>
        <w:fldChar w:fldCharType="separate"/>
      </w:r>
      <w:r w:rsidR="00A931A2" w:rsidRPr="0096244D">
        <w:rPr>
          <w:sz w:val="24"/>
          <w:szCs w:val="24"/>
        </w:rPr>
        <w:t xml:space="preserve">Figure </w:t>
      </w:r>
      <w:r w:rsidR="00A931A2" w:rsidRPr="0096244D">
        <w:rPr>
          <w:noProof/>
          <w:sz w:val="24"/>
          <w:szCs w:val="24"/>
        </w:rPr>
        <w:t>67</w:t>
      </w:r>
      <w:r w:rsidR="00A931A2" w:rsidRPr="0096244D">
        <w:rPr>
          <w:rFonts w:cs="Calibri"/>
          <w:sz w:val="24"/>
          <w:szCs w:val="24"/>
        </w:rPr>
        <w:fldChar w:fldCharType="end"/>
      </w:r>
      <w:r w:rsidR="00A931A2" w:rsidRPr="0096244D">
        <w:rPr>
          <w:rFonts w:cs="Calibri"/>
          <w:sz w:val="24"/>
          <w:szCs w:val="24"/>
        </w:rPr>
        <w:t xml:space="preserve"> </w:t>
      </w:r>
      <w:r w:rsidRPr="0096244D">
        <w:rPr>
          <w:rFonts w:cs="Calibri"/>
          <w:sz w:val="24"/>
          <w:szCs w:val="24"/>
        </w:rPr>
        <w:t xml:space="preserve">shows an illustrative the electrical infrastructure of a data centre (i.e., generic data centre). </w:t>
      </w:r>
    </w:p>
    <w:p w14:paraId="6903DF18" w14:textId="77777777" w:rsidR="00C577CA" w:rsidRPr="00E27D3B" w:rsidRDefault="00C577CA" w:rsidP="00CD4F3A">
      <w:pPr>
        <w:pStyle w:val="Caption"/>
        <w:spacing w:line="240" w:lineRule="auto"/>
        <w:jc w:val="center"/>
      </w:pPr>
      <w:r w:rsidRPr="00E27D3B">
        <w:rPr>
          <w:noProof/>
        </w:rPr>
        <w:drawing>
          <wp:inline distT="0" distB="0" distL="0" distR="0" wp14:anchorId="1E94CBED" wp14:editId="4D6014EB">
            <wp:extent cx="3600000" cy="2823620"/>
            <wp:effectExtent l="0" t="0" r="635" b="0"/>
            <wp:docPr id="1711781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600000" cy="2823620"/>
                    </a:xfrm>
                    <a:prstGeom prst="rect">
                      <a:avLst/>
                    </a:prstGeom>
                    <a:noFill/>
                    <a:ln>
                      <a:noFill/>
                    </a:ln>
                  </pic:spPr>
                </pic:pic>
              </a:graphicData>
            </a:graphic>
          </wp:inline>
        </w:drawing>
      </w:r>
    </w:p>
    <w:p w14:paraId="54928E22" w14:textId="2798FA68" w:rsidR="00C577CA" w:rsidRPr="00ED7E91" w:rsidRDefault="00C577CA" w:rsidP="00CD4F3A">
      <w:pPr>
        <w:pStyle w:val="Caption"/>
        <w:spacing w:line="240" w:lineRule="auto"/>
      </w:pPr>
      <w:bookmarkStart w:id="422" w:name="_Ref224226239"/>
      <w:bookmarkStart w:id="423" w:name="_Toc224235151"/>
      <w:bookmarkStart w:id="424" w:name="_Toc233735073"/>
      <w:r>
        <w:t xml:space="preserve">Figure </w:t>
      </w:r>
      <w:fldSimple w:instr=" SEQ Figure \* ARABIC ">
        <w:r w:rsidR="00A85006">
          <w:rPr>
            <w:noProof/>
          </w:rPr>
          <w:t>6</w:t>
        </w:r>
        <w:r w:rsidR="007D06D7">
          <w:rPr>
            <w:noProof/>
          </w:rPr>
          <w:t>7</w:t>
        </w:r>
      </w:fldSimple>
      <w:bookmarkEnd w:id="422"/>
      <w:r>
        <w:t xml:space="preserve">: </w:t>
      </w:r>
      <w:r w:rsidRPr="00C217E3">
        <w:t xml:space="preserve">Generic model of the data centre </w:t>
      </w:r>
      <w:r>
        <w:fldChar w:fldCharType="begin"/>
      </w:r>
      <w:r>
        <w:instrText xml:space="preserve"> REF _Ref224201054 \n \h </w:instrText>
      </w:r>
      <w:r w:rsidR="00CD4F3A">
        <w:instrText xml:space="preserve"> \* MERGEFORMAT </w:instrText>
      </w:r>
      <w:r>
        <w:fldChar w:fldCharType="separate"/>
      </w:r>
      <w:r w:rsidR="007078F5">
        <w:t>[160]</w:t>
      </w:r>
      <w:r>
        <w:fldChar w:fldCharType="end"/>
      </w:r>
      <w:r>
        <w:t>.</w:t>
      </w:r>
      <w:bookmarkEnd w:id="423"/>
      <w:bookmarkEnd w:id="424"/>
    </w:p>
    <w:p w14:paraId="3487CB2A" w14:textId="6BC282DB" w:rsidR="000E58CF" w:rsidRPr="000E58CF" w:rsidRDefault="00C577CA" w:rsidP="000E58CF">
      <w:pPr>
        <w:rPr>
          <w:rFonts w:cs="Calibri"/>
          <w:sz w:val="24"/>
          <w:szCs w:val="24"/>
        </w:rPr>
      </w:pPr>
      <w:r w:rsidRPr="00E27D3B">
        <w:rPr>
          <w:rFonts w:cs="Calibri"/>
          <w:sz w:val="24"/>
          <w:szCs w:val="24"/>
        </w:rPr>
        <w:t xml:space="preserve">From </w:t>
      </w:r>
      <w:r w:rsidRPr="000674AC">
        <w:rPr>
          <w:rFonts w:cs="Calibri"/>
          <w:sz w:val="24"/>
          <w:szCs w:val="24"/>
        </w:rPr>
        <w:fldChar w:fldCharType="begin"/>
      </w:r>
      <w:r w:rsidRPr="000674AC">
        <w:rPr>
          <w:rFonts w:cs="Calibri"/>
          <w:sz w:val="24"/>
          <w:szCs w:val="24"/>
        </w:rPr>
        <w:instrText xml:space="preserve"> REF _Ref224226176 \h </w:instrText>
      </w:r>
      <w:r>
        <w:rPr>
          <w:rFonts w:cs="Calibri"/>
          <w:sz w:val="24"/>
          <w:szCs w:val="24"/>
        </w:rPr>
        <w:instrText xml:space="preserve"> \* MERGEFORMAT </w:instrText>
      </w:r>
      <w:r w:rsidRPr="000674AC">
        <w:rPr>
          <w:rFonts w:cs="Calibri"/>
          <w:sz w:val="24"/>
          <w:szCs w:val="24"/>
        </w:rPr>
      </w:r>
      <w:r w:rsidRPr="000674AC">
        <w:rPr>
          <w:rFonts w:cs="Calibri"/>
          <w:sz w:val="24"/>
          <w:szCs w:val="24"/>
        </w:rPr>
        <w:fldChar w:fldCharType="separate"/>
      </w:r>
      <w:r w:rsidR="007078F5" w:rsidRPr="007078F5">
        <w:rPr>
          <w:sz w:val="24"/>
          <w:szCs w:val="24"/>
        </w:rPr>
        <w:t xml:space="preserve">Figure </w:t>
      </w:r>
      <w:r w:rsidR="007078F5" w:rsidRPr="007078F5">
        <w:rPr>
          <w:noProof/>
          <w:sz w:val="24"/>
          <w:szCs w:val="24"/>
        </w:rPr>
        <w:t>65</w:t>
      </w:r>
      <w:r w:rsidRPr="000674AC">
        <w:rPr>
          <w:rFonts w:cs="Calibri"/>
          <w:sz w:val="24"/>
          <w:szCs w:val="24"/>
        </w:rPr>
        <w:fldChar w:fldCharType="end"/>
      </w:r>
      <w:r w:rsidRPr="000674AC">
        <w:rPr>
          <w:rFonts w:cs="Calibri"/>
          <w:sz w:val="24"/>
          <w:szCs w:val="24"/>
        </w:rPr>
        <w:t xml:space="preserve"> and </w:t>
      </w:r>
      <w:r w:rsidRPr="000674AC">
        <w:rPr>
          <w:rFonts w:cs="Calibri"/>
          <w:sz w:val="24"/>
          <w:szCs w:val="24"/>
        </w:rPr>
        <w:fldChar w:fldCharType="begin"/>
      </w:r>
      <w:r w:rsidRPr="000674AC">
        <w:rPr>
          <w:rFonts w:cs="Calibri"/>
          <w:sz w:val="24"/>
          <w:szCs w:val="24"/>
        </w:rPr>
        <w:instrText xml:space="preserve"> REF _Ref224226239 \h </w:instrText>
      </w:r>
      <w:r>
        <w:rPr>
          <w:rFonts w:cs="Calibri"/>
          <w:sz w:val="24"/>
          <w:szCs w:val="24"/>
        </w:rPr>
        <w:instrText xml:space="preserve"> \* MERGEFORMAT </w:instrText>
      </w:r>
      <w:r w:rsidRPr="000674AC">
        <w:rPr>
          <w:rFonts w:cs="Calibri"/>
          <w:sz w:val="24"/>
          <w:szCs w:val="24"/>
        </w:rPr>
      </w:r>
      <w:r w:rsidRPr="000674AC">
        <w:rPr>
          <w:rFonts w:cs="Calibri"/>
          <w:sz w:val="24"/>
          <w:szCs w:val="24"/>
        </w:rPr>
        <w:fldChar w:fldCharType="separate"/>
      </w:r>
      <w:r w:rsidR="007078F5" w:rsidRPr="007078F5">
        <w:rPr>
          <w:sz w:val="24"/>
          <w:szCs w:val="24"/>
        </w:rPr>
        <w:t xml:space="preserve">Figure </w:t>
      </w:r>
      <w:r w:rsidR="007078F5" w:rsidRPr="007078F5">
        <w:rPr>
          <w:noProof/>
          <w:sz w:val="24"/>
          <w:szCs w:val="24"/>
        </w:rPr>
        <w:t>66</w:t>
      </w:r>
      <w:r w:rsidRPr="000674AC">
        <w:rPr>
          <w:rFonts w:cs="Calibri"/>
          <w:sz w:val="24"/>
          <w:szCs w:val="24"/>
        </w:rPr>
        <w:fldChar w:fldCharType="end"/>
      </w:r>
      <w:r w:rsidRPr="00E27D3B">
        <w:rPr>
          <w:rFonts w:cs="Calibri"/>
          <w:sz w:val="24"/>
          <w:szCs w:val="24"/>
        </w:rPr>
        <w:t xml:space="preserve">, it is evident that many of the key components of the large load are already represented within the CMLD load model. </w:t>
      </w:r>
      <w:r w:rsidR="000E58CF">
        <w:rPr>
          <w:rFonts w:cs="Calibri"/>
          <w:sz w:val="24"/>
          <w:szCs w:val="24"/>
        </w:rPr>
        <w:t>Therefore</w:t>
      </w:r>
      <w:r w:rsidRPr="00E27D3B">
        <w:rPr>
          <w:rFonts w:cs="Calibri"/>
          <w:sz w:val="24"/>
          <w:szCs w:val="24"/>
        </w:rPr>
        <w:t xml:space="preserve">, </w:t>
      </w:r>
      <w:r w:rsidR="000E58CF">
        <w:rPr>
          <w:rFonts w:cs="Calibri"/>
          <w:sz w:val="24"/>
          <w:szCs w:val="24"/>
        </w:rPr>
        <w:t xml:space="preserve">the </w:t>
      </w:r>
      <w:r w:rsidRPr="00E27D3B">
        <w:rPr>
          <w:rFonts w:cs="Calibri"/>
          <w:sz w:val="24"/>
          <w:szCs w:val="24"/>
        </w:rPr>
        <w:t xml:space="preserve">development of the large load model has </w:t>
      </w:r>
      <w:r w:rsidR="000E58CF">
        <w:rPr>
          <w:rFonts w:cs="Calibri"/>
          <w:sz w:val="24"/>
          <w:szCs w:val="24"/>
        </w:rPr>
        <w:t>been done</w:t>
      </w:r>
      <w:r w:rsidRPr="00E27D3B">
        <w:rPr>
          <w:rFonts w:cs="Calibri"/>
          <w:sz w:val="24"/>
          <w:szCs w:val="24"/>
        </w:rPr>
        <w:t xml:space="preserve"> </w:t>
      </w:r>
      <w:r w:rsidR="000E58CF">
        <w:rPr>
          <w:rFonts w:cs="Calibri"/>
          <w:sz w:val="24"/>
          <w:szCs w:val="24"/>
        </w:rPr>
        <w:t xml:space="preserve">in this work </w:t>
      </w:r>
      <w:r w:rsidRPr="00E27D3B">
        <w:rPr>
          <w:rFonts w:cs="Calibri"/>
          <w:sz w:val="24"/>
          <w:szCs w:val="24"/>
        </w:rPr>
        <w:t xml:space="preserve">using the CMLD load model as the foundational framework. This approach ensures consistency with established modelling practices while enabling appropriate modifications and extensions to accurately capture the specific operational characteristics and dynamic behaviour of the data centre load under both normal and disturbed operating conditions. Parameters given in “Developing dynamic load models for the Australian Eastern interconnected system,” Power and Energy, Analysis, Consulting and Education (PEACE), 2020, were used for the initial study </w:t>
      </w:r>
      <w:r w:rsidRPr="00E27D3B">
        <w:rPr>
          <w:rFonts w:cs="Calibri"/>
          <w:sz w:val="24"/>
          <w:szCs w:val="24"/>
        </w:rPr>
        <w:fldChar w:fldCharType="begin"/>
      </w:r>
      <w:r w:rsidRPr="00E27D3B">
        <w:rPr>
          <w:rFonts w:cs="Calibri"/>
          <w:sz w:val="24"/>
          <w:szCs w:val="24"/>
        </w:rPr>
        <w:instrText xml:space="preserve"> REF _Ref224201203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[162]</w:t>
      </w:r>
      <w:r w:rsidRPr="00E27D3B">
        <w:rPr>
          <w:rFonts w:cs="Calibri"/>
          <w:sz w:val="24"/>
          <w:szCs w:val="24"/>
        </w:rPr>
        <w:fldChar w:fldCharType="end"/>
      </w:r>
      <w:r w:rsidRPr="00E27D3B">
        <w:rPr>
          <w:rFonts w:cs="Calibri"/>
          <w:sz w:val="24"/>
          <w:szCs w:val="24"/>
        </w:rPr>
        <w:t xml:space="preserve">. The parameters of this model have been </w:t>
      </w:r>
      <w:proofErr w:type="spellStart"/>
      <w:r w:rsidRPr="00E27D3B">
        <w:rPr>
          <w:rFonts w:cs="Calibri"/>
          <w:sz w:val="24"/>
          <w:szCs w:val="24"/>
        </w:rPr>
        <w:t>retuned</w:t>
      </w:r>
      <w:proofErr w:type="spellEnd"/>
      <w:r w:rsidRPr="00E27D3B">
        <w:rPr>
          <w:rFonts w:cs="Calibri"/>
          <w:sz w:val="24"/>
          <w:szCs w:val="24"/>
        </w:rPr>
        <w:t xml:space="preserve"> to </w:t>
      </w:r>
      <w:r w:rsidR="00AE07AE">
        <w:rPr>
          <w:rFonts w:cs="Calibri"/>
          <w:sz w:val="24"/>
          <w:szCs w:val="24"/>
        </w:rPr>
        <w:t>obtain</w:t>
      </w:r>
      <w:r w:rsidRPr="00E27D3B">
        <w:rPr>
          <w:rFonts w:cs="Calibri"/>
          <w:sz w:val="24"/>
          <w:szCs w:val="24"/>
        </w:rPr>
        <w:t xml:space="preserve"> the similar point of common coupling responses as given in </w:t>
      </w:r>
      <w:r w:rsidRPr="00ED7E91">
        <w:rPr>
          <w:rFonts w:cs="Calibri"/>
          <w:sz w:val="24"/>
          <w:szCs w:val="24"/>
        </w:rPr>
        <w:fldChar w:fldCharType="begin"/>
      </w:r>
      <w:r w:rsidRPr="00ED7E91">
        <w:rPr>
          <w:rFonts w:cs="Calibri"/>
          <w:sz w:val="24"/>
          <w:szCs w:val="24"/>
        </w:rPr>
        <w:instrText xml:space="preserve"> REF _Ref224226176 \h </w:instrText>
      </w:r>
      <w:r>
        <w:rPr>
          <w:rFonts w:cs="Calibri"/>
          <w:sz w:val="24"/>
          <w:szCs w:val="24"/>
        </w:rPr>
        <w:instrText xml:space="preserve"> \* MERGEFORMAT </w:instrText>
      </w:r>
      <w:r w:rsidRPr="00ED7E91">
        <w:rPr>
          <w:rFonts w:cs="Calibri"/>
          <w:sz w:val="24"/>
          <w:szCs w:val="24"/>
        </w:rPr>
      </w:r>
      <w:r w:rsidRPr="00ED7E91">
        <w:rPr>
          <w:rFonts w:cs="Calibri"/>
          <w:sz w:val="24"/>
          <w:szCs w:val="24"/>
        </w:rPr>
        <w:fldChar w:fldCharType="separate"/>
      </w:r>
      <w:r w:rsidR="007078F5" w:rsidRPr="007078F5">
        <w:rPr>
          <w:sz w:val="24"/>
          <w:szCs w:val="24"/>
        </w:rPr>
        <w:t xml:space="preserve">Figure </w:t>
      </w:r>
      <w:r w:rsidR="007078F5" w:rsidRPr="007078F5">
        <w:rPr>
          <w:noProof/>
          <w:sz w:val="24"/>
          <w:szCs w:val="24"/>
        </w:rPr>
        <w:t>65</w:t>
      </w:r>
      <w:r w:rsidRPr="00ED7E91">
        <w:rPr>
          <w:rFonts w:cs="Calibri"/>
          <w:sz w:val="24"/>
          <w:szCs w:val="24"/>
        </w:rPr>
        <w:fldChar w:fldCharType="end"/>
      </w:r>
      <w:r w:rsidR="000E612A">
        <w:rPr>
          <w:rFonts w:cs="Calibri"/>
          <w:sz w:val="24"/>
          <w:szCs w:val="24"/>
        </w:rPr>
        <w:t xml:space="preserve"> </w:t>
      </w:r>
      <w:r w:rsidRPr="00ED7E91">
        <w:rPr>
          <w:rFonts w:cs="Calibri"/>
          <w:sz w:val="24"/>
          <w:szCs w:val="24"/>
        </w:rPr>
        <w:t xml:space="preserve">and </w:t>
      </w:r>
      <w:r w:rsidRPr="00ED7E91">
        <w:rPr>
          <w:rFonts w:cs="Calibri"/>
          <w:sz w:val="24"/>
          <w:szCs w:val="24"/>
        </w:rPr>
        <w:fldChar w:fldCharType="begin"/>
      </w:r>
      <w:r w:rsidRPr="00ED7E91">
        <w:rPr>
          <w:rFonts w:cs="Calibri"/>
          <w:sz w:val="24"/>
          <w:szCs w:val="24"/>
        </w:rPr>
        <w:instrText xml:space="preserve"> REF _Ref224226239 \h </w:instrText>
      </w:r>
      <w:r>
        <w:rPr>
          <w:rFonts w:cs="Calibri"/>
          <w:sz w:val="24"/>
          <w:szCs w:val="24"/>
        </w:rPr>
        <w:instrText xml:space="preserve"> \* MERGEFORMAT </w:instrText>
      </w:r>
      <w:r w:rsidRPr="00ED7E91">
        <w:rPr>
          <w:rFonts w:cs="Calibri"/>
          <w:sz w:val="24"/>
          <w:szCs w:val="24"/>
        </w:rPr>
      </w:r>
      <w:r w:rsidRPr="00ED7E91">
        <w:rPr>
          <w:rFonts w:cs="Calibri"/>
          <w:sz w:val="24"/>
          <w:szCs w:val="24"/>
        </w:rPr>
        <w:fldChar w:fldCharType="separate"/>
      </w:r>
      <w:r w:rsidR="007078F5" w:rsidRPr="007078F5">
        <w:rPr>
          <w:sz w:val="24"/>
          <w:szCs w:val="24"/>
        </w:rPr>
        <w:t xml:space="preserve">Figure </w:t>
      </w:r>
      <w:r w:rsidR="007078F5" w:rsidRPr="007078F5">
        <w:rPr>
          <w:noProof/>
          <w:sz w:val="24"/>
          <w:szCs w:val="24"/>
        </w:rPr>
        <w:t>66</w:t>
      </w:r>
      <w:r w:rsidRPr="00ED7E91">
        <w:rPr>
          <w:rFonts w:cs="Calibri"/>
          <w:sz w:val="24"/>
          <w:szCs w:val="24"/>
        </w:rPr>
        <w:fldChar w:fldCharType="end"/>
      </w:r>
      <w:r w:rsidRPr="00ED7E91">
        <w:rPr>
          <w:rFonts w:cs="Calibri"/>
          <w:sz w:val="24"/>
          <w:szCs w:val="24"/>
        </w:rPr>
        <w:t>.</w:t>
      </w:r>
      <w:r w:rsidRPr="00E27D3B">
        <w:rPr>
          <w:rFonts w:cs="Calibri"/>
          <w:sz w:val="24"/>
          <w:szCs w:val="24"/>
        </w:rPr>
        <w:t xml:space="preserve"> </w:t>
      </w:r>
      <w:r w:rsidR="000E58CF" w:rsidRPr="000E58CF">
        <w:rPr>
          <w:rFonts w:cs="Calibri"/>
          <w:sz w:val="24"/>
          <w:szCs w:val="24"/>
        </w:rPr>
        <w:t xml:space="preserve">The CMLD includes the following components, as described in Section </w:t>
      </w:r>
      <w:r w:rsidR="00AE07AE">
        <w:rPr>
          <w:rFonts w:cs="Calibri"/>
          <w:sz w:val="24"/>
          <w:szCs w:val="24"/>
        </w:rPr>
        <w:t>3</w:t>
      </w:r>
      <w:r w:rsidR="000E58CF" w:rsidRPr="000E58CF">
        <w:rPr>
          <w:rFonts w:cs="Calibri"/>
          <w:sz w:val="24"/>
          <w:szCs w:val="24"/>
        </w:rPr>
        <w:t xml:space="preserve"> of this report:</w:t>
      </w:r>
    </w:p>
    <w:p w14:paraId="5889CBAB" w14:textId="77777777" w:rsidR="000E58CF" w:rsidRPr="000E58CF" w:rsidRDefault="000E58CF" w:rsidP="000E58CF">
      <w:pPr>
        <w:numPr>
          <w:ilvl w:val="0"/>
          <w:numId w:val="106"/>
        </w:numPr>
        <w:rPr>
          <w:rFonts w:cs="Calibri"/>
          <w:sz w:val="24"/>
          <w:szCs w:val="24"/>
        </w:rPr>
      </w:pPr>
      <w:r w:rsidRPr="000E58CF">
        <w:rPr>
          <w:rFonts w:cs="Calibri"/>
          <w:sz w:val="24"/>
          <w:szCs w:val="24"/>
        </w:rPr>
        <w:t>Distribution transformers equipped with on-load tap changers (OLTCs).</w:t>
      </w:r>
    </w:p>
    <w:p w14:paraId="39574EEA" w14:textId="5CD8CDC3" w:rsidR="000E58CF" w:rsidRPr="000E58CF" w:rsidRDefault="000E58CF" w:rsidP="000E58CF">
      <w:pPr>
        <w:numPr>
          <w:ilvl w:val="0"/>
          <w:numId w:val="106"/>
        </w:numPr>
        <w:rPr>
          <w:rFonts w:cs="Calibri"/>
          <w:sz w:val="24"/>
          <w:szCs w:val="24"/>
        </w:rPr>
      </w:pPr>
      <w:r w:rsidRPr="000E58CF">
        <w:rPr>
          <w:rFonts w:cs="Calibri"/>
          <w:sz w:val="24"/>
          <w:szCs w:val="24"/>
        </w:rPr>
        <w:t>Explicit substation shunt capacitors.</w:t>
      </w:r>
    </w:p>
    <w:p w14:paraId="657B4125" w14:textId="471AAD65" w:rsidR="000E58CF" w:rsidRPr="000E58CF" w:rsidRDefault="000E58CF" w:rsidP="000E58CF">
      <w:pPr>
        <w:numPr>
          <w:ilvl w:val="0"/>
          <w:numId w:val="106"/>
        </w:numPr>
        <w:rPr>
          <w:rFonts w:cs="Calibri"/>
          <w:sz w:val="24"/>
          <w:szCs w:val="24"/>
        </w:rPr>
      </w:pPr>
      <w:r w:rsidRPr="000E58CF">
        <w:rPr>
          <w:rFonts w:cs="Calibri"/>
          <w:sz w:val="24"/>
          <w:szCs w:val="24"/>
        </w:rPr>
        <w:t>An aggregated equivalent representation of the distribution feeders supplying end-use loads, including internal feeder compensation that is calculated to match the transmission-level active and reactive power (MW/MVAr).</w:t>
      </w:r>
    </w:p>
    <w:p w14:paraId="447F15FD" w14:textId="77777777" w:rsidR="000E58CF" w:rsidRPr="000E58CF" w:rsidRDefault="000E58CF" w:rsidP="000E58CF">
      <w:pPr>
        <w:numPr>
          <w:ilvl w:val="0"/>
          <w:numId w:val="106"/>
        </w:numPr>
        <w:rPr>
          <w:rFonts w:cs="Calibri"/>
          <w:sz w:val="24"/>
          <w:szCs w:val="24"/>
        </w:rPr>
      </w:pPr>
      <w:r w:rsidRPr="000E58CF">
        <w:rPr>
          <w:rFonts w:cs="Calibri"/>
          <w:sz w:val="24"/>
          <w:szCs w:val="24"/>
        </w:rPr>
        <w:t>Aggregated end-use load components at the feeder level, comprising three-phase induction motors (Motors A, B, and C), a performance-based residential air-conditioning model (Motor D), and power electronic and static (ZIP) loads. Motor D, developed from laboratory testing, represents single-phase residential induction motor loads such as air conditioners and refrigeration compressors.</w:t>
      </w:r>
    </w:p>
    <w:p w14:paraId="5A7B53D0" w14:textId="77777777" w:rsidR="000E58CF" w:rsidRPr="000E58CF" w:rsidRDefault="000E58CF" w:rsidP="000E58CF">
      <w:pPr>
        <w:numPr>
          <w:ilvl w:val="0"/>
          <w:numId w:val="106"/>
        </w:numPr>
        <w:rPr>
          <w:rFonts w:cs="Calibri"/>
          <w:sz w:val="24"/>
          <w:szCs w:val="24"/>
        </w:rPr>
      </w:pPr>
      <w:r w:rsidRPr="000E58CF">
        <w:rPr>
          <w:rFonts w:cs="Calibri"/>
          <w:sz w:val="24"/>
          <w:szCs w:val="24"/>
        </w:rPr>
        <w:t>The North American DER_A model [73] is integrated into the WECC Composite Load Model to provide a single aggregated representation of the distribution feeder, including both the composite load and feeder-level distributed energy resources (DERs). The model specification is publicly available on the WECC website [73].</w:t>
      </w:r>
    </w:p>
    <w:p w14:paraId="5A7B926C" w14:textId="1447BB00" w:rsidR="000E58CF" w:rsidRDefault="000E58CF" w:rsidP="00CD4F3A">
      <w:pPr>
        <w:rPr>
          <w:rFonts w:cs="Calibri"/>
          <w:sz w:val="24"/>
          <w:szCs w:val="24"/>
        </w:rPr>
      </w:pPr>
      <w:r w:rsidRPr="000E58CF">
        <w:rPr>
          <w:rFonts w:cs="Calibri"/>
          <w:sz w:val="24"/>
          <w:szCs w:val="24"/>
        </w:rPr>
        <w:lastRenderedPageBreak/>
        <w:t>Among these components, only the parameters associated with Motors A–D and the DER_A model, as described in the AEMO report</w:t>
      </w:r>
      <w:r w:rsidR="00AE07AE">
        <w:rPr>
          <w:rFonts w:cs="Calibri"/>
          <w:sz w:val="24"/>
          <w:szCs w:val="24"/>
        </w:rPr>
        <w:t xml:space="preserve"> []</w:t>
      </w:r>
      <w:r w:rsidRPr="000E58CF">
        <w:rPr>
          <w:rFonts w:cs="Calibri"/>
          <w:sz w:val="24"/>
          <w:szCs w:val="24"/>
        </w:rPr>
        <w:t>, were varied during the sensitivity study. The objective was to calibrate the modified CMLD so that its fault ride-through response at POC closely match</w:t>
      </w:r>
      <w:r w:rsidR="00AE07AE">
        <w:rPr>
          <w:rFonts w:cs="Calibri"/>
          <w:sz w:val="24"/>
          <w:szCs w:val="24"/>
        </w:rPr>
        <w:t>es</w:t>
      </w:r>
      <w:r w:rsidRPr="000E58CF">
        <w:rPr>
          <w:rFonts w:cs="Calibri"/>
          <w:sz w:val="24"/>
          <w:szCs w:val="24"/>
        </w:rPr>
        <w:t xml:space="preserve"> that of the detailed </w:t>
      </w:r>
      <w:r w:rsidR="00AE07AE">
        <w:rPr>
          <w:rFonts w:cs="Calibri"/>
          <w:sz w:val="24"/>
          <w:szCs w:val="24"/>
        </w:rPr>
        <w:t xml:space="preserve">large load </w:t>
      </w:r>
      <w:r w:rsidRPr="000E58CF">
        <w:rPr>
          <w:rFonts w:cs="Calibri"/>
          <w:sz w:val="24"/>
          <w:szCs w:val="24"/>
        </w:rPr>
        <w:t>model, while all other model components and parameters remain unchanged.</w:t>
      </w:r>
    </w:p>
    <w:p w14:paraId="15639635" w14:textId="44891871" w:rsidR="00C577CA" w:rsidRPr="00E27D3B" w:rsidRDefault="00C577CA" w:rsidP="00CD4F3A">
      <w:pPr>
        <w:rPr>
          <w:rFonts w:cs="Calibri"/>
          <w:sz w:val="24"/>
          <w:szCs w:val="24"/>
        </w:rPr>
      </w:pPr>
      <w:r w:rsidRPr="00E27D3B">
        <w:rPr>
          <w:rFonts w:cs="Calibri"/>
          <w:sz w:val="24"/>
          <w:szCs w:val="24"/>
        </w:rPr>
        <w:t>The following models have been developed in this stage (stage 5):</w:t>
      </w:r>
    </w:p>
    <w:p w14:paraId="2886194A" w14:textId="77777777" w:rsidR="00C577CA" w:rsidRPr="00E27D3B" w:rsidRDefault="00C577CA" w:rsidP="00CD4F3A">
      <w:pPr>
        <w:numPr>
          <w:ilvl w:val="0"/>
          <w:numId w:val="20"/>
        </w:numPr>
        <w:spacing w:after="160"/>
        <w:rPr>
          <w:rFonts w:cs="Calibri"/>
          <w:sz w:val="24"/>
          <w:szCs w:val="24"/>
        </w:rPr>
      </w:pPr>
      <w:r w:rsidRPr="00E27D3B">
        <w:rPr>
          <w:rFonts w:cs="Calibri"/>
          <w:sz w:val="24"/>
          <w:szCs w:val="24"/>
        </w:rPr>
        <w:t>Phasor domain power flow model.</w:t>
      </w:r>
    </w:p>
    <w:p w14:paraId="3B8501E7" w14:textId="77777777" w:rsidR="00C577CA" w:rsidRPr="00E27D3B" w:rsidRDefault="00C577CA" w:rsidP="00CD4F3A">
      <w:pPr>
        <w:numPr>
          <w:ilvl w:val="0"/>
          <w:numId w:val="20"/>
        </w:numPr>
        <w:spacing w:after="160"/>
        <w:rPr>
          <w:rFonts w:cs="Calibri"/>
          <w:sz w:val="24"/>
          <w:szCs w:val="24"/>
        </w:rPr>
      </w:pPr>
      <w:r w:rsidRPr="00E27D3B">
        <w:rPr>
          <w:rFonts w:cs="Calibri"/>
          <w:sz w:val="24"/>
          <w:szCs w:val="24"/>
        </w:rPr>
        <w:t>Phasor domain transient (PDT) dynamic model – standard library model.</w:t>
      </w:r>
    </w:p>
    <w:p w14:paraId="78A6C279" w14:textId="77777777" w:rsidR="00C577CA" w:rsidRPr="00E27D3B" w:rsidRDefault="00C577CA" w:rsidP="00CD4F3A">
      <w:pPr>
        <w:rPr>
          <w:rFonts w:cs="Calibri"/>
          <w:sz w:val="24"/>
          <w:szCs w:val="24"/>
        </w:rPr>
      </w:pPr>
      <w:r w:rsidRPr="00E27D3B">
        <w:rPr>
          <w:rFonts w:cs="Calibri"/>
          <w:sz w:val="24"/>
          <w:szCs w:val="24"/>
        </w:rPr>
        <w:t>The large load model has been assessed in accordance with the Dynamic Model Acceptance Test Guideline, as described in the following section.</w:t>
      </w:r>
      <w:r w:rsidRPr="00E27D3B">
        <w:rPr>
          <w:rFonts w:cs="Calibri"/>
          <w:vanish/>
          <w:sz w:val="24"/>
          <w:szCs w:val="24"/>
        </w:rPr>
        <w:t>Top of Form</w:t>
      </w:r>
    </w:p>
    <w:p w14:paraId="307F87B5" w14:textId="4E7791DD" w:rsidR="00C577CA" w:rsidRPr="00E27D3B" w:rsidRDefault="00C577CA" w:rsidP="00CD4F3A">
      <w:pPr>
        <w:rPr>
          <w:rFonts w:cs="Calibri"/>
          <w:sz w:val="24"/>
          <w:szCs w:val="24"/>
        </w:rPr>
      </w:pPr>
      <w:r w:rsidRPr="00E27D3B">
        <w:rPr>
          <w:rFonts w:cs="Calibri"/>
          <w:sz w:val="24"/>
          <w:szCs w:val="24"/>
        </w:rPr>
        <w:t xml:space="preserve">The generic model of the large load has been developed for stability studies in the frequency range below 10–15 Hz </w:t>
      </w:r>
      <w:r w:rsidRPr="00E27D3B">
        <w:rPr>
          <w:rFonts w:cs="Calibri"/>
          <w:sz w:val="24"/>
          <w:szCs w:val="24"/>
        </w:rPr>
        <w:fldChar w:fldCharType="begin"/>
      </w:r>
      <w:r w:rsidRPr="00E27D3B">
        <w:rPr>
          <w:rFonts w:cs="Calibri"/>
          <w:sz w:val="24"/>
          <w:szCs w:val="24"/>
        </w:rPr>
        <w:instrText xml:space="preserve"> REF _Ref224201063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[161]</w:t>
      </w:r>
      <w:r w:rsidRPr="00E27D3B">
        <w:rPr>
          <w:rFonts w:cs="Calibri"/>
          <w:sz w:val="24"/>
          <w:szCs w:val="24"/>
        </w:rPr>
        <w:fldChar w:fldCharType="end"/>
      </w:r>
      <w:r w:rsidRPr="00E27D3B">
        <w:rPr>
          <w:rFonts w:cs="Calibri"/>
          <w:sz w:val="24"/>
          <w:szCs w:val="24"/>
        </w:rPr>
        <w:t>,</w:t>
      </w:r>
      <w:r w:rsidRPr="00E27D3B">
        <w:rPr>
          <w:rFonts w:cs="Calibri"/>
          <w:sz w:val="24"/>
          <w:szCs w:val="24"/>
        </w:rPr>
        <w:fldChar w:fldCharType="begin"/>
      </w:r>
      <w:r w:rsidRPr="00E27D3B">
        <w:rPr>
          <w:rFonts w:cs="Calibri"/>
          <w:sz w:val="24"/>
          <w:szCs w:val="24"/>
        </w:rPr>
        <w:instrText xml:space="preserve"> REF _Ref224201203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[162]</w:t>
      </w:r>
      <w:r w:rsidRPr="00E27D3B">
        <w:rPr>
          <w:rFonts w:cs="Calibri"/>
          <w:sz w:val="24"/>
          <w:szCs w:val="24"/>
        </w:rPr>
        <w:fldChar w:fldCharType="end"/>
      </w:r>
      <w:r w:rsidRPr="00E27D3B">
        <w:rPr>
          <w:rFonts w:cs="Calibri"/>
          <w:sz w:val="24"/>
          <w:szCs w:val="24"/>
        </w:rPr>
        <w:t>. The model structure is based on a fundamental understanding of the large load characteristics and its associated control systems. It is worth noting that, unlike generation facilities, there is currently no explicit requirement for large loads to provide grid support services, nor are there stringent obligations for load facilities to submit detailed dynamic models comparable to those required for generators. Therefore, a suitably parameterised generic model is considered sufficient for assessing system stability impacts within the electromechanical frequency range.</w:t>
      </w:r>
    </w:p>
    <w:p w14:paraId="2785E606" w14:textId="5D409CC8" w:rsidR="00C577CA" w:rsidRPr="00E27D3B" w:rsidRDefault="00C577CA" w:rsidP="00CD4F3A">
      <w:pPr>
        <w:rPr>
          <w:rFonts w:cs="Calibri"/>
          <w:sz w:val="24"/>
          <w:szCs w:val="24"/>
        </w:rPr>
      </w:pPr>
      <w:r w:rsidRPr="00E27D3B">
        <w:rPr>
          <w:rFonts w:cs="Calibri"/>
          <w:sz w:val="24"/>
          <w:szCs w:val="24"/>
        </w:rPr>
        <w:t xml:space="preserve">Since electromagnetic transient (EMT) models are highly detailed and computationally intensive, it is more appropriate to develop them for specific facilities rather than adopting a fully generic approach. Detailed EMT models should therefore be prepared on a case-by-case basis, guided by a risk-based assessment framework as outlined in the Australian Energy Market Operator Power System Model Guidelines </w:t>
      </w:r>
      <w:r w:rsidRPr="00E27D3B">
        <w:rPr>
          <w:rFonts w:cs="Calibri"/>
          <w:sz w:val="24"/>
          <w:szCs w:val="24"/>
        </w:rPr>
        <w:fldChar w:fldCharType="begin"/>
      </w:r>
      <w:r w:rsidRPr="00E27D3B">
        <w:rPr>
          <w:rFonts w:cs="Calibri"/>
          <w:sz w:val="24"/>
          <w:szCs w:val="24"/>
        </w:rPr>
        <w:instrText xml:space="preserve"> REF _Ref224201063 \n \h  \* MERGEFORMAT </w:instrText>
      </w:r>
      <w:r w:rsidRPr="00E27D3B">
        <w:rPr>
          <w:rFonts w:cs="Calibri"/>
          <w:sz w:val="24"/>
          <w:szCs w:val="24"/>
        </w:rPr>
      </w:r>
      <w:r w:rsidRPr="00E27D3B">
        <w:rPr>
          <w:rFonts w:cs="Calibri"/>
          <w:sz w:val="24"/>
          <w:szCs w:val="24"/>
        </w:rPr>
        <w:fldChar w:fldCharType="separate"/>
      </w:r>
      <w:r w:rsidR="007078F5">
        <w:rPr>
          <w:rFonts w:cs="Calibri"/>
          <w:sz w:val="24"/>
          <w:szCs w:val="24"/>
        </w:rPr>
        <w:t>[161]</w:t>
      </w:r>
      <w:r w:rsidRPr="00E27D3B">
        <w:rPr>
          <w:rFonts w:cs="Calibri"/>
          <w:sz w:val="24"/>
          <w:szCs w:val="24"/>
        </w:rPr>
        <w:fldChar w:fldCharType="end"/>
      </w:r>
      <w:r w:rsidRPr="00E27D3B">
        <w:rPr>
          <w:rFonts w:cs="Calibri"/>
          <w:sz w:val="24"/>
          <w:szCs w:val="24"/>
        </w:rPr>
        <w:t>.</w:t>
      </w:r>
    </w:p>
    <w:p w14:paraId="56D641A8" w14:textId="77777777" w:rsidR="00C577CA" w:rsidRPr="00E27D3B" w:rsidRDefault="00C577CA" w:rsidP="00CD4F3A">
      <w:pPr>
        <w:rPr>
          <w:rFonts w:cs="Calibri"/>
          <w:sz w:val="24"/>
          <w:szCs w:val="24"/>
        </w:rPr>
      </w:pPr>
      <w:r w:rsidRPr="00E27D3B">
        <w:rPr>
          <w:rFonts w:cs="Calibri"/>
          <w:sz w:val="24"/>
          <w:szCs w:val="24"/>
        </w:rPr>
        <w:t>The risk-based assessment typically considers the following factors:</w:t>
      </w:r>
    </w:p>
    <w:p w14:paraId="74A19CD3"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The size and electrical strength of the connection point (e.g., fault level and system strength).</w:t>
      </w:r>
    </w:p>
    <w:p w14:paraId="770A3FD6"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The penetration level of inverter-based resources (IBRs) in the surrounding network.</w:t>
      </w:r>
    </w:p>
    <w:p w14:paraId="5F3FF83D"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The use of grid-forming or advanced converter control strategies.</w:t>
      </w:r>
    </w:p>
    <w:p w14:paraId="342333F9"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Proximity to system constraints or known oscillatory modes.</w:t>
      </w:r>
    </w:p>
    <w:p w14:paraId="458D9BF1"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The potential for adverse interactions with nearby generation, FACTS devices, or other large loads.</w:t>
      </w:r>
    </w:p>
    <w:p w14:paraId="64A44723" w14:textId="77777777" w:rsidR="00C577CA" w:rsidRPr="00E27D3B" w:rsidRDefault="00C577CA" w:rsidP="00CD4F3A">
      <w:pPr>
        <w:numPr>
          <w:ilvl w:val="0"/>
          <w:numId w:val="21"/>
        </w:numPr>
        <w:spacing w:after="160"/>
        <w:rPr>
          <w:rFonts w:cs="Calibri"/>
          <w:sz w:val="24"/>
          <w:szCs w:val="24"/>
        </w:rPr>
      </w:pPr>
      <w:r w:rsidRPr="00E27D3B">
        <w:rPr>
          <w:rFonts w:cs="Calibri"/>
          <w:sz w:val="24"/>
          <w:szCs w:val="24"/>
        </w:rPr>
        <w:t>Historical evidence of control interactions, harmonic issues, or instability in similar network conditions.</w:t>
      </w:r>
    </w:p>
    <w:p w14:paraId="0D49FAB6" w14:textId="77777777" w:rsidR="00C577CA" w:rsidRPr="00E27D3B" w:rsidRDefault="00C577CA" w:rsidP="00CD4F3A">
      <w:pPr>
        <w:pStyle w:val="Heading2"/>
      </w:pPr>
      <w:bookmarkStart w:id="425" w:name="_Toc224235094"/>
      <w:bookmarkStart w:id="426" w:name="_Toc233734336"/>
      <w:r w:rsidRPr="00E27D3B">
        <w:lastRenderedPageBreak/>
        <w:t>Methodology</w:t>
      </w:r>
      <w:bookmarkEnd w:id="425"/>
      <w:bookmarkEnd w:id="426"/>
      <w:r w:rsidRPr="00E27D3B">
        <w:t xml:space="preserve"> </w:t>
      </w:r>
    </w:p>
    <w:p w14:paraId="6A23C84B" w14:textId="7754E92A" w:rsidR="00C577CA" w:rsidRPr="00E27D3B" w:rsidRDefault="008505F4" w:rsidP="00CD4F3A">
      <w:pPr>
        <w:pStyle w:val="Heading3"/>
      </w:pPr>
      <w:r>
        <w:t xml:space="preserve">Overview of </w:t>
      </w:r>
      <w:r w:rsidR="00C577CA" w:rsidRPr="00E27D3B">
        <w:t>Dynamic Model Acceptance Test</w:t>
      </w:r>
    </w:p>
    <w:p w14:paraId="79C7DD94" w14:textId="70EAE6F3" w:rsidR="00C577CA" w:rsidRPr="00E27D3B" w:rsidRDefault="00C059A7" w:rsidP="00CD4F3A">
      <w:pPr>
        <w:rPr>
          <w:rFonts w:cs="Calibri"/>
          <w:sz w:val="24"/>
          <w:szCs w:val="24"/>
        </w:rPr>
      </w:pPr>
      <w:r>
        <w:rPr>
          <w:rFonts w:cs="Calibri"/>
          <w:sz w:val="24"/>
          <w:szCs w:val="24"/>
        </w:rPr>
        <w:t xml:space="preserve">The </w:t>
      </w:r>
      <w:r w:rsidR="00C577CA" w:rsidRPr="00E27D3B">
        <w:rPr>
          <w:rFonts w:cs="Calibri"/>
          <w:sz w:val="24"/>
          <w:szCs w:val="24"/>
        </w:rPr>
        <w:t xml:space="preserve">Australian Energy Market Operator (AEMO) has prepared this Guideline to explain how it assesses the accuracy, consistency, and robustness of computer models used for power system analysis. The acceptance test report outlines the process for conducting Dynamic Model Acceptance Tests (DMATs) for both root mean square (RMS) and electromagnetic transient (EMT) models </w:t>
      </w:r>
      <w:r w:rsidR="00C577CA" w:rsidRPr="00E27D3B">
        <w:rPr>
          <w:rFonts w:cs="Calibri"/>
          <w:sz w:val="24"/>
          <w:szCs w:val="24"/>
        </w:rPr>
        <w:fldChar w:fldCharType="begin"/>
      </w:r>
      <w:r w:rsidR="00C577CA" w:rsidRPr="00E27D3B">
        <w:rPr>
          <w:rFonts w:cs="Calibri"/>
          <w:sz w:val="24"/>
          <w:szCs w:val="24"/>
        </w:rPr>
        <w:instrText xml:space="preserve"> REF _Ref224201273 \n \h  \* MERGEFORMAT </w:instrText>
      </w:r>
      <w:r w:rsidR="00C577CA" w:rsidRPr="00E27D3B">
        <w:rPr>
          <w:rFonts w:cs="Calibri"/>
          <w:sz w:val="24"/>
          <w:szCs w:val="24"/>
        </w:rPr>
      </w:r>
      <w:r w:rsidR="00C577CA" w:rsidRPr="00E27D3B">
        <w:rPr>
          <w:rFonts w:cs="Calibri"/>
          <w:sz w:val="24"/>
          <w:szCs w:val="24"/>
        </w:rPr>
        <w:fldChar w:fldCharType="separate"/>
      </w:r>
      <w:r w:rsidR="00F37A79">
        <w:rPr>
          <w:rFonts w:cs="Calibri"/>
          <w:sz w:val="24"/>
          <w:szCs w:val="24"/>
        </w:rPr>
        <w:t>[163]</w:t>
      </w:r>
      <w:r w:rsidR="00C577CA" w:rsidRPr="00E27D3B">
        <w:rPr>
          <w:rFonts w:cs="Calibri"/>
          <w:sz w:val="24"/>
          <w:szCs w:val="24"/>
        </w:rPr>
        <w:fldChar w:fldCharType="end"/>
      </w:r>
      <w:r w:rsidR="00C577CA" w:rsidRPr="00E27D3B">
        <w:rPr>
          <w:rFonts w:cs="Calibri"/>
          <w:sz w:val="24"/>
          <w:szCs w:val="24"/>
        </w:rPr>
        <w:t>. DMATs are required to provide confidence that a model is usable, numerically stable, and capable of accurately representing the installed plant under reasonably expected operating conditions.</w:t>
      </w:r>
    </w:p>
    <w:p w14:paraId="038C6C08" w14:textId="77777777" w:rsidR="00C577CA" w:rsidRPr="00E27D3B" w:rsidRDefault="00C577CA" w:rsidP="00CD4F3A">
      <w:pPr>
        <w:rPr>
          <w:rFonts w:cs="Calibri"/>
          <w:sz w:val="24"/>
          <w:szCs w:val="24"/>
        </w:rPr>
      </w:pPr>
      <w:r w:rsidRPr="00E27D3B">
        <w:rPr>
          <w:rFonts w:cs="Calibri"/>
          <w:sz w:val="24"/>
          <w:szCs w:val="24"/>
        </w:rPr>
        <w:t>The objectives of the acceptance tests described in this document are to determine whether:</w:t>
      </w:r>
    </w:p>
    <w:p w14:paraId="3D192CB9"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accurately represents the physical plant and its control systems.</w:t>
      </w:r>
    </w:p>
    <w:p w14:paraId="09D5896E"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behaves correctly under steady-state and dynamic (disturbance) conditions.</w:t>
      </w:r>
    </w:p>
    <w:p w14:paraId="6005FABB"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is numerically stable and robust across a range of operating scenarios.</w:t>
      </w:r>
    </w:p>
    <w:p w14:paraId="6070B37F"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produces consistent and repeatable results.</w:t>
      </w:r>
    </w:p>
    <w:p w14:paraId="5EA2E7A0"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complies with AEMO’s modelling standards and performance requirements.</w:t>
      </w:r>
    </w:p>
    <w:p w14:paraId="2A9CD2D2" w14:textId="77777777" w:rsidR="00C577CA" w:rsidRPr="00E27D3B" w:rsidRDefault="00C577CA" w:rsidP="00CD4F3A">
      <w:pPr>
        <w:numPr>
          <w:ilvl w:val="0"/>
          <w:numId w:val="22"/>
        </w:numPr>
        <w:ind w:left="714" w:hanging="357"/>
        <w:rPr>
          <w:rFonts w:cs="Calibri"/>
          <w:sz w:val="24"/>
          <w:szCs w:val="24"/>
        </w:rPr>
      </w:pPr>
      <w:r w:rsidRPr="00E27D3B">
        <w:rPr>
          <w:rFonts w:cs="Calibri"/>
          <w:sz w:val="24"/>
          <w:szCs w:val="24"/>
        </w:rPr>
        <w:t>The model is suitable for use in power system planning, operational studies, and system security assessments.</w:t>
      </w:r>
    </w:p>
    <w:p w14:paraId="5D509921" w14:textId="77777777" w:rsidR="00C577CA" w:rsidRPr="00E27D3B" w:rsidRDefault="00C577CA" w:rsidP="00CD4F3A">
      <w:pPr>
        <w:rPr>
          <w:rFonts w:cs="Calibri"/>
          <w:sz w:val="24"/>
          <w:szCs w:val="24"/>
        </w:rPr>
      </w:pPr>
      <w:r w:rsidRPr="00E27D3B">
        <w:rPr>
          <w:rFonts w:cs="Calibri"/>
          <w:sz w:val="24"/>
          <w:szCs w:val="24"/>
        </w:rPr>
        <w:t>The following tests are outlined in the DMAT report for generators and battery energy storage systems.</w:t>
      </w:r>
    </w:p>
    <w:p w14:paraId="780F74D4"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Load flow and load ramp.</w:t>
      </w:r>
    </w:p>
    <w:p w14:paraId="0401F429"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Flat run test - test duration of 5 s and 300 s.</w:t>
      </w:r>
    </w:p>
    <w:p w14:paraId="5A008835"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Balanced fault -large disturbance test for the fault duration of 0.43 s and 0.5 s.</w:t>
      </w:r>
    </w:p>
    <w:p w14:paraId="617645C0"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Unbalanced fault - large disturbance test for the fault duration of 0.43 s and 0.5 s.</w:t>
      </w:r>
    </w:p>
    <w:p w14:paraId="115EB131"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Initialisation test.</w:t>
      </w:r>
    </w:p>
    <w:p w14:paraId="78C0617D"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Multiple-fault ride-through test.</w:t>
      </w:r>
    </w:p>
    <w:p w14:paraId="0768FD90"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Temporary overvoltage test for 0.1 s and 0.9 s.</w:t>
      </w:r>
    </w:p>
    <w:p w14:paraId="61D4283F"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Voltage reference step change.</w:t>
      </w:r>
    </w:p>
    <w:p w14:paraId="2318D5CD"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Active power controller reference step change.</w:t>
      </w:r>
    </w:p>
    <w:p w14:paraId="0ACED5F2"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Grid-frequency controller test.</w:t>
      </w:r>
    </w:p>
    <w:p w14:paraId="3BF2486E"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Grid voltage change -response test.</w:t>
      </w:r>
    </w:p>
    <w:p w14:paraId="58D1818C"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Grid voltage angle change response.</w:t>
      </w:r>
    </w:p>
    <w:p w14:paraId="7863ACAD"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FRT assessment for site-specific SCR and X/R.</w:t>
      </w:r>
    </w:p>
    <w:p w14:paraId="22E45A5E" w14:textId="77777777" w:rsidR="00C577CA" w:rsidRPr="00E27D3B" w:rsidRDefault="00C577CA" w:rsidP="00CD4F3A">
      <w:pPr>
        <w:numPr>
          <w:ilvl w:val="0"/>
          <w:numId w:val="23"/>
        </w:numPr>
        <w:ind w:left="714" w:hanging="357"/>
        <w:rPr>
          <w:rFonts w:cs="Calibri"/>
          <w:sz w:val="24"/>
          <w:szCs w:val="24"/>
        </w:rPr>
      </w:pPr>
      <w:r w:rsidRPr="00E27D3B">
        <w:rPr>
          <w:rFonts w:cs="Calibri"/>
          <w:sz w:val="24"/>
          <w:szCs w:val="24"/>
        </w:rPr>
        <w:t>Input-power source step change.</w:t>
      </w:r>
    </w:p>
    <w:p w14:paraId="0FDA53AA" w14:textId="77777777" w:rsidR="008505F4" w:rsidRDefault="008505F4" w:rsidP="00CD4F3A">
      <w:pPr>
        <w:rPr>
          <w:rFonts w:cs="Calibri"/>
          <w:sz w:val="24"/>
          <w:szCs w:val="24"/>
        </w:rPr>
      </w:pPr>
    </w:p>
    <w:p w14:paraId="24E3C9B0" w14:textId="72126561" w:rsidR="008505F4" w:rsidRPr="008505F4" w:rsidRDefault="008505F4" w:rsidP="00CD4F3A">
      <w:pPr>
        <w:pStyle w:val="Heading3"/>
      </w:pPr>
      <w:r w:rsidRPr="00E27D3B">
        <w:lastRenderedPageBreak/>
        <w:t>Dynamic Model Acceptance Test</w:t>
      </w:r>
    </w:p>
    <w:p w14:paraId="2D6B82D2" w14:textId="5A55B3E9" w:rsidR="00C577CA" w:rsidRPr="00E27D3B" w:rsidRDefault="00C577CA" w:rsidP="0024577B">
      <w:pPr>
        <w:spacing w:after="0"/>
        <w:rPr>
          <w:rFonts w:cs="Calibri"/>
          <w:sz w:val="24"/>
          <w:szCs w:val="24"/>
        </w:rPr>
      </w:pPr>
      <w:r w:rsidRPr="00E27D3B">
        <w:rPr>
          <w:rFonts w:cs="Calibri"/>
          <w:sz w:val="24"/>
          <w:szCs w:val="24"/>
        </w:rPr>
        <w:t>However, there is currently no formal guideline for testing and validating large load dynamic models. It is important to note that not all tests applicable to generators and battery energy storage systems are suitable for large load models. Therefore, in consultation with an AEMO representative, we have developed the following dynamic model acceptance tests specifically for large loads:</w:t>
      </w:r>
    </w:p>
    <w:p w14:paraId="10866E63" w14:textId="77777777" w:rsidR="00C577CA" w:rsidRPr="00E27D3B" w:rsidRDefault="00C577CA" w:rsidP="0024577B">
      <w:pPr>
        <w:numPr>
          <w:ilvl w:val="0"/>
          <w:numId w:val="24"/>
        </w:numPr>
        <w:spacing w:after="0"/>
        <w:ind w:left="714" w:hanging="357"/>
        <w:rPr>
          <w:rFonts w:cs="Calibri"/>
          <w:sz w:val="24"/>
          <w:szCs w:val="24"/>
        </w:rPr>
      </w:pPr>
      <w:r w:rsidRPr="00E27D3B">
        <w:rPr>
          <w:rFonts w:cs="Calibri"/>
          <w:sz w:val="24"/>
          <w:szCs w:val="24"/>
        </w:rPr>
        <w:t>Load flow and load ramp.</w:t>
      </w:r>
    </w:p>
    <w:p w14:paraId="10457301" w14:textId="77777777" w:rsidR="00C577CA" w:rsidRPr="00E27D3B" w:rsidRDefault="00C577CA" w:rsidP="0024577B">
      <w:pPr>
        <w:numPr>
          <w:ilvl w:val="0"/>
          <w:numId w:val="24"/>
        </w:numPr>
        <w:spacing w:after="0"/>
        <w:ind w:left="714" w:hanging="357"/>
        <w:rPr>
          <w:rFonts w:cs="Calibri"/>
          <w:sz w:val="24"/>
          <w:szCs w:val="24"/>
        </w:rPr>
      </w:pPr>
      <w:r w:rsidRPr="00E27D3B">
        <w:rPr>
          <w:rFonts w:cs="Calibri"/>
          <w:sz w:val="24"/>
          <w:szCs w:val="24"/>
        </w:rPr>
        <w:t>Flat run test - test duration of 5 s and 300 s.</w:t>
      </w:r>
    </w:p>
    <w:p w14:paraId="5359B931" w14:textId="77777777" w:rsidR="00C577CA" w:rsidRPr="00E27D3B" w:rsidRDefault="00C577CA" w:rsidP="0024577B">
      <w:pPr>
        <w:numPr>
          <w:ilvl w:val="0"/>
          <w:numId w:val="24"/>
        </w:numPr>
        <w:spacing w:after="0"/>
        <w:ind w:left="714" w:hanging="357"/>
        <w:rPr>
          <w:rFonts w:cs="Calibri"/>
          <w:sz w:val="24"/>
          <w:szCs w:val="24"/>
        </w:rPr>
      </w:pPr>
      <w:r w:rsidRPr="00E27D3B">
        <w:rPr>
          <w:rFonts w:cs="Calibri"/>
          <w:sz w:val="24"/>
          <w:szCs w:val="24"/>
        </w:rPr>
        <w:t>Balanced fault -large disturbance test for the fault duration of 0.43 s and 0.5 s.</w:t>
      </w:r>
    </w:p>
    <w:p w14:paraId="34225FBF" w14:textId="77777777" w:rsidR="00C577CA" w:rsidRPr="00E27D3B" w:rsidRDefault="00C577CA" w:rsidP="0024577B">
      <w:pPr>
        <w:numPr>
          <w:ilvl w:val="0"/>
          <w:numId w:val="24"/>
        </w:numPr>
        <w:spacing w:after="0"/>
        <w:ind w:left="714" w:hanging="357"/>
        <w:rPr>
          <w:rFonts w:cs="Calibri"/>
          <w:sz w:val="24"/>
          <w:szCs w:val="24"/>
        </w:rPr>
      </w:pPr>
      <w:r w:rsidRPr="00E27D3B">
        <w:rPr>
          <w:rFonts w:cs="Calibri"/>
          <w:sz w:val="24"/>
          <w:szCs w:val="24"/>
        </w:rPr>
        <w:t>Unbalanced fault - large disturbance test for the fault duration of 0.43 s and 0.5 s.</w:t>
      </w:r>
    </w:p>
    <w:p w14:paraId="25BFFF26" w14:textId="77777777" w:rsidR="00C577CA" w:rsidRPr="00E27D3B" w:rsidRDefault="00C577CA" w:rsidP="0024577B">
      <w:pPr>
        <w:numPr>
          <w:ilvl w:val="0"/>
          <w:numId w:val="24"/>
        </w:numPr>
        <w:spacing w:after="0"/>
        <w:ind w:left="714" w:hanging="357"/>
        <w:rPr>
          <w:rFonts w:cs="Calibri"/>
          <w:sz w:val="24"/>
          <w:szCs w:val="24"/>
        </w:rPr>
      </w:pPr>
      <w:r w:rsidRPr="00E27D3B">
        <w:rPr>
          <w:rFonts w:cs="Calibri"/>
          <w:sz w:val="24"/>
          <w:szCs w:val="24"/>
        </w:rPr>
        <w:t>FRT assessment for site-specific SCR and X/R.</w:t>
      </w:r>
    </w:p>
    <w:p w14:paraId="51AC29B3" w14:textId="76DE1F2E" w:rsidR="00C577CA" w:rsidRPr="00E27D3B" w:rsidRDefault="00C577CA" w:rsidP="0024577B">
      <w:pPr>
        <w:spacing w:after="0"/>
        <w:rPr>
          <w:rFonts w:cs="Calibri"/>
          <w:sz w:val="24"/>
          <w:szCs w:val="24"/>
        </w:rPr>
      </w:pPr>
      <w:r w:rsidRPr="00E27D3B">
        <w:rPr>
          <w:rFonts w:cs="Calibri"/>
          <w:sz w:val="24"/>
          <w:szCs w:val="24"/>
        </w:rPr>
        <w:t xml:space="preserve">It should be worth noting that the dynamic model acceptance tests used in this work are also aligned with the NERC FAC 002 – Interconnection Standards for Transmission Planner. NERC FAC 002 (Interconnection Standards for Transmission Planner) is provided in </w:t>
      </w:r>
      <w:proofErr w:type="spellStart"/>
      <w:r w:rsidR="00A170BA">
        <w:rPr>
          <w:rFonts w:cs="Calibri"/>
          <w:sz w:val="24"/>
          <w:szCs w:val="24"/>
        </w:rPr>
        <w:t>Apx</w:t>
      </w:r>
      <w:proofErr w:type="spellEnd"/>
      <w:r w:rsidR="00A170BA">
        <w:rPr>
          <w:rFonts w:cs="Calibri"/>
          <w:sz w:val="24"/>
          <w:szCs w:val="24"/>
        </w:rPr>
        <w:t xml:space="preserve"> Table 11 in the</w:t>
      </w:r>
      <w:r w:rsidRPr="00E27D3B">
        <w:rPr>
          <w:rFonts w:cs="Calibri"/>
          <w:sz w:val="24"/>
          <w:szCs w:val="24"/>
        </w:rPr>
        <w:t xml:space="preserve"> </w:t>
      </w:r>
      <w:r w:rsidRPr="00547C88">
        <w:rPr>
          <w:rFonts w:cs="Calibri"/>
          <w:sz w:val="24"/>
          <w:szCs w:val="24"/>
        </w:rPr>
        <w:t xml:space="preserve">Appendix </w:t>
      </w:r>
      <w:r w:rsidR="00A170BA">
        <w:rPr>
          <w:rFonts w:cs="Calibri"/>
          <w:sz w:val="24"/>
          <w:szCs w:val="24"/>
        </w:rPr>
        <w:t>A1</w:t>
      </w:r>
      <w:r w:rsidRPr="00547C88">
        <w:rPr>
          <w:rFonts w:cs="Calibri"/>
          <w:sz w:val="24"/>
          <w:szCs w:val="24"/>
        </w:rPr>
        <w:t>.</w:t>
      </w:r>
      <w:r w:rsidRPr="00E27D3B">
        <w:rPr>
          <w:rFonts w:cs="Calibri"/>
          <w:sz w:val="24"/>
          <w:szCs w:val="24"/>
        </w:rPr>
        <w:t xml:space="preserve"> </w:t>
      </w:r>
    </w:p>
    <w:p w14:paraId="54C88A26" w14:textId="77777777" w:rsidR="00C577CA" w:rsidRPr="00E27D3B" w:rsidRDefault="00C577CA" w:rsidP="00CD4F3A">
      <w:pPr>
        <w:pStyle w:val="Heading2"/>
      </w:pPr>
      <w:bookmarkStart w:id="427" w:name="_Toc224235095"/>
      <w:bookmarkStart w:id="428" w:name="_Toc233734337"/>
      <w:r w:rsidRPr="00E27D3B">
        <w:t>Test System and Numerical Simulations</w:t>
      </w:r>
      <w:bookmarkEnd w:id="427"/>
      <w:bookmarkEnd w:id="428"/>
    </w:p>
    <w:p w14:paraId="2C68B0A4" w14:textId="2DFAE33F" w:rsidR="00C577CA" w:rsidRPr="00E27D3B" w:rsidRDefault="00C577CA" w:rsidP="0024577B">
      <w:pPr>
        <w:spacing w:after="0"/>
        <w:rPr>
          <w:rFonts w:cs="Calibri"/>
          <w:sz w:val="24"/>
          <w:szCs w:val="24"/>
        </w:rPr>
      </w:pPr>
      <w:r w:rsidRPr="00E27D3B">
        <w:rPr>
          <w:rFonts w:cs="Calibri"/>
          <w:sz w:val="24"/>
          <w:szCs w:val="24"/>
        </w:rPr>
        <w:t xml:space="preserve">The following two simple test systems (given in </w:t>
      </w:r>
      <w:r>
        <w:rPr>
          <w:rFonts w:cs="Calibri"/>
          <w:sz w:val="24"/>
          <w:szCs w:val="24"/>
        </w:rPr>
        <w:fldChar w:fldCharType="begin"/>
      </w:r>
      <w:r>
        <w:rPr>
          <w:rFonts w:cs="Calibri"/>
          <w:sz w:val="24"/>
          <w:szCs w:val="24"/>
        </w:rPr>
        <w:instrText xml:space="preserve"> REF _Ref224226400 \h  \* MERGEFORMAT </w:instrText>
      </w:r>
      <w:r>
        <w:rPr>
          <w:rFonts w:cs="Calibri"/>
          <w:sz w:val="24"/>
          <w:szCs w:val="24"/>
        </w:rPr>
      </w:r>
      <w:r>
        <w:rPr>
          <w:rFonts w:cs="Calibri"/>
          <w:sz w:val="24"/>
          <w:szCs w:val="24"/>
        </w:rPr>
        <w:fldChar w:fldCharType="separate"/>
      </w:r>
      <w:r w:rsidR="00F37A79" w:rsidRPr="00F37A79">
        <w:rPr>
          <w:sz w:val="24"/>
          <w:szCs w:val="24"/>
        </w:rPr>
        <w:t xml:space="preserve">Figure </w:t>
      </w:r>
      <w:r w:rsidR="00F37A79" w:rsidRPr="00F37A79">
        <w:rPr>
          <w:noProof/>
          <w:sz w:val="24"/>
          <w:szCs w:val="24"/>
        </w:rPr>
        <w:t>6</w:t>
      </w:r>
      <w:r w:rsidR="007D06D7">
        <w:rPr>
          <w:noProof/>
          <w:sz w:val="24"/>
          <w:szCs w:val="24"/>
        </w:rPr>
        <w:t>8</w:t>
      </w:r>
      <w:r>
        <w:rPr>
          <w:rFonts w:cs="Calibri"/>
          <w:sz w:val="24"/>
          <w:szCs w:val="24"/>
        </w:rPr>
        <w:fldChar w:fldCharType="end"/>
      </w:r>
      <w:r w:rsidRPr="00E27D3B">
        <w:rPr>
          <w:rFonts w:cs="Calibri"/>
          <w:sz w:val="24"/>
          <w:szCs w:val="24"/>
        </w:rPr>
        <w:t xml:space="preserve"> (a) and (b)), as recommended in the Dynamic Model Acceptance Test (DMAT) report, are used in this work to perform the dynamic acceptance testing of the large load model. It is worth noting that the wind turbine model shown in </w:t>
      </w:r>
      <w:r>
        <w:rPr>
          <w:rFonts w:cs="Calibri"/>
          <w:sz w:val="24"/>
          <w:szCs w:val="24"/>
        </w:rPr>
        <w:fldChar w:fldCharType="begin"/>
      </w:r>
      <w:r>
        <w:rPr>
          <w:rFonts w:cs="Calibri"/>
          <w:sz w:val="24"/>
          <w:szCs w:val="24"/>
        </w:rPr>
        <w:instrText xml:space="preserve"> REF _Ref224226400 \h  \* MERGEFORMAT </w:instrText>
      </w:r>
      <w:r>
        <w:rPr>
          <w:rFonts w:cs="Calibri"/>
          <w:sz w:val="24"/>
          <w:szCs w:val="24"/>
        </w:rPr>
      </w:r>
      <w:r>
        <w:rPr>
          <w:rFonts w:cs="Calibri"/>
          <w:sz w:val="24"/>
          <w:szCs w:val="24"/>
        </w:rPr>
        <w:fldChar w:fldCharType="separate"/>
      </w:r>
      <w:r w:rsidR="00F37A79" w:rsidRPr="00F37A79">
        <w:rPr>
          <w:sz w:val="24"/>
          <w:szCs w:val="24"/>
        </w:rPr>
        <w:t xml:space="preserve">Figure </w:t>
      </w:r>
      <w:r w:rsidR="00F37A79" w:rsidRPr="00F37A79">
        <w:rPr>
          <w:noProof/>
          <w:sz w:val="24"/>
          <w:szCs w:val="24"/>
        </w:rPr>
        <w:t>67</w:t>
      </w:r>
      <w:r>
        <w:rPr>
          <w:rFonts w:cs="Calibri"/>
          <w:sz w:val="24"/>
          <w:szCs w:val="24"/>
        </w:rPr>
        <w:fldChar w:fldCharType="end"/>
      </w:r>
      <w:r>
        <w:rPr>
          <w:rFonts w:cs="Calibri"/>
          <w:sz w:val="24"/>
          <w:szCs w:val="24"/>
        </w:rPr>
        <w:t xml:space="preserve"> </w:t>
      </w:r>
      <w:r w:rsidRPr="00E27D3B">
        <w:rPr>
          <w:rFonts w:cs="Calibri"/>
          <w:sz w:val="24"/>
          <w:szCs w:val="24"/>
        </w:rPr>
        <w:t xml:space="preserve">(a) is represented using a grid-forming converter with virtual synchronous generator (VSG) control. The model parameters have been adopted from the Australian Energy Market Operator (AEMO) Dynamic Model Acceptance Test guidelines </w:t>
      </w:r>
      <w:r w:rsidRPr="00E27D3B">
        <w:rPr>
          <w:rFonts w:cs="Calibri"/>
          <w:sz w:val="24"/>
          <w:szCs w:val="24"/>
        </w:rPr>
        <w:fldChar w:fldCharType="begin"/>
      </w:r>
      <w:r w:rsidRPr="00E27D3B">
        <w:rPr>
          <w:rFonts w:cs="Calibri"/>
          <w:sz w:val="24"/>
          <w:szCs w:val="24"/>
        </w:rPr>
        <w:instrText xml:space="preserve"> REF _Ref224201273 \n \h  \* MERGEFORMAT </w:instrText>
      </w:r>
      <w:r w:rsidRPr="00E27D3B">
        <w:rPr>
          <w:rFonts w:cs="Calibri"/>
          <w:sz w:val="24"/>
          <w:szCs w:val="24"/>
        </w:rPr>
      </w:r>
      <w:r w:rsidRPr="00E27D3B">
        <w:rPr>
          <w:rFonts w:cs="Calibri"/>
          <w:sz w:val="24"/>
          <w:szCs w:val="24"/>
        </w:rPr>
        <w:fldChar w:fldCharType="separate"/>
      </w:r>
      <w:r w:rsidR="00F37A79">
        <w:rPr>
          <w:rFonts w:cs="Calibri"/>
          <w:sz w:val="24"/>
          <w:szCs w:val="24"/>
        </w:rPr>
        <w:t>[163]</w:t>
      </w:r>
      <w:r w:rsidRPr="00E27D3B">
        <w:rPr>
          <w:rFonts w:cs="Calibri"/>
          <w:sz w:val="24"/>
          <w:szCs w:val="24"/>
        </w:rPr>
        <w:fldChar w:fldCharType="end"/>
      </w:r>
      <w:r w:rsidRPr="00E27D3B">
        <w:rPr>
          <w:rFonts w:cs="Calibri"/>
          <w:sz w:val="24"/>
          <w:szCs w:val="24"/>
        </w:rPr>
        <w:t xml:space="preserve">. Furthermore, to capture the interaction between multiple wind turbines and their associated control systems, the wind generators are modelled using collector systems with parallel-connected generator units. This approach enables a more realistic representation of aggregated wind farm behaviour and control interactions under dynamic conditions.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577CA" w:rsidRPr="00E27D3B" w14:paraId="7E53400C" w14:textId="77777777" w:rsidTr="0002386E">
        <w:tc>
          <w:tcPr>
            <w:tcW w:w="9628" w:type="dxa"/>
          </w:tcPr>
          <w:p w14:paraId="474D5F71" w14:textId="77777777" w:rsidR="00C577CA" w:rsidRPr="00E27D3B" w:rsidRDefault="00C577CA" w:rsidP="00CD4F3A">
            <w:pPr>
              <w:jc w:val="center"/>
              <w:rPr>
                <w:rFonts w:cs="Calibri"/>
                <w:sz w:val="24"/>
                <w:szCs w:val="24"/>
              </w:rPr>
            </w:pPr>
            <w:r w:rsidRPr="00E27D3B">
              <w:rPr>
                <w:rFonts w:cs="Calibri"/>
                <w:noProof/>
                <w:sz w:val="24"/>
                <w:szCs w:val="24"/>
              </w:rPr>
              <w:drawing>
                <wp:inline distT="0" distB="0" distL="0" distR="0" wp14:anchorId="7A0F62B2" wp14:editId="3B4A3303">
                  <wp:extent cx="4955340" cy="1162798"/>
                  <wp:effectExtent l="0" t="0" r="0" b="0"/>
                  <wp:docPr id="39445545" name="Picture 9">
                    <a:extLst xmlns:a="http://schemas.openxmlformats.org/drawingml/2006/main">
                      <a:ext uri="{FF2B5EF4-FFF2-40B4-BE49-F238E27FC236}">
                        <a16:creationId xmlns:a16="http://schemas.microsoft.com/office/drawing/2014/main" id="{ABD16512-EF08-9723-33AB-485FD1573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BD16512-EF08-9723-33AB-485FD1573614}"/>
                              </a:ext>
                            </a:extLst>
                          </pic:cNvPr>
                          <pic:cNvPicPr>
                            <a:picLocks noChangeAspect="1"/>
                          </pic:cNvPicPr>
                        </pic:nvPicPr>
                        <pic:blipFill>
                          <a:blip r:embed="rId144"/>
                          <a:stretch>
                            <a:fillRect/>
                          </a:stretch>
                        </pic:blipFill>
                        <pic:spPr>
                          <a:xfrm>
                            <a:off x="0" y="0"/>
                            <a:ext cx="4999797" cy="1173230"/>
                          </a:xfrm>
                          <a:prstGeom prst="rect">
                            <a:avLst/>
                          </a:prstGeom>
                        </pic:spPr>
                      </pic:pic>
                    </a:graphicData>
                  </a:graphic>
                </wp:inline>
              </w:drawing>
            </w:r>
          </w:p>
        </w:tc>
      </w:tr>
      <w:tr w:rsidR="00C577CA" w:rsidRPr="00E27D3B" w14:paraId="07E91C2B" w14:textId="77777777" w:rsidTr="0002386E">
        <w:tc>
          <w:tcPr>
            <w:tcW w:w="9628" w:type="dxa"/>
          </w:tcPr>
          <w:p w14:paraId="5ACD0FEF" w14:textId="77777777" w:rsidR="00C577CA" w:rsidRPr="00E27D3B" w:rsidRDefault="00C577CA" w:rsidP="00CD4F3A">
            <w:pPr>
              <w:jc w:val="center"/>
              <w:rPr>
                <w:rFonts w:cs="Calibri"/>
                <w:sz w:val="24"/>
                <w:szCs w:val="24"/>
              </w:rPr>
            </w:pPr>
            <w:r w:rsidRPr="00E27D3B">
              <w:rPr>
                <w:rFonts w:cs="Calibri"/>
                <w:sz w:val="24"/>
                <w:szCs w:val="24"/>
              </w:rPr>
              <w:t>(a)</w:t>
            </w:r>
          </w:p>
        </w:tc>
      </w:tr>
      <w:tr w:rsidR="00C577CA" w:rsidRPr="00E27D3B" w14:paraId="7D191389" w14:textId="77777777" w:rsidTr="0002386E">
        <w:tc>
          <w:tcPr>
            <w:tcW w:w="9628" w:type="dxa"/>
          </w:tcPr>
          <w:p w14:paraId="14EA5705" w14:textId="77777777" w:rsidR="00C577CA" w:rsidRPr="00E27D3B" w:rsidRDefault="00C577CA" w:rsidP="00CD4F3A">
            <w:pPr>
              <w:jc w:val="center"/>
              <w:rPr>
                <w:rFonts w:cs="Calibri"/>
                <w:sz w:val="24"/>
                <w:szCs w:val="24"/>
              </w:rPr>
            </w:pPr>
            <w:r w:rsidRPr="00E27D3B">
              <w:rPr>
                <w:rFonts w:cs="Calibri"/>
                <w:noProof/>
                <w:sz w:val="24"/>
                <w:szCs w:val="24"/>
              </w:rPr>
              <w:lastRenderedPageBreak/>
              <w:drawing>
                <wp:inline distT="0" distB="0" distL="0" distR="0" wp14:anchorId="2893C6BE" wp14:editId="483C39E5">
                  <wp:extent cx="4716000" cy="1272263"/>
                  <wp:effectExtent l="0" t="0" r="0" b="0"/>
                  <wp:docPr id="12" name="Picture 11">
                    <a:extLst xmlns:a="http://schemas.openxmlformats.org/drawingml/2006/main">
                      <a:ext uri="{FF2B5EF4-FFF2-40B4-BE49-F238E27FC236}">
                        <a16:creationId xmlns:a16="http://schemas.microsoft.com/office/drawing/2014/main" id="{17630EFF-9763-0054-B150-5AFA45C4D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17630EFF-9763-0054-B150-5AFA45C4DE57}"/>
                              </a:ext>
                            </a:extLst>
                          </pic:cNvPr>
                          <pic:cNvPicPr>
                            <a:picLocks noChangeAspect="1"/>
                          </pic:cNvPicPr>
                        </pic:nvPicPr>
                        <pic:blipFill>
                          <a:blip r:embed="rId145"/>
                          <a:stretch>
                            <a:fillRect/>
                          </a:stretch>
                        </pic:blipFill>
                        <pic:spPr>
                          <a:xfrm>
                            <a:off x="0" y="0"/>
                            <a:ext cx="4716000" cy="1272263"/>
                          </a:xfrm>
                          <a:prstGeom prst="rect">
                            <a:avLst/>
                          </a:prstGeom>
                        </pic:spPr>
                      </pic:pic>
                    </a:graphicData>
                  </a:graphic>
                </wp:inline>
              </w:drawing>
            </w:r>
          </w:p>
        </w:tc>
      </w:tr>
      <w:tr w:rsidR="00C577CA" w:rsidRPr="00E27D3B" w14:paraId="5644191B" w14:textId="77777777" w:rsidTr="0002386E">
        <w:tc>
          <w:tcPr>
            <w:tcW w:w="9628" w:type="dxa"/>
          </w:tcPr>
          <w:p w14:paraId="460F5BDD" w14:textId="77777777" w:rsidR="00C577CA" w:rsidRPr="00E27D3B" w:rsidRDefault="00C577CA" w:rsidP="00CD4F3A">
            <w:pPr>
              <w:keepNext/>
              <w:jc w:val="center"/>
              <w:rPr>
                <w:rFonts w:cs="Calibri"/>
                <w:sz w:val="24"/>
                <w:szCs w:val="24"/>
              </w:rPr>
            </w:pPr>
            <w:r w:rsidRPr="00E27D3B">
              <w:rPr>
                <w:rFonts w:cs="Calibri"/>
                <w:sz w:val="24"/>
                <w:szCs w:val="24"/>
              </w:rPr>
              <w:t>(b)</w:t>
            </w:r>
          </w:p>
        </w:tc>
      </w:tr>
    </w:tbl>
    <w:p w14:paraId="0D840943" w14:textId="32CB3C27" w:rsidR="00C577CA" w:rsidRPr="00E27D3B" w:rsidRDefault="00C577CA" w:rsidP="00CD4F3A">
      <w:pPr>
        <w:pStyle w:val="Caption"/>
        <w:spacing w:line="240" w:lineRule="auto"/>
        <w:rPr>
          <w:rFonts w:cs="Calibri"/>
          <w:sz w:val="24"/>
          <w:szCs w:val="24"/>
        </w:rPr>
      </w:pPr>
      <w:bookmarkStart w:id="429" w:name="_Ref224226400"/>
      <w:bookmarkStart w:id="430" w:name="_Toc224235152"/>
      <w:bookmarkStart w:id="431" w:name="_Toc233735074"/>
      <w:r>
        <w:t xml:space="preserve">Figure </w:t>
      </w:r>
      <w:fldSimple w:instr=" SEQ Figure \* ARABIC ">
        <w:r w:rsidR="00A85006">
          <w:rPr>
            <w:noProof/>
          </w:rPr>
          <w:t>6</w:t>
        </w:r>
        <w:r w:rsidR="007D06D7">
          <w:rPr>
            <w:noProof/>
          </w:rPr>
          <w:t>8</w:t>
        </w:r>
      </w:fldSimple>
      <w:bookmarkEnd w:id="429"/>
      <w:r w:rsidRPr="00613D39">
        <w:t xml:space="preserve">: Network for dynamic model acceptance test: (a) Network with wind turbine; (b) Network with Synchronous generator </w:t>
      </w:r>
      <w:r>
        <w:fldChar w:fldCharType="begin"/>
      </w:r>
      <w:r>
        <w:instrText xml:space="preserve"> REF _Ref224201273 \n \h </w:instrText>
      </w:r>
      <w:r w:rsidR="00CD4F3A">
        <w:instrText xml:space="preserve"> \* MERGEFORMAT </w:instrText>
      </w:r>
      <w:r>
        <w:fldChar w:fldCharType="separate"/>
      </w:r>
      <w:r w:rsidR="00753DAF">
        <w:rPr>
          <w:cs/>
        </w:rPr>
        <w:t>‎</w:t>
      </w:r>
      <w:r w:rsidR="00753DAF">
        <w:t>[150]</w:t>
      </w:r>
      <w:r>
        <w:fldChar w:fldCharType="end"/>
      </w:r>
      <w:r w:rsidRPr="00613D39">
        <w:t>.</w:t>
      </w:r>
      <w:bookmarkEnd w:id="430"/>
      <w:bookmarkEnd w:id="431"/>
    </w:p>
    <w:p w14:paraId="1D640AC3" w14:textId="7BEB570B" w:rsidR="00C577CA" w:rsidRPr="00547C88" w:rsidRDefault="00C577CA" w:rsidP="0024577B">
      <w:pPr>
        <w:spacing w:after="0"/>
        <w:rPr>
          <w:sz w:val="24"/>
          <w:szCs w:val="24"/>
        </w:rPr>
      </w:pPr>
      <w:r w:rsidRPr="00E27D3B">
        <w:rPr>
          <w:rFonts w:cs="Calibri"/>
          <w:sz w:val="24"/>
          <w:szCs w:val="24"/>
        </w:rPr>
        <w:t>The outcomes of the model acceptance test</w:t>
      </w:r>
      <w:r w:rsidR="002A613A">
        <w:rPr>
          <w:rFonts w:cs="Calibri"/>
          <w:sz w:val="24"/>
          <w:szCs w:val="24"/>
        </w:rPr>
        <w:t>s</w:t>
      </w:r>
      <w:r w:rsidRPr="00E27D3B">
        <w:rPr>
          <w:rFonts w:cs="Calibri"/>
          <w:sz w:val="24"/>
          <w:szCs w:val="24"/>
        </w:rPr>
        <w:t xml:space="preserve"> are presented in</w:t>
      </w:r>
      <w:r>
        <w:rPr>
          <w:rFonts w:cs="Calibri"/>
          <w:sz w:val="24"/>
          <w:szCs w:val="24"/>
        </w:rPr>
        <w:t xml:space="preserve"> </w:t>
      </w:r>
      <w:r w:rsidRPr="000674AC">
        <w:rPr>
          <w:rFonts w:cs="Calibri"/>
          <w:sz w:val="24"/>
          <w:szCs w:val="24"/>
        </w:rPr>
        <w:fldChar w:fldCharType="begin"/>
      </w:r>
      <w:r w:rsidRPr="000674AC">
        <w:rPr>
          <w:rFonts w:cs="Calibri"/>
          <w:sz w:val="24"/>
          <w:szCs w:val="24"/>
        </w:rPr>
        <w:instrText xml:space="preserve"> REF _Ref224227101 \h </w:instrText>
      </w:r>
      <w:r>
        <w:rPr>
          <w:rFonts w:cs="Calibri"/>
          <w:sz w:val="24"/>
          <w:szCs w:val="24"/>
        </w:rPr>
        <w:instrText xml:space="preserve"> \* MERGEFORMAT </w:instrText>
      </w:r>
      <w:r w:rsidRPr="000674AC">
        <w:rPr>
          <w:rFonts w:cs="Calibri"/>
          <w:sz w:val="24"/>
          <w:szCs w:val="24"/>
        </w:rPr>
      </w:r>
      <w:r w:rsidRPr="000674AC">
        <w:rPr>
          <w:rFonts w:cs="Calibri"/>
          <w:sz w:val="24"/>
          <w:szCs w:val="24"/>
        </w:rPr>
        <w:fldChar w:fldCharType="separate"/>
      </w:r>
      <w:r w:rsidR="00753DAF" w:rsidRPr="00753DAF">
        <w:rPr>
          <w:sz w:val="24"/>
          <w:szCs w:val="24"/>
        </w:rPr>
        <w:t xml:space="preserve">Table </w:t>
      </w:r>
      <w:r w:rsidR="00753DAF" w:rsidRPr="00753DAF">
        <w:rPr>
          <w:noProof/>
          <w:sz w:val="24"/>
          <w:szCs w:val="24"/>
        </w:rPr>
        <w:t>28</w:t>
      </w:r>
      <w:r w:rsidRPr="000674AC">
        <w:rPr>
          <w:rFonts w:cs="Calibri"/>
          <w:sz w:val="24"/>
          <w:szCs w:val="24"/>
        </w:rPr>
        <w:fldChar w:fldCharType="end"/>
      </w:r>
      <w:r w:rsidRPr="00E27D3B">
        <w:rPr>
          <w:rFonts w:cs="Calibri"/>
          <w:sz w:val="24"/>
          <w:szCs w:val="24"/>
        </w:rPr>
        <w:t xml:space="preserve">. </w:t>
      </w:r>
      <w:r w:rsidRPr="00547C88">
        <w:rPr>
          <w:sz w:val="24"/>
          <w:szCs w:val="24"/>
        </w:rPr>
        <w:t xml:space="preserve">The load flow and load ramp studies were performed to verify the steady-state operating point and to assess the system response under gradual loading variations. The flat run tests with durations of 5 s and 300 s were conducted to confirm that the dynamic model remains in equilibrium and </w:t>
      </w:r>
      <w:r w:rsidR="005171EC" w:rsidRPr="00547C88">
        <w:rPr>
          <w:sz w:val="24"/>
          <w:szCs w:val="24"/>
        </w:rPr>
        <w:t>precisely</w:t>
      </w:r>
      <w:r w:rsidRPr="00547C88">
        <w:rPr>
          <w:sz w:val="24"/>
          <w:szCs w:val="24"/>
        </w:rPr>
        <w:t xml:space="preserve"> preserves the initial operating point obtained from the load flow solution.</w:t>
      </w:r>
      <w:r w:rsidR="005171EC" w:rsidRPr="00547C88">
        <w:rPr>
          <w:sz w:val="24"/>
          <w:szCs w:val="24"/>
        </w:rPr>
        <w:t xml:space="preserve"> </w:t>
      </w:r>
      <w:r w:rsidR="00186912" w:rsidRPr="00547C88">
        <w:rPr>
          <w:sz w:val="24"/>
          <w:szCs w:val="24"/>
        </w:rPr>
        <w:t>The flat run test with large-load models has confirmed that the system maintains equilibrium and precisely preserves the initial condition of the load-flow solution with the proposed models (e.g., the model is ready for dynamic studies).</w:t>
      </w:r>
      <w:r w:rsidR="005171EC" w:rsidRPr="00547C88">
        <w:rPr>
          <w:sz w:val="24"/>
          <w:szCs w:val="24"/>
        </w:rPr>
        <w:t xml:space="preserve"> </w:t>
      </w:r>
    </w:p>
    <w:p w14:paraId="1785E862" w14:textId="52C87384" w:rsidR="00C577CA" w:rsidRDefault="00C577CA" w:rsidP="0024577B">
      <w:pPr>
        <w:spacing w:after="0"/>
        <w:rPr>
          <w:sz w:val="24"/>
          <w:szCs w:val="24"/>
        </w:rPr>
      </w:pPr>
      <w:r w:rsidRPr="00547C88">
        <w:rPr>
          <w:sz w:val="24"/>
          <w:szCs w:val="24"/>
        </w:rPr>
        <w:t>Furthermore, large disturbance tests under both balanced and unbalanced fault conditions were carried out to investigate the transient stability and robustness of the system during severe network disturbances. These tests were essentially examining oscillatory behaviour and recovery capability under symmetrical and asymmetrical faults. The large disturbance test results demonstrate</w:t>
      </w:r>
      <w:r w:rsidR="00D67394" w:rsidRPr="00547C88">
        <w:rPr>
          <w:sz w:val="24"/>
          <w:szCs w:val="24"/>
        </w:rPr>
        <w:t>d</w:t>
      </w:r>
      <w:r w:rsidRPr="00547C88">
        <w:rPr>
          <w:sz w:val="24"/>
          <w:szCs w:val="24"/>
        </w:rPr>
        <w:t xml:space="preserve"> that the developed dynamic model accurately captures system transient behaviour under both balanced and unbalanced fault conditions without any convergence issue. During the balanced three-phase fault, the system experienced significant voltage reduction and temporary power oscillations, while maintaining overall stability and recovering successfully after fault clearance. Under unbalanced fault conditions, the model effectively represented phase asymmetry and negative-sequence dynamics, with stable post-fault recovery observed in all key electrical variables. These results confirm the suitability of the developed model for transient stability analysis and grid disturbance assessment studies. In addition, the fault-ride-through (FRT) test confirmed the capability of the system to remain connected and operational during temporary voltage disturbances, which is a critical requirement for modern grid-connected inverter-based resources. Overall, the successful completion of all recommended simulation cases demonstrates that the proposed system satisfies the necessary operational and stability requirements under both normal and disturbed grid conditions.</w:t>
      </w:r>
    </w:p>
    <w:p w14:paraId="1FE13117" w14:textId="77777777" w:rsidR="0024577B" w:rsidRDefault="0024577B" w:rsidP="0024577B">
      <w:pPr>
        <w:spacing w:after="160"/>
        <w:rPr>
          <w:sz w:val="24"/>
          <w:szCs w:val="24"/>
        </w:rPr>
      </w:pPr>
    </w:p>
    <w:p w14:paraId="6E2E88C7" w14:textId="77777777" w:rsidR="0024577B" w:rsidRDefault="0024577B" w:rsidP="0024577B">
      <w:pPr>
        <w:spacing w:after="160"/>
        <w:rPr>
          <w:sz w:val="24"/>
          <w:szCs w:val="24"/>
        </w:rPr>
      </w:pPr>
    </w:p>
    <w:p w14:paraId="60C27B78" w14:textId="77777777" w:rsidR="0024577B" w:rsidRDefault="0024577B" w:rsidP="0024577B">
      <w:pPr>
        <w:spacing w:after="160"/>
        <w:rPr>
          <w:sz w:val="24"/>
          <w:szCs w:val="24"/>
        </w:rPr>
      </w:pPr>
    </w:p>
    <w:p w14:paraId="06EF48D8" w14:textId="77777777" w:rsidR="0024577B" w:rsidRPr="0024577B" w:rsidRDefault="0024577B" w:rsidP="0024577B">
      <w:pPr>
        <w:spacing w:after="160"/>
        <w:rPr>
          <w:sz w:val="24"/>
          <w:szCs w:val="24"/>
        </w:rPr>
      </w:pPr>
    </w:p>
    <w:p w14:paraId="0730C72E" w14:textId="07B8CA40" w:rsidR="00C577CA" w:rsidRPr="00E27D3B" w:rsidRDefault="00C577CA" w:rsidP="00CD4F3A">
      <w:pPr>
        <w:pStyle w:val="Caption"/>
        <w:spacing w:line="240" w:lineRule="auto"/>
      </w:pPr>
      <w:bookmarkStart w:id="432" w:name="_Ref224227101"/>
      <w:bookmarkStart w:id="433" w:name="_Toc224235179"/>
      <w:bookmarkStart w:id="434" w:name="_Toc233735325"/>
      <w:r>
        <w:lastRenderedPageBreak/>
        <w:t xml:space="preserve">Table </w:t>
      </w:r>
      <w:r w:rsidRPr="60762895">
        <w:fldChar w:fldCharType="begin"/>
      </w:r>
      <w:r>
        <w:instrText xml:space="preserve"> SEQ Table \* ARABIC </w:instrText>
      </w:r>
      <w:r w:rsidRPr="60762895">
        <w:fldChar w:fldCharType="separate"/>
      </w:r>
      <w:r w:rsidR="00753DAF">
        <w:rPr>
          <w:noProof/>
        </w:rPr>
        <w:t>28</w:t>
      </w:r>
      <w:r w:rsidRPr="60762895">
        <w:rPr>
          <w:noProof/>
        </w:rPr>
        <w:fldChar w:fldCharType="end"/>
      </w:r>
      <w:bookmarkEnd w:id="432"/>
      <w:r>
        <w:t>: Dynamic model acceptance test</w:t>
      </w:r>
      <w:r w:rsidR="004327BC">
        <w:t>s</w:t>
      </w:r>
      <w:r>
        <w:t xml:space="preserve"> for large load</w:t>
      </w:r>
      <w:r w:rsidR="00E94FAC">
        <w:t>s</w:t>
      </w:r>
      <w:r>
        <w:t>.</w:t>
      </w:r>
      <w:bookmarkEnd w:id="433"/>
      <w:bookmarkEnd w:id="434"/>
    </w:p>
    <w:tbl>
      <w:tblPr>
        <w:tblStyle w:val="GridTable4"/>
        <w:tblW w:w="9062" w:type="dxa"/>
        <w:tblLook w:val="0420" w:firstRow="1" w:lastRow="0" w:firstColumn="0" w:lastColumn="0" w:noHBand="0" w:noVBand="1"/>
      </w:tblPr>
      <w:tblGrid>
        <w:gridCol w:w="5660"/>
        <w:gridCol w:w="3402"/>
      </w:tblGrid>
      <w:tr w:rsidR="00C577CA" w:rsidRPr="00E27D3B" w14:paraId="460DAF07" w14:textId="77777777" w:rsidTr="0002386E">
        <w:trPr>
          <w:cnfStyle w:val="100000000000" w:firstRow="1" w:lastRow="0" w:firstColumn="0" w:lastColumn="0" w:oddVBand="0" w:evenVBand="0" w:oddHBand="0" w:evenHBand="0" w:firstRowFirstColumn="0" w:firstRowLastColumn="0" w:lastRowFirstColumn="0" w:lastRowLastColumn="0"/>
          <w:trHeight w:val="366"/>
        </w:trPr>
        <w:tc>
          <w:tcPr>
            <w:tcW w:w="5660" w:type="dxa"/>
            <w:hideMark/>
          </w:tcPr>
          <w:p w14:paraId="7555DF70" w14:textId="77777777" w:rsidR="00C577CA" w:rsidRPr="00E27D3B" w:rsidRDefault="00C577CA" w:rsidP="00CD4F3A">
            <w:pPr>
              <w:spacing w:after="160"/>
              <w:rPr>
                <w:rFonts w:cs="Calibri"/>
                <w:color w:val="FFFFFF" w:themeColor="background2"/>
              </w:rPr>
            </w:pPr>
            <w:r w:rsidRPr="00E27D3B">
              <w:rPr>
                <w:rFonts w:cs="Calibri"/>
                <w:color w:val="FFFFFF" w:themeColor="background2"/>
              </w:rPr>
              <w:t>Recommended Simulation Case</w:t>
            </w:r>
          </w:p>
        </w:tc>
        <w:tc>
          <w:tcPr>
            <w:tcW w:w="3402" w:type="dxa"/>
            <w:hideMark/>
          </w:tcPr>
          <w:p w14:paraId="7A69C093" w14:textId="77777777" w:rsidR="00C577CA" w:rsidRPr="00E27D3B" w:rsidRDefault="00C577CA" w:rsidP="00CD4F3A">
            <w:pPr>
              <w:spacing w:after="160"/>
              <w:rPr>
                <w:rFonts w:cs="Calibri"/>
                <w:color w:val="FFFFFF" w:themeColor="background2"/>
              </w:rPr>
            </w:pPr>
            <w:r w:rsidRPr="60762895">
              <w:rPr>
                <w:rFonts w:cs="Calibri"/>
                <w:color w:val="FFFFFF" w:themeColor="background2"/>
              </w:rPr>
              <w:t>Status</w:t>
            </w:r>
          </w:p>
        </w:tc>
      </w:tr>
      <w:tr w:rsidR="00C577CA" w:rsidRPr="00E27D3B" w14:paraId="75A3E102" w14:textId="77777777" w:rsidTr="0002386E">
        <w:trPr>
          <w:cnfStyle w:val="000000100000" w:firstRow="0" w:lastRow="0" w:firstColumn="0" w:lastColumn="0" w:oddVBand="0" w:evenVBand="0" w:oddHBand="1" w:evenHBand="0" w:firstRowFirstColumn="0" w:firstRowLastColumn="0" w:lastRowFirstColumn="0" w:lastRowLastColumn="0"/>
          <w:trHeight w:val="300"/>
        </w:trPr>
        <w:tc>
          <w:tcPr>
            <w:tcW w:w="5660" w:type="dxa"/>
            <w:hideMark/>
          </w:tcPr>
          <w:p w14:paraId="1600817A" w14:textId="77777777" w:rsidR="00C577CA" w:rsidRPr="00E27D3B" w:rsidRDefault="00C577CA" w:rsidP="00CD4F3A">
            <w:pPr>
              <w:spacing w:after="160"/>
              <w:rPr>
                <w:rFonts w:cs="Calibri"/>
              </w:rPr>
            </w:pPr>
            <w:r w:rsidRPr="00E27D3B">
              <w:rPr>
                <w:rFonts w:cs="Calibri"/>
              </w:rPr>
              <w:t>Load flow and load ramp</w:t>
            </w:r>
          </w:p>
        </w:tc>
        <w:tc>
          <w:tcPr>
            <w:tcW w:w="3402" w:type="dxa"/>
            <w:hideMark/>
          </w:tcPr>
          <w:p w14:paraId="2C73E84F" w14:textId="77777777" w:rsidR="00C577CA" w:rsidRPr="00E27D3B" w:rsidRDefault="00C577CA" w:rsidP="00CD4F3A">
            <w:pPr>
              <w:spacing w:after="160"/>
              <w:rPr>
                <w:rFonts w:cs="Calibri"/>
              </w:rPr>
            </w:pPr>
            <w:r w:rsidRPr="00E27D3B">
              <w:rPr>
                <w:rFonts w:ascii="Segoe UI Symbol" w:hAnsi="Segoe UI Symbol" w:cs="Segoe UI Symbol"/>
              </w:rPr>
              <w:t>☑</w:t>
            </w:r>
          </w:p>
        </w:tc>
      </w:tr>
      <w:tr w:rsidR="00C577CA" w:rsidRPr="00E27D3B" w14:paraId="02B086A2" w14:textId="77777777" w:rsidTr="0002386E">
        <w:trPr>
          <w:trHeight w:val="377"/>
        </w:trPr>
        <w:tc>
          <w:tcPr>
            <w:tcW w:w="5660" w:type="dxa"/>
          </w:tcPr>
          <w:p w14:paraId="2AFC006A" w14:textId="77777777" w:rsidR="00C577CA" w:rsidRPr="00E27D3B" w:rsidRDefault="00C577CA" w:rsidP="00CD4F3A">
            <w:pPr>
              <w:spacing w:after="160"/>
              <w:rPr>
                <w:rFonts w:cs="Calibri"/>
              </w:rPr>
            </w:pPr>
            <w:r w:rsidRPr="00E27D3B">
              <w:rPr>
                <w:rFonts w:cs="Calibri"/>
              </w:rPr>
              <w:t>Flat run test - test duration of 5 s and 300 s</w:t>
            </w:r>
          </w:p>
        </w:tc>
        <w:tc>
          <w:tcPr>
            <w:tcW w:w="3402" w:type="dxa"/>
          </w:tcPr>
          <w:p w14:paraId="20A8B18F" w14:textId="77777777" w:rsidR="00C577CA" w:rsidRPr="00E27D3B" w:rsidRDefault="00C577CA" w:rsidP="00CD4F3A">
            <w:pPr>
              <w:rPr>
                <w:rFonts w:cs="Calibri"/>
              </w:rPr>
            </w:pPr>
            <w:r w:rsidRPr="00E27D3B">
              <w:rPr>
                <w:rFonts w:ascii="Segoe UI Symbol" w:hAnsi="Segoe UI Symbol" w:cs="Segoe UI Symbol"/>
              </w:rPr>
              <w:t>☑</w:t>
            </w:r>
          </w:p>
        </w:tc>
      </w:tr>
      <w:tr w:rsidR="00C577CA" w:rsidRPr="00E27D3B" w14:paraId="0304D43B" w14:textId="77777777" w:rsidTr="0002386E">
        <w:trPr>
          <w:cnfStyle w:val="000000100000" w:firstRow="0" w:lastRow="0" w:firstColumn="0" w:lastColumn="0" w:oddVBand="0" w:evenVBand="0" w:oddHBand="1" w:evenHBand="0" w:firstRowFirstColumn="0" w:firstRowLastColumn="0" w:lastRowFirstColumn="0" w:lastRowLastColumn="0"/>
          <w:trHeight w:val="617"/>
        </w:trPr>
        <w:tc>
          <w:tcPr>
            <w:tcW w:w="5660" w:type="dxa"/>
            <w:hideMark/>
          </w:tcPr>
          <w:p w14:paraId="4929937F" w14:textId="77777777" w:rsidR="00C577CA" w:rsidRPr="00E27D3B" w:rsidRDefault="00C577CA" w:rsidP="00CD4F3A">
            <w:pPr>
              <w:spacing w:after="160"/>
              <w:rPr>
                <w:rFonts w:cs="Calibri"/>
              </w:rPr>
            </w:pPr>
            <w:r w:rsidRPr="00E27D3B">
              <w:rPr>
                <w:rFonts w:cs="Calibri"/>
              </w:rPr>
              <w:t>Large disturbance test (balanced fault)</w:t>
            </w:r>
          </w:p>
        </w:tc>
        <w:tc>
          <w:tcPr>
            <w:tcW w:w="3402" w:type="dxa"/>
            <w:hideMark/>
          </w:tcPr>
          <w:p w14:paraId="5B0C5424" w14:textId="77777777" w:rsidR="00C577CA" w:rsidRPr="00E27D3B" w:rsidRDefault="00C577CA" w:rsidP="00CD4F3A">
            <w:pPr>
              <w:spacing w:after="160"/>
              <w:rPr>
                <w:rFonts w:cs="Calibri"/>
              </w:rPr>
            </w:pPr>
            <w:r w:rsidRPr="00E27D3B">
              <w:rPr>
                <w:rFonts w:ascii="Segoe UI Symbol" w:hAnsi="Segoe UI Symbol" w:cs="Segoe UI Symbol"/>
              </w:rPr>
              <w:t>☑</w:t>
            </w:r>
          </w:p>
        </w:tc>
      </w:tr>
      <w:tr w:rsidR="00C577CA" w:rsidRPr="00E27D3B" w14:paraId="431A181B" w14:textId="77777777" w:rsidTr="0002386E">
        <w:trPr>
          <w:trHeight w:val="617"/>
        </w:trPr>
        <w:tc>
          <w:tcPr>
            <w:tcW w:w="5660" w:type="dxa"/>
            <w:hideMark/>
          </w:tcPr>
          <w:p w14:paraId="6B4E852B" w14:textId="77777777" w:rsidR="00C577CA" w:rsidRPr="00E27D3B" w:rsidRDefault="00C577CA" w:rsidP="00CD4F3A">
            <w:pPr>
              <w:spacing w:after="160"/>
              <w:rPr>
                <w:rFonts w:cs="Calibri"/>
              </w:rPr>
            </w:pPr>
            <w:r w:rsidRPr="00E27D3B">
              <w:rPr>
                <w:rFonts w:cs="Calibri"/>
              </w:rPr>
              <w:t>Large disturbance test (unbalanced fault)</w:t>
            </w:r>
          </w:p>
        </w:tc>
        <w:tc>
          <w:tcPr>
            <w:tcW w:w="3402" w:type="dxa"/>
            <w:hideMark/>
          </w:tcPr>
          <w:p w14:paraId="3E57A322" w14:textId="77777777" w:rsidR="00C577CA" w:rsidRPr="00E27D3B" w:rsidRDefault="00C577CA" w:rsidP="00CD4F3A">
            <w:pPr>
              <w:spacing w:after="160"/>
              <w:rPr>
                <w:rFonts w:cs="Calibri"/>
              </w:rPr>
            </w:pPr>
            <w:r w:rsidRPr="00E27D3B">
              <w:rPr>
                <w:rFonts w:ascii="Segoe UI Symbol" w:hAnsi="Segoe UI Symbol" w:cs="Segoe UI Symbol"/>
              </w:rPr>
              <w:t>☑</w:t>
            </w:r>
          </w:p>
        </w:tc>
      </w:tr>
      <w:tr w:rsidR="00C577CA" w:rsidRPr="00E27D3B" w14:paraId="6549E353" w14:textId="77777777" w:rsidTr="0002386E">
        <w:trPr>
          <w:cnfStyle w:val="000000100000" w:firstRow="0" w:lastRow="0" w:firstColumn="0" w:lastColumn="0" w:oddVBand="0" w:evenVBand="0" w:oddHBand="1" w:evenHBand="0" w:firstRowFirstColumn="0" w:firstRowLastColumn="0" w:lastRowFirstColumn="0" w:lastRowLastColumn="0"/>
          <w:trHeight w:val="617"/>
        </w:trPr>
        <w:tc>
          <w:tcPr>
            <w:tcW w:w="5660" w:type="dxa"/>
            <w:hideMark/>
          </w:tcPr>
          <w:p w14:paraId="5B1BABF5" w14:textId="77777777" w:rsidR="00C577CA" w:rsidRPr="00E27D3B" w:rsidRDefault="00C577CA" w:rsidP="00CD4F3A">
            <w:pPr>
              <w:spacing w:after="160"/>
              <w:rPr>
                <w:rFonts w:cs="Calibri"/>
              </w:rPr>
            </w:pPr>
            <w:r w:rsidRPr="00E27D3B">
              <w:rPr>
                <w:rFonts w:cs="Calibri"/>
              </w:rPr>
              <w:t>Fault-ride through test</w:t>
            </w:r>
          </w:p>
        </w:tc>
        <w:tc>
          <w:tcPr>
            <w:tcW w:w="3402" w:type="dxa"/>
            <w:hideMark/>
          </w:tcPr>
          <w:p w14:paraId="4FA0C246" w14:textId="77777777" w:rsidR="00C577CA" w:rsidRPr="00E27D3B" w:rsidRDefault="00C577CA" w:rsidP="00CD4F3A">
            <w:pPr>
              <w:spacing w:after="160"/>
              <w:rPr>
                <w:rFonts w:cs="Calibri"/>
              </w:rPr>
            </w:pPr>
            <w:r w:rsidRPr="00E27D3B">
              <w:rPr>
                <w:rFonts w:ascii="Segoe UI Symbol" w:hAnsi="Segoe UI Symbol" w:cs="Segoe UI Symbol"/>
              </w:rPr>
              <w:t>☑</w:t>
            </w:r>
          </w:p>
        </w:tc>
      </w:tr>
    </w:tbl>
    <w:p w14:paraId="5EA2D692" w14:textId="77777777" w:rsidR="00C577CA" w:rsidRPr="00E27D3B" w:rsidRDefault="00C577CA" w:rsidP="00CD4F3A">
      <w:pPr>
        <w:rPr>
          <w:rFonts w:cs="Calibri"/>
          <w:sz w:val="24"/>
          <w:szCs w:val="24"/>
        </w:rPr>
      </w:pPr>
    </w:p>
    <w:p w14:paraId="280E7CB4" w14:textId="38B3DCE8" w:rsidR="00C577CA" w:rsidRPr="00E27D3B" w:rsidRDefault="00C577CA" w:rsidP="0024577B">
      <w:pPr>
        <w:spacing w:after="0"/>
        <w:rPr>
          <w:rFonts w:cs="Calibri"/>
          <w:sz w:val="24"/>
          <w:szCs w:val="24"/>
        </w:rPr>
      </w:pPr>
      <w:r w:rsidRPr="00E27D3B">
        <w:rPr>
          <w:rFonts w:cs="Calibri"/>
          <w:sz w:val="24"/>
          <w:szCs w:val="24"/>
        </w:rPr>
        <w:t xml:space="preserve">For the voltage and small-signal stability studies, a reduced representation of the South-East Australian Power System has been considered, as shown in </w:t>
      </w:r>
      <w:r w:rsidRPr="00ED7E91">
        <w:rPr>
          <w:rFonts w:cs="Calibri"/>
          <w:sz w:val="24"/>
          <w:szCs w:val="24"/>
        </w:rPr>
        <w:fldChar w:fldCharType="begin"/>
      </w:r>
      <w:r w:rsidRPr="00ED7E91">
        <w:rPr>
          <w:rFonts w:cs="Calibri"/>
          <w:sz w:val="24"/>
          <w:szCs w:val="24"/>
        </w:rPr>
        <w:instrText xml:space="preserve"> REF _Ref224226489 \h  \* MERGEFORMAT </w:instrText>
      </w:r>
      <w:r w:rsidRPr="00ED7E91">
        <w:rPr>
          <w:rFonts w:cs="Calibri"/>
          <w:sz w:val="24"/>
          <w:szCs w:val="24"/>
        </w:rPr>
      </w:r>
      <w:r w:rsidRPr="00ED7E91">
        <w:rPr>
          <w:rFonts w:cs="Calibri"/>
          <w:sz w:val="24"/>
          <w:szCs w:val="24"/>
        </w:rPr>
        <w:fldChar w:fldCharType="separate"/>
      </w:r>
      <w:r w:rsidR="00660022" w:rsidRPr="00660022">
        <w:rPr>
          <w:sz w:val="24"/>
          <w:szCs w:val="24"/>
        </w:rPr>
        <w:t xml:space="preserve">Figure </w:t>
      </w:r>
      <w:r w:rsidR="00660022" w:rsidRPr="00660022">
        <w:rPr>
          <w:noProof/>
          <w:sz w:val="24"/>
          <w:szCs w:val="24"/>
        </w:rPr>
        <w:t>6</w:t>
      </w:r>
      <w:r w:rsidR="003D3544">
        <w:rPr>
          <w:noProof/>
          <w:sz w:val="24"/>
          <w:szCs w:val="24"/>
        </w:rPr>
        <w:t>9</w:t>
      </w:r>
      <w:r w:rsidRPr="00ED7E91">
        <w:rPr>
          <w:rFonts w:cs="Calibri"/>
          <w:sz w:val="24"/>
          <w:szCs w:val="24"/>
        </w:rPr>
        <w:fldChar w:fldCharType="end"/>
      </w:r>
      <w:r w:rsidRPr="00E27D3B">
        <w:rPr>
          <w:rFonts w:cs="Calibri"/>
          <w:sz w:val="24"/>
          <w:szCs w:val="24"/>
        </w:rPr>
        <w:t>. The detailed model parameters and network data are available in the reference</w:t>
      </w:r>
      <w:r w:rsidR="00107207">
        <w:rPr>
          <w:rFonts w:cs="Calibri"/>
          <w:sz w:val="24"/>
          <w:szCs w:val="24"/>
        </w:rPr>
        <w:t xml:space="preserve"> </w:t>
      </w:r>
      <w:r w:rsidR="00E86D41">
        <w:rPr>
          <w:rFonts w:cs="Calibri"/>
          <w:sz w:val="24"/>
          <w:szCs w:val="24"/>
        </w:rPr>
        <w:fldChar w:fldCharType="begin"/>
      </w:r>
      <w:r w:rsidR="00E86D41">
        <w:rPr>
          <w:rFonts w:cs="Calibri"/>
          <w:sz w:val="24"/>
          <w:szCs w:val="24"/>
        </w:rPr>
        <w:instrText xml:space="preserve"> REF _Ref230445245 \r \h </w:instrText>
      </w:r>
      <w:r w:rsidR="00CD4F3A">
        <w:rPr>
          <w:rFonts w:cs="Calibri"/>
          <w:sz w:val="24"/>
          <w:szCs w:val="24"/>
        </w:rPr>
        <w:instrText xml:space="preserve"> \* MERGEFORMAT </w:instrText>
      </w:r>
      <w:r w:rsidR="00E86D41">
        <w:rPr>
          <w:rFonts w:cs="Calibri"/>
          <w:sz w:val="24"/>
          <w:szCs w:val="24"/>
        </w:rPr>
      </w:r>
      <w:r w:rsidR="00E86D41">
        <w:rPr>
          <w:rFonts w:cs="Calibri"/>
          <w:sz w:val="24"/>
          <w:szCs w:val="24"/>
        </w:rPr>
        <w:fldChar w:fldCharType="separate"/>
      </w:r>
      <w:r w:rsidR="00660022">
        <w:rPr>
          <w:rFonts w:cs="Calibri"/>
          <w:sz w:val="24"/>
          <w:szCs w:val="24"/>
        </w:rPr>
        <w:t>[78]</w:t>
      </w:r>
      <w:r w:rsidR="00E86D41">
        <w:rPr>
          <w:rFonts w:cs="Calibri"/>
          <w:sz w:val="24"/>
          <w:szCs w:val="24"/>
        </w:rPr>
        <w:fldChar w:fldCharType="end"/>
      </w:r>
      <w:r w:rsidRPr="00E27D3B">
        <w:rPr>
          <w:rFonts w:cs="Calibri"/>
          <w:sz w:val="24"/>
          <w:szCs w:val="24"/>
        </w:rPr>
        <w:t xml:space="preserve"> and therein. To reflect the current renewable energy penetration levels, the system has been modified as illustrated in </w:t>
      </w:r>
      <w:r>
        <w:rPr>
          <w:rFonts w:cs="Calibri"/>
          <w:sz w:val="24"/>
          <w:szCs w:val="24"/>
        </w:rPr>
        <w:fldChar w:fldCharType="begin"/>
      </w:r>
      <w:r>
        <w:rPr>
          <w:rFonts w:cs="Calibri"/>
          <w:sz w:val="24"/>
          <w:szCs w:val="24"/>
        </w:rPr>
        <w:instrText xml:space="preserve"> REF _Ref224201273 \n \h </w:instrText>
      </w:r>
      <w:r w:rsidR="00CD4F3A">
        <w:rPr>
          <w:rFonts w:cs="Calibri"/>
          <w:sz w:val="24"/>
          <w:szCs w:val="24"/>
        </w:rPr>
        <w:instrText xml:space="preserve"> \* MERGEFORMAT </w:instrText>
      </w:r>
      <w:r>
        <w:rPr>
          <w:rFonts w:cs="Calibri"/>
          <w:sz w:val="24"/>
          <w:szCs w:val="24"/>
        </w:rPr>
      </w:r>
      <w:r>
        <w:rPr>
          <w:rFonts w:cs="Calibri"/>
          <w:sz w:val="24"/>
          <w:szCs w:val="24"/>
        </w:rPr>
        <w:fldChar w:fldCharType="separate"/>
      </w:r>
      <w:r w:rsidR="00660022">
        <w:rPr>
          <w:rFonts w:cs="Calibri"/>
          <w:sz w:val="24"/>
          <w:szCs w:val="24"/>
        </w:rPr>
        <w:t>[163]</w:t>
      </w:r>
      <w:r>
        <w:rPr>
          <w:rFonts w:cs="Calibri"/>
          <w:sz w:val="24"/>
          <w:szCs w:val="24"/>
        </w:rPr>
        <w:fldChar w:fldCharType="end"/>
      </w:r>
      <w:r w:rsidRPr="00E27D3B">
        <w:rPr>
          <w:rFonts w:cs="Calibri"/>
          <w:sz w:val="24"/>
          <w:szCs w:val="24"/>
        </w:rPr>
        <w:t xml:space="preserve"> (please see </w:t>
      </w:r>
      <w:r w:rsidRPr="000674AC">
        <w:rPr>
          <w:rFonts w:cs="Calibri"/>
          <w:sz w:val="24"/>
          <w:szCs w:val="24"/>
        </w:rPr>
        <w:fldChar w:fldCharType="begin"/>
      </w:r>
      <w:r w:rsidRPr="000674AC">
        <w:rPr>
          <w:rFonts w:cs="Calibri"/>
          <w:sz w:val="24"/>
          <w:szCs w:val="24"/>
        </w:rPr>
        <w:instrText xml:space="preserve"> REF _Ref224227120 \h </w:instrText>
      </w:r>
      <w:r>
        <w:rPr>
          <w:rFonts w:cs="Calibri"/>
          <w:sz w:val="24"/>
          <w:szCs w:val="24"/>
        </w:rPr>
        <w:instrText xml:space="preserve"> \* MERGEFORMAT </w:instrText>
      </w:r>
      <w:r w:rsidRPr="000674AC">
        <w:rPr>
          <w:rFonts w:cs="Calibri"/>
          <w:sz w:val="24"/>
          <w:szCs w:val="24"/>
        </w:rPr>
      </w:r>
      <w:r w:rsidRPr="000674AC">
        <w:rPr>
          <w:rFonts w:cs="Calibri"/>
          <w:sz w:val="24"/>
          <w:szCs w:val="24"/>
        </w:rPr>
        <w:fldChar w:fldCharType="separate"/>
      </w:r>
      <w:r w:rsidR="00660022" w:rsidRPr="00660022">
        <w:rPr>
          <w:sz w:val="24"/>
          <w:szCs w:val="24"/>
        </w:rPr>
        <w:t xml:space="preserve">Table </w:t>
      </w:r>
      <w:r w:rsidR="00660022" w:rsidRPr="00660022">
        <w:rPr>
          <w:noProof/>
          <w:sz w:val="24"/>
          <w:szCs w:val="24"/>
        </w:rPr>
        <w:t>29</w:t>
      </w:r>
      <w:r w:rsidRPr="000674AC">
        <w:rPr>
          <w:rFonts w:cs="Calibri"/>
          <w:sz w:val="24"/>
          <w:szCs w:val="24"/>
        </w:rPr>
        <w:fldChar w:fldCharType="end"/>
      </w:r>
      <w:r w:rsidRPr="00E27D3B">
        <w:rPr>
          <w:rFonts w:cs="Calibri"/>
          <w:sz w:val="24"/>
          <w:szCs w:val="24"/>
        </w:rPr>
        <w:t>). Initially, power flow studies were conducted to assess steady-state security constraints in the presence of large loads. Subsequently, small-signal stability analysis was performed with respect to the base case (as presented in</w:t>
      </w:r>
      <w:r w:rsidR="00FC7D37">
        <w:rPr>
          <w:rFonts w:cs="Calibri"/>
          <w:sz w:val="24"/>
          <w:szCs w:val="24"/>
        </w:rPr>
        <w:t xml:space="preserve"> </w:t>
      </w:r>
      <w:r w:rsidR="00FC7D37">
        <w:rPr>
          <w:rFonts w:cs="Calibri"/>
          <w:sz w:val="24"/>
          <w:szCs w:val="24"/>
        </w:rPr>
        <w:fldChar w:fldCharType="begin"/>
      </w:r>
      <w:r w:rsidR="00FC7D37">
        <w:rPr>
          <w:rFonts w:cs="Calibri"/>
          <w:sz w:val="24"/>
          <w:szCs w:val="24"/>
        </w:rPr>
        <w:instrText xml:space="preserve"> REF _Ref230445245 \r \h </w:instrText>
      </w:r>
      <w:r w:rsidR="00CD4F3A">
        <w:rPr>
          <w:rFonts w:cs="Calibri"/>
          <w:sz w:val="24"/>
          <w:szCs w:val="24"/>
        </w:rPr>
        <w:instrText xml:space="preserve"> \* MERGEFORMAT </w:instrText>
      </w:r>
      <w:r w:rsidR="00FC7D37">
        <w:rPr>
          <w:rFonts w:cs="Calibri"/>
          <w:sz w:val="24"/>
          <w:szCs w:val="24"/>
        </w:rPr>
      </w:r>
      <w:r w:rsidR="00FC7D37">
        <w:rPr>
          <w:rFonts w:cs="Calibri"/>
          <w:sz w:val="24"/>
          <w:szCs w:val="24"/>
        </w:rPr>
        <w:fldChar w:fldCharType="separate"/>
      </w:r>
      <w:r w:rsidR="00660022">
        <w:rPr>
          <w:rFonts w:cs="Calibri"/>
          <w:sz w:val="24"/>
          <w:szCs w:val="24"/>
        </w:rPr>
        <w:t>[78]</w:t>
      </w:r>
      <w:r w:rsidR="00FC7D37">
        <w:rPr>
          <w:rFonts w:cs="Calibri"/>
          <w:sz w:val="24"/>
          <w:szCs w:val="24"/>
        </w:rPr>
        <w:fldChar w:fldCharType="end"/>
      </w:r>
      <w:r w:rsidRPr="00E27D3B">
        <w:rPr>
          <w:rFonts w:cs="Calibri"/>
          <w:sz w:val="24"/>
          <w:szCs w:val="24"/>
        </w:rPr>
        <w:t>) to examine the potential emergence of new oscillatory modes in the electromechanical time frame. This sequential approach ensures that both steady-state operating limits and dynamic performance characteristics are adequately evaluated under increased renewable integration and large load conditions.</w:t>
      </w:r>
    </w:p>
    <w:p w14:paraId="4ED2BAD0" w14:textId="77777777" w:rsidR="00C577CA" w:rsidRPr="00E27D3B" w:rsidRDefault="00C577CA" w:rsidP="00CD4F3A">
      <w:pPr>
        <w:keepNext/>
        <w:jc w:val="center"/>
      </w:pPr>
      <w:r w:rsidRPr="00E27D3B">
        <w:rPr>
          <w:rFonts w:cs="Calibri"/>
          <w:noProof/>
          <w:sz w:val="24"/>
          <w:szCs w:val="24"/>
        </w:rPr>
        <w:lastRenderedPageBreak/>
        <w:drawing>
          <wp:inline distT="0" distB="0" distL="0" distR="0" wp14:anchorId="4985DBFC" wp14:editId="2F552B90">
            <wp:extent cx="3811986" cy="5378450"/>
            <wp:effectExtent l="0" t="0" r="0" b="0"/>
            <wp:docPr id="1716319635" name="Picture 4">
              <a:extLst xmlns:a="http://schemas.openxmlformats.org/drawingml/2006/main">
                <a:ext uri="{FF2B5EF4-FFF2-40B4-BE49-F238E27FC236}">
                  <a16:creationId xmlns:a16="http://schemas.microsoft.com/office/drawing/2014/main" id="{7760B229-3000-B1F7-08CD-217B48DF3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760B229-3000-B1F7-08CD-217B48DF3771}"/>
                        </a:ext>
                      </a:extLst>
                    </pic:cNvPr>
                    <pic:cNvPicPr>
                      <a:picLocks noChangeAspect="1"/>
                    </pic:cNvPicPr>
                  </pic:nvPicPr>
                  <pic:blipFill>
                    <a:blip r:embed="rId146"/>
                    <a:stretch>
                      <a:fillRect/>
                    </a:stretch>
                  </pic:blipFill>
                  <pic:spPr>
                    <a:xfrm>
                      <a:off x="0" y="0"/>
                      <a:ext cx="3815506" cy="5383417"/>
                    </a:xfrm>
                    <a:prstGeom prst="rect">
                      <a:avLst/>
                    </a:prstGeom>
                  </pic:spPr>
                </pic:pic>
              </a:graphicData>
            </a:graphic>
          </wp:inline>
        </w:drawing>
      </w:r>
    </w:p>
    <w:p w14:paraId="0555AAF6" w14:textId="1C71BD85" w:rsidR="00C577CA" w:rsidRPr="00E27D3B" w:rsidRDefault="00C577CA" w:rsidP="00CD4F3A">
      <w:pPr>
        <w:pStyle w:val="Caption"/>
        <w:spacing w:line="240" w:lineRule="auto"/>
        <w:rPr>
          <w:rFonts w:cs="Calibri"/>
          <w:sz w:val="24"/>
          <w:szCs w:val="24"/>
        </w:rPr>
      </w:pPr>
      <w:bookmarkStart w:id="435" w:name="_Ref224226489"/>
      <w:bookmarkStart w:id="436" w:name="_Toc224235153"/>
      <w:bookmarkStart w:id="437" w:name="_Toc233735075"/>
      <w:r>
        <w:t xml:space="preserve">Figure </w:t>
      </w:r>
      <w:r w:rsidRPr="60762895">
        <w:fldChar w:fldCharType="begin"/>
      </w:r>
      <w:r>
        <w:instrText xml:space="preserve"> SEQ Figure \* ARABIC </w:instrText>
      </w:r>
      <w:r w:rsidRPr="60762895">
        <w:fldChar w:fldCharType="separate"/>
      </w:r>
      <w:r w:rsidR="00A85006">
        <w:rPr>
          <w:noProof/>
        </w:rPr>
        <w:t>6</w:t>
      </w:r>
      <w:r w:rsidR="007D06D7">
        <w:rPr>
          <w:noProof/>
        </w:rPr>
        <w:t>9</w:t>
      </w:r>
      <w:r w:rsidRPr="60762895">
        <w:rPr>
          <w:noProof/>
        </w:rPr>
        <w:fldChar w:fldCharType="end"/>
      </w:r>
      <w:bookmarkEnd w:id="435"/>
      <w:r>
        <w:t>: Simplified 14 Generator Australian Power System.</w:t>
      </w:r>
      <w:bookmarkEnd w:id="436"/>
      <w:bookmarkEnd w:id="437"/>
    </w:p>
    <w:p w14:paraId="428C5A56" w14:textId="62EC72D5" w:rsidR="00C577CA" w:rsidRPr="0024577B" w:rsidRDefault="00B36634" w:rsidP="0024577B">
      <w:pPr>
        <w:spacing w:after="0"/>
        <w:rPr>
          <w:rFonts w:cs="Calibri"/>
          <w:sz w:val="24"/>
          <w:szCs w:val="24"/>
        </w:rPr>
      </w:pPr>
      <w:r w:rsidRPr="0024577B">
        <w:rPr>
          <w:rFonts w:cs="Calibri"/>
          <w:sz w:val="24"/>
          <w:szCs w:val="24"/>
        </w:rPr>
        <w:t>T</w:t>
      </w:r>
      <w:r w:rsidR="00C577CA" w:rsidRPr="0024577B">
        <w:rPr>
          <w:rFonts w:cs="Calibri"/>
          <w:sz w:val="24"/>
          <w:szCs w:val="24"/>
        </w:rPr>
        <w:t xml:space="preserve">wo different test systems </w:t>
      </w:r>
      <w:r w:rsidRPr="0024577B">
        <w:rPr>
          <w:rFonts w:cs="Calibri"/>
          <w:sz w:val="24"/>
          <w:szCs w:val="24"/>
        </w:rPr>
        <w:t>have been deliberately</w:t>
      </w:r>
      <w:r w:rsidR="00C577CA" w:rsidRPr="0024577B">
        <w:rPr>
          <w:rFonts w:cs="Calibri"/>
          <w:sz w:val="24"/>
          <w:szCs w:val="24"/>
        </w:rPr>
        <w:t xml:space="preserve"> used in this work. A single-generator model has been employed to evaluate the dynamic responses of the load and to identify any convergence issues associated with the large load models. In contrast, a simplified 14-generator Australian power system model has been used to investigate voltage and angle stability performance.</w:t>
      </w:r>
    </w:p>
    <w:p w14:paraId="1D726D36" w14:textId="5A5B533D" w:rsidR="00C577CA" w:rsidRPr="00E27D3B" w:rsidRDefault="00C577CA" w:rsidP="00CD4F3A">
      <w:pPr>
        <w:pStyle w:val="Caption"/>
        <w:spacing w:line="240" w:lineRule="auto"/>
      </w:pPr>
      <w:bookmarkStart w:id="438" w:name="_Ref224227120"/>
      <w:bookmarkStart w:id="439" w:name="_Toc224235180"/>
      <w:bookmarkStart w:id="440" w:name="_Toc233735326"/>
      <w:r w:rsidRPr="00E27D3B">
        <w:t xml:space="preserve">Table </w:t>
      </w:r>
      <w:fldSimple w:instr=" SEQ Table \* ARABIC ">
        <w:r w:rsidR="00753DAF">
          <w:rPr>
            <w:noProof/>
          </w:rPr>
          <w:t>29</w:t>
        </w:r>
      </w:fldSimple>
      <w:bookmarkEnd w:id="438"/>
      <w:r w:rsidRPr="00E27D3B">
        <w:t>: Operation scenarios.</w:t>
      </w:r>
      <w:bookmarkEnd w:id="439"/>
      <w:bookmarkEnd w:id="440"/>
    </w:p>
    <w:tbl>
      <w:tblPr>
        <w:tblStyle w:val="GridTable4"/>
        <w:tblW w:w="8280" w:type="dxa"/>
        <w:jc w:val="center"/>
        <w:tblLook w:val="0420" w:firstRow="1" w:lastRow="0" w:firstColumn="0" w:lastColumn="0" w:noHBand="0" w:noVBand="1"/>
      </w:tblPr>
      <w:tblGrid>
        <w:gridCol w:w="3114"/>
        <w:gridCol w:w="5166"/>
      </w:tblGrid>
      <w:tr w:rsidR="00C577CA" w:rsidRPr="00E27D3B" w14:paraId="080CF9F2" w14:textId="77777777" w:rsidTr="0002386E">
        <w:trPr>
          <w:cnfStyle w:val="100000000000" w:firstRow="1" w:lastRow="0" w:firstColumn="0" w:lastColumn="0" w:oddVBand="0" w:evenVBand="0" w:oddHBand="0" w:evenHBand="0" w:firstRowFirstColumn="0" w:firstRowLastColumn="0" w:lastRowFirstColumn="0" w:lastRowLastColumn="0"/>
          <w:trHeight w:val="761"/>
          <w:jc w:val="center"/>
        </w:trPr>
        <w:tc>
          <w:tcPr>
            <w:tcW w:w="3114" w:type="dxa"/>
            <w:hideMark/>
          </w:tcPr>
          <w:p w14:paraId="49D46D89" w14:textId="77777777" w:rsidR="00C577CA" w:rsidRPr="00E27D3B" w:rsidRDefault="00C577CA" w:rsidP="00CD4F3A">
            <w:pPr>
              <w:spacing w:after="160"/>
              <w:rPr>
                <w:rFonts w:cs="Calibri"/>
                <w:color w:val="FFFFFF" w:themeColor="background2"/>
              </w:rPr>
            </w:pPr>
            <w:r w:rsidRPr="00E27D3B">
              <w:rPr>
                <w:rFonts w:cs="Calibri"/>
                <w:color w:val="FFFFFF" w:themeColor="background2"/>
              </w:rPr>
              <w:t>Loading scenario</w:t>
            </w:r>
          </w:p>
        </w:tc>
        <w:tc>
          <w:tcPr>
            <w:tcW w:w="5166" w:type="dxa"/>
            <w:hideMark/>
          </w:tcPr>
          <w:p w14:paraId="757AEE18" w14:textId="77777777" w:rsidR="00C577CA" w:rsidRPr="00E27D3B" w:rsidRDefault="00C577CA" w:rsidP="00CD4F3A">
            <w:pPr>
              <w:spacing w:after="160"/>
              <w:rPr>
                <w:rFonts w:cs="Calibri"/>
                <w:color w:val="FFFFFF" w:themeColor="background2"/>
              </w:rPr>
            </w:pPr>
            <w:r w:rsidRPr="00E27D3B">
              <w:rPr>
                <w:rFonts w:cs="Calibri"/>
                <w:color w:val="FFFFFF" w:themeColor="background2"/>
              </w:rPr>
              <w:t>Renewable Generations</w:t>
            </w:r>
          </w:p>
        </w:tc>
      </w:tr>
      <w:tr w:rsidR="00C577CA" w:rsidRPr="00E27D3B" w14:paraId="61699779" w14:textId="77777777" w:rsidTr="0002386E">
        <w:trPr>
          <w:cnfStyle w:val="000000100000" w:firstRow="0" w:lastRow="0" w:firstColumn="0" w:lastColumn="0" w:oddVBand="0" w:evenVBand="0" w:oddHBand="1" w:evenHBand="0" w:firstRowFirstColumn="0" w:firstRowLastColumn="0" w:lastRowFirstColumn="0" w:lastRowLastColumn="0"/>
          <w:trHeight w:val="435"/>
          <w:jc w:val="center"/>
        </w:trPr>
        <w:tc>
          <w:tcPr>
            <w:tcW w:w="3114" w:type="dxa"/>
            <w:hideMark/>
          </w:tcPr>
          <w:p w14:paraId="74DD69B1" w14:textId="77777777" w:rsidR="00C577CA" w:rsidRPr="00E27D3B" w:rsidRDefault="00C577CA" w:rsidP="00CD4F3A">
            <w:pPr>
              <w:spacing w:after="160"/>
              <w:rPr>
                <w:rFonts w:cs="Calibri"/>
              </w:rPr>
            </w:pPr>
            <w:r w:rsidRPr="00E27D3B">
              <w:rPr>
                <w:rFonts w:cs="Calibri"/>
              </w:rPr>
              <w:t>Medium loading</w:t>
            </w:r>
          </w:p>
        </w:tc>
        <w:tc>
          <w:tcPr>
            <w:tcW w:w="5166" w:type="dxa"/>
            <w:hideMark/>
          </w:tcPr>
          <w:p w14:paraId="6D2C8EA7" w14:textId="77777777" w:rsidR="00C577CA" w:rsidRPr="00E27D3B" w:rsidRDefault="00C577CA" w:rsidP="00CD4F3A">
            <w:pPr>
              <w:spacing w:after="160"/>
              <w:rPr>
                <w:rFonts w:cs="Calibri"/>
              </w:rPr>
            </w:pPr>
            <w:r w:rsidRPr="00E27D3B">
              <w:rPr>
                <w:rFonts w:cs="Calibri"/>
              </w:rPr>
              <w:t>Wind in area 5, aggregated solar in Area 4 and Area 3</w:t>
            </w:r>
          </w:p>
        </w:tc>
      </w:tr>
      <w:tr w:rsidR="00C577CA" w:rsidRPr="00E27D3B" w14:paraId="00685F40" w14:textId="77777777" w:rsidTr="0002386E">
        <w:trPr>
          <w:trHeight w:val="454"/>
          <w:jc w:val="center"/>
        </w:trPr>
        <w:tc>
          <w:tcPr>
            <w:tcW w:w="3114" w:type="dxa"/>
            <w:hideMark/>
          </w:tcPr>
          <w:p w14:paraId="2AE4F212" w14:textId="77777777" w:rsidR="00C577CA" w:rsidRPr="00E27D3B" w:rsidRDefault="00C577CA" w:rsidP="00CD4F3A">
            <w:pPr>
              <w:spacing w:after="160"/>
              <w:rPr>
                <w:rFonts w:cs="Calibri"/>
              </w:rPr>
            </w:pPr>
            <w:r w:rsidRPr="00E27D3B">
              <w:rPr>
                <w:rFonts w:cs="Calibri"/>
              </w:rPr>
              <w:t>Medium to heavy</w:t>
            </w:r>
          </w:p>
        </w:tc>
        <w:tc>
          <w:tcPr>
            <w:tcW w:w="5166" w:type="dxa"/>
            <w:hideMark/>
          </w:tcPr>
          <w:p w14:paraId="2C2772B5" w14:textId="77777777" w:rsidR="00C577CA" w:rsidRPr="00E27D3B" w:rsidRDefault="00C577CA" w:rsidP="00CD4F3A">
            <w:pPr>
              <w:spacing w:after="160"/>
              <w:rPr>
                <w:rFonts w:cs="Calibri"/>
              </w:rPr>
            </w:pPr>
            <w:r w:rsidRPr="00E27D3B">
              <w:rPr>
                <w:rFonts w:cs="Calibri"/>
              </w:rPr>
              <w:t>Wind in area 5, aggregated solar in Area 4 and Area 3</w:t>
            </w:r>
          </w:p>
        </w:tc>
      </w:tr>
      <w:tr w:rsidR="00C577CA" w:rsidRPr="00E27D3B" w14:paraId="5D03D031" w14:textId="77777777" w:rsidTr="0002386E">
        <w:trPr>
          <w:cnfStyle w:val="000000100000" w:firstRow="0" w:lastRow="0" w:firstColumn="0" w:lastColumn="0" w:oddVBand="0" w:evenVBand="0" w:oddHBand="1" w:evenHBand="0" w:firstRowFirstColumn="0" w:firstRowLastColumn="0" w:lastRowFirstColumn="0" w:lastRowLastColumn="0"/>
          <w:trHeight w:val="178"/>
          <w:jc w:val="center"/>
        </w:trPr>
        <w:tc>
          <w:tcPr>
            <w:tcW w:w="3114" w:type="dxa"/>
            <w:hideMark/>
          </w:tcPr>
          <w:p w14:paraId="3F1AD764" w14:textId="77777777" w:rsidR="00C577CA" w:rsidRPr="00E27D3B" w:rsidRDefault="00C577CA" w:rsidP="00CD4F3A">
            <w:pPr>
              <w:spacing w:after="160"/>
              <w:rPr>
                <w:rFonts w:cs="Calibri"/>
              </w:rPr>
            </w:pPr>
            <w:r w:rsidRPr="00E27D3B">
              <w:rPr>
                <w:rFonts w:cs="Calibri"/>
              </w:rPr>
              <w:t>Heavy loading</w:t>
            </w:r>
          </w:p>
        </w:tc>
        <w:tc>
          <w:tcPr>
            <w:tcW w:w="5166" w:type="dxa"/>
            <w:hideMark/>
          </w:tcPr>
          <w:p w14:paraId="03C5F991" w14:textId="77777777" w:rsidR="00C577CA" w:rsidRPr="00E27D3B" w:rsidRDefault="00C577CA" w:rsidP="00CD4F3A">
            <w:pPr>
              <w:spacing w:after="160"/>
              <w:rPr>
                <w:rFonts w:cs="Calibri"/>
              </w:rPr>
            </w:pPr>
            <w:r w:rsidRPr="00E27D3B">
              <w:rPr>
                <w:rFonts w:cs="Calibri"/>
              </w:rPr>
              <w:t>Wind in area 5, aggregated solar in Area 4 and Area 3</w:t>
            </w:r>
          </w:p>
        </w:tc>
      </w:tr>
    </w:tbl>
    <w:p w14:paraId="7656E18E" w14:textId="77777777" w:rsidR="00C577CA" w:rsidRPr="00E27D3B" w:rsidRDefault="00C577CA" w:rsidP="00CD4F3A">
      <w:pPr>
        <w:rPr>
          <w:rFonts w:cs="Calibri"/>
          <w:sz w:val="24"/>
          <w:szCs w:val="24"/>
        </w:rPr>
      </w:pPr>
    </w:p>
    <w:p w14:paraId="7E180B27" w14:textId="672E7091" w:rsidR="00C577CA" w:rsidRPr="00E27D3B" w:rsidRDefault="00C577CA" w:rsidP="0024577B">
      <w:pPr>
        <w:spacing w:after="0"/>
        <w:rPr>
          <w:rFonts w:asciiTheme="minorHAnsi" w:hAnsiTheme="minorHAnsi" w:cstheme="minorHAnsi"/>
          <w:sz w:val="24"/>
          <w:szCs w:val="24"/>
        </w:rPr>
      </w:pPr>
      <w:r w:rsidRPr="00E27D3B">
        <w:rPr>
          <w:rFonts w:asciiTheme="minorHAnsi" w:hAnsiTheme="minorHAnsi" w:cstheme="minorHAnsi"/>
          <w:sz w:val="24"/>
          <w:szCs w:val="24"/>
        </w:rPr>
        <w:lastRenderedPageBreak/>
        <w:t>A detailed assessment of the high-, medium-, and low-frequency inter-area modes was conducted to evaluate frequency shifts, damping variations, and the potential emergence of new modes within the inter-area frequency range. The analysis confirmed that no new inter-area modes were introduced</w:t>
      </w:r>
      <w:r w:rsidR="00453F83">
        <w:rPr>
          <w:rFonts w:asciiTheme="minorHAnsi" w:hAnsiTheme="minorHAnsi" w:cstheme="minorHAnsi"/>
          <w:sz w:val="24"/>
          <w:szCs w:val="24"/>
        </w:rPr>
        <w:t xml:space="preserve"> </w:t>
      </w:r>
      <w:r w:rsidR="00940197">
        <w:rPr>
          <w:rFonts w:asciiTheme="minorHAnsi" w:hAnsiTheme="minorHAnsi" w:cstheme="minorHAnsi"/>
          <w:sz w:val="24"/>
          <w:szCs w:val="24"/>
        </w:rPr>
        <w:fldChar w:fldCharType="begin"/>
      </w:r>
      <w:r w:rsidR="00940197">
        <w:rPr>
          <w:rFonts w:asciiTheme="minorHAnsi" w:hAnsiTheme="minorHAnsi" w:cstheme="minorHAnsi"/>
          <w:sz w:val="24"/>
          <w:szCs w:val="24"/>
        </w:rPr>
        <w:instrText xml:space="preserve"> REF _Ref224201346 \r \h </w:instrText>
      </w:r>
      <w:r w:rsidR="00CD4F3A">
        <w:rPr>
          <w:rFonts w:asciiTheme="minorHAnsi" w:hAnsiTheme="minorHAnsi" w:cstheme="minorHAnsi"/>
          <w:sz w:val="24"/>
          <w:szCs w:val="24"/>
        </w:rPr>
        <w:instrText xml:space="preserve"> \* MERGEFORMAT </w:instrText>
      </w:r>
      <w:r w:rsidR="00940197">
        <w:rPr>
          <w:rFonts w:asciiTheme="minorHAnsi" w:hAnsiTheme="minorHAnsi" w:cstheme="minorHAnsi"/>
          <w:sz w:val="24"/>
          <w:szCs w:val="24"/>
        </w:rPr>
      </w:r>
      <w:r w:rsidR="00940197">
        <w:rPr>
          <w:rFonts w:asciiTheme="minorHAnsi" w:hAnsiTheme="minorHAnsi" w:cstheme="minorHAnsi"/>
          <w:sz w:val="24"/>
          <w:szCs w:val="24"/>
        </w:rPr>
        <w:fldChar w:fldCharType="separate"/>
      </w:r>
      <w:r w:rsidR="00940197">
        <w:rPr>
          <w:rFonts w:asciiTheme="minorHAnsi" w:hAnsiTheme="minorHAnsi" w:cstheme="minorHAnsi"/>
          <w:sz w:val="24"/>
          <w:szCs w:val="24"/>
        </w:rPr>
        <w:t>[164]</w:t>
      </w:r>
      <w:r w:rsidR="00940197">
        <w:rPr>
          <w:rFonts w:asciiTheme="minorHAnsi" w:hAnsiTheme="minorHAnsi" w:cstheme="minorHAnsi"/>
          <w:sz w:val="24"/>
          <w:szCs w:val="24"/>
        </w:rPr>
        <w:fldChar w:fldCharType="end"/>
      </w:r>
      <w:r w:rsidRPr="00E27D3B">
        <w:rPr>
          <w:rFonts w:asciiTheme="minorHAnsi" w:hAnsiTheme="minorHAnsi" w:cstheme="minorHAnsi"/>
          <w:sz w:val="24"/>
          <w:szCs w:val="24"/>
        </w:rPr>
        <w:t>.</w:t>
      </w:r>
    </w:p>
    <w:p w14:paraId="7B70E00F" w14:textId="201600AB" w:rsidR="00C577CA" w:rsidRPr="00E27D3B" w:rsidRDefault="00C577CA" w:rsidP="0024577B">
      <w:pPr>
        <w:spacing w:after="0"/>
        <w:rPr>
          <w:rFonts w:asciiTheme="minorHAnsi" w:hAnsiTheme="minorHAnsi" w:cstheme="minorHAnsi"/>
          <w:sz w:val="24"/>
          <w:szCs w:val="24"/>
        </w:rPr>
      </w:pPr>
      <w:r w:rsidRPr="00E27D3B">
        <w:rPr>
          <w:rFonts w:asciiTheme="minorHAnsi" w:hAnsiTheme="minorHAnsi" w:cstheme="minorHAnsi"/>
          <w:sz w:val="24"/>
          <w:szCs w:val="24"/>
        </w:rPr>
        <w:t>The impact of the large load was further evaluated using the Transient Voltage Stability Index (TVSI) and the Transient Stability Index (TSI), as summarised in</w:t>
      </w:r>
      <w:r>
        <w:rPr>
          <w:rFonts w:asciiTheme="minorHAnsi" w:hAnsiTheme="minorHAnsi" w:cstheme="minorHAnsi"/>
          <w:sz w:val="24"/>
          <w:szCs w:val="24"/>
        </w:rPr>
        <w:t xml:space="preserve"> </w:t>
      </w:r>
      <w:r w:rsidRPr="000674AC">
        <w:rPr>
          <w:rFonts w:asciiTheme="minorHAnsi" w:hAnsiTheme="minorHAnsi" w:cstheme="minorHAnsi"/>
          <w:sz w:val="24"/>
          <w:szCs w:val="24"/>
        </w:rPr>
        <w:fldChar w:fldCharType="begin"/>
      </w:r>
      <w:r w:rsidRPr="000674AC">
        <w:rPr>
          <w:rFonts w:asciiTheme="minorHAnsi" w:hAnsiTheme="minorHAnsi" w:cstheme="minorHAnsi"/>
          <w:sz w:val="24"/>
          <w:szCs w:val="24"/>
        </w:rPr>
        <w:instrText xml:space="preserve"> REF _Ref224227163 \h </w:instrText>
      </w:r>
      <w:r>
        <w:rPr>
          <w:rFonts w:asciiTheme="minorHAnsi" w:hAnsiTheme="minorHAnsi" w:cstheme="minorHAnsi"/>
          <w:sz w:val="24"/>
          <w:szCs w:val="24"/>
        </w:rPr>
        <w:instrText xml:space="preserve"> \* MERGEFORMAT </w:instrText>
      </w:r>
      <w:r w:rsidRPr="000674AC">
        <w:rPr>
          <w:rFonts w:asciiTheme="minorHAnsi" w:hAnsiTheme="minorHAnsi" w:cstheme="minorHAnsi"/>
          <w:sz w:val="24"/>
          <w:szCs w:val="24"/>
        </w:rPr>
      </w:r>
      <w:r w:rsidRPr="000674AC">
        <w:rPr>
          <w:rFonts w:asciiTheme="minorHAnsi" w:hAnsiTheme="minorHAnsi" w:cstheme="minorHAnsi"/>
          <w:sz w:val="24"/>
          <w:szCs w:val="24"/>
        </w:rPr>
        <w:fldChar w:fldCharType="separate"/>
      </w:r>
      <w:r w:rsidR="00753DAF" w:rsidRPr="00753DAF">
        <w:rPr>
          <w:sz w:val="24"/>
          <w:szCs w:val="24"/>
        </w:rPr>
        <w:t xml:space="preserve">Table </w:t>
      </w:r>
      <w:r w:rsidR="00753DAF" w:rsidRPr="00753DAF">
        <w:rPr>
          <w:noProof/>
          <w:sz w:val="24"/>
          <w:szCs w:val="24"/>
        </w:rPr>
        <w:t>30</w:t>
      </w:r>
      <w:r w:rsidRPr="000674AC">
        <w:rPr>
          <w:rFonts w:asciiTheme="minorHAnsi" w:hAnsiTheme="minorHAnsi" w:cstheme="minorHAnsi"/>
          <w:sz w:val="24"/>
          <w:szCs w:val="24"/>
        </w:rPr>
        <w:fldChar w:fldCharType="end"/>
      </w:r>
      <w:r w:rsidRPr="00E27D3B">
        <w:rPr>
          <w:rFonts w:asciiTheme="minorHAnsi" w:hAnsiTheme="minorHAnsi" w:cstheme="minorHAnsi"/>
          <w:sz w:val="24"/>
          <w:szCs w:val="24"/>
        </w:rPr>
        <w:t>. The results indicate no abnormal or abrupt variations in either index beyond the anticipated changes.</w:t>
      </w:r>
    </w:p>
    <w:p w14:paraId="34509A42" w14:textId="4EFA48E1" w:rsidR="00C577CA" w:rsidRPr="00E27D3B" w:rsidRDefault="00C577CA" w:rsidP="00CD4F3A">
      <w:pPr>
        <w:pStyle w:val="Caption"/>
        <w:spacing w:line="240" w:lineRule="auto"/>
      </w:pPr>
      <w:bookmarkStart w:id="441" w:name="_Ref224227163"/>
      <w:bookmarkStart w:id="442" w:name="_Toc224235181"/>
      <w:bookmarkStart w:id="443" w:name="_Toc233735327"/>
      <w:r w:rsidRPr="00E27D3B">
        <w:t xml:space="preserve">Table </w:t>
      </w:r>
      <w:fldSimple w:instr=" SEQ Table \* ARABIC ">
        <w:r w:rsidR="00753DAF">
          <w:rPr>
            <w:noProof/>
          </w:rPr>
          <w:t>30</w:t>
        </w:r>
      </w:fldSimple>
      <w:bookmarkEnd w:id="441"/>
      <w:r w:rsidRPr="00E27D3B">
        <w:t>: Stability results.</w:t>
      </w:r>
      <w:bookmarkEnd w:id="442"/>
      <w:bookmarkEnd w:id="443"/>
    </w:p>
    <w:tbl>
      <w:tblPr>
        <w:tblStyle w:val="GridTable4"/>
        <w:tblW w:w="9057" w:type="dxa"/>
        <w:tblLook w:val="0420" w:firstRow="1" w:lastRow="0" w:firstColumn="0" w:lastColumn="0" w:noHBand="0" w:noVBand="1"/>
      </w:tblPr>
      <w:tblGrid>
        <w:gridCol w:w="3019"/>
        <w:gridCol w:w="3019"/>
        <w:gridCol w:w="3019"/>
      </w:tblGrid>
      <w:tr w:rsidR="00C577CA" w:rsidRPr="00E27D3B" w14:paraId="5CD294AC" w14:textId="77777777" w:rsidTr="0002386E">
        <w:trPr>
          <w:cnfStyle w:val="100000000000" w:firstRow="1" w:lastRow="0" w:firstColumn="0" w:lastColumn="0" w:oddVBand="0" w:evenVBand="0" w:oddHBand="0" w:evenHBand="0" w:firstRowFirstColumn="0" w:firstRowLastColumn="0" w:lastRowFirstColumn="0" w:lastRowLastColumn="0"/>
          <w:trHeight w:val="410"/>
        </w:trPr>
        <w:tc>
          <w:tcPr>
            <w:tcW w:w="3019" w:type="dxa"/>
            <w:hideMark/>
          </w:tcPr>
          <w:p w14:paraId="133AA4BB" w14:textId="77777777" w:rsidR="00C577CA" w:rsidRPr="00E27D3B" w:rsidRDefault="00C577CA" w:rsidP="00CD4F3A">
            <w:pPr>
              <w:spacing w:after="160"/>
              <w:rPr>
                <w:rFonts w:cs="Calibri"/>
                <w:color w:val="FFFFFF" w:themeColor="background2"/>
              </w:rPr>
            </w:pPr>
            <w:r w:rsidRPr="00E27D3B">
              <w:rPr>
                <w:rFonts w:cs="Calibri"/>
                <w:color w:val="FFFFFF" w:themeColor="background2"/>
              </w:rPr>
              <w:t>Loading scenario</w:t>
            </w:r>
          </w:p>
        </w:tc>
        <w:tc>
          <w:tcPr>
            <w:tcW w:w="3019" w:type="dxa"/>
            <w:hideMark/>
          </w:tcPr>
          <w:p w14:paraId="4BCE49BD" w14:textId="77777777" w:rsidR="00C577CA" w:rsidRPr="00E27D3B" w:rsidRDefault="00C577CA" w:rsidP="00CD4F3A">
            <w:pPr>
              <w:spacing w:after="160"/>
              <w:rPr>
                <w:rFonts w:cs="Calibri"/>
                <w:color w:val="FFFFFF" w:themeColor="background2"/>
              </w:rPr>
            </w:pPr>
            <w:r w:rsidRPr="00E27D3B">
              <w:rPr>
                <w:rFonts w:cs="Calibri"/>
                <w:color w:val="FFFFFF" w:themeColor="background2"/>
              </w:rPr>
              <w:t>TVSI</w:t>
            </w:r>
          </w:p>
        </w:tc>
        <w:tc>
          <w:tcPr>
            <w:tcW w:w="3019" w:type="dxa"/>
            <w:hideMark/>
          </w:tcPr>
          <w:p w14:paraId="43EFAD27" w14:textId="77777777" w:rsidR="00C577CA" w:rsidRPr="00E27D3B" w:rsidRDefault="00C577CA" w:rsidP="00CD4F3A">
            <w:pPr>
              <w:spacing w:after="160"/>
              <w:rPr>
                <w:rFonts w:cs="Calibri"/>
                <w:color w:val="FFFFFF" w:themeColor="background2"/>
              </w:rPr>
            </w:pPr>
            <w:r w:rsidRPr="00E27D3B">
              <w:rPr>
                <w:rFonts w:cs="Calibri"/>
                <w:color w:val="FFFFFF" w:themeColor="background2"/>
              </w:rPr>
              <w:t>TSI</w:t>
            </w:r>
          </w:p>
        </w:tc>
      </w:tr>
      <w:tr w:rsidR="00C577CA" w:rsidRPr="00E27D3B" w14:paraId="06722003" w14:textId="77777777" w:rsidTr="0002386E">
        <w:trPr>
          <w:cnfStyle w:val="000000100000" w:firstRow="0" w:lastRow="0" w:firstColumn="0" w:lastColumn="0" w:oddVBand="0" w:evenVBand="0" w:oddHBand="1" w:evenHBand="0" w:firstRowFirstColumn="0" w:firstRowLastColumn="0" w:lastRowFirstColumn="0" w:lastRowLastColumn="0"/>
          <w:trHeight w:val="420"/>
        </w:trPr>
        <w:tc>
          <w:tcPr>
            <w:tcW w:w="3019" w:type="dxa"/>
            <w:hideMark/>
          </w:tcPr>
          <w:p w14:paraId="159E6CB8" w14:textId="77777777" w:rsidR="00C577CA" w:rsidRPr="00E27D3B" w:rsidRDefault="00C577CA" w:rsidP="00CD4F3A">
            <w:pPr>
              <w:spacing w:after="160"/>
              <w:rPr>
                <w:rFonts w:cs="Calibri"/>
              </w:rPr>
            </w:pPr>
            <w:r w:rsidRPr="00E27D3B">
              <w:rPr>
                <w:rFonts w:cs="Calibri"/>
              </w:rPr>
              <w:t>Medium loading</w:t>
            </w:r>
          </w:p>
        </w:tc>
        <w:tc>
          <w:tcPr>
            <w:tcW w:w="3019" w:type="dxa"/>
            <w:hideMark/>
          </w:tcPr>
          <w:p w14:paraId="79BD8756" w14:textId="77777777" w:rsidR="00C577CA" w:rsidRPr="00E27D3B" w:rsidRDefault="00C577CA" w:rsidP="00CD4F3A">
            <w:pPr>
              <w:spacing w:after="160"/>
              <w:rPr>
                <w:rFonts w:cs="Calibri"/>
              </w:rPr>
            </w:pPr>
            <w:r w:rsidRPr="00E27D3B">
              <w:rPr>
                <w:rFonts w:cs="Calibri"/>
              </w:rPr>
              <w:t>0.145</w:t>
            </w:r>
          </w:p>
        </w:tc>
        <w:tc>
          <w:tcPr>
            <w:tcW w:w="3019" w:type="dxa"/>
            <w:hideMark/>
          </w:tcPr>
          <w:p w14:paraId="76FDECCB" w14:textId="77777777" w:rsidR="00C577CA" w:rsidRPr="00E27D3B" w:rsidRDefault="00C577CA" w:rsidP="00CD4F3A">
            <w:pPr>
              <w:spacing w:after="160"/>
              <w:rPr>
                <w:rFonts w:cs="Calibri"/>
              </w:rPr>
            </w:pPr>
            <w:r w:rsidRPr="00E27D3B">
              <w:rPr>
                <w:rFonts w:cs="Calibri"/>
              </w:rPr>
              <w:t>92</w:t>
            </w:r>
          </w:p>
        </w:tc>
      </w:tr>
      <w:tr w:rsidR="00C577CA" w:rsidRPr="00E27D3B" w14:paraId="562CD42C" w14:textId="77777777" w:rsidTr="0002386E">
        <w:trPr>
          <w:trHeight w:val="438"/>
        </w:trPr>
        <w:tc>
          <w:tcPr>
            <w:tcW w:w="3019" w:type="dxa"/>
            <w:hideMark/>
          </w:tcPr>
          <w:p w14:paraId="6342B4BB" w14:textId="77777777" w:rsidR="00C577CA" w:rsidRPr="00E27D3B" w:rsidRDefault="00C577CA" w:rsidP="00CD4F3A">
            <w:pPr>
              <w:spacing w:after="160"/>
              <w:rPr>
                <w:rFonts w:cs="Calibri"/>
              </w:rPr>
            </w:pPr>
            <w:r w:rsidRPr="00E27D3B">
              <w:rPr>
                <w:rFonts w:cs="Calibri"/>
              </w:rPr>
              <w:t>Medium to heavy</w:t>
            </w:r>
          </w:p>
        </w:tc>
        <w:tc>
          <w:tcPr>
            <w:tcW w:w="3019" w:type="dxa"/>
            <w:hideMark/>
          </w:tcPr>
          <w:p w14:paraId="111C5921" w14:textId="77777777" w:rsidR="00C577CA" w:rsidRPr="00E27D3B" w:rsidRDefault="00C577CA" w:rsidP="00CD4F3A">
            <w:pPr>
              <w:spacing w:after="160"/>
              <w:rPr>
                <w:rFonts w:cs="Calibri"/>
              </w:rPr>
            </w:pPr>
            <w:r w:rsidRPr="00E27D3B">
              <w:rPr>
                <w:rFonts w:cs="Calibri"/>
              </w:rPr>
              <w:t>0.157</w:t>
            </w:r>
          </w:p>
        </w:tc>
        <w:tc>
          <w:tcPr>
            <w:tcW w:w="3019" w:type="dxa"/>
            <w:hideMark/>
          </w:tcPr>
          <w:p w14:paraId="07940FBF" w14:textId="77777777" w:rsidR="00C577CA" w:rsidRPr="00E27D3B" w:rsidRDefault="00C577CA" w:rsidP="00CD4F3A">
            <w:pPr>
              <w:spacing w:after="160"/>
              <w:rPr>
                <w:rFonts w:cs="Calibri"/>
              </w:rPr>
            </w:pPr>
            <w:r w:rsidRPr="00E27D3B">
              <w:rPr>
                <w:rFonts w:cs="Calibri"/>
              </w:rPr>
              <w:t>89</w:t>
            </w:r>
          </w:p>
        </w:tc>
      </w:tr>
      <w:tr w:rsidR="00C577CA" w:rsidRPr="00E27D3B" w14:paraId="529E729A" w14:textId="77777777" w:rsidTr="0002386E">
        <w:trPr>
          <w:cnfStyle w:val="000000100000" w:firstRow="0" w:lastRow="0" w:firstColumn="0" w:lastColumn="0" w:oddVBand="0" w:evenVBand="0" w:oddHBand="1" w:evenHBand="0" w:firstRowFirstColumn="0" w:firstRowLastColumn="0" w:lastRowFirstColumn="0" w:lastRowLastColumn="0"/>
          <w:trHeight w:val="296"/>
        </w:trPr>
        <w:tc>
          <w:tcPr>
            <w:tcW w:w="3019" w:type="dxa"/>
            <w:hideMark/>
          </w:tcPr>
          <w:p w14:paraId="10D48842" w14:textId="77777777" w:rsidR="00C577CA" w:rsidRPr="00E27D3B" w:rsidRDefault="00C577CA" w:rsidP="00CD4F3A">
            <w:pPr>
              <w:spacing w:after="160"/>
              <w:rPr>
                <w:rFonts w:cs="Calibri"/>
              </w:rPr>
            </w:pPr>
            <w:r w:rsidRPr="00E27D3B">
              <w:rPr>
                <w:rFonts w:cs="Calibri"/>
              </w:rPr>
              <w:t>Heavy loading</w:t>
            </w:r>
          </w:p>
        </w:tc>
        <w:tc>
          <w:tcPr>
            <w:tcW w:w="3019" w:type="dxa"/>
            <w:hideMark/>
          </w:tcPr>
          <w:p w14:paraId="447C1183" w14:textId="77777777" w:rsidR="00C577CA" w:rsidRPr="00E27D3B" w:rsidRDefault="00C577CA" w:rsidP="00CD4F3A">
            <w:pPr>
              <w:spacing w:after="160"/>
              <w:rPr>
                <w:rFonts w:cs="Calibri"/>
              </w:rPr>
            </w:pPr>
            <w:r w:rsidRPr="00E27D3B">
              <w:rPr>
                <w:rFonts w:cs="Calibri"/>
              </w:rPr>
              <w:t>0.162</w:t>
            </w:r>
          </w:p>
        </w:tc>
        <w:tc>
          <w:tcPr>
            <w:tcW w:w="3019" w:type="dxa"/>
            <w:hideMark/>
          </w:tcPr>
          <w:p w14:paraId="66B897A5" w14:textId="77777777" w:rsidR="00C577CA" w:rsidRPr="00E27D3B" w:rsidRDefault="00C577CA" w:rsidP="00CD4F3A">
            <w:pPr>
              <w:spacing w:after="160"/>
              <w:rPr>
                <w:rFonts w:cs="Calibri"/>
              </w:rPr>
            </w:pPr>
            <w:r w:rsidRPr="00E27D3B">
              <w:rPr>
                <w:rFonts w:cs="Calibri"/>
              </w:rPr>
              <w:t>87</w:t>
            </w:r>
          </w:p>
        </w:tc>
      </w:tr>
    </w:tbl>
    <w:p w14:paraId="10DD9FDA" w14:textId="66D02877" w:rsidR="00C577CA" w:rsidRPr="0024577B" w:rsidRDefault="00C577CA" w:rsidP="0024577B">
      <w:pPr>
        <w:spacing w:after="0"/>
        <w:rPr>
          <w:rFonts w:cs="Calibri"/>
          <w:sz w:val="24"/>
          <w:szCs w:val="24"/>
        </w:rPr>
      </w:pPr>
      <w:r w:rsidRPr="0024577B">
        <w:rPr>
          <w:rFonts w:cs="Calibri"/>
          <w:sz w:val="24"/>
          <w:szCs w:val="24"/>
        </w:rPr>
        <w:t xml:space="preserve">Pacific Northwest National Laboratory has recently proposed six different large load models, specifically for data centre applications (see </w:t>
      </w:r>
      <w:r w:rsidRPr="0024577B">
        <w:rPr>
          <w:rFonts w:cs="Calibri"/>
          <w:sz w:val="24"/>
          <w:szCs w:val="24"/>
        </w:rPr>
        <w:fldChar w:fldCharType="begin"/>
      </w:r>
      <w:r w:rsidRPr="0024577B">
        <w:rPr>
          <w:rFonts w:cs="Calibri"/>
          <w:sz w:val="24"/>
          <w:szCs w:val="24"/>
        </w:rPr>
        <w:instrText xml:space="preserve"> REF _Ref224227182 \h  \* MERGEFORMAT </w:instrText>
      </w:r>
      <w:r w:rsidRPr="0024577B">
        <w:rPr>
          <w:rFonts w:cs="Calibri"/>
          <w:sz w:val="24"/>
          <w:szCs w:val="24"/>
        </w:rPr>
      </w:r>
      <w:r w:rsidRPr="0024577B">
        <w:rPr>
          <w:rFonts w:cs="Calibri"/>
          <w:sz w:val="24"/>
          <w:szCs w:val="24"/>
        </w:rPr>
        <w:fldChar w:fldCharType="separate"/>
      </w:r>
      <w:r w:rsidR="00753DAF" w:rsidRPr="0024577B">
        <w:rPr>
          <w:sz w:val="24"/>
          <w:szCs w:val="24"/>
        </w:rPr>
        <w:t xml:space="preserve">Table </w:t>
      </w:r>
      <w:r w:rsidR="00753DAF" w:rsidRPr="0024577B">
        <w:rPr>
          <w:noProof/>
          <w:sz w:val="24"/>
          <w:szCs w:val="24"/>
        </w:rPr>
        <w:t>31</w:t>
      </w:r>
      <w:r w:rsidRPr="0024577B">
        <w:rPr>
          <w:rFonts w:cs="Calibri"/>
          <w:sz w:val="24"/>
          <w:szCs w:val="24"/>
        </w:rPr>
        <w:fldChar w:fldCharType="end"/>
      </w:r>
      <w:r w:rsidRPr="0024577B">
        <w:rPr>
          <w:rFonts w:cs="Calibri"/>
          <w:sz w:val="24"/>
          <w:szCs w:val="24"/>
        </w:rPr>
        <w:t xml:space="preserve">). </w:t>
      </w:r>
      <w:r w:rsidR="00F06ADD" w:rsidRPr="0024577B">
        <w:rPr>
          <w:rFonts w:cs="Calibri"/>
          <w:sz w:val="24"/>
          <w:szCs w:val="24"/>
        </w:rPr>
        <w:fldChar w:fldCharType="begin"/>
      </w:r>
      <w:r w:rsidR="00F06ADD" w:rsidRPr="0024577B">
        <w:rPr>
          <w:rFonts w:cs="Calibri"/>
          <w:sz w:val="24"/>
          <w:szCs w:val="24"/>
        </w:rPr>
        <w:instrText xml:space="preserve"> REF _Ref224226563 \h </w:instrText>
      </w:r>
      <w:r w:rsidR="0024577B">
        <w:rPr>
          <w:rFonts w:cs="Calibri"/>
          <w:sz w:val="24"/>
          <w:szCs w:val="24"/>
        </w:rPr>
        <w:instrText xml:space="preserve"> \* MERGEFORMAT </w:instrText>
      </w:r>
      <w:r w:rsidR="00F06ADD" w:rsidRPr="0024577B">
        <w:rPr>
          <w:rFonts w:cs="Calibri"/>
          <w:sz w:val="24"/>
          <w:szCs w:val="24"/>
        </w:rPr>
      </w:r>
      <w:r w:rsidR="00F06ADD" w:rsidRPr="0024577B">
        <w:rPr>
          <w:rFonts w:cs="Calibri"/>
          <w:sz w:val="24"/>
          <w:szCs w:val="24"/>
        </w:rPr>
        <w:fldChar w:fldCharType="separate"/>
      </w:r>
      <w:r w:rsidR="00F06ADD" w:rsidRPr="0024577B">
        <w:rPr>
          <w:sz w:val="24"/>
          <w:szCs w:val="24"/>
        </w:rPr>
        <w:t xml:space="preserve">Figure </w:t>
      </w:r>
      <w:r w:rsidR="00F06ADD" w:rsidRPr="0024577B">
        <w:rPr>
          <w:noProof/>
          <w:sz w:val="24"/>
          <w:szCs w:val="24"/>
        </w:rPr>
        <w:t>70</w:t>
      </w:r>
      <w:r w:rsidR="00F06ADD" w:rsidRPr="0024577B">
        <w:rPr>
          <w:rFonts w:cs="Calibri"/>
          <w:sz w:val="24"/>
          <w:szCs w:val="24"/>
        </w:rPr>
        <w:fldChar w:fldCharType="end"/>
      </w:r>
      <w:r w:rsidR="00F06ADD" w:rsidRPr="0024577B">
        <w:rPr>
          <w:rFonts w:cs="Calibri"/>
          <w:sz w:val="24"/>
          <w:szCs w:val="24"/>
        </w:rPr>
        <w:t xml:space="preserve"> </w:t>
      </w:r>
      <w:r w:rsidRPr="0024577B">
        <w:rPr>
          <w:rFonts w:cs="Calibri"/>
          <w:sz w:val="24"/>
          <w:szCs w:val="24"/>
        </w:rPr>
        <w:t>and</w:t>
      </w:r>
      <w:r w:rsidR="00F06ADD" w:rsidRPr="0024577B">
        <w:rPr>
          <w:rFonts w:cs="Calibri"/>
          <w:sz w:val="24"/>
          <w:szCs w:val="24"/>
        </w:rPr>
        <w:t xml:space="preserve"> </w:t>
      </w:r>
      <w:r w:rsidR="00F06ADD" w:rsidRPr="0024577B">
        <w:rPr>
          <w:rFonts w:cs="Calibri"/>
          <w:sz w:val="24"/>
          <w:szCs w:val="24"/>
        </w:rPr>
        <w:fldChar w:fldCharType="begin"/>
      </w:r>
      <w:r w:rsidR="00F06ADD" w:rsidRPr="0024577B">
        <w:rPr>
          <w:rFonts w:cs="Calibri"/>
          <w:sz w:val="24"/>
          <w:szCs w:val="24"/>
        </w:rPr>
        <w:instrText xml:space="preserve"> REF _Ref224226576 \h </w:instrText>
      </w:r>
      <w:r w:rsidR="0024577B">
        <w:rPr>
          <w:rFonts w:cs="Calibri"/>
          <w:sz w:val="24"/>
          <w:szCs w:val="24"/>
        </w:rPr>
        <w:instrText xml:space="preserve"> \* MERGEFORMAT </w:instrText>
      </w:r>
      <w:r w:rsidR="00F06ADD" w:rsidRPr="0024577B">
        <w:rPr>
          <w:rFonts w:cs="Calibri"/>
          <w:sz w:val="24"/>
          <w:szCs w:val="24"/>
        </w:rPr>
      </w:r>
      <w:r w:rsidR="00F06ADD" w:rsidRPr="0024577B">
        <w:rPr>
          <w:rFonts w:cs="Calibri"/>
          <w:sz w:val="24"/>
          <w:szCs w:val="24"/>
        </w:rPr>
        <w:fldChar w:fldCharType="separate"/>
      </w:r>
      <w:r w:rsidR="00F06ADD" w:rsidRPr="0024577B">
        <w:rPr>
          <w:sz w:val="24"/>
          <w:szCs w:val="24"/>
        </w:rPr>
        <w:t xml:space="preserve">Figure </w:t>
      </w:r>
      <w:r w:rsidR="00F06ADD" w:rsidRPr="0024577B">
        <w:rPr>
          <w:noProof/>
          <w:sz w:val="24"/>
          <w:szCs w:val="24"/>
        </w:rPr>
        <w:t>71</w:t>
      </w:r>
      <w:r w:rsidR="00F06ADD" w:rsidRPr="0024577B">
        <w:rPr>
          <w:rFonts w:cs="Calibri"/>
          <w:sz w:val="24"/>
          <w:szCs w:val="24"/>
        </w:rPr>
        <w:fldChar w:fldCharType="end"/>
      </w:r>
      <w:r w:rsidR="00F06ADD" w:rsidRPr="0024577B">
        <w:rPr>
          <w:rFonts w:cs="Calibri"/>
          <w:sz w:val="24"/>
          <w:szCs w:val="24"/>
        </w:rPr>
        <w:t xml:space="preserve"> </w:t>
      </w:r>
      <w:r w:rsidRPr="0024577B">
        <w:rPr>
          <w:rFonts w:cs="Calibri"/>
          <w:sz w:val="24"/>
          <w:szCs w:val="24"/>
        </w:rPr>
        <w:t xml:space="preserve">illustrate the simple data centre model and the data centre model with LV DC distribution, respectively. Initially, these two models were integrated into the systems shown in </w:t>
      </w:r>
      <w:r w:rsidR="00F06ADD" w:rsidRPr="0024577B">
        <w:rPr>
          <w:rFonts w:cs="Calibri"/>
          <w:sz w:val="24"/>
          <w:szCs w:val="24"/>
        </w:rPr>
        <w:fldChar w:fldCharType="begin"/>
      </w:r>
      <w:r w:rsidR="00F06ADD" w:rsidRPr="0024577B">
        <w:rPr>
          <w:rFonts w:cs="Calibri"/>
          <w:sz w:val="24"/>
          <w:szCs w:val="24"/>
        </w:rPr>
        <w:instrText xml:space="preserve"> REF _Ref224226239 \h </w:instrText>
      </w:r>
      <w:r w:rsidR="0024577B">
        <w:rPr>
          <w:rFonts w:cs="Calibri"/>
          <w:sz w:val="24"/>
          <w:szCs w:val="24"/>
        </w:rPr>
        <w:instrText xml:space="preserve"> \* MERGEFORMAT </w:instrText>
      </w:r>
      <w:r w:rsidR="00F06ADD" w:rsidRPr="0024577B">
        <w:rPr>
          <w:rFonts w:cs="Calibri"/>
          <w:sz w:val="24"/>
          <w:szCs w:val="24"/>
        </w:rPr>
      </w:r>
      <w:r w:rsidR="00F06ADD" w:rsidRPr="0024577B">
        <w:rPr>
          <w:rFonts w:cs="Calibri"/>
          <w:sz w:val="24"/>
          <w:szCs w:val="24"/>
        </w:rPr>
        <w:fldChar w:fldCharType="separate"/>
      </w:r>
      <w:r w:rsidR="00F06ADD" w:rsidRPr="0024577B">
        <w:rPr>
          <w:sz w:val="24"/>
          <w:szCs w:val="24"/>
        </w:rPr>
        <w:t xml:space="preserve">Figure </w:t>
      </w:r>
      <w:r w:rsidR="00F06ADD" w:rsidRPr="0024577B">
        <w:rPr>
          <w:noProof/>
          <w:sz w:val="24"/>
          <w:szCs w:val="24"/>
        </w:rPr>
        <w:t>67</w:t>
      </w:r>
      <w:r w:rsidR="00F06ADD" w:rsidRPr="0024577B">
        <w:rPr>
          <w:rFonts w:cs="Calibri"/>
          <w:sz w:val="24"/>
          <w:szCs w:val="24"/>
        </w:rPr>
        <w:fldChar w:fldCharType="end"/>
      </w:r>
      <w:r w:rsidR="00F06ADD" w:rsidRPr="0024577B">
        <w:rPr>
          <w:rFonts w:cs="Calibri"/>
          <w:sz w:val="24"/>
          <w:szCs w:val="24"/>
        </w:rPr>
        <w:fldChar w:fldCharType="begin"/>
      </w:r>
      <w:r w:rsidR="00F06ADD" w:rsidRPr="0024577B">
        <w:rPr>
          <w:rFonts w:cs="Calibri"/>
          <w:sz w:val="24"/>
          <w:szCs w:val="24"/>
        </w:rPr>
        <w:instrText xml:space="preserve"> REF _Ref224226239 \h </w:instrText>
      </w:r>
      <w:r w:rsidR="0024577B">
        <w:rPr>
          <w:rFonts w:cs="Calibri"/>
          <w:sz w:val="24"/>
          <w:szCs w:val="24"/>
        </w:rPr>
        <w:instrText xml:space="preserve"> \* MERGEFORMAT </w:instrText>
      </w:r>
      <w:r w:rsidR="00F06ADD" w:rsidRPr="0024577B">
        <w:rPr>
          <w:rFonts w:cs="Calibri"/>
          <w:sz w:val="24"/>
          <w:szCs w:val="24"/>
        </w:rPr>
      </w:r>
      <w:r w:rsidR="00F06ADD" w:rsidRPr="0024577B">
        <w:rPr>
          <w:rFonts w:cs="Calibri"/>
          <w:sz w:val="24"/>
          <w:szCs w:val="24"/>
        </w:rPr>
        <w:fldChar w:fldCharType="separate"/>
      </w:r>
      <w:r w:rsidR="00F06ADD" w:rsidRPr="0024577B">
        <w:rPr>
          <w:rFonts w:cs="Calibri"/>
          <w:sz w:val="24"/>
          <w:szCs w:val="24"/>
        </w:rPr>
        <w:fldChar w:fldCharType="end"/>
      </w:r>
      <w:r w:rsidRPr="0024577B">
        <w:rPr>
          <w:rFonts w:cs="Calibri"/>
          <w:sz w:val="24"/>
          <w:szCs w:val="24"/>
        </w:rPr>
        <w:t>(a)–(b) to conduct dynamic model acceptance testing before being applied to the system presented in</w:t>
      </w:r>
      <w:r w:rsidR="00F06ADD" w:rsidRPr="0024577B">
        <w:rPr>
          <w:rFonts w:cs="Calibri"/>
          <w:sz w:val="24"/>
          <w:szCs w:val="24"/>
        </w:rPr>
        <w:t xml:space="preserve"> </w:t>
      </w:r>
      <w:r w:rsidR="00F06ADD" w:rsidRPr="0024577B">
        <w:rPr>
          <w:rFonts w:cs="Calibri"/>
          <w:sz w:val="24"/>
          <w:szCs w:val="24"/>
        </w:rPr>
        <w:fldChar w:fldCharType="begin"/>
      </w:r>
      <w:r w:rsidR="00F06ADD" w:rsidRPr="0024577B">
        <w:rPr>
          <w:rFonts w:cs="Calibri"/>
          <w:sz w:val="24"/>
          <w:szCs w:val="24"/>
        </w:rPr>
        <w:instrText xml:space="preserve"> REF _Ref224226400 \h </w:instrText>
      </w:r>
      <w:r w:rsidR="0024577B">
        <w:rPr>
          <w:rFonts w:cs="Calibri"/>
          <w:sz w:val="24"/>
          <w:szCs w:val="24"/>
        </w:rPr>
        <w:instrText xml:space="preserve"> \* MERGEFORMAT </w:instrText>
      </w:r>
      <w:r w:rsidR="00F06ADD" w:rsidRPr="0024577B">
        <w:rPr>
          <w:rFonts w:cs="Calibri"/>
          <w:sz w:val="24"/>
          <w:szCs w:val="24"/>
        </w:rPr>
      </w:r>
      <w:r w:rsidR="00F06ADD" w:rsidRPr="0024577B">
        <w:rPr>
          <w:rFonts w:cs="Calibri"/>
          <w:sz w:val="24"/>
          <w:szCs w:val="24"/>
        </w:rPr>
        <w:fldChar w:fldCharType="separate"/>
      </w:r>
      <w:r w:rsidR="00F06ADD" w:rsidRPr="0024577B">
        <w:rPr>
          <w:sz w:val="24"/>
          <w:szCs w:val="24"/>
        </w:rPr>
        <w:t xml:space="preserve">Figure </w:t>
      </w:r>
      <w:r w:rsidR="00F06ADD" w:rsidRPr="0024577B">
        <w:rPr>
          <w:noProof/>
          <w:sz w:val="24"/>
          <w:szCs w:val="24"/>
        </w:rPr>
        <w:t>68</w:t>
      </w:r>
      <w:r w:rsidR="00F06ADD" w:rsidRPr="0024577B">
        <w:rPr>
          <w:rFonts w:cs="Calibri"/>
          <w:sz w:val="24"/>
          <w:szCs w:val="24"/>
        </w:rPr>
        <w:fldChar w:fldCharType="end"/>
      </w:r>
      <w:r w:rsidRPr="0024577B">
        <w:rPr>
          <w:rFonts w:cs="Calibri"/>
          <w:sz w:val="24"/>
          <w:szCs w:val="24"/>
        </w:rPr>
        <w:t xml:space="preserve">. </w:t>
      </w:r>
    </w:p>
    <w:p w14:paraId="33B2B864" w14:textId="6C90F18B" w:rsidR="00C577CA" w:rsidRPr="00E27D3B" w:rsidRDefault="00C577CA" w:rsidP="00CD4F3A">
      <w:pPr>
        <w:pStyle w:val="Caption"/>
        <w:spacing w:line="240" w:lineRule="auto"/>
      </w:pPr>
      <w:bookmarkStart w:id="444" w:name="_Ref224227182"/>
      <w:bookmarkStart w:id="445" w:name="_Toc224235182"/>
      <w:bookmarkStart w:id="446" w:name="_Toc233735328"/>
      <w:r w:rsidRPr="00E27D3B">
        <w:t xml:space="preserve">Table </w:t>
      </w:r>
      <w:fldSimple w:instr=" SEQ Table \* ARABIC ">
        <w:r w:rsidR="00753DAF">
          <w:rPr>
            <w:noProof/>
          </w:rPr>
          <w:t>31</w:t>
        </w:r>
      </w:fldSimple>
      <w:bookmarkEnd w:id="444"/>
      <w:r w:rsidRPr="00E27D3B">
        <w:t xml:space="preserve">: Different data centre load models </w:t>
      </w:r>
      <w:r w:rsidRPr="00E27D3B">
        <w:fldChar w:fldCharType="begin"/>
      </w:r>
      <w:r w:rsidRPr="00E27D3B">
        <w:instrText xml:space="preserve"> REF _Ref224201450 \n \h  \* MERGEFORMAT </w:instrText>
      </w:r>
      <w:r w:rsidRPr="00E27D3B">
        <w:fldChar w:fldCharType="separate"/>
      </w:r>
      <w:r w:rsidR="006A65B3">
        <w:t>[165]</w:t>
      </w:r>
      <w:r w:rsidRPr="00E27D3B">
        <w:fldChar w:fldCharType="end"/>
      </w:r>
      <w:r w:rsidRPr="00E27D3B">
        <w:t>.</w:t>
      </w:r>
      <w:bookmarkEnd w:id="445"/>
      <w:bookmarkEnd w:id="446"/>
    </w:p>
    <w:tbl>
      <w:tblPr>
        <w:tblStyle w:val="GridTable4"/>
        <w:tblW w:w="5800" w:type="dxa"/>
        <w:jc w:val="center"/>
        <w:tblLook w:val="0420" w:firstRow="1" w:lastRow="0" w:firstColumn="0" w:lastColumn="0" w:noHBand="0" w:noVBand="1"/>
      </w:tblPr>
      <w:tblGrid>
        <w:gridCol w:w="1437"/>
        <w:gridCol w:w="4363"/>
      </w:tblGrid>
      <w:tr w:rsidR="00C577CA" w:rsidRPr="00E27D3B" w14:paraId="2730F7E6" w14:textId="77777777" w:rsidTr="0002386E">
        <w:trPr>
          <w:cnfStyle w:val="100000000000" w:firstRow="1" w:lastRow="0" w:firstColumn="0" w:lastColumn="0" w:oddVBand="0" w:evenVBand="0" w:oddHBand="0" w:evenHBand="0" w:firstRowFirstColumn="0" w:firstRowLastColumn="0" w:lastRowFirstColumn="0" w:lastRowLastColumn="0"/>
          <w:trHeight w:val="479"/>
          <w:jc w:val="center"/>
        </w:trPr>
        <w:tc>
          <w:tcPr>
            <w:tcW w:w="1440" w:type="dxa"/>
            <w:hideMark/>
          </w:tcPr>
          <w:p w14:paraId="6A58A1A7" w14:textId="77777777" w:rsidR="00C577CA" w:rsidRPr="00E27D3B" w:rsidRDefault="00C577CA" w:rsidP="00CD4F3A">
            <w:pPr>
              <w:spacing w:after="160"/>
              <w:rPr>
                <w:rFonts w:cs="Calibri"/>
                <w:color w:val="FFFFFF" w:themeColor="background2"/>
              </w:rPr>
            </w:pPr>
            <w:r w:rsidRPr="00E27D3B">
              <w:rPr>
                <w:rFonts w:cs="Calibri"/>
                <w:color w:val="FFFFFF" w:themeColor="background2"/>
              </w:rPr>
              <w:t>Model</w:t>
            </w:r>
          </w:p>
        </w:tc>
        <w:tc>
          <w:tcPr>
            <w:tcW w:w="4380" w:type="dxa"/>
            <w:hideMark/>
          </w:tcPr>
          <w:p w14:paraId="653E6EE3" w14:textId="77777777" w:rsidR="00C577CA" w:rsidRPr="00E27D3B" w:rsidRDefault="00C577CA" w:rsidP="00CD4F3A">
            <w:pPr>
              <w:spacing w:after="160"/>
              <w:rPr>
                <w:rFonts w:cs="Calibri"/>
                <w:color w:val="FFFFFF" w:themeColor="background2"/>
              </w:rPr>
            </w:pPr>
            <w:r w:rsidRPr="00E27D3B">
              <w:rPr>
                <w:rFonts w:cs="Calibri"/>
                <w:color w:val="FFFFFF" w:themeColor="background2"/>
              </w:rPr>
              <w:t>Description</w:t>
            </w:r>
          </w:p>
        </w:tc>
      </w:tr>
      <w:tr w:rsidR="00C577CA" w:rsidRPr="00E27D3B" w14:paraId="02E12171" w14:textId="77777777" w:rsidTr="0002386E">
        <w:trPr>
          <w:cnfStyle w:val="000000100000" w:firstRow="0" w:lastRow="0" w:firstColumn="0" w:lastColumn="0" w:oddVBand="0" w:evenVBand="0" w:oddHBand="1" w:evenHBand="0" w:firstRowFirstColumn="0" w:firstRowLastColumn="0" w:lastRowFirstColumn="0" w:lastRowLastColumn="0"/>
          <w:trHeight w:val="479"/>
          <w:jc w:val="center"/>
        </w:trPr>
        <w:tc>
          <w:tcPr>
            <w:tcW w:w="1440" w:type="dxa"/>
            <w:hideMark/>
          </w:tcPr>
          <w:p w14:paraId="1CA2E895" w14:textId="77777777" w:rsidR="00C577CA" w:rsidRPr="00E27D3B" w:rsidRDefault="00C577CA" w:rsidP="00CD4F3A">
            <w:pPr>
              <w:spacing w:after="160"/>
              <w:rPr>
                <w:rFonts w:cs="Calibri"/>
              </w:rPr>
            </w:pPr>
            <w:r w:rsidRPr="00E27D3B">
              <w:rPr>
                <w:rFonts w:cs="Calibri"/>
              </w:rPr>
              <w:t xml:space="preserve"> 1</w:t>
            </w:r>
          </w:p>
        </w:tc>
        <w:tc>
          <w:tcPr>
            <w:tcW w:w="4380" w:type="dxa"/>
            <w:hideMark/>
          </w:tcPr>
          <w:p w14:paraId="30C14E2F" w14:textId="77777777" w:rsidR="00C577CA" w:rsidRPr="00E27D3B" w:rsidRDefault="00C577CA" w:rsidP="00CD4F3A">
            <w:pPr>
              <w:spacing w:after="160"/>
              <w:rPr>
                <w:rFonts w:cs="Calibri"/>
              </w:rPr>
            </w:pPr>
            <w:r w:rsidRPr="00E27D3B">
              <w:rPr>
                <w:rFonts w:cs="Calibri"/>
              </w:rPr>
              <w:t>Simple</w:t>
            </w:r>
          </w:p>
        </w:tc>
      </w:tr>
      <w:tr w:rsidR="00C577CA" w:rsidRPr="00E27D3B" w14:paraId="001DC43D" w14:textId="77777777" w:rsidTr="0002386E">
        <w:trPr>
          <w:trHeight w:val="479"/>
          <w:jc w:val="center"/>
        </w:trPr>
        <w:tc>
          <w:tcPr>
            <w:tcW w:w="1440" w:type="dxa"/>
            <w:hideMark/>
          </w:tcPr>
          <w:p w14:paraId="11CCA0A7" w14:textId="77777777" w:rsidR="00C577CA" w:rsidRPr="00E27D3B" w:rsidRDefault="00C577CA" w:rsidP="00CD4F3A">
            <w:pPr>
              <w:spacing w:after="160"/>
              <w:rPr>
                <w:rFonts w:cs="Calibri"/>
              </w:rPr>
            </w:pPr>
            <w:r w:rsidRPr="00E27D3B">
              <w:rPr>
                <w:rFonts w:cs="Calibri"/>
              </w:rPr>
              <w:t xml:space="preserve"> 2</w:t>
            </w:r>
          </w:p>
        </w:tc>
        <w:tc>
          <w:tcPr>
            <w:tcW w:w="4380" w:type="dxa"/>
            <w:hideMark/>
          </w:tcPr>
          <w:p w14:paraId="723BEDC6" w14:textId="77777777" w:rsidR="00C577CA" w:rsidRPr="00E27D3B" w:rsidRDefault="00C577CA" w:rsidP="00CD4F3A">
            <w:pPr>
              <w:spacing w:after="160"/>
              <w:rPr>
                <w:rFonts w:cs="Calibri"/>
              </w:rPr>
            </w:pPr>
            <w:r w:rsidRPr="00E27D3B">
              <w:rPr>
                <w:rFonts w:cs="Calibri"/>
              </w:rPr>
              <w:t>Centralised UPS</w:t>
            </w:r>
          </w:p>
        </w:tc>
      </w:tr>
      <w:tr w:rsidR="00C577CA" w:rsidRPr="00E27D3B" w14:paraId="727D5B16" w14:textId="77777777" w:rsidTr="0002386E">
        <w:trPr>
          <w:cnfStyle w:val="000000100000" w:firstRow="0" w:lastRow="0" w:firstColumn="0" w:lastColumn="0" w:oddVBand="0" w:evenVBand="0" w:oddHBand="1" w:evenHBand="0" w:firstRowFirstColumn="0" w:firstRowLastColumn="0" w:lastRowFirstColumn="0" w:lastRowLastColumn="0"/>
          <w:trHeight w:val="479"/>
          <w:jc w:val="center"/>
        </w:trPr>
        <w:tc>
          <w:tcPr>
            <w:tcW w:w="1440" w:type="dxa"/>
            <w:hideMark/>
          </w:tcPr>
          <w:p w14:paraId="10FDFCA7" w14:textId="77777777" w:rsidR="00C577CA" w:rsidRPr="00E27D3B" w:rsidRDefault="00C577CA" w:rsidP="00CD4F3A">
            <w:pPr>
              <w:spacing w:after="160"/>
              <w:rPr>
                <w:rFonts w:cs="Calibri"/>
              </w:rPr>
            </w:pPr>
            <w:r w:rsidRPr="00E27D3B">
              <w:rPr>
                <w:rFonts w:cs="Calibri"/>
              </w:rPr>
              <w:t xml:space="preserve"> 3</w:t>
            </w:r>
          </w:p>
        </w:tc>
        <w:tc>
          <w:tcPr>
            <w:tcW w:w="4380" w:type="dxa"/>
            <w:hideMark/>
          </w:tcPr>
          <w:p w14:paraId="7AD257C0" w14:textId="77777777" w:rsidR="00C577CA" w:rsidRPr="00E27D3B" w:rsidRDefault="00C577CA" w:rsidP="00CD4F3A">
            <w:pPr>
              <w:spacing w:after="160"/>
              <w:rPr>
                <w:rFonts w:cs="Calibri"/>
              </w:rPr>
            </w:pPr>
            <w:r w:rsidRPr="00E27D3B">
              <w:rPr>
                <w:rFonts w:cs="Calibri"/>
              </w:rPr>
              <w:t>Distributed UPS</w:t>
            </w:r>
          </w:p>
        </w:tc>
      </w:tr>
      <w:tr w:rsidR="00C577CA" w:rsidRPr="00E27D3B" w14:paraId="58FBB6D7" w14:textId="77777777" w:rsidTr="0002386E">
        <w:trPr>
          <w:trHeight w:val="479"/>
          <w:jc w:val="center"/>
        </w:trPr>
        <w:tc>
          <w:tcPr>
            <w:tcW w:w="1440" w:type="dxa"/>
            <w:hideMark/>
          </w:tcPr>
          <w:p w14:paraId="4E1C5473" w14:textId="77777777" w:rsidR="00C577CA" w:rsidRPr="00E27D3B" w:rsidRDefault="00C577CA" w:rsidP="00CD4F3A">
            <w:pPr>
              <w:spacing w:after="160"/>
              <w:rPr>
                <w:rFonts w:cs="Calibri"/>
              </w:rPr>
            </w:pPr>
            <w:r w:rsidRPr="00E27D3B">
              <w:rPr>
                <w:rFonts w:cs="Calibri"/>
              </w:rPr>
              <w:t>4</w:t>
            </w:r>
          </w:p>
        </w:tc>
        <w:tc>
          <w:tcPr>
            <w:tcW w:w="4380" w:type="dxa"/>
            <w:hideMark/>
          </w:tcPr>
          <w:p w14:paraId="2FE0AA8D" w14:textId="77777777" w:rsidR="00C577CA" w:rsidRPr="00E27D3B" w:rsidRDefault="00C577CA" w:rsidP="00CD4F3A">
            <w:pPr>
              <w:spacing w:after="160"/>
              <w:rPr>
                <w:rFonts w:cs="Calibri"/>
              </w:rPr>
            </w:pPr>
            <w:r w:rsidRPr="00E27D3B">
              <w:rPr>
                <w:rFonts w:cs="Calibri"/>
              </w:rPr>
              <w:t>LV DC Distribution</w:t>
            </w:r>
          </w:p>
        </w:tc>
      </w:tr>
      <w:tr w:rsidR="00C577CA" w:rsidRPr="00E27D3B" w14:paraId="413E6C15" w14:textId="77777777" w:rsidTr="0002386E">
        <w:trPr>
          <w:cnfStyle w:val="000000100000" w:firstRow="0" w:lastRow="0" w:firstColumn="0" w:lastColumn="0" w:oddVBand="0" w:evenVBand="0" w:oddHBand="1" w:evenHBand="0" w:firstRowFirstColumn="0" w:firstRowLastColumn="0" w:lastRowFirstColumn="0" w:lastRowLastColumn="0"/>
          <w:trHeight w:val="479"/>
          <w:jc w:val="center"/>
        </w:trPr>
        <w:tc>
          <w:tcPr>
            <w:tcW w:w="1440" w:type="dxa"/>
            <w:hideMark/>
          </w:tcPr>
          <w:p w14:paraId="4BA24B38" w14:textId="77777777" w:rsidR="00C577CA" w:rsidRPr="00E27D3B" w:rsidRDefault="00C577CA" w:rsidP="00CD4F3A">
            <w:pPr>
              <w:spacing w:after="160"/>
              <w:rPr>
                <w:rFonts w:cs="Calibri"/>
              </w:rPr>
            </w:pPr>
            <w:r w:rsidRPr="00E27D3B">
              <w:rPr>
                <w:rFonts w:cs="Calibri"/>
              </w:rPr>
              <w:t>5</w:t>
            </w:r>
          </w:p>
        </w:tc>
        <w:tc>
          <w:tcPr>
            <w:tcW w:w="4380" w:type="dxa"/>
            <w:hideMark/>
          </w:tcPr>
          <w:p w14:paraId="2C2C7983" w14:textId="77777777" w:rsidR="00C577CA" w:rsidRPr="00E27D3B" w:rsidRDefault="00C577CA" w:rsidP="00CD4F3A">
            <w:pPr>
              <w:spacing w:after="160"/>
              <w:rPr>
                <w:rFonts w:cs="Calibri"/>
              </w:rPr>
            </w:pPr>
            <w:r w:rsidRPr="00E27D3B">
              <w:rPr>
                <w:rFonts w:cs="Calibri"/>
              </w:rPr>
              <w:t>MV Solid State Transformer</w:t>
            </w:r>
          </w:p>
        </w:tc>
      </w:tr>
      <w:tr w:rsidR="00C577CA" w:rsidRPr="00E27D3B" w14:paraId="779B31FC" w14:textId="77777777" w:rsidTr="0002386E">
        <w:trPr>
          <w:trHeight w:val="479"/>
          <w:jc w:val="center"/>
        </w:trPr>
        <w:tc>
          <w:tcPr>
            <w:tcW w:w="1440" w:type="dxa"/>
            <w:hideMark/>
          </w:tcPr>
          <w:p w14:paraId="12C54523" w14:textId="77777777" w:rsidR="00C577CA" w:rsidRPr="00E27D3B" w:rsidRDefault="00C577CA" w:rsidP="00CD4F3A">
            <w:pPr>
              <w:spacing w:after="160"/>
              <w:rPr>
                <w:rFonts w:cs="Calibri"/>
              </w:rPr>
            </w:pPr>
            <w:r w:rsidRPr="00E27D3B">
              <w:rPr>
                <w:rFonts w:cs="Calibri"/>
              </w:rPr>
              <w:t>6</w:t>
            </w:r>
          </w:p>
        </w:tc>
        <w:tc>
          <w:tcPr>
            <w:tcW w:w="4380" w:type="dxa"/>
            <w:hideMark/>
          </w:tcPr>
          <w:p w14:paraId="34FA0B95" w14:textId="77777777" w:rsidR="00C577CA" w:rsidRPr="00E27D3B" w:rsidRDefault="00C577CA" w:rsidP="00CD4F3A">
            <w:pPr>
              <w:spacing w:after="160"/>
              <w:rPr>
                <w:rFonts w:cs="Calibri"/>
              </w:rPr>
            </w:pPr>
            <w:r w:rsidRPr="00E27D3B">
              <w:rPr>
                <w:rFonts w:cs="Calibri"/>
              </w:rPr>
              <w:t>MV DC Distribution</w:t>
            </w:r>
          </w:p>
        </w:tc>
      </w:tr>
    </w:tbl>
    <w:p w14:paraId="17D98F1B" w14:textId="77777777" w:rsidR="00C577CA" w:rsidRPr="00E27D3B" w:rsidRDefault="00C577CA" w:rsidP="00CD4F3A">
      <w:pPr>
        <w:rPr>
          <w:rFonts w:cs="Calibri"/>
          <w:b/>
          <w:bCs/>
        </w:rPr>
      </w:pPr>
    </w:p>
    <w:p w14:paraId="1053AA58" w14:textId="77777777" w:rsidR="00C577CA" w:rsidRPr="00E27D3B" w:rsidRDefault="00C577CA" w:rsidP="00CD4F3A">
      <w:pPr>
        <w:keepNext/>
        <w:jc w:val="center"/>
      </w:pPr>
      <w:r w:rsidRPr="00E27D3B">
        <w:rPr>
          <w:rFonts w:cs="Calibri"/>
          <w:b/>
          <w:bCs/>
          <w:noProof/>
          <w:sz w:val="24"/>
          <w:szCs w:val="24"/>
        </w:rPr>
        <w:lastRenderedPageBreak/>
        <w:drawing>
          <wp:inline distT="0" distB="0" distL="0" distR="0" wp14:anchorId="7175050E" wp14:editId="314FF0CF">
            <wp:extent cx="5520265" cy="2133600"/>
            <wp:effectExtent l="0" t="0" r="4445" b="0"/>
            <wp:docPr id="7" name="Picture 6">
              <a:extLst xmlns:a="http://schemas.openxmlformats.org/drawingml/2006/main">
                <a:ext uri="{FF2B5EF4-FFF2-40B4-BE49-F238E27FC236}">
                  <a16:creationId xmlns:a16="http://schemas.microsoft.com/office/drawing/2014/main" id="{2FA1DD4B-6ECD-E02D-37BE-2876DC86E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FA1DD4B-6ECD-E02D-37BE-2876DC86E694}"/>
                        </a:ext>
                      </a:extLst>
                    </pic:cNvPr>
                    <pic:cNvPicPr>
                      <a:picLocks noChangeAspect="1"/>
                    </pic:cNvPicPr>
                  </pic:nvPicPr>
                  <pic:blipFill>
                    <a:blip r:embed="rId147"/>
                    <a:stretch>
                      <a:fillRect/>
                    </a:stretch>
                  </pic:blipFill>
                  <pic:spPr>
                    <a:xfrm>
                      <a:off x="0" y="0"/>
                      <a:ext cx="5520265" cy="2133600"/>
                    </a:xfrm>
                    <a:prstGeom prst="rect">
                      <a:avLst/>
                    </a:prstGeom>
                  </pic:spPr>
                </pic:pic>
              </a:graphicData>
            </a:graphic>
          </wp:inline>
        </w:drawing>
      </w:r>
    </w:p>
    <w:p w14:paraId="74BAB9E6" w14:textId="7BA16508" w:rsidR="00C577CA" w:rsidRPr="00E27D3B" w:rsidRDefault="00C577CA" w:rsidP="00CD4F3A">
      <w:pPr>
        <w:pStyle w:val="Caption"/>
        <w:spacing w:line="240" w:lineRule="auto"/>
        <w:rPr>
          <w:rFonts w:cs="Calibri"/>
          <w:b w:val="0"/>
          <w:bCs w:val="0"/>
          <w:sz w:val="24"/>
          <w:szCs w:val="24"/>
        </w:rPr>
      </w:pPr>
      <w:bookmarkStart w:id="447" w:name="_Ref224226563"/>
      <w:bookmarkStart w:id="448" w:name="_Toc224235154"/>
      <w:bookmarkStart w:id="449" w:name="_Toc233735076"/>
      <w:r>
        <w:t xml:space="preserve">Figure </w:t>
      </w:r>
      <w:fldSimple w:instr=" SEQ Figure \* ARABIC ">
        <w:r w:rsidR="003D3544">
          <w:rPr>
            <w:noProof/>
          </w:rPr>
          <w:t>70</w:t>
        </w:r>
      </w:fldSimple>
      <w:bookmarkEnd w:id="447"/>
      <w:r>
        <w:t xml:space="preserve">: </w:t>
      </w:r>
      <w:r w:rsidRPr="00870375">
        <w:t xml:space="preserve">Simple model </w:t>
      </w:r>
      <w:r>
        <w:fldChar w:fldCharType="begin"/>
      </w:r>
      <w:r>
        <w:instrText xml:space="preserve"> REF _Ref224201450 \n \h </w:instrText>
      </w:r>
      <w:r w:rsidR="00CD4F3A">
        <w:instrText xml:space="preserve"> \* MERGEFORMAT </w:instrText>
      </w:r>
      <w:r>
        <w:fldChar w:fldCharType="separate"/>
      </w:r>
      <w:r w:rsidR="00660022">
        <w:t>[165]</w:t>
      </w:r>
      <w:r>
        <w:fldChar w:fldCharType="end"/>
      </w:r>
      <w:r w:rsidRPr="00870375">
        <w:t>.</w:t>
      </w:r>
      <w:bookmarkEnd w:id="448"/>
      <w:bookmarkEnd w:id="449"/>
    </w:p>
    <w:p w14:paraId="3A7A94C8" w14:textId="77777777" w:rsidR="00C577CA" w:rsidRPr="00E27D3B" w:rsidRDefault="00C577CA" w:rsidP="00CD4F3A">
      <w:pPr>
        <w:keepNext/>
        <w:jc w:val="center"/>
      </w:pPr>
      <w:r w:rsidRPr="00E27D3B">
        <w:rPr>
          <w:rFonts w:cs="Calibri"/>
          <w:b/>
          <w:bCs/>
          <w:noProof/>
          <w:sz w:val="24"/>
          <w:szCs w:val="24"/>
        </w:rPr>
        <w:drawing>
          <wp:inline distT="0" distB="0" distL="0" distR="0" wp14:anchorId="62D5FF74" wp14:editId="46B5DF34">
            <wp:extent cx="5419414" cy="2842292"/>
            <wp:effectExtent l="0" t="0" r="0" b="0"/>
            <wp:docPr id="1730577804" name="Picture 12">
              <a:extLst xmlns:a="http://schemas.openxmlformats.org/drawingml/2006/main">
                <a:ext uri="{FF2B5EF4-FFF2-40B4-BE49-F238E27FC236}">
                  <a16:creationId xmlns:a16="http://schemas.microsoft.com/office/drawing/2014/main" id="{01A87795-27EA-5422-72E3-27B8EC2182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1A87795-27EA-5422-72E3-27B8EC2182EA}"/>
                        </a:ext>
                      </a:extLst>
                    </pic:cNvPr>
                    <pic:cNvPicPr>
                      <a:picLocks noChangeAspect="1"/>
                    </pic:cNvPicPr>
                  </pic:nvPicPr>
                  <pic:blipFill>
                    <a:blip r:embed="rId148"/>
                    <a:stretch>
                      <a:fillRect/>
                    </a:stretch>
                  </pic:blipFill>
                  <pic:spPr>
                    <a:xfrm>
                      <a:off x="0" y="0"/>
                      <a:ext cx="5419414" cy="2842292"/>
                    </a:xfrm>
                    <a:prstGeom prst="rect">
                      <a:avLst/>
                    </a:prstGeom>
                  </pic:spPr>
                </pic:pic>
              </a:graphicData>
            </a:graphic>
          </wp:inline>
        </w:drawing>
      </w:r>
    </w:p>
    <w:p w14:paraId="0BAA899C" w14:textId="79ADD57F" w:rsidR="00C577CA" w:rsidRDefault="00C577CA" w:rsidP="00CD4F3A">
      <w:pPr>
        <w:pStyle w:val="Caption"/>
        <w:spacing w:line="240" w:lineRule="auto"/>
      </w:pPr>
      <w:bookmarkStart w:id="450" w:name="_Ref224226576"/>
      <w:bookmarkStart w:id="451" w:name="_Toc224235155"/>
      <w:bookmarkStart w:id="452" w:name="_Toc233735077"/>
      <w:r>
        <w:t xml:space="preserve">Figure </w:t>
      </w:r>
      <w:fldSimple w:instr=" SEQ Figure \* ARABIC ">
        <w:r w:rsidR="00A85006">
          <w:rPr>
            <w:noProof/>
          </w:rPr>
          <w:t>7</w:t>
        </w:r>
        <w:r w:rsidR="003D3544">
          <w:rPr>
            <w:noProof/>
          </w:rPr>
          <w:t>1</w:t>
        </w:r>
      </w:fldSimple>
      <w:bookmarkEnd w:id="450"/>
      <w:r w:rsidRPr="000D4578">
        <w:t xml:space="preserve">: Data centre model with LV DC distribution </w:t>
      </w:r>
      <w:r>
        <w:fldChar w:fldCharType="begin"/>
      </w:r>
      <w:r>
        <w:instrText xml:space="preserve"> REF _Ref224201450 \n \h </w:instrText>
      </w:r>
      <w:r w:rsidR="00CD4F3A">
        <w:instrText xml:space="preserve"> \* MERGEFORMAT </w:instrText>
      </w:r>
      <w:r>
        <w:fldChar w:fldCharType="separate"/>
      </w:r>
      <w:r w:rsidR="00660022">
        <w:t>[165]</w:t>
      </w:r>
      <w:r>
        <w:fldChar w:fldCharType="end"/>
      </w:r>
      <w:r w:rsidRPr="00870375">
        <w:t>.</w:t>
      </w:r>
      <w:bookmarkEnd w:id="451"/>
      <w:bookmarkEnd w:id="452"/>
    </w:p>
    <w:p w14:paraId="286DEE0E" w14:textId="3E9B1AFE" w:rsidR="00C577CA" w:rsidRPr="0024577B" w:rsidRDefault="00C577CA" w:rsidP="0024577B">
      <w:pPr>
        <w:spacing w:after="0"/>
        <w:rPr>
          <w:rFonts w:cs="Calibri"/>
          <w:sz w:val="24"/>
          <w:szCs w:val="24"/>
        </w:rPr>
      </w:pPr>
      <w:r w:rsidRPr="0024577B">
        <w:rPr>
          <w:rFonts w:cs="Calibri"/>
          <w:sz w:val="24"/>
          <w:szCs w:val="24"/>
        </w:rPr>
        <w:fldChar w:fldCharType="begin"/>
      </w:r>
      <w:r w:rsidRPr="0024577B">
        <w:rPr>
          <w:rFonts w:cs="Calibri"/>
          <w:sz w:val="24"/>
          <w:szCs w:val="24"/>
        </w:rPr>
        <w:instrText xml:space="preserve"> REF _Ref230185141 \h  \* MERGEFORMAT </w:instrText>
      </w:r>
      <w:r w:rsidRPr="0024577B">
        <w:rPr>
          <w:rFonts w:cs="Calibri"/>
          <w:sz w:val="24"/>
          <w:szCs w:val="24"/>
        </w:rPr>
      </w:r>
      <w:r w:rsidRPr="0024577B">
        <w:rPr>
          <w:rFonts w:cs="Calibri"/>
          <w:sz w:val="24"/>
          <w:szCs w:val="24"/>
        </w:rPr>
        <w:fldChar w:fldCharType="separate"/>
      </w:r>
      <w:r w:rsidR="00753DAF" w:rsidRPr="0024577B">
        <w:rPr>
          <w:sz w:val="24"/>
          <w:szCs w:val="24"/>
        </w:rPr>
        <w:t xml:space="preserve">Table </w:t>
      </w:r>
      <w:r w:rsidR="00753DAF" w:rsidRPr="0024577B">
        <w:rPr>
          <w:noProof/>
          <w:sz w:val="24"/>
          <w:szCs w:val="24"/>
        </w:rPr>
        <w:t>32</w:t>
      </w:r>
      <w:r w:rsidRPr="0024577B">
        <w:rPr>
          <w:rFonts w:cs="Calibri"/>
          <w:sz w:val="24"/>
          <w:szCs w:val="24"/>
        </w:rPr>
        <w:fldChar w:fldCharType="end"/>
      </w:r>
      <w:r w:rsidRPr="0024577B">
        <w:rPr>
          <w:rFonts w:cs="Calibri"/>
          <w:sz w:val="24"/>
          <w:szCs w:val="24"/>
        </w:rPr>
        <w:t xml:space="preserve"> presents the different large-load models considered in this study, ranging from highly detailed representations to simplified aggregated models. The detailed model (M1) provides a comprehensive representation of the large load, including collector systems, inverter-based generation, battery storage, static loads, and transformers. This model is primarily used as a benchmark to capture the detailed electromechanical dynamics and interactions among different load components.</w:t>
      </w:r>
    </w:p>
    <w:p w14:paraId="1C525466" w14:textId="77777777" w:rsidR="00C577CA" w:rsidRPr="0024577B" w:rsidRDefault="00C577CA" w:rsidP="0024577B">
      <w:pPr>
        <w:spacing w:after="0"/>
        <w:rPr>
          <w:rFonts w:cs="Calibri"/>
          <w:sz w:val="24"/>
          <w:szCs w:val="24"/>
        </w:rPr>
      </w:pPr>
      <w:r w:rsidRPr="0024577B">
        <w:rPr>
          <w:rFonts w:cs="Calibri"/>
          <w:sz w:val="24"/>
          <w:szCs w:val="24"/>
        </w:rPr>
        <w:t xml:space="preserve">The aggregated single converter model (M2) simplifies the representation by modelling the large load as a single inverter-based unit, </w:t>
      </w:r>
      <w:proofErr w:type="gramStart"/>
      <w:r w:rsidRPr="0024577B">
        <w:rPr>
          <w:rFonts w:cs="Calibri"/>
          <w:sz w:val="24"/>
          <w:szCs w:val="24"/>
        </w:rPr>
        <w:t>similar to</w:t>
      </w:r>
      <w:proofErr w:type="gramEnd"/>
      <w:r w:rsidRPr="0024577B">
        <w:rPr>
          <w:rFonts w:cs="Calibri"/>
          <w:sz w:val="24"/>
          <w:szCs w:val="24"/>
        </w:rPr>
        <w:t xml:space="preserve"> an inverter-based generation system. This approach reduces modelling complexity while preserving the dominant dynamic characteristics associated with converter-based loads.</w:t>
      </w:r>
    </w:p>
    <w:p w14:paraId="1D7C8135" w14:textId="550FCA69" w:rsidR="00C577CA" w:rsidRPr="0024577B" w:rsidRDefault="00C577CA" w:rsidP="0024577B">
      <w:pPr>
        <w:spacing w:after="0"/>
        <w:rPr>
          <w:rFonts w:cs="Calibri"/>
          <w:sz w:val="24"/>
          <w:szCs w:val="24"/>
        </w:rPr>
      </w:pPr>
      <w:r w:rsidRPr="0024577B">
        <w:rPr>
          <w:rFonts w:cs="Calibri"/>
          <w:sz w:val="24"/>
          <w:szCs w:val="24"/>
        </w:rPr>
        <w:t>The modified CMLD (M3) extends the conventional load representation by incorporating an aggregated distribution feeder, transformer, static load, motor load, and distributed photovoltaic (PV) generation. This model enables the analysis of the interaction between distributed energy resources and conventional load dynamics under disturbed operating conditions.</w:t>
      </w:r>
    </w:p>
    <w:p w14:paraId="4C7591EA" w14:textId="77777777" w:rsidR="00C577CA" w:rsidRPr="0024577B" w:rsidRDefault="00C577CA" w:rsidP="0024577B">
      <w:pPr>
        <w:spacing w:after="0"/>
        <w:rPr>
          <w:rFonts w:cs="Calibri"/>
          <w:sz w:val="24"/>
          <w:szCs w:val="24"/>
        </w:rPr>
      </w:pPr>
      <w:r w:rsidRPr="0024577B">
        <w:rPr>
          <w:rFonts w:cs="Calibri"/>
          <w:sz w:val="24"/>
          <w:szCs w:val="24"/>
        </w:rPr>
        <w:lastRenderedPageBreak/>
        <w:t>The PNNL Model 2 (M4) further represents the load using static components, rectifier-based motor loads, and aggregated medium-voltage (MV) and low-voltage (LV) transformers. This configuration is suitable for studying the impact of power-electronic-interfaced motor loads on system dynamic performance.</w:t>
      </w:r>
    </w:p>
    <w:p w14:paraId="556B98AC" w14:textId="77777777" w:rsidR="00C577CA" w:rsidRPr="0024577B" w:rsidRDefault="00C577CA" w:rsidP="0024577B">
      <w:pPr>
        <w:spacing w:after="0"/>
        <w:rPr>
          <w:rFonts w:cs="Calibri"/>
          <w:sz w:val="24"/>
          <w:szCs w:val="24"/>
        </w:rPr>
      </w:pPr>
      <w:r w:rsidRPr="0024577B">
        <w:rPr>
          <w:rFonts w:cs="Calibri"/>
          <w:sz w:val="24"/>
          <w:szCs w:val="24"/>
        </w:rPr>
        <w:t>Finally, the PNNL Model 3 (M5) provides the most comprehensive aggregated representation among the simplified models by including static loads, rectifier-based motors, grid-forming inverter-based battery systems, gas generators, diesel generators, and aggregated MV/LV transformers. This model captures the interactions between converter-dominated resources and conventional rotating generation sources, making it suitable for voltage and angle stability assessments in weak grid conditions.</w:t>
      </w:r>
    </w:p>
    <w:p w14:paraId="1BCCD015" w14:textId="4E60E23B" w:rsidR="00C577CA" w:rsidRDefault="00C577CA" w:rsidP="00CD4F3A">
      <w:pPr>
        <w:pStyle w:val="Caption"/>
        <w:spacing w:line="240" w:lineRule="auto"/>
        <w:rPr>
          <w:rFonts w:asciiTheme="minorHAnsi" w:hAnsiTheme="minorHAnsi" w:cstheme="minorHAnsi"/>
          <w:sz w:val="24"/>
          <w:szCs w:val="24"/>
        </w:rPr>
      </w:pPr>
      <w:bookmarkStart w:id="453" w:name="_Ref230185141"/>
      <w:bookmarkStart w:id="454" w:name="_Toc233735329"/>
      <w:r>
        <w:t xml:space="preserve">Table </w:t>
      </w:r>
      <w:fldSimple w:instr=" SEQ Table \* ARABIC ">
        <w:r w:rsidR="00753DAF">
          <w:rPr>
            <w:noProof/>
          </w:rPr>
          <w:t>32</w:t>
        </w:r>
      </w:fldSimple>
      <w:bookmarkEnd w:id="453"/>
      <w:r>
        <w:t>: Five data centre load models used for stability studies.</w:t>
      </w:r>
      <w:bookmarkEnd w:id="454"/>
    </w:p>
    <w:tbl>
      <w:tblPr>
        <w:tblStyle w:val="GridTable4"/>
        <w:tblW w:w="9702" w:type="dxa"/>
        <w:tblLook w:val="04A0" w:firstRow="1" w:lastRow="0" w:firstColumn="1" w:lastColumn="0" w:noHBand="0" w:noVBand="1"/>
      </w:tblPr>
      <w:tblGrid>
        <w:gridCol w:w="4850"/>
        <w:gridCol w:w="4852"/>
      </w:tblGrid>
      <w:tr w:rsidR="00C577CA" w:rsidRPr="00CC0DD9" w14:paraId="2FCCD6EB" w14:textId="77777777" w:rsidTr="0002386E">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850" w:type="dxa"/>
          </w:tcPr>
          <w:p w14:paraId="1B57880D" w14:textId="77777777" w:rsidR="00C577CA" w:rsidRPr="00FD4E8A" w:rsidRDefault="00C577CA" w:rsidP="00CD4F3A">
            <w:pPr>
              <w:jc w:val="center"/>
              <w:rPr>
                <w:rFonts w:ascii="Times New Roman" w:hAnsi="Times New Roman"/>
                <w:color w:val="FFFFFF" w:themeColor="background1"/>
              </w:rPr>
            </w:pPr>
            <w:r w:rsidRPr="00FD4E8A">
              <w:rPr>
                <w:rFonts w:ascii="Times New Roman" w:hAnsi="Times New Roman"/>
                <w:color w:val="FFFFFF" w:themeColor="background1"/>
              </w:rPr>
              <w:t>Load Type</w:t>
            </w:r>
          </w:p>
        </w:tc>
        <w:tc>
          <w:tcPr>
            <w:tcW w:w="4852" w:type="dxa"/>
          </w:tcPr>
          <w:p w14:paraId="080B2D13" w14:textId="77777777" w:rsidR="00C577CA" w:rsidRPr="00FD4E8A"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FD4E8A">
              <w:rPr>
                <w:rFonts w:ascii="Times New Roman" w:hAnsi="Times New Roman"/>
                <w:color w:val="FFFFFF" w:themeColor="background1"/>
              </w:rPr>
              <w:t>Description</w:t>
            </w:r>
          </w:p>
        </w:tc>
      </w:tr>
      <w:tr w:rsidR="00C577CA" w:rsidRPr="00CC0DD9" w14:paraId="76CC075C" w14:textId="77777777" w:rsidTr="0002386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850" w:type="dxa"/>
          </w:tcPr>
          <w:p w14:paraId="605DC4DE" w14:textId="77777777" w:rsidR="00C577CA" w:rsidRPr="00CC0DD9" w:rsidRDefault="00C577CA" w:rsidP="00CD4F3A">
            <w:pPr>
              <w:rPr>
                <w:rFonts w:ascii="Times New Roman" w:hAnsi="Times New Roman"/>
              </w:rPr>
            </w:pPr>
            <w:r w:rsidRPr="00CC0DD9">
              <w:rPr>
                <w:rFonts w:ascii="Times New Roman" w:hAnsi="Times New Roman"/>
              </w:rPr>
              <w:t>Detail model</w:t>
            </w:r>
            <w:r>
              <w:rPr>
                <w:rFonts w:ascii="Times New Roman" w:hAnsi="Times New Roman"/>
              </w:rPr>
              <w:t xml:space="preserve"> (M1)</w:t>
            </w:r>
          </w:p>
        </w:tc>
        <w:tc>
          <w:tcPr>
            <w:tcW w:w="4852" w:type="dxa"/>
          </w:tcPr>
          <w:p w14:paraId="08566E24" w14:textId="77777777" w:rsidR="00C577CA" w:rsidRPr="00CC0DD9" w:rsidRDefault="00C577CA" w:rsidP="00CD4F3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42A72">
              <w:rPr>
                <w:rFonts w:ascii="Times New Roman" w:hAnsi="Times New Roman"/>
              </w:rPr>
              <w:t>This model includes the detailed representation of a large load, including collector systems, an inverter-based generator, a battery, a static load, transformer.</w:t>
            </w:r>
          </w:p>
        </w:tc>
      </w:tr>
      <w:tr w:rsidR="00C577CA" w:rsidRPr="00CC0DD9" w14:paraId="7DFA20A5" w14:textId="77777777" w:rsidTr="0002386E">
        <w:trPr>
          <w:trHeight w:val="338"/>
        </w:trPr>
        <w:tc>
          <w:tcPr>
            <w:cnfStyle w:val="001000000000" w:firstRow="0" w:lastRow="0" w:firstColumn="1" w:lastColumn="0" w:oddVBand="0" w:evenVBand="0" w:oddHBand="0" w:evenHBand="0" w:firstRowFirstColumn="0" w:firstRowLastColumn="0" w:lastRowFirstColumn="0" w:lastRowLastColumn="0"/>
            <w:tcW w:w="4850" w:type="dxa"/>
          </w:tcPr>
          <w:p w14:paraId="0C433BAD" w14:textId="77777777" w:rsidR="00C577CA" w:rsidRPr="00CC0DD9" w:rsidRDefault="00C577CA" w:rsidP="00CD4F3A">
            <w:pPr>
              <w:rPr>
                <w:rFonts w:ascii="Times New Roman" w:hAnsi="Times New Roman"/>
              </w:rPr>
            </w:pPr>
            <w:r w:rsidRPr="00CC0DD9">
              <w:rPr>
                <w:rFonts w:ascii="Times New Roman" w:hAnsi="Times New Roman"/>
              </w:rPr>
              <w:t>Aggregated single converter model</w:t>
            </w:r>
            <w:r>
              <w:rPr>
                <w:rFonts w:ascii="Times New Roman" w:hAnsi="Times New Roman"/>
              </w:rPr>
              <w:t xml:space="preserve"> (M2)</w:t>
            </w:r>
          </w:p>
        </w:tc>
        <w:tc>
          <w:tcPr>
            <w:tcW w:w="4852" w:type="dxa"/>
          </w:tcPr>
          <w:p w14:paraId="0A551B04" w14:textId="77777777" w:rsidR="00C577CA" w:rsidRPr="00CC0DD9" w:rsidRDefault="00C577CA" w:rsidP="00CD4F3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DD9">
              <w:rPr>
                <w:rFonts w:ascii="Times New Roman" w:hAnsi="Times New Roman"/>
              </w:rPr>
              <w:t xml:space="preserve">Single inverter-based loads are </w:t>
            </w:r>
            <w:proofErr w:type="gramStart"/>
            <w:r w:rsidRPr="00CC0DD9">
              <w:rPr>
                <w:rFonts w:ascii="Times New Roman" w:hAnsi="Times New Roman"/>
              </w:rPr>
              <w:t xml:space="preserve">similar </w:t>
            </w:r>
            <w:r>
              <w:rPr>
                <w:rFonts w:ascii="Times New Roman" w:hAnsi="Times New Roman"/>
              </w:rPr>
              <w:t>to</w:t>
            </w:r>
            <w:proofErr w:type="gramEnd"/>
            <w:r w:rsidRPr="00CC0DD9">
              <w:rPr>
                <w:rFonts w:ascii="Times New Roman" w:hAnsi="Times New Roman"/>
              </w:rPr>
              <w:t xml:space="preserve"> inverter-based generation.</w:t>
            </w:r>
          </w:p>
        </w:tc>
      </w:tr>
      <w:tr w:rsidR="00C577CA" w:rsidRPr="00CC0DD9" w14:paraId="2ED653F8" w14:textId="77777777" w:rsidTr="0002386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850" w:type="dxa"/>
          </w:tcPr>
          <w:p w14:paraId="7FC362FB" w14:textId="77777777" w:rsidR="00C577CA" w:rsidRPr="00CC0DD9" w:rsidRDefault="00C577CA" w:rsidP="00CD4F3A">
            <w:pPr>
              <w:rPr>
                <w:rFonts w:ascii="Times New Roman" w:hAnsi="Times New Roman"/>
              </w:rPr>
            </w:pPr>
            <w:r w:rsidRPr="00CC0DD9">
              <w:rPr>
                <w:rFonts w:ascii="Times New Roman" w:hAnsi="Times New Roman"/>
              </w:rPr>
              <w:t>Modified CML</w:t>
            </w:r>
            <w:r>
              <w:rPr>
                <w:rFonts w:ascii="Times New Roman" w:hAnsi="Times New Roman"/>
              </w:rPr>
              <w:t>D</w:t>
            </w:r>
            <w:r w:rsidRPr="00CC0DD9">
              <w:rPr>
                <w:rFonts w:ascii="Times New Roman" w:hAnsi="Times New Roman"/>
              </w:rPr>
              <w:t xml:space="preserve"> model</w:t>
            </w:r>
            <w:r>
              <w:rPr>
                <w:rFonts w:ascii="Times New Roman" w:hAnsi="Times New Roman"/>
              </w:rPr>
              <w:t xml:space="preserve"> (M3)</w:t>
            </w:r>
          </w:p>
        </w:tc>
        <w:tc>
          <w:tcPr>
            <w:tcW w:w="4852" w:type="dxa"/>
          </w:tcPr>
          <w:p w14:paraId="05B93FEE" w14:textId="77777777" w:rsidR="00C577CA" w:rsidRPr="00CC0DD9" w:rsidRDefault="00C577CA" w:rsidP="00CD4F3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0DD9">
              <w:rPr>
                <w:rFonts w:ascii="Times New Roman" w:hAnsi="Times New Roman"/>
              </w:rPr>
              <w:t>CML load with aggregated distribution feeder, transformer, static model, motor load and distributed PV.</w:t>
            </w:r>
          </w:p>
        </w:tc>
      </w:tr>
      <w:tr w:rsidR="00C577CA" w:rsidRPr="00CC0DD9" w14:paraId="2E9F93DE" w14:textId="77777777" w:rsidTr="0002386E">
        <w:trPr>
          <w:trHeight w:val="348"/>
        </w:trPr>
        <w:tc>
          <w:tcPr>
            <w:cnfStyle w:val="001000000000" w:firstRow="0" w:lastRow="0" w:firstColumn="1" w:lastColumn="0" w:oddVBand="0" w:evenVBand="0" w:oddHBand="0" w:evenHBand="0" w:firstRowFirstColumn="0" w:firstRowLastColumn="0" w:lastRowFirstColumn="0" w:lastRowLastColumn="0"/>
            <w:tcW w:w="4850" w:type="dxa"/>
          </w:tcPr>
          <w:p w14:paraId="6F602802" w14:textId="77777777" w:rsidR="00C577CA" w:rsidRPr="00CC0DD9" w:rsidRDefault="00C577CA" w:rsidP="00CD4F3A">
            <w:pPr>
              <w:rPr>
                <w:rFonts w:ascii="Times New Roman" w:hAnsi="Times New Roman"/>
              </w:rPr>
            </w:pPr>
            <w:r w:rsidRPr="00CC0DD9">
              <w:rPr>
                <w:rFonts w:ascii="Times New Roman" w:hAnsi="Times New Roman"/>
              </w:rPr>
              <w:t>PNNL Model 2</w:t>
            </w:r>
            <w:r>
              <w:rPr>
                <w:rFonts w:ascii="Times New Roman" w:hAnsi="Times New Roman"/>
              </w:rPr>
              <w:t xml:space="preserve"> (M4)</w:t>
            </w:r>
          </w:p>
        </w:tc>
        <w:tc>
          <w:tcPr>
            <w:tcW w:w="4852" w:type="dxa"/>
          </w:tcPr>
          <w:p w14:paraId="56EBC98A" w14:textId="77777777" w:rsidR="00C577CA" w:rsidRPr="00CC0DD9" w:rsidRDefault="00C577CA" w:rsidP="00CD4F3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DD9">
              <w:rPr>
                <w:rFonts w:ascii="Times New Roman" w:hAnsi="Times New Roman"/>
              </w:rPr>
              <w:t>Static load, rectifier-based motor, aggregated MV and LV transformer.</w:t>
            </w:r>
          </w:p>
        </w:tc>
      </w:tr>
      <w:tr w:rsidR="00C577CA" w:rsidRPr="00CC0DD9" w14:paraId="7215571D" w14:textId="77777777" w:rsidTr="0002386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850" w:type="dxa"/>
          </w:tcPr>
          <w:p w14:paraId="3AF8723B" w14:textId="77777777" w:rsidR="00C577CA" w:rsidRPr="00CC0DD9" w:rsidRDefault="00C577CA" w:rsidP="00CD4F3A">
            <w:pPr>
              <w:rPr>
                <w:rFonts w:ascii="Times New Roman" w:hAnsi="Times New Roman"/>
              </w:rPr>
            </w:pPr>
            <w:r w:rsidRPr="00CC0DD9">
              <w:rPr>
                <w:rFonts w:ascii="Times New Roman" w:hAnsi="Times New Roman"/>
              </w:rPr>
              <w:t>PNNL Model 3</w:t>
            </w:r>
            <w:r>
              <w:rPr>
                <w:rFonts w:ascii="Times New Roman" w:hAnsi="Times New Roman"/>
              </w:rPr>
              <w:t xml:space="preserve"> (M5)</w:t>
            </w:r>
          </w:p>
        </w:tc>
        <w:tc>
          <w:tcPr>
            <w:tcW w:w="4852" w:type="dxa"/>
          </w:tcPr>
          <w:p w14:paraId="68431F51" w14:textId="77777777" w:rsidR="00C577CA" w:rsidRPr="00CC0DD9" w:rsidRDefault="00C577CA" w:rsidP="00CD4F3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0DD9">
              <w:rPr>
                <w:rFonts w:ascii="Times New Roman" w:hAnsi="Times New Roman"/>
              </w:rPr>
              <w:t xml:space="preserve">Static load, rectifier-based motor, </w:t>
            </w:r>
            <w:r>
              <w:rPr>
                <w:rFonts w:ascii="Times New Roman" w:hAnsi="Times New Roman"/>
              </w:rPr>
              <w:t>g</w:t>
            </w:r>
            <w:r w:rsidRPr="00CC0DD9">
              <w:rPr>
                <w:rFonts w:ascii="Times New Roman" w:hAnsi="Times New Roman"/>
              </w:rPr>
              <w:t>rid-forming inverter-based battery, gas generator, diesel generator, aggregated MV and LV transformer.</w:t>
            </w:r>
          </w:p>
        </w:tc>
      </w:tr>
    </w:tbl>
    <w:p w14:paraId="37BBFAEE" w14:textId="77777777" w:rsidR="00C577CA" w:rsidRDefault="00C577CA" w:rsidP="00CD4F3A">
      <w:pPr>
        <w:rPr>
          <w:rFonts w:asciiTheme="minorHAnsi" w:hAnsiTheme="minorHAnsi" w:cstheme="minorHAnsi"/>
          <w:sz w:val="24"/>
          <w:szCs w:val="24"/>
        </w:rPr>
      </w:pPr>
    </w:p>
    <w:p w14:paraId="41965EFE" w14:textId="67C5ED3E" w:rsidR="00C577CA" w:rsidRPr="005408F7" w:rsidRDefault="00C577CA" w:rsidP="0024577B">
      <w:pPr>
        <w:spacing w:after="0"/>
        <w:rPr>
          <w:rFonts w:asciiTheme="minorHAnsi" w:hAnsiTheme="minorHAnsi" w:cstheme="minorHAnsi"/>
          <w:sz w:val="24"/>
          <w:szCs w:val="24"/>
        </w:rPr>
      </w:pPr>
      <w:r w:rsidRPr="005408F7">
        <w:rPr>
          <w:rFonts w:asciiTheme="minorHAnsi" w:hAnsiTheme="minorHAnsi" w:cstheme="minorHAnsi"/>
          <w:sz w:val="24"/>
          <w:szCs w:val="24"/>
        </w:rPr>
        <w:fldChar w:fldCharType="begin"/>
      </w:r>
      <w:r w:rsidRPr="005408F7">
        <w:rPr>
          <w:rFonts w:asciiTheme="minorHAnsi" w:hAnsiTheme="minorHAnsi" w:cstheme="minorHAnsi"/>
          <w:sz w:val="24"/>
          <w:szCs w:val="24"/>
        </w:rPr>
        <w:instrText xml:space="preserve"> REF _Ref230186098 \h  \* MERGEFORMAT </w:instrText>
      </w:r>
      <w:r w:rsidRPr="005408F7">
        <w:rPr>
          <w:rFonts w:asciiTheme="minorHAnsi" w:hAnsiTheme="minorHAnsi" w:cstheme="minorHAnsi"/>
          <w:sz w:val="24"/>
          <w:szCs w:val="24"/>
        </w:rPr>
      </w:r>
      <w:r w:rsidRPr="005408F7">
        <w:rPr>
          <w:rFonts w:asciiTheme="minorHAnsi" w:hAnsiTheme="minorHAnsi" w:cstheme="minorHAnsi"/>
          <w:sz w:val="24"/>
          <w:szCs w:val="24"/>
        </w:rPr>
        <w:fldChar w:fldCharType="separate"/>
      </w:r>
      <w:r w:rsidR="00753DAF" w:rsidRPr="005408F7">
        <w:rPr>
          <w:rFonts w:asciiTheme="minorHAnsi" w:hAnsiTheme="minorHAnsi" w:cstheme="minorHAnsi"/>
          <w:sz w:val="24"/>
          <w:szCs w:val="24"/>
        </w:rPr>
        <w:t>Table 33</w:t>
      </w:r>
      <w:r w:rsidRPr="005408F7">
        <w:rPr>
          <w:rFonts w:asciiTheme="minorHAnsi" w:hAnsiTheme="minorHAnsi" w:cstheme="minorHAnsi"/>
          <w:sz w:val="24"/>
          <w:szCs w:val="24"/>
        </w:rPr>
        <w:fldChar w:fldCharType="end"/>
      </w:r>
      <w:r w:rsidRPr="005408F7">
        <w:rPr>
          <w:rFonts w:asciiTheme="minorHAnsi" w:hAnsiTheme="minorHAnsi" w:cstheme="minorHAnsi"/>
          <w:sz w:val="24"/>
          <w:szCs w:val="24"/>
        </w:rPr>
        <w:t xml:space="preserve"> presents the TVSI values obtained under different loading conditions for the five large-load models as outlined in </w:t>
      </w:r>
      <w:r w:rsidRPr="005408F7">
        <w:rPr>
          <w:rFonts w:asciiTheme="minorHAnsi" w:hAnsiTheme="minorHAnsi" w:cstheme="minorHAnsi"/>
          <w:sz w:val="24"/>
          <w:szCs w:val="24"/>
        </w:rPr>
        <w:fldChar w:fldCharType="begin"/>
      </w:r>
      <w:r w:rsidRPr="005408F7">
        <w:rPr>
          <w:rFonts w:asciiTheme="minorHAnsi" w:hAnsiTheme="minorHAnsi" w:cstheme="minorHAnsi"/>
          <w:sz w:val="24"/>
          <w:szCs w:val="24"/>
        </w:rPr>
        <w:instrText xml:space="preserve"> REF _Ref230185141 \h  \* MERGEFORMAT </w:instrText>
      </w:r>
      <w:r w:rsidRPr="005408F7">
        <w:rPr>
          <w:rFonts w:asciiTheme="minorHAnsi" w:hAnsiTheme="minorHAnsi" w:cstheme="minorHAnsi"/>
          <w:sz w:val="24"/>
          <w:szCs w:val="24"/>
        </w:rPr>
      </w:r>
      <w:r w:rsidRPr="005408F7">
        <w:rPr>
          <w:rFonts w:asciiTheme="minorHAnsi" w:hAnsiTheme="minorHAnsi" w:cstheme="minorHAnsi"/>
          <w:sz w:val="24"/>
          <w:szCs w:val="24"/>
        </w:rPr>
        <w:fldChar w:fldCharType="separate"/>
      </w:r>
      <w:r w:rsidR="00753DAF" w:rsidRPr="005408F7">
        <w:rPr>
          <w:rFonts w:asciiTheme="minorHAnsi" w:hAnsiTheme="minorHAnsi" w:cstheme="minorHAnsi"/>
          <w:sz w:val="24"/>
          <w:szCs w:val="24"/>
        </w:rPr>
        <w:t>Table 32</w:t>
      </w:r>
      <w:r w:rsidRPr="005408F7">
        <w:rPr>
          <w:rFonts w:asciiTheme="minorHAnsi" w:hAnsiTheme="minorHAnsi" w:cstheme="minorHAnsi"/>
          <w:sz w:val="24"/>
          <w:szCs w:val="24"/>
        </w:rPr>
        <w:fldChar w:fldCharType="end"/>
      </w:r>
      <w:r w:rsidRPr="005408F7">
        <w:rPr>
          <w:rFonts w:asciiTheme="minorHAnsi" w:hAnsiTheme="minorHAnsi" w:cstheme="minorHAnsi"/>
          <w:sz w:val="24"/>
          <w:szCs w:val="24"/>
        </w:rPr>
        <w:t>. The results indicate that the TVSI increases progressively as the loading condition changes from medium to heavy loading for all models, demonstrating a reduction in voltage stability margin with increased system stress.</w:t>
      </w:r>
    </w:p>
    <w:p w14:paraId="40C70AA5" w14:textId="77777777" w:rsidR="00C577CA" w:rsidRPr="005408F7" w:rsidRDefault="00C577CA" w:rsidP="0024577B">
      <w:pPr>
        <w:spacing w:after="0"/>
        <w:rPr>
          <w:rFonts w:asciiTheme="minorHAnsi" w:hAnsiTheme="minorHAnsi" w:cstheme="minorHAnsi"/>
          <w:sz w:val="24"/>
          <w:szCs w:val="24"/>
        </w:rPr>
      </w:pPr>
      <w:r w:rsidRPr="005408F7">
        <w:rPr>
          <w:rFonts w:asciiTheme="minorHAnsi" w:hAnsiTheme="minorHAnsi" w:cstheme="minorHAnsi"/>
          <w:sz w:val="24"/>
          <w:szCs w:val="24"/>
        </w:rPr>
        <w:t>Among the investigated models, the detailed model (M1) consistently produces the highest TVSI values under all loading conditions, with values increasing from 0.255 under medium loading to 0.279 under heavy loading. This indicates that the detailed representation captures stronger dynamic interactions and higher voltage stability sensitivity compared to the aggregated models.</w:t>
      </w:r>
    </w:p>
    <w:p w14:paraId="2EF023A6" w14:textId="77777777" w:rsidR="00C577CA" w:rsidRPr="005408F7" w:rsidRDefault="00C577CA" w:rsidP="0024577B">
      <w:pPr>
        <w:spacing w:after="0"/>
        <w:rPr>
          <w:rFonts w:asciiTheme="minorHAnsi" w:hAnsiTheme="minorHAnsi" w:cstheme="minorHAnsi"/>
          <w:sz w:val="24"/>
          <w:szCs w:val="24"/>
        </w:rPr>
      </w:pPr>
      <w:r w:rsidRPr="005408F7">
        <w:rPr>
          <w:rFonts w:asciiTheme="minorHAnsi" w:hAnsiTheme="minorHAnsi" w:cstheme="minorHAnsi"/>
          <w:sz w:val="24"/>
          <w:szCs w:val="24"/>
        </w:rPr>
        <w:t>The aggregated single converter model (M2) and modified CMLD model (M3) exhibit similar trends and produce comparable TVSI values. However, M3 generally results in slightly lower TVSI values than M2, suggesting that the inclusion of aggregated feeder dynamics, motor loads, and distributed PV slightly improves the overall voltage stability performance.</w:t>
      </w:r>
    </w:p>
    <w:p w14:paraId="4D946AA0" w14:textId="77777777" w:rsidR="00C577CA" w:rsidRPr="005408F7" w:rsidRDefault="00C577CA" w:rsidP="0024577B">
      <w:pPr>
        <w:spacing w:after="0"/>
        <w:rPr>
          <w:rFonts w:asciiTheme="minorHAnsi" w:hAnsiTheme="minorHAnsi" w:cstheme="minorHAnsi"/>
          <w:sz w:val="24"/>
          <w:szCs w:val="24"/>
        </w:rPr>
      </w:pPr>
      <w:r w:rsidRPr="005408F7">
        <w:rPr>
          <w:rFonts w:asciiTheme="minorHAnsi" w:hAnsiTheme="minorHAnsi" w:cstheme="minorHAnsi"/>
          <w:sz w:val="24"/>
          <w:szCs w:val="24"/>
        </w:rPr>
        <w:lastRenderedPageBreak/>
        <w:t>PNNL Model 2 (M4) produces the lowest TVSI values across all loading scenarios, ranging from 0.223 to 0.243. This indicates comparatively improved voltage stability characteristics, potentially due to the simplified aggregated representation of the load and transformer components.</w:t>
      </w:r>
    </w:p>
    <w:p w14:paraId="51CB555D" w14:textId="77777777" w:rsidR="00C577CA" w:rsidRPr="004153CD" w:rsidRDefault="00C577CA" w:rsidP="0024577B">
      <w:pPr>
        <w:spacing w:after="0"/>
        <w:rPr>
          <w:rFonts w:asciiTheme="minorHAnsi" w:hAnsiTheme="minorHAnsi" w:cstheme="minorHAnsi"/>
          <w:sz w:val="24"/>
          <w:szCs w:val="24"/>
        </w:rPr>
      </w:pPr>
      <w:r w:rsidRPr="005408F7">
        <w:rPr>
          <w:rFonts w:asciiTheme="minorHAnsi" w:hAnsiTheme="minorHAnsi" w:cstheme="minorHAnsi"/>
          <w:sz w:val="24"/>
          <w:szCs w:val="24"/>
        </w:rPr>
        <w:t>PNNL Model 3 (M5), which includes grid-forming battery systems and conventional generation sources, produces intermediate TVSI values between M3 and M4. The results suggest that the additional support from inverter-based battery systems and conventional generators contributes positively to voltage stability performance under increased loading conditions.</w:t>
      </w:r>
    </w:p>
    <w:p w14:paraId="0096B771" w14:textId="501A0133" w:rsidR="00C577CA" w:rsidRDefault="00C577CA" w:rsidP="00CD4F3A">
      <w:pPr>
        <w:pStyle w:val="Caption"/>
        <w:spacing w:line="240" w:lineRule="auto"/>
      </w:pPr>
      <w:bookmarkStart w:id="455" w:name="_Ref230186098"/>
      <w:bookmarkStart w:id="456" w:name="_Toc233735330"/>
      <w:r>
        <w:t xml:space="preserve">Table </w:t>
      </w:r>
      <w:fldSimple w:instr=" SEQ Table \* ARABIC ">
        <w:r w:rsidR="00753DAF">
          <w:rPr>
            <w:noProof/>
          </w:rPr>
          <w:t>33</w:t>
        </w:r>
      </w:fldSimple>
      <w:bookmarkEnd w:id="455"/>
      <w:r>
        <w:t>: TVSI values for five different load models.</w:t>
      </w:r>
      <w:bookmarkEnd w:id="456"/>
    </w:p>
    <w:tbl>
      <w:tblPr>
        <w:tblStyle w:val="GridTable4"/>
        <w:tblW w:w="0" w:type="auto"/>
        <w:tblLook w:val="04A0" w:firstRow="1" w:lastRow="0" w:firstColumn="1" w:lastColumn="0" w:noHBand="0" w:noVBand="1"/>
      </w:tblPr>
      <w:tblGrid>
        <w:gridCol w:w="1592"/>
        <w:gridCol w:w="1592"/>
        <w:gridCol w:w="1592"/>
        <w:gridCol w:w="1592"/>
        <w:gridCol w:w="1593"/>
        <w:gridCol w:w="1593"/>
      </w:tblGrid>
      <w:tr w:rsidR="00C577CA" w:rsidRPr="005A2E6D" w14:paraId="3AB9FC94"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310817AF" w14:textId="77777777" w:rsidR="00C577CA" w:rsidRPr="00EB7737" w:rsidRDefault="00C577CA" w:rsidP="00CD4F3A">
            <w:pPr>
              <w:jc w:val="center"/>
              <w:rPr>
                <w:rFonts w:ascii="Times New Roman" w:hAnsi="Times New Roman"/>
                <w:color w:val="FFFFFF" w:themeColor="background1"/>
              </w:rPr>
            </w:pPr>
            <w:r w:rsidRPr="00EB7737">
              <w:rPr>
                <w:rFonts w:ascii="Times New Roman" w:hAnsi="Times New Roman"/>
                <w:color w:val="FFFFFF" w:themeColor="background1"/>
              </w:rPr>
              <w:t>Loading conditions</w:t>
            </w:r>
          </w:p>
        </w:tc>
        <w:tc>
          <w:tcPr>
            <w:tcW w:w="1592" w:type="dxa"/>
          </w:tcPr>
          <w:p w14:paraId="1E815FCE"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TVSI (M1)</w:t>
            </w:r>
          </w:p>
        </w:tc>
        <w:tc>
          <w:tcPr>
            <w:tcW w:w="1592" w:type="dxa"/>
          </w:tcPr>
          <w:p w14:paraId="64452EE6"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TVSI (M2)</w:t>
            </w:r>
          </w:p>
        </w:tc>
        <w:tc>
          <w:tcPr>
            <w:tcW w:w="1592" w:type="dxa"/>
          </w:tcPr>
          <w:p w14:paraId="4D251392"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TVSI (M3)</w:t>
            </w:r>
          </w:p>
        </w:tc>
        <w:tc>
          <w:tcPr>
            <w:tcW w:w="1593" w:type="dxa"/>
          </w:tcPr>
          <w:p w14:paraId="226C9A50"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TVSI (M4)</w:t>
            </w:r>
          </w:p>
        </w:tc>
        <w:tc>
          <w:tcPr>
            <w:tcW w:w="1593" w:type="dxa"/>
          </w:tcPr>
          <w:p w14:paraId="3B68B379"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TVSI(M5)</w:t>
            </w:r>
          </w:p>
        </w:tc>
      </w:tr>
      <w:tr w:rsidR="00C577CA" w:rsidRPr="005A2E6D" w14:paraId="4DFA4B86"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0C1B8885" w14:textId="77777777" w:rsidR="00C577CA" w:rsidRPr="005A2E6D" w:rsidRDefault="00C577CA" w:rsidP="00CD4F3A">
            <w:pPr>
              <w:rPr>
                <w:rFonts w:ascii="Times New Roman" w:hAnsi="Times New Roman"/>
              </w:rPr>
            </w:pPr>
            <w:r w:rsidRPr="005A2E6D">
              <w:rPr>
                <w:rFonts w:ascii="Times New Roman" w:hAnsi="Times New Roman"/>
              </w:rPr>
              <w:t>Medium loading</w:t>
            </w:r>
          </w:p>
        </w:tc>
        <w:tc>
          <w:tcPr>
            <w:tcW w:w="1592" w:type="dxa"/>
          </w:tcPr>
          <w:p w14:paraId="17510620"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0.255</w:t>
            </w:r>
          </w:p>
        </w:tc>
        <w:tc>
          <w:tcPr>
            <w:tcW w:w="1592" w:type="dxa"/>
          </w:tcPr>
          <w:p w14:paraId="1A64A8C2"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0.246</w:t>
            </w:r>
          </w:p>
        </w:tc>
        <w:tc>
          <w:tcPr>
            <w:tcW w:w="1592" w:type="dxa"/>
          </w:tcPr>
          <w:p w14:paraId="22AAD79F"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0.245</w:t>
            </w:r>
          </w:p>
        </w:tc>
        <w:tc>
          <w:tcPr>
            <w:tcW w:w="1593" w:type="dxa"/>
          </w:tcPr>
          <w:p w14:paraId="0F1EAAA2"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0.223</w:t>
            </w:r>
          </w:p>
        </w:tc>
        <w:tc>
          <w:tcPr>
            <w:tcW w:w="1593" w:type="dxa"/>
          </w:tcPr>
          <w:p w14:paraId="2684C159"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0.243</w:t>
            </w:r>
          </w:p>
        </w:tc>
      </w:tr>
      <w:tr w:rsidR="00C577CA" w:rsidRPr="005A2E6D" w14:paraId="2BF039B5" w14:textId="77777777" w:rsidTr="0002386E">
        <w:tc>
          <w:tcPr>
            <w:cnfStyle w:val="001000000000" w:firstRow="0" w:lastRow="0" w:firstColumn="1" w:lastColumn="0" w:oddVBand="0" w:evenVBand="0" w:oddHBand="0" w:evenHBand="0" w:firstRowFirstColumn="0" w:firstRowLastColumn="0" w:lastRowFirstColumn="0" w:lastRowLastColumn="0"/>
            <w:tcW w:w="1592" w:type="dxa"/>
          </w:tcPr>
          <w:p w14:paraId="16302581" w14:textId="77777777" w:rsidR="00C577CA" w:rsidRPr="005A2E6D" w:rsidRDefault="00C577CA" w:rsidP="00CD4F3A">
            <w:pPr>
              <w:rPr>
                <w:rFonts w:ascii="Times New Roman" w:hAnsi="Times New Roman"/>
              </w:rPr>
            </w:pPr>
            <w:r w:rsidRPr="005A2E6D">
              <w:rPr>
                <w:rFonts w:ascii="Times New Roman" w:hAnsi="Times New Roman"/>
              </w:rPr>
              <w:t>Medium to heavy loading</w:t>
            </w:r>
          </w:p>
        </w:tc>
        <w:tc>
          <w:tcPr>
            <w:tcW w:w="1592" w:type="dxa"/>
          </w:tcPr>
          <w:p w14:paraId="501B86D3"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A2E6D">
              <w:rPr>
                <w:rFonts w:ascii="Times New Roman" w:hAnsi="Times New Roman"/>
              </w:rPr>
              <w:t>0.268</w:t>
            </w:r>
          </w:p>
        </w:tc>
        <w:tc>
          <w:tcPr>
            <w:tcW w:w="1592" w:type="dxa"/>
          </w:tcPr>
          <w:p w14:paraId="4B103900"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A2E6D">
              <w:rPr>
                <w:rFonts w:ascii="Times New Roman" w:hAnsi="Times New Roman"/>
              </w:rPr>
              <w:t>0.258</w:t>
            </w:r>
          </w:p>
        </w:tc>
        <w:tc>
          <w:tcPr>
            <w:tcW w:w="1592" w:type="dxa"/>
          </w:tcPr>
          <w:p w14:paraId="48678180"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A2E6D">
              <w:rPr>
                <w:rFonts w:ascii="Times New Roman" w:hAnsi="Times New Roman"/>
              </w:rPr>
              <w:t>0.256</w:t>
            </w:r>
          </w:p>
        </w:tc>
        <w:tc>
          <w:tcPr>
            <w:tcW w:w="1593" w:type="dxa"/>
          </w:tcPr>
          <w:p w14:paraId="45DFF6CC"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A2E6D">
              <w:rPr>
                <w:rFonts w:ascii="Times New Roman" w:hAnsi="Times New Roman"/>
              </w:rPr>
              <w:t>0.234</w:t>
            </w:r>
          </w:p>
        </w:tc>
        <w:tc>
          <w:tcPr>
            <w:tcW w:w="1593" w:type="dxa"/>
          </w:tcPr>
          <w:p w14:paraId="3C0BCE25"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A2E6D">
              <w:rPr>
                <w:rFonts w:ascii="Times New Roman" w:hAnsi="Times New Roman"/>
              </w:rPr>
              <w:t>0.253</w:t>
            </w:r>
          </w:p>
        </w:tc>
      </w:tr>
      <w:tr w:rsidR="00C577CA" w:rsidRPr="005A2E6D" w14:paraId="1AA712EE"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39E2AD8B" w14:textId="77777777" w:rsidR="00C577CA" w:rsidRPr="005A2E6D" w:rsidRDefault="00C577CA" w:rsidP="00CD4F3A">
            <w:pPr>
              <w:rPr>
                <w:rFonts w:ascii="Times New Roman" w:hAnsi="Times New Roman"/>
              </w:rPr>
            </w:pPr>
            <w:r w:rsidRPr="005A2E6D">
              <w:rPr>
                <w:rFonts w:ascii="Times New Roman" w:hAnsi="Times New Roman"/>
              </w:rPr>
              <w:t>Heavy loading</w:t>
            </w:r>
          </w:p>
        </w:tc>
        <w:tc>
          <w:tcPr>
            <w:tcW w:w="1592" w:type="dxa"/>
          </w:tcPr>
          <w:p w14:paraId="482890B3"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0.279</w:t>
            </w:r>
          </w:p>
        </w:tc>
        <w:tc>
          <w:tcPr>
            <w:tcW w:w="1592" w:type="dxa"/>
          </w:tcPr>
          <w:p w14:paraId="57440FBF"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0.273</w:t>
            </w:r>
          </w:p>
        </w:tc>
        <w:tc>
          <w:tcPr>
            <w:tcW w:w="1592" w:type="dxa"/>
          </w:tcPr>
          <w:p w14:paraId="691D01BA"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0.261</w:t>
            </w:r>
          </w:p>
        </w:tc>
        <w:tc>
          <w:tcPr>
            <w:tcW w:w="1593" w:type="dxa"/>
          </w:tcPr>
          <w:p w14:paraId="18D839A1"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0.243</w:t>
            </w:r>
          </w:p>
        </w:tc>
        <w:tc>
          <w:tcPr>
            <w:tcW w:w="1593" w:type="dxa"/>
          </w:tcPr>
          <w:p w14:paraId="3A278F09"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A2E6D">
              <w:rPr>
                <w:rFonts w:ascii="Times New Roman" w:hAnsi="Times New Roman"/>
              </w:rPr>
              <w:t>0.259</w:t>
            </w:r>
          </w:p>
        </w:tc>
      </w:tr>
    </w:tbl>
    <w:p w14:paraId="168DF2F4" w14:textId="77777777" w:rsidR="00C577CA" w:rsidRPr="006717AD" w:rsidRDefault="00C577CA" w:rsidP="00CD4F3A">
      <w:pPr>
        <w:rPr>
          <w:rFonts w:asciiTheme="minorHAnsi" w:hAnsiTheme="minorHAnsi" w:cstheme="minorHAnsi"/>
          <w:sz w:val="24"/>
          <w:szCs w:val="24"/>
          <w:highlight w:val="yellow"/>
        </w:rPr>
      </w:pPr>
    </w:p>
    <w:p w14:paraId="5EAE40D9" w14:textId="27A28504" w:rsidR="00C577CA" w:rsidRPr="0024577B" w:rsidRDefault="00C577CA" w:rsidP="0024577B">
      <w:pPr>
        <w:spacing w:after="0"/>
        <w:rPr>
          <w:rFonts w:asciiTheme="minorHAnsi" w:hAnsiTheme="minorHAnsi" w:cstheme="minorHAnsi"/>
          <w:sz w:val="24"/>
          <w:szCs w:val="24"/>
        </w:rPr>
      </w:pPr>
      <w:r w:rsidRPr="0024577B">
        <w:rPr>
          <w:rFonts w:asciiTheme="minorHAnsi" w:hAnsiTheme="minorHAnsi" w:cstheme="minorHAnsi"/>
          <w:sz w:val="24"/>
          <w:szCs w:val="24"/>
        </w:rPr>
        <w:fldChar w:fldCharType="begin"/>
      </w:r>
      <w:r w:rsidRPr="0024577B">
        <w:rPr>
          <w:rFonts w:asciiTheme="minorHAnsi" w:hAnsiTheme="minorHAnsi" w:cstheme="minorHAnsi"/>
          <w:sz w:val="24"/>
          <w:szCs w:val="24"/>
        </w:rPr>
        <w:instrText xml:space="preserve"> REF _Ref230186954 \h </w:instrText>
      </w:r>
      <w:r w:rsidR="005408F7" w:rsidRPr="0024577B">
        <w:rPr>
          <w:rFonts w:asciiTheme="minorHAnsi" w:hAnsiTheme="minorHAnsi" w:cstheme="minorHAnsi"/>
          <w:sz w:val="24"/>
          <w:szCs w:val="24"/>
        </w:rPr>
        <w:instrText xml:space="preserve"> \* MERGEFORMAT </w:instrText>
      </w:r>
      <w:r w:rsidRPr="0024577B">
        <w:rPr>
          <w:rFonts w:asciiTheme="minorHAnsi" w:hAnsiTheme="minorHAnsi" w:cstheme="minorHAnsi"/>
          <w:sz w:val="24"/>
          <w:szCs w:val="24"/>
        </w:rPr>
      </w:r>
      <w:r w:rsidRPr="0024577B">
        <w:rPr>
          <w:rFonts w:asciiTheme="minorHAnsi" w:hAnsiTheme="minorHAnsi" w:cstheme="minorHAnsi"/>
          <w:sz w:val="24"/>
          <w:szCs w:val="24"/>
        </w:rPr>
        <w:fldChar w:fldCharType="separate"/>
      </w:r>
      <w:r w:rsidR="00753DAF" w:rsidRPr="0024577B">
        <w:rPr>
          <w:sz w:val="24"/>
          <w:szCs w:val="24"/>
        </w:rPr>
        <w:t xml:space="preserve">Table </w:t>
      </w:r>
      <w:r w:rsidR="00753DAF" w:rsidRPr="0024577B">
        <w:rPr>
          <w:noProof/>
          <w:sz w:val="24"/>
          <w:szCs w:val="24"/>
        </w:rPr>
        <w:t>34</w:t>
      </w:r>
      <w:r w:rsidRPr="0024577B">
        <w:rPr>
          <w:rFonts w:asciiTheme="minorHAnsi" w:hAnsiTheme="minorHAnsi" w:cstheme="minorHAnsi"/>
          <w:sz w:val="24"/>
          <w:szCs w:val="24"/>
        </w:rPr>
        <w:fldChar w:fldCharType="end"/>
      </w:r>
      <w:r w:rsidRPr="0024577B">
        <w:rPr>
          <w:rFonts w:asciiTheme="minorHAnsi" w:hAnsiTheme="minorHAnsi" w:cstheme="minorHAnsi"/>
          <w:sz w:val="24"/>
          <w:szCs w:val="24"/>
        </w:rPr>
        <w:t xml:space="preserve"> presents the Transient Stability Index (TSI) values for the five large-load models under different loading conditions. The results show that the TSI decreases as the system loading increases from medium to heavy loading, indicating a reduction in angle stability margin and overall transient stability performance under stressed operating conditions.</w:t>
      </w:r>
    </w:p>
    <w:p w14:paraId="5DFAA63D" w14:textId="77777777" w:rsidR="00C577CA" w:rsidRPr="0024577B" w:rsidRDefault="00C577CA" w:rsidP="0024577B">
      <w:pPr>
        <w:spacing w:after="0"/>
        <w:rPr>
          <w:rFonts w:asciiTheme="minorHAnsi" w:hAnsiTheme="minorHAnsi" w:cstheme="minorHAnsi"/>
          <w:sz w:val="24"/>
          <w:szCs w:val="24"/>
        </w:rPr>
      </w:pPr>
      <w:r w:rsidRPr="0024577B">
        <w:rPr>
          <w:rFonts w:asciiTheme="minorHAnsi" w:hAnsiTheme="minorHAnsi" w:cstheme="minorHAnsi"/>
          <w:sz w:val="24"/>
          <w:szCs w:val="24"/>
        </w:rPr>
        <w:t>The detailed model (M1) consistently exhibits the highest TSI values among all investigated models, with values decreasing from 92 under medium loading to 87 under heavy loading. This indicates that the detailed representation of the large load maintains comparatively stronger transient stability characteristics and better captures the electromechanical support provided by the interconnected components.</w:t>
      </w:r>
    </w:p>
    <w:p w14:paraId="73C85117" w14:textId="77777777" w:rsidR="00C577CA" w:rsidRPr="0024577B" w:rsidRDefault="00C577CA" w:rsidP="0024577B">
      <w:pPr>
        <w:spacing w:after="0"/>
        <w:rPr>
          <w:rFonts w:asciiTheme="minorHAnsi" w:hAnsiTheme="minorHAnsi" w:cstheme="minorHAnsi"/>
          <w:sz w:val="24"/>
          <w:szCs w:val="24"/>
        </w:rPr>
      </w:pPr>
      <w:r w:rsidRPr="0024577B">
        <w:rPr>
          <w:rFonts w:asciiTheme="minorHAnsi" w:hAnsiTheme="minorHAnsi" w:cstheme="minorHAnsi"/>
          <w:sz w:val="24"/>
          <w:szCs w:val="24"/>
        </w:rPr>
        <w:t>The aggregated single converter model (M2) produces lower TSI values than M1 across all loading conditions, suggesting that simplified inverter-based representations may not fully capture the dynamic interactions present in the detailed model. Similarly, the modified CML model (M3) shows a further reduction in TSI values, particularly under heavy loading where the index decreases to 74. This behaviour indicates that the inclusion of aggregated feeder dynamics, motor loads, and distributed PV increases the sensitivity of the system to transient disturbances.</w:t>
      </w:r>
    </w:p>
    <w:p w14:paraId="66DBE4E0" w14:textId="77777777" w:rsidR="00C577CA" w:rsidRPr="0024577B" w:rsidRDefault="00C577CA" w:rsidP="0024577B">
      <w:pPr>
        <w:spacing w:after="0"/>
        <w:rPr>
          <w:rFonts w:asciiTheme="minorHAnsi" w:hAnsiTheme="minorHAnsi" w:cstheme="minorHAnsi"/>
          <w:sz w:val="24"/>
          <w:szCs w:val="24"/>
        </w:rPr>
      </w:pPr>
      <w:r w:rsidRPr="0024577B">
        <w:rPr>
          <w:rFonts w:asciiTheme="minorHAnsi" w:hAnsiTheme="minorHAnsi" w:cstheme="minorHAnsi"/>
          <w:sz w:val="24"/>
          <w:szCs w:val="24"/>
        </w:rPr>
        <w:t>PNNL Model 2 (M4) produces the lowest TSI values under all loading conditions, with the index decreasing from 81 during medium loading to 73 under heavy loading. These results suggest comparatively weaker angle stability performance for this model configuration. In contrast, PNNL Model 3 (M5), which includes grid-forming battery systems and conventional generators, demonstrates improved transient stability performance compared to M3 and M4, particularly under heavy loading conditions where the TSI remains at 77. The additional inverter-based and synchronous generation support contributes positively to maintaining rotor angle stability following disturbances.</w:t>
      </w:r>
    </w:p>
    <w:p w14:paraId="1CE85997" w14:textId="77777777" w:rsidR="00C577CA" w:rsidRPr="0024577B" w:rsidRDefault="00C577CA" w:rsidP="0024577B">
      <w:pPr>
        <w:spacing w:after="0"/>
        <w:rPr>
          <w:rFonts w:asciiTheme="minorHAnsi" w:hAnsiTheme="minorHAnsi" w:cstheme="minorHAnsi"/>
          <w:sz w:val="24"/>
          <w:szCs w:val="24"/>
        </w:rPr>
      </w:pPr>
      <w:r w:rsidRPr="0024577B">
        <w:rPr>
          <w:rFonts w:asciiTheme="minorHAnsi" w:hAnsiTheme="minorHAnsi" w:cstheme="minorHAnsi"/>
          <w:sz w:val="24"/>
          <w:szCs w:val="24"/>
        </w:rPr>
        <w:lastRenderedPageBreak/>
        <w:t>Overall, the results demonstrate that the selection of large-load models significantly affects transient stability assessment outcomes, especially under high loading conditions where system stability margins become increasingly critical.</w:t>
      </w:r>
    </w:p>
    <w:p w14:paraId="18C1C522" w14:textId="35E4B88E" w:rsidR="00C577CA" w:rsidRDefault="00C577CA" w:rsidP="00CD4F3A">
      <w:pPr>
        <w:pStyle w:val="Caption"/>
        <w:spacing w:line="240" w:lineRule="auto"/>
      </w:pPr>
      <w:bookmarkStart w:id="457" w:name="_Ref230186954"/>
      <w:bookmarkStart w:id="458" w:name="_Toc233735331"/>
      <w:r>
        <w:t xml:space="preserve">Table </w:t>
      </w:r>
      <w:fldSimple w:instr=" SEQ Table \* ARABIC ">
        <w:r w:rsidR="00753DAF">
          <w:rPr>
            <w:noProof/>
          </w:rPr>
          <w:t>34</w:t>
        </w:r>
      </w:fldSimple>
      <w:bookmarkEnd w:id="457"/>
      <w:r>
        <w:t>: TSI values for five different load models.</w:t>
      </w:r>
      <w:bookmarkEnd w:id="458"/>
    </w:p>
    <w:tbl>
      <w:tblPr>
        <w:tblStyle w:val="GridTable4"/>
        <w:tblW w:w="0" w:type="auto"/>
        <w:tblLook w:val="04A0" w:firstRow="1" w:lastRow="0" w:firstColumn="1" w:lastColumn="0" w:noHBand="0" w:noVBand="1"/>
      </w:tblPr>
      <w:tblGrid>
        <w:gridCol w:w="1592"/>
        <w:gridCol w:w="1592"/>
        <w:gridCol w:w="1592"/>
        <w:gridCol w:w="1592"/>
        <w:gridCol w:w="1593"/>
        <w:gridCol w:w="1593"/>
      </w:tblGrid>
      <w:tr w:rsidR="00C577CA" w:rsidRPr="00EB7737" w14:paraId="10D8BAA2" w14:textId="77777777" w:rsidTr="00023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5CB46392" w14:textId="77777777" w:rsidR="00C577CA" w:rsidRPr="00EB7737" w:rsidRDefault="00C577CA" w:rsidP="00CD4F3A">
            <w:pPr>
              <w:jc w:val="center"/>
              <w:rPr>
                <w:rFonts w:ascii="Times New Roman" w:hAnsi="Times New Roman"/>
                <w:color w:val="FFFFFF" w:themeColor="background1"/>
              </w:rPr>
            </w:pPr>
            <w:r w:rsidRPr="00EB7737">
              <w:rPr>
                <w:rFonts w:ascii="Times New Roman" w:hAnsi="Times New Roman"/>
                <w:color w:val="FFFFFF" w:themeColor="background1"/>
              </w:rPr>
              <w:t>Loading conditions</w:t>
            </w:r>
          </w:p>
        </w:tc>
        <w:tc>
          <w:tcPr>
            <w:tcW w:w="1592" w:type="dxa"/>
          </w:tcPr>
          <w:p w14:paraId="0F5CB70D"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TSI (M1)</w:t>
            </w:r>
          </w:p>
        </w:tc>
        <w:tc>
          <w:tcPr>
            <w:tcW w:w="1592" w:type="dxa"/>
          </w:tcPr>
          <w:p w14:paraId="72E72D7C"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TSI (M2)</w:t>
            </w:r>
          </w:p>
        </w:tc>
        <w:tc>
          <w:tcPr>
            <w:tcW w:w="1592" w:type="dxa"/>
          </w:tcPr>
          <w:p w14:paraId="29C8DDFE"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TSI (M3)</w:t>
            </w:r>
          </w:p>
        </w:tc>
        <w:tc>
          <w:tcPr>
            <w:tcW w:w="1593" w:type="dxa"/>
          </w:tcPr>
          <w:p w14:paraId="19F91B23"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TSI (M4)</w:t>
            </w:r>
          </w:p>
        </w:tc>
        <w:tc>
          <w:tcPr>
            <w:tcW w:w="1593" w:type="dxa"/>
          </w:tcPr>
          <w:p w14:paraId="0492DA98" w14:textId="77777777" w:rsidR="00C577CA" w:rsidRPr="00EB7737" w:rsidRDefault="00C577CA" w:rsidP="00CD4F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B7737">
              <w:rPr>
                <w:rFonts w:ascii="Times New Roman" w:hAnsi="Times New Roman"/>
                <w:color w:val="FFFFFF" w:themeColor="background1"/>
              </w:rPr>
              <w:t>TSI(M5)</w:t>
            </w:r>
          </w:p>
        </w:tc>
      </w:tr>
      <w:tr w:rsidR="00C577CA" w:rsidRPr="005A2E6D" w14:paraId="040349DB"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657CA248" w14:textId="77777777" w:rsidR="00C577CA" w:rsidRPr="005A2E6D" w:rsidRDefault="00C577CA" w:rsidP="00CD4F3A">
            <w:pPr>
              <w:rPr>
                <w:rFonts w:ascii="Times New Roman" w:hAnsi="Times New Roman"/>
              </w:rPr>
            </w:pPr>
            <w:r w:rsidRPr="005A2E6D">
              <w:rPr>
                <w:rFonts w:ascii="Times New Roman" w:hAnsi="Times New Roman"/>
              </w:rPr>
              <w:t>Medium loading</w:t>
            </w:r>
          </w:p>
        </w:tc>
        <w:tc>
          <w:tcPr>
            <w:tcW w:w="1592" w:type="dxa"/>
          </w:tcPr>
          <w:p w14:paraId="796A7E4B"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92</w:t>
            </w:r>
          </w:p>
        </w:tc>
        <w:tc>
          <w:tcPr>
            <w:tcW w:w="1592" w:type="dxa"/>
          </w:tcPr>
          <w:p w14:paraId="057BF0CC"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86</w:t>
            </w:r>
          </w:p>
        </w:tc>
        <w:tc>
          <w:tcPr>
            <w:tcW w:w="1592" w:type="dxa"/>
          </w:tcPr>
          <w:p w14:paraId="7ED164CC"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83</w:t>
            </w:r>
          </w:p>
        </w:tc>
        <w:tc>
          <w:tcPr>
            <w:tcW w:w="1593" w:type="dxa"/>
          </w:tcPr>
          <w:p w14:paraId="4214EA22"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81</w:t>
            </w:r>
          </w:p>
        </w:tc>
        <w:tc>
          <w:tcPr>
            <w:tcW w:w="1593" w:type="dxa"/>
          </w:tcPr>
          <w:p w14:paraId="3766F64A"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82</w:t>
            </w:r>
          </w:p>
        </w:tc>
      </w:tr>
      <w:tr w:rsidR="00C577CA" w:rsidRPr="005A2E6D" w14:paraId="2205D195" w14:textId="77777777" w:rsidTr="0002386E">
        <w:tc>
          <w:tcPr>
            <w:cnfStyle w:val="001000000000" w:firstRow="0" w:lastRow="0" w:firstColumn="1" w:lastColumn="0" w:oddVBand="0" w:evenVBand="0" w:oddHBand="0" w:evenHBand="0" w:firstRowFirstColumn="0" w:firstRowLastColumn="0" w:lastRowFirstColumn="0" w:lastRowLastColumn="0"/>
            <w:tcW w:w="1592" w:type="dxa"/>
          </w:tcPr>
          <w:p w14:paraId="0D35094A" w14:textId="77777777" w:rsidR="00C577CA" w:rsidRPr="005A2E6D" w:rsidRDefault="00C577CA" w:rsidP="00CD4F3A">
            <w:pPr>
              <w:rPr>
                <w:rFonts w:ascii="Times New Roman" w:hAnsi="Times New Roman"/>
              </w:rPr>
            </w:pPr>
            <w:r w:rsidRPr="005A2E6D">
              <w:rPr>
                <w:rFonts w:ascii="Times New Roman" w:hAnsi="Times New Roman"/>
              </w:rPr>
              <w:t>Medium to heavy loading</w:t>
            </w:r>
          </w:p>
        </w:tc>
        <w:tc>
          <w:tcPr>
            <w:tcW w:w="1592" w:type="dxa"/>
          </w:tcPr>
          <w:p w14:paraId="46B20E3C"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89</w:t>
            </w:r>
          </w:p>
        </w:tc>
        <w:tc>
          <w:tcPr>
            <w:tcW w:w="1592" w:type="dxa"/>
          </w:tcPr>
          <w:p w14:paraId="37D8F009"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83</w:t>
            </w:r>
          </w:p>
        </w:tc>
        <w:tc>
          <w:tcPr>
            <w:tcW w:w="1592" w:type="dxa"/>
          </w:tcPr>
          <w:p w14:paraId="187D53C0"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81</w:t>
            </w:r>
          </w:p>
        </w:tc>
        <w:tc>
          <w:tcPr>
            <w:tcW w:w="1593" w:type="dxa"/>
          </w:tcPr>
          <w:p w14:paraId="1B02B55C"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79</w:t>
            </w:r>
          </w:p>
        </w:tc>
        <w:tc>
          <w:tcPr>
            <w:tcW w:w="1593" w:type="dxa"/>
          </w:tcPr>
          <w:p w14:paraId="51F43E46" w14:textId="77777777" w:rsidR="00C577CA" w:rsidRPr="005A2E6D" w:rsidRDefault="00C577CA" w:rsidP="00CD4F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81</w:t>
            </w:r>
          </w:p>
        </w:tc>
      </w:tr>
      <w:tr w:rsidR="00C577CA" w:rsidRPr="005A2E6D" w14:paraId="65ABFEE0" w14:textId="77777777" w:rsidTr="00023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544605EA" w14:textId="77777777" w:rsidR="00C577CA" w:rsidRPr="005A2E6D" w:rsidRDefault="00C577CA" w:rsidP="00CD4F3A">
            <w:pPr>
              <w:rPr>
                <w:rFonts w:ascii="Times New Roman" w:hAnsi="Times New Roman"/>
              </w:rPr>
            </w:pPr>
            <w:r w:rsidRPr="005A2E6D">
              <w:rPr>
                <w:rFonts w:ascii="Times New Roman" w:hAnsi="Times New Roman"/>
              </w:rPr>
              <w:t>Heavy loading</w:t>
            </w:r>
          </w:p>
        </w:tc>
        <w:tc>
          <w:tcPr>
            <w:tcW w:w="1592" w:type="dxa"/>
          </w:tcPr>
          <w:p w14:paraId="1D5DB21C"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87</w:t>
            </w:r>
          </w:p>
        </w:tc>
        <w:tc>
          <w:tcPr>
            <w:tcW w:w="1592" w:type="dxa"/>
          </w:tcPr>
          <w:p w14:paraId="2E869651"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80</w:t>
            </w:r>
          </w:p>
        </w:tc>
        <w:tc>
          <w:tcPr>
            <w:tcW w:w="1592" w:type="dxa"/>
          </w:tcPr>
          <w:p w14:paraId="7C417977"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74</w:t>
            </w:r>
          </w:p>
        </w:tc>
        <w:tc>
          <w:tcPr>
            <w:tcW w:w="1593" w:type="dxa"/>
          </w:tcPr>
          <w:p w14:paraId="76DDB47A"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73</w:t>
            </w:r>
          </w:p>
        </w:tc>
        <w:tc>
          <w:tcPr>
            <w:tcW w:w="1593" w:type="dxa"/>
          </w:tcPr>
          <w:p w14:paraId="32619C0A" w14:textId="77777777" w:rsidR="00C577CA" w:rsidRPr="005A2E6D" w:rsidRDefault="00C577CA" w:rsidP="00CD4F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77</w:t>
            </w:r>
          </w:p>
        </w:tc>
      </w:tr>
    </w:tbl>
    <w:p w14:paraId="434F4D1F" w14:textId="77777777" w:rsidR="00C577CA" w:rsidRPr="00310692" w:rsidRDefault="00C577CA" w:rsidP="00CD4F3A">
      <w:pPr>
        <w:pStyle w:val="Heading2"/>
      </w:pPr>
      <w:bookmarkStart w:id="459" w:name="_Toc224235096"/>
      <w:bookmarkStart w:id="460" w:name="_Toc233734338"/>
      <w:r w:rsidRPr="00310692">
        <w:t>Chapter Summary</w:t>
      </w:r>
      <w:bookmarkEnd w:id="459"/>
      <w:bookmarkEnd w:id="460"/>
      <w:r w:rsidRPr="00310692">
        <w:t xml:space="preserve"> </w:t>
      </w:r>
    </w:p>
    <w:p w14:paraId="544E6D03" w14:textId="41B0E1E8" w:rsidR="00C577CA" w:rsidRPr="00E27D3B" w:rsidRDefault="00C577CA" w:rsidP="0024577B">
      <w:pPr>
        <w:spacing w:after="0"/>
      </w:pPr>
      <w:r w:rsidRPr="00E27D3B">
        <w:rPr>
          <w:rFonts w:cs="Calibri"/>
          <w:sz w:val="24"/>
          <w:szCs w:val="24"/>
        </w:rPr>
        <w:t xml:space="preserve">The rapid growth in high-density electrical demand from AI-driven facilities, cryptocurrency operations, and green hydrogen production represents a structural shift in load composition, with significant implications for system adequacy, stability, and operational resilience. </w:t>
      </w:r>
      <w:r w:rsidR="0034692E" w:rsidRPr="0034692E">
        <w:rPr>
          <w:rFonts w:cs="Calibri"/>
          <w:sz w:val="24"/>
          <w:szCs w:val="24"/>
        </w:rPr>
        <w:t xml:space="preserve">This study has addressed limitations of various large converter-dominated loads, particularly data </w:t>
      </w:r>
      <w:proofErr w:type="spellStart"/>
      <w:r w:rsidR="0034692E" w:rsidRPr="0034692E">
        <w:rPr>
          <w:rFonts w:cs="Calibri"/>
          <w:sz w:val="24"/>
          <w:szCs w:val="24"/>
        </w:rPr>
        <w:t>centers</w:t>
      </w:r>
      <w:proofErr w:type="spellEnd"/>
      <w:r w:rsidR="0034692E" w:rsidRPr="0034692E">
        <w:rPr>
          <w:rFonts w:cs="Calibri"/>
          <w:sz w:val="24"/>
          <w:szCs w:val="24"/>
        </w:rPr>
        <w:t xml:space="preserve">, </w:t>
      </w:r>
      <w:r w:rsidR="001E660F" w:rsidRPr="0034692E">
        <w:rPr>
          <w:rFonts w:cs="Calibri"/>
          <w:sz w:val="24"/>
          <w:szCs w:val="24"/>
        </w:rPr>
        <w:t>in</w:t>
      </w:r>
      <w:r w:rsidR="001E660F">
        <w:rPr>
          <w:rFonts w:cs="Calibri"/>
          <w:sz w:val="24"/>
          <w:szCs w:val="24"/>
        </w:rPr>
        <w:t xml:space="preserve"> the context of</w:t>
      </w:r>
      <w:r w:rsidR="001E660F" w:rsidRPr="0034692E">
        <w:rPr>
          <w:rFonts w:cs="Calibri"/>
          <w:sz w:val="24"/>
          <w:szCs w:val="24"/>
        </w:rPr>
        <w:t xml:space="preserve"> power</w:t>
      </w:r>
      <w:r w:rsidR="0034692E" w:rsidRPr="0034692E">
        <w:rPr>
          <w:rFonts w:cs="Calibri"/>
          <w:sz w:val="24"/>
          <w:szCs w:val="24"/>
        </w:rPr>
        <w:t xml:space="preserve"> system voltage stability.</w:t>
      </w:r>
      <w:r w:rsidR="0034692E">
        <w:rPr>
          <w:rFonts w:cs="Calibri"/>
          <w:sz w:val="24"/>
          <w:szCs w:val="24"/>
        </w:rPr>
        <w:t xml:space="preserve"> </w:t>
      </w:r>
      <w:r w:rsidRPr="00E27D3B">
        <w:rPr>
          <w:rFonts w:cs="Calibri"/>
          <w:sz w:val="24"/>
          <w:szCs w:val="24"/>
        </w:rPr>
        <w:t xml:space="preserve">A generic large-load dynamic model was developed using the CMLD framework as a foundation and extended to capture the internal architecture and control characteristics typical of modern data centres. The model is suitable for electromechanical stability analysis in the frequency range below 10–15 Hz and is compatible with phasor-domain (RMS) simulation environments used for planning and operational studies. </w:t>
      </w:r>
    </w:p>
    <w:p w14:paraId="683EB3BB" w14:textId="77777777" w:rsidR="00B46A5D" w:rsidRPr="00E27D3B" w:rsidRDefault="00B46A5D" w:rsidP="0024577B">
      <w:pPr>
        <w:spacing w:after="0"/>
        <w:rPr>
          <w:rFonts w:cs="Calibri"/>
          <w:sz w:val="24"/>
        </w:rPr>
      </w:pPr>
      <w:r w:rsidRPr="00E27D3B">
        <w:rPr>
          <w:rFonts w:cs="Calibri"/>
        </w:rPr>
        <w:br w:type="page"/>
      </w:r>
    </w:p>
    <w:p w14:paraId="690F9EB9" w14:textId="77777777" w:rsidR="00B46A5D" w:rsidRPr="00E27D3B" w:rsidRDefault="00B46A5D" w:rsidP="00CD4F3A">
      <w:pPr>
        <w:pStyle w:val="Reference"/>
        <w:numPr>
          <w:ilvl w:val="0"/>
          <w:numId w:val="18"/>
        </w:numPr>
        <w:spacing w:line="240" w:lineRule="auto"/>
        <w:rPr>
          <w:color w:val="auto"/>
          <w:lang w:val="en-GB"/>
        </w:rPr>
        <w:sectPr w:rsidR="00B46A5D" w:rsidRPr="00E27D3B" w:rsidSect="00B46A5D">
          <w:footerReference w:type="even" r:id="rId149"/>
          <w:footerReference w:type="default" r:id="rId150"/>
          <w:pgSz w:w="11906" w:h="16838" w:code="9"/>
          <w:pgMar w:top="1134" w:right="1134" w:bottom="1134" w:left="1134" w:header="510" w:footer="624" w:gutter="0"/>
          <w:cols w:space="284"/>
          <w:docGrid w:linePitch="360"/>
        </w:sectPr>
      </w:pPr>
    </w:p>
    <w:p w14:paraId="3C728830" w14:textId="5862449F" w:rsidR="00A31A16" w:rsidRPr="00E27D3B" w:rsidRDefault="00A31A16" w:rsidP="00CD4F3A">
      <w:pPr>
        <w:spacing w:after="0"/>
        <w:rPr>
          <w:rStyle w:val="PartNumber"/>
          <w:b/>
          <w:sz w:val="24"/>
          <w:lang w:val="en-GB"/>
        </w:rPr>
      </w:pPr>
    </w:p>
    <w:bookmarkStart w:id="461" w:name="_Toc233734339" w:displacedByCustomXml="next"/>
    <w:sdt>
      <w:sdtPr>
        <w:rPr>
          <w:rStyle w:val="PartNumber"/>
          <w:b/>
          <w:bCs/>
          <w:sz w:val="24"/>
          <w:szCs w:val="24"/>
        </w:rPr>
        <w:id w:val="793792699"/>
        <w:docPartObj>
          <w:docPartGallery w:val="Cover Pages"/>
        </w:docPartObj>
      </w:sdtPr>
      <w:sdtEndPr>
        <w:rPr>
          <w:rStyle w:val="DefaultParagraphFont"/>
          <w:b w:val="0"/>
          <w:bCs w:val="0"/>
          <w:color w:val="000000"/>
        </w:rPr>
      </w:sdtEndPr>
      <w:sdtContent>
        <w:sdt>
          <w:sdtPr>
            <w:rPr>
              <w:rStyle w:val="PartNumber"/>
              <w:b/>
              <w:bCs/>
              <w:sz w:val="24"/>
              <w:szCs w:val="24"/>
            </w:rPr>
            <w:id w:val="1758870149"/>
            <w:docPartObj>
              <w:docPartGallery w:val="Cover Pages"/>
            </w:docPartObj>
          </w:sdtPr>
          <w:sdtEndPr>
            <w:rPr>
              <w:rStyle w:val="DefaultParagraphFont"/>
              <w:b w:val="0"/>
              <w:bCs w:val="0"/>
              <w:color w:val="757579" w:themeColor="accent3"/>
              <w:sz w:val="80"/>
              <w:szCs w:val="80"/>
            </w:rPr>
          </w:sdtEndPr>
          <w:sdtContent>
            <w:p w14:paraId="2B2C785B" w14:textId="7DB8FA98" w:rsidR="00D85580" w:rsidRPr="00E27D3B" w:rsidRDefault="00D85580" w:rsidP="00CD4F3A">
              <w:pPr>
                <w:pStyle w:val="PartTitle"/>
              </w:pPr>
              <w:r w:rsidRPr="00E27D3B">
                <w:rPr>
                  <w:rStyle w:val="PartNumber"/>
                </w:rPr>
                <w:t>Part III</w:t>
              </w:r>
              <w:r w:rsidRPr="00E27D3B">
                <w:rPr>
                  <w:rStyle w:val="PartNumber"/>
                </w:rPr>
                <w:tab/>
              </w:r>
              <w:r w:rsidR="00240B4D" w:rsidRPr="00E27D3B">
                <w:t>Conclusions and Future Work</w:t>
              </w:r>
            </w:p>
          </w:sdtContent>
        </w:sdt>
        <w:bookmarkEnd w:id="461" w:displacedByCustomXml="prev"/>
        <w:p w14:paraId="641206E2" w14:textId="77777777" w:rsidR="00D85580" w:rsidRPr="00E27D3B" w:rsidRDefault="00D85580" w:rsidP="00CD4F3A">
          <w:pPr>
            <w:pStyle w:val="BodyText"/>
            <w:spacing w:line="240" w:lineRule="auto"/>
            <w:rPr>
              <w:rFonts w:eastAsiaTheme="majorEastAsia" w:cstheme="majorBidi"/>
              <w:b/>
              <w:bCs/>
              <w:color w:val="00A9CE" w:themeColor="accent1"/>
              <w:sz w:val="44"/>
              <w:szCs w:val="28"/>
            </w:rPr>
          </w:pPr>
          <w:r w:rsidRPr="00E27D3B">
            <w:rPr>
              <w:noProof/>
            </w:rPr>
            <mc:AlternateContent>
              <mc:Choice Requires="wps">
                <w:drawing>
                  <wp:anchor distT="0" distB="0" distL="114300" distR="114300" simplePos="0" relativeHeight="251776000" behindDoc="1" locked="0" layoutInCell="1" allowOverlap="1" wp14:anchorId="61C29678" wp14:editId="35773920">
                    <wp:simplePos x="0" y="0"/>
                    <wp:positionH relativeFrom="page">
                      <wp:posOffset>0</wp:posOffset>
                    </wp:positionH>
                    <wp:positionV relativeFrom="page">
                      <wp:align>bottom</wp:align>
                    </wp:positionV>
                    <wp:extent cx="7596000" cy="5400000"/>
                    <wp:effectExtent l="0" t="0" r="5080" b="0"/>
                    <wp:wrapNone/>
                    <wp:docPr id="2018886378" name="Text Box 20188863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96000" cy="5400000"/>
                            </a:xfrm>
                            <a:prstGeom prst="rect">
                              <a:avLst/>
                            </a:prstGeom>
                            <a:solidFill>
                              <a:schemeClr val="accent1"/>
                            </a:solidFill>
                            <a:ln w="6350">
                              <a:noFill/>
                            </a:ln>
                          </wps:spPr>
                          <wps:txbx>
                            <w:txbxContent>
                              <w:sdt>
                                <w:sdtPr>
                                  <w:id w:val="1422834154"/>
                                  <w:picture/>
                                </w:sdtPr>
                                <w:sdtEndPr/>
                                <w:sdtContent>
                                  <w:p w14:paraId="50BED884" w14:textId="77777777" w:rsidR="00D85580" w:rsidRDefault="00D85580" w:rsidP="00D85580">
                                    <w:r>
                                      <w:rPr>
                                        <w:noProof/>
                                      </w:rPr>
                                      <w:drawing>
                                        <wp:inline distT="0" distB="0" distL="0" distR="0" wp14:anchorId="44851DD7" wp14:editId="41D68B6F">
                                          <wp:extent cx="7635600" cy="5426540"/>
                                          <wp:effectExtent l="0" t="0" r="3810" b="3175"/>
                                          <wp:docPr id="13825469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9678" id="Text Box 2018886378" o:spid="_x0000_s1053" type="#_x0000_t202" alt="&quot;&quot;" style="position:absolute;margin-left:0;margin-top:0;width:598.1pt;height:425.2pt;z-index:-25154048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" fillcolor="#00a9ce [3204]" stroked="f" strokeweight=".5pt">
                    <v:textbox inset="0,0,0,0">
                      <w:txbxContent>
                        <w:sdt>
                          <w:sdtPr>
                            <w:id w:val="1422834154"/>
                            <w:picture/>
                          </w:sdtPr>
                          <w:sdtEndPr/>
                          <w:sdtContent>
                            <w:p w14:paraId="50BED884" w14:textId="77777777" w:rsidR="00D85580" w:rsidRDefault="00D85580" w:rsidP="00D85580">
                              <w:r>
                                <w:rPr>
                                  <w:noProof/>
                                </w:rPr>
                                <w:drawing>
                                  <wp:inline distT="0" distB="0" distL="0" distR="0" wp14:anchorId="44851DD7" wp14:editId="41D68B6F">
                                    <wp:extent cx="7635600" cy="5426540"/>
                                    <wp:effectExtent l="0" t="0" r="3810" b="3175"/>
                                    <wp:docPr id="13825469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2551718" name="Picture 2">
                                              <a:extLst>
                                                <a:ext uri="{C183D7F6-B498-43B3-948B-1728B52AA6E4}">
                                                  <adec:decorative xmlns:adec="http://schemas.microsoft.com/office/drawing/2017/decorative" val="1"/>
                                                </a:ext>
                                              </a:extLst>
                                            </pic:cNvPr>
                                            <pic:cNvPicPr>
                                              <a:picLocks noChangeAspect="1" noChangeArrowheads="1"/>
                                            </pic:cNvPicPr>
                                          </pic:nvPicPr>
                                          <pic:blipFill>
                                            <a:blip r:embed="rId21"/>
                                            <a:stretch>
                                              <a:fillRect/>
                                            </a:stretch>
                                          </pic:blipFill>
                                          <pic:spPr bwMode="auto">
                                            <a:xfrm>
                                              <a:off x="0" y="0"/>
                                              <a:ext cx="7635600" cy="5426540"/>
                                            </a:xfrm>
                                            <a:prstGeom prst="rect">
                                              <a:avLst/>
                                            </a:prstGeom>
                                            <a:noFill/>
                                            <a:ln>
                                              <a:noFill/>
                                            </a:ln>
                                          </pic:spPr>
                                        </pic:pic>
                                      </a:graphicData>
                                    </a:graphic>
                                  </wp:inline>
                                </w:drawing>
                              </w:r>
                            </w:p>
                          </w:sdtContent>
                        </w:sdt>
                      </w:txbxContent>
                    </v:textbox>
                    <w10:wrap anchorx="page" anchory="page"/>
                  </v:shape>
                </w:pict>
              </mc:Fallback>
            </mc:AlternateContent>
          </w:r>
          <w:r w:rsidRPr="00E27D3B">
            <w:rPr>
              <w:noProof/>
            </w:rPr>
            <mc:AlternateContent>
              <mc:Choice Requires="wps">
                <w:drawing>
                  <wp:anchor distT="0" distB="0" distL="114300" distR="114300" simplePos="0" relativeHeight="251779072" behindDoc="1" locked="1" layoutInCell="1" allowOverlap="1" wp14:anchorId="5DE795D2" wp14:editId="39D747BC">
                    <wp:simplePos x="0" y="0"/>
                    <wp:positionH relativeFrom="page">
                      <wp:align>left</wp:align>
                    </wp:positionH>
                    <wp:positionV relativeFrom="page">
                      <wp:align>top</wp:align>
                    </wp:positionV>
                    <wp:extent cx="7559675" cy="5345430"/>
                    <wp:effectExtent l="0" t="0" r="3175" b="7620"/>
                    <wp:wrapNone/>
                    <wp:docPr id="1774826775"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B842F" id="Rectangle 85" o:spid="_x0000_s1026" alt="&quot;&quot;" style="position:absolute;margin-left:0;margin-top:0;width:595.25pt;height:420.9pt;z-index:-2515374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" fillcolor="white [3212]" stroked="f">
                    <w10:wrap anchorx="page" anchory="page"/>
                    <w10:anchorlock/>
                  </v:rect>
                </w:pict>
              </mc:Fallback>
            </mc:AlternateContent>
          </w:r>
          <w:r w:rsidRPr="00E27D3B">
            <w:br w:type="page"/>
          </w:r>
        </w:p>
      </w:sdtContent>
    </w:sdt>
    <w:p w14:paraId="229F056A" w14:textId="26F6644A" w:rsidR="00D85580" w:rsidRPr="00E27D3B" w:rsidRDefault="00E50386" w:rsidP="00CD4F3A">
      <w:pPr>
        <w:pStyle w:val="Heading1"/>
        <w:spacing w:line="240" w:lineRule="auto"/>
      </w:pPr>
      <w:bookmarkStart w:id="462" w:name="_Toc233734340"/>
      <w:r w:rsidRPr="00E27D3B">
        <w:lastRenderedPageBreak/>
        <w:t>Conclusions and Future Work</w:t>
      </w:r>
      <w:bookmarkEnd w:id="462"/>
    </w:p>
    <w:p w14:paraId="629D0773" w14:textId="77777777" w:rsidR="00FE77CF" w:rsidRPr="00FE77CF" w:rsidRDefault="00FE77CF" w:rsidP="00CD4F3A">
      <w:pPr>
        <w:pStyle w:val="Heading2"/>
      </w:pPr>
      <w:bookmarkStart w:id="463" w:name="_Toc223627397"/>
      <w:bookmarkStart w:id="464" w:name="_Toc233734341"/>
      <w:r w:rsidRPr="00FE77CF">
        <w:t>Conclusions</w:t>
      </w:r>
      <w:bookmarkEnd w:id="463"/>
      <w:bookmarkEnd w:id="464"/>
    </w:p>
    <w:p w14:paraId="3D33B7FF" w14:textId="77777777" w:rsidR="00FE77CF" w:rsidRPr="00FE77CF" w:rsidRDefault="00FE77CF" w:rsidP="008D2D83">
      <w:pPr>
        <w:spacing w:after="0"/>
        <w:rPr>
          <w:rFonts w:asciiTheme="minorHAnsi" w:hAnsiTheme="minorHAnsi" w:cstheme="minorHAnsi"/>
          <w:sz w:val="24"/>
          <w:szCs w:val="24"/>
        </w:rPr>
      </w:pPr>
      <w:r w:rsidRPr="00FE77CF">
        <w:rPr>
          <w:rFonts w:asciiTheme="minorHAnsi" w:hAnsiTheme="minorHAnsi" w:cstheme="minorHAnsi"/>
          <w:sz w:val="24"/>
          <w:szCs w:val="24"/>
        </w:rPr>
        <w:t>Stage 5 of the CSIRO AR-PST Topic 2 project has substantially advanced the technical understanding and practical assessment of stability phenomena in power systems with high penetration of inverter-based resources (IBRs) and emerging large converter-dominated loads. The work delivered an integrated, technically defensible framework encompassing small-signal stability, small- and large-disturbance voltage stability, dynamic performance metrics, and scalable large-load modelling. Collectively, these outcomes enhance transmission system operators’ and planners’ ability to manage the transition toward low-inertia, power-electronics-dominated networks.</w:t>
      </w:r>
    </w:p>
    <w:p w14:paraId="042676B9" w14:textId="19CA5CDC" w:rsidR="00FE77CF" w:rsidRPr="00FE77CF" w:rsidRDefault="00FE77CF" w:rsidP="008D2D83">
      <w:pPr>
        <w:spacing w:after="0"/>
        <w:rPr>
          <w:rFonts w:asciiTheme="minorHAnsi" w:hAnsiTheme="minorHAnsi" w:cstheme="minorHAnsi"/>
          <w:sz w:val="24"/>
          <w:szCs w:val="24"/>
        </w:rPr>
      </w:pPr>
      <w:r w:rsidRPr="00FE77CF">
        <w:rPr>
          <w:rFonts w:asciiTheme="minorHAnsi" w:hAnsiTheme="minorHAnsi" w:cstheme="minorHAnsi"/>
          <w:sz w:val="24"/>
          <w:szCs w:val="24"/>
        </w:rPr>
        <w:t xml:space="preserve">A central project-level finding is that voltage stability margins are increasingly influenced by both supply-side changes—such as inverter controls, reduced inertia, and system strength—and demand-side evolution, particularly large, concentrated converter loads. These effects can compound under contingencies. Proper selection and tuning of inverter controls, </w:t>
      </w:r>
      <w:r w:rsidR="006E0A28" w:rsidRPr="005408F7">
        <w:rPr>
          <w:rFonts w:asciiTheme="minorHAnsi" w:hAnsiTheme="minorHAnsi" w:cstheme="minorHAnsi"/>
          <w:sz w:val="24"/>
          <w:szCs w:val="24"/>
        </w:rPr>
        <w:t>advanced stability indices (DVRI/</w:t>
      </w:r>
      <w:proofErr w:type="spellStart"/>
      <w:r w:rsidR="006E0A28" w:rsidRPr="005408F7">
        <w:rPr>
          <w:rFonts w:asciiTheme="minorHAnsi" w:hAnsiTheme="minorHAnsi" w:cstheme="minorHAnsi"/>
          <w:sz w:val="24"/>
          <w:szCs w:val="24"/>
        </w:rPr>
        <w:t>sysDVRI</w:t>
      </w:r>
      <w:proofErr w:type="spellEnd"/>
      <w:r w:rsidR="006E0A28" w:rsidRPr="005408F7">
        <w:rPr>
          <w:rFonts w:asciiTheme="minorHAnsi" w:hAnsiTheme="minorHAnsi" w:cstheme="minorHAnsi"/>
          <w:sz w:val="24"/>
          <w:szCs w:val="24"/>
        </w:rPr>
        <w:t xml:space="preserve">, SDVPI and </w:t>
      </w:r>
      <w:r w:rsidR="006E0A28" w:rsidRPr="00DC6D94">
        <w:rPr>
          <w:rFonts w:asciiTheme="minorHAnsi" w:hAnsiTheme="minorHAnsi" w:cstheme="minorHAnsi"/>
          <w:sz w:val="24"/>
          <w:szCs w:val="24"/>
        </w:rPr>
        <w:t>SSOASI</w:t>
      </w:r>
      <w:r w:rsidR="000E3A6B" w:rsidRPr="005408F7">
        <w:rPr>
          <w:rFonts w:asciiTheme="minorHAnsi" w:hAnsiTheme="minorHAnsi" w:cstheme="minorHAnsi"/>
          <w:sz w:val="24"/>
          <w:szCs w:val="24"/>
        </w:rPr>
        <w:t>), and</w:t>
      </w:r>
      <w:r w:rsidRPr="005408F7">
        <w:rPr>
          <w:rFonts w:asciiTheme="minorHAnsi" w:hAnsiTheme="minorHAnsi" w:cstheme="minorHAnsi"/>
          <w:sz w:val="24"/>
          <w:szCs w:val="24"/>
        </w:rPr>
        <w:t xml:space="preserve"> validated large-load models are essential for maintaining system resilience and informing operational and planning decisions.</w:t>
      </w:r>
    </w:p>
    <w:p w14:paraId="52A55CD1" w14:textId="77777777" w:rsidR="00FE77CF" w:rsidRPr="00FE77CF" w:rsidRDefault="00FE77CF" w:rsidP="008D2D83">
      <w:pPr>
        <w:spacing w:after="0"/>
        <w:rPr>
          <w:rFonts w:asciiTheme="minorHAnsi" w:hAnsiTheme="minorHAnsi" w:cstheme="minorHAnsi"/>
          <w:sz w:val="24"/>
          <w:szCs w:val="24"/>
        </w:rPr>
      </w:pPr>
      <w:r w:rsidRPr="00FE77CF">
        <w:rPr>
          <w:rFonts w:asciiTheme="minorHAnsi" w:hAnsiTheme="minorHAnsi" w:cstheme="minorHAnsi"/>
          <w:sz w:val="24"/>
          <w:szCs w:val="24"/>
        </w:rPr>
        <w:t>The main conclusions from the five work packages are summarized below:</w:t>
      </w:r>
    </w:p>
    <w:p w14:paraId="2CE68DF3" w14:textId="77777777" w:rsidR="00FE77CF" w:rsidRPr="00FE77CF" w:rsidRDefault="00FE77CF" w:rsidP="008D2D83">
      <w:pPr>
        <w:pStyle w:val="ListParagraph0"/>
        <w:numPr>
          <w:ilvl w:val="0"/>
          <w:numId w:val="42"/>
        </w:numPr>
        <w:spacing w:before="120" w:after="0"/>
        <w:ind w:left="357"/>
        <w:rPr>
          <w:rFonts w:asciiTheme="minorHAnsi" w:hAnsiTheme="minorHAnsi" w:cstheme="minorHAnsi"/>
        </w:rPr>
      </w:pPr>
      <w:r w:rsidRPr="00FE77CF">
        <w:rPr>
          <w:rFonts w:asciiTheme="minorHAnsi" w:hAnsiTheme="minorHAnsi" w:cstheme="minorHAnsi"/>
        </w:rPr>
        <w:t>Small-Signal Stability (SSS):</w:t>
      </w:r>
      <w:r w:rsidRPr="00FE77CF">
        <w:rPr>
          <w:rFonts w:asciiTheme="minorHAnsi" w:hAnsiTheme="minorHAnsi" w:cstheme="minorHAnsi"/>
        </w:rPr>
        <w:br/>
        <w:t>The project established a comprehensive methodological foundation combining state-space (eigenvalue-based) and data-driven approaches. Representative SMIB and IEEE 39-bus test systems enabled scalable evaluation of grid-following and grid-forming inverter behaviours. Eigenvalue and modal analyses identified the control parameters and state variables most influential on oscillatory modes. The study confirmed that while FVC and PVC controls generally maintain robust damping across grid strengths, AVR-controlled GFMIs can experience reduced stability margins due to outer-loop interactions; although performance is comparable in weak grids, AVR configurations showed susceptibility to low-frequency oscillations and reduced robustness under strong-grid (high SCR) conditions, highlighting the need for careful tuning. In parallel, the proposed GPR- and ERA-based data-driven time-domain framework demonstrated high prediction accuracy for black-box stability assessment when detailed vendor models are unavailable.</w:t>
      </w:r>
    </w:p>
    <w:p w14:paraId="2A6E1926" w14:textId="00CA0A98" w:rsidR="00CD4EFF" w:rsidRPr="005408F7" w:rsidRDefault="00FE77CF" w:rsidP="008D2D83">
      <w:pPr>
        <w:pStyle w:val="ListParagraph0"/>
        <w:spacing w:before="120" w:after="0"/>
        <w:ind w:left="357"/>
        <w:jc w:val="both"/>
        <w:rPr>
          <w:rFonts w:asciiTheme="minorHAnsi" w:hAnsiTheme="minorHAnsi" w:cstheme="minorHAnsi"/>
          <w:lang w:val="en-US"/>
        </w:rPr>
      </w:pPr>
      <w:r w:rsidRPr="00FE77CF">
        <w:rPr>
          <w:rFonts w:asciiTheme="minorHAnsi" w:hAnsiTheme="minorHAnsi" w:cstheme="minorHAnsi"/>
        </w:rPr>
        <w:t>Dynamic Voltage Signature:</w:t>
      </w:r>
      <w:r w:rsidR="00CD4EFF">
        <w:rPr>
          <w:rFonts w:asciiTheme="minorHAnsi" w:hAnsiTheme="minorHAnsi" w:cstheme="minorHAnsi"/>
        </w:rPr>
        <w:t xml:space="preserve"> </w:t>
      </w:r>
      <w:r w:rsidR="00CD4EFF" w:rsidRPr="005408F7">
        <w:rPr>
          <w:rFonts w:asciiTheme="minorHAnsi" w:hAnsiTheme="minorHAnsi" w:cstheme="minorHAnsi"/>
          <w:lang w:val="en-US"/>
        </w:rPr>
        <w:t>Stage 5 introduces advanced stability indices specifically designed for inverter-based resource (IBR) dominated networks. For large-disturbance analysis, the Dynamic Voltage Resilience Index (DVRI) and its system-wide extension (</w:t>
      </w:r>
      <w:proofErr w:type="spellStart"/>
      <w:r w:rsidR="00CD4EFF" w:rsidRPr="005408F7">
        <w:rPr>
          <w:rFonts w:asciiTheme="minorHAnsi" w:hAnsiTheme="minorHAnsi" w:cstheme="minorHAnsi"/>
          <w:lang w:val="en-US"/>
        </w:rPr>
        <w:t>sysDVRI</w:t>
      </w:r>
      <w:proofErr w:type="spellEnd"/>
      <w:r w:rsidR="00CD4EFF" w:rsidRPr="005408F7">
        <w:rPr>
          <w:rFonts w:asciiTheme="minorHAnsi" w:hAnsiTheme="minorHAnsi" w:cstheme="minorHAnsi"/>
          <w:lang w:val="en-US"/>
        </w:rPr>
        <w:t>) improve upon conventional scalar metrics by using a vector-based approach to simultaneously quantify short- and long-term voltage stability. This methodology integrates statistical classification utilising moving standard deviation and kernel density estimation to automate the detection of oscillatory recovery patterns, providing scalable real-time monitoring validated on the NEM Area 5 system.</w:t>
      </w:r>
    </w:p>
    <w:p w14:paraId="23E07CD2" w14:textId="18FE1414" w:rsidR="00FE77CF" w:rsidRPr="00CD4EFF" w:rsidRDefault="00CD4EFF" w:rsidP="008D2D83">
      <w:pPr>
        <w:pStyle w:val="ListParagraph0"/>
        <w:spacing w:before="120" w:after="0"/>
        <w:ind w:left="357"/>
        <w:jc w:val="both"/>
        <w:rPr>
          <w:rFonts w:asciiTheme="minorHAnsi" w:hAnsiTheme="minorHAnsi" w:cstheme="minorHAnsi"/>
          <w:lang w:val="en-US"/>
        </w:rPr>
      </w:pPr>
      <w:r w:rsidRPr="005408F7">
        <w:rPr>
          <w:rFonts w:asciiTheme="minorHAnsi" w:hAnsiTheme="minorHAnsi" w:cstheme="minorHAnsi"/>
          <w:lang w:val="en-US"/>
        </w:rPr>
        <w:lastRenderedPageBreak/>
        <w:t>Small-disturbance voltage stability is assessed via the Small-Disturbance Voltage Proximity Index (SDVPI), a computationally efficient tool based on adaptive continuation load flow that quantifies a system’s proximity to voltage collapse. By identifying weak buses and tracking how increased renewable penetration reduces stability margins, SDVPI serves as a vital tool for planning and contingency screening. Finally, the Small-Signal Operating Area Security Index (SSOASI) translates complex modal damping characteristics into a practical scalar metric. This index effectively captures the degradation of damping performance caused by reduced inertia and IBR control interactions, offering a systematic way to assess operational security limits in future low-inertia power systems.</w:t>
      </w:r>
    </w:p>
    <w:p w14:paraId="76213A16" w14:textId="77777777" w:rsidR="00FE77CF" w:rsidRPr="00FE77CF" w:rsidRDefault="00FE77CF" w:rsidP="008D2D83">
      <w:pPr>
        <w:pStyle w:val="ListParagraph0"/>
        <w:numPr>
          <w:ilvl w:val="0"/>
          <w:numId w:val="42"/>
        </w:numPr>
        <w:spacing w:before="120" w:after="0"/>
        <w:ind w:left="357"/>
        <w:rPr>
          <w:rFonts w:asciiTheme="minorHAnsi" w:hAnsiTheme="minorHAnsi" w:cstheme="minorHAnsi"/>
        </w:rPr>
      </w:pPr>
      <w:r w:rsidRPr="00FE77CF">
        <w:rPr>
          <w:rFonts w:asciiTheme="minorHAnsi" w:hAnsiTheme="minorHAnsi" w:cstheme="minorHAnsi"/>
        </w:rPr>
        <w:t>Large-Disturbance Voltage Stability (LDVS):</w:t>
      </w:r>
      <w:r w:rsidRPr="00FE77CF">
        <w:rPr>
          <w:rFonts w:asciiTheme="minorHAnsi" w:hAnsiTheme="minorHAnsi" w:cstheme="minorHAnsi"/>
        </w:rPr>
        <w:br/>
        <w:t>The LDVS studies quantified system behaviour following severe contingencies using detailed time-domain simulations with AEMO composite load models. The work highlighted the growing sensitivity of voltage recovery to renewable penetration, reduced system strength, and limited fault current contribution from IBRs. Adaptive continuation analysis further identified critical contingencies and weak buses, enabling more targeted voltage support planning. Importantly, the combined short-term and long-term assessment framework provides operators with improved visibility of delayed voltage risks that may not be evident from traditional screening.</w:t>
      </w:r>
    </w:p>
    <w:p w14:paraId="73BE47DD" w14:textId="77777777" w:rsidR="00FE77CF" w:rsidRPr="00FE77CF" w:rsidRDefault="00FE77CF" w:rsidP="008D2D83">
      <w:pPr>
        <w:pStyle w:val="ListParagraph0"/>
        <w:numPr>
          <w:ilvl w:val="0"/>
          <w:numId w:val="42"/>
        </w:numPr>
        <w:spacing w:before="120" w:after="0"/>
        <w:ind w:left="357"/>
        <w:rPr>
          <w:rFonts w:asciiTheme="minorHAnsi" w:hAnsiTheme="minorHAnsi" w:cstheme="minorHAnsi"/>
        </w:rPr>
      </w:pPr>
      <w:r w:rsidRPr="00FE77CF">
        <w:rPr>
          <w:rFonts w:asciiTheme="minorHAnsi" w:hAnsiTheme="minorHAnsi" w:cstheme="minorHAnsi"/>
        </w:rPr>
        <w:t>Small-Disturbance Voltage Stability (SDVS):</w:t>
      </w:r>
      <w:r w:rsidRPr="00FE77CF">
        <w:rPr>
          <w:rFonts w:asciiTheme="minorHAnsi" w:hAnsiTheme="minorHAnsi" w:cstheme="minorHAnsi"/>
        </w:rPr>
        <w:br/>
        <w:t xml:space="preserve">Continuation power flow studies demonstrated that incremental load growth, increased renewable penetration, and large concentrated loads can materially reduce voltage stability margins. The analysis quantified </w:t>
      </w:r>
      <w:proofErr w:type="spellStart"/>
      <w:r w:rsidRPr="00FE77CF">
        <w:rPr>
          <w:rFonts w:asciiTheme="minorHAnsi" w:hAnsiTheme="minorHAnsi" w:cstheme="minorHAnsi"/>
        </w:rPr>
        <w:t>loadability</w:t>
      </w:r>
      <w:proofErr w:type="spellEnd"/>
      <w:r w:rsidRPr="00FE77CF">
        <w:rPr>
          <w:rFonts w:asciiTheme="minorHAnsi" w:hAnsiTheme="minorHAnsi" w:cstheme="minorHAnsi"/>
        </w:rPr>
        <w:t xml:space="preserve"> limits and P–V characteristics under evolving operating conditions, providing practical inputs for operational planning and security assessment. The results reinforce that reactive power capability, load composition, and network strength must be jointly considered in future planning studies.</w:t>
      </w:r>
    </w:p>
    <w:p w14:paraId="65D7DC73" w14:textId="77777777" w:rsidR="00FE77CF" w:rsidRPr="00FE77CF" w:rsidRDefault="00FE77CF" w:rsidP="008D2D83">
      <w:pPr>
        <w:pStyle w:val="ListParagraph0"/>
        <w:numPr>
          <w:ilvl w:val="0"/>
          <w:numId w:val="42"/>
        </w:numPr>
        <w:spacing w:before="120" w:after="0"/>
        <w:ind w:left="357"/>
        <w:rPr>
          <w:rFonts w:asciiTheme="minorHAnsi" w:hAnsiTheme="minorHAnsi" w:cstheme="minorHAnsi"/>
        </w:rPr>
      </w:pPr>
      <w:r w:rsidRPr="00FE77CF">
        <w:rPr>
          <w:rFonts w:asciiTheme="minorHAnsi" w:hAnsiTheme="minorHAnsi" w:cstheme="minorHAnsi"/>
        </w:rPr>
        <w:t>Large-Load Modelling:</w:t>
      </w:r>
      <w:r w:rsidRPr="00FE77CF">
        <w:rPr>
          <w:rFonts w:asciiTheme="minorHAnsi" w:hAnsiTheme="minorHAnsi" w:cstheme="minorHAnsi"/>
        </w:rPr>
        <w:br/>
        <w:t>To address the rapid emergence of converter-dominated demand, the project developed a generic dynamic large-load model based on the Composite Load Model (CMLD) framework. The model captures key characteristics of power electronic based load behaviour, internal redundancy, and ride-through capability and it is suitable for RMS/phasor-domain electromechanical studies below 10–15 Hz. The accompanying Dynamic Model Acceptance Test (DMAT) framework, developed in consultation with AEMO, establishes a practical pathway for standardized validation and integration of large load models into planning workflows.</w:t>
      </w:r>
    </w:p>
    <w:p w14:paraId="253108A9" w14:textId="77777777" w:rsidR="00FE77CF" w:rsidRPr="006165EA" w:rsidRDefault="51CA744A" w:rsidP="00CD4F3A">
      <w:pPr>
        <w:pStyle w:val="Heading2"/>
        <w:rPr>
          <w:rFonts w:asciiTheme="minorHAnsi" w:hAnsiTheme="minorHAnsi" w:cstheme="minorBidi"/>
          <w:szCs w:val="32"/>
        </w:rPr>
      </w:pPr>
      <w:bookmarkStart w:id="465" w:name="_Toc223627398"/>
      <w:bookmarkStart w:id="466" w:name="_Toc233734342"/>
      <w:r w:rsidRPr="006165EA">
        <w:rPr>
          <w:rFonts w:asciiTheme="minorHAnsi" w:hAnsiTheme="minorHAnsi" w:cstheme="minorBidi"/>
          <w:szCs w:val="32"/>
        </w:rPr>
        <w:t>Future Work</w:t>
      </w:r>
      <w:bookmarkEnd w:id="465"/>
      <w:bookmarkEnd w:id="466"/>
      <w:r w:rsidRPr="006165EA">
        <w:rPr>
          <w:rFonts w:asciiTheme="minorHAnsi" w:hAnsiTheme="minorHAnsi" w:cstheme="minorBidi"/>
          <w:szCs w:val="32"/>
        </w:rPr>
        <w:t xml:space="preserve"> </w:t>
      </w:r>
    </w:p>
    <w:p w14:paraId="0CF46B48" w14:textId="5E78B711" w:rsidR="003A014F" w:rsidRDefault="003A014F" w:rsidP="006165EA">
      <w:pPr>
        <w:pStyle w:val="BodyText"/>
        <w:spacing w:after="0"/>
        <w:rPr>
          <w:rFonts w:asciiTheme="minorHAnsi" w:hAnsiTheme="minorHAnsi" w:cstheme="minorBidi"/>
        </w:rPr>
      </w:pPr>
      <w:r w:rsidRPr="005408F7">
        <w:rPr>
          <w:rFonts w:asciiTheme="minorHAnsi" w:hAnsiTheme="minorHAnsi" w:cstheme="minorBidi"/>
        </w:rPr>
        <w:t xml:space="preserve">The future research directions for this topic are motivated by unresolved stability and modelling challenges in inverter-dominated power systems, particularly those arising from weak-grid conditions, high renewable penetration, fast control interactions, and emerging large converter-interfaced loads, where robust assessment and mitigation of stability issues remain critical gaps. </w:t>
      </w:r>
      <w:r w:rsidR="00A80AC2" w:rsidRPr="00A80AC2">
        <w:rPr>
          <w:rFonts w:asciiTheme="minorHAnsi" w:hAnsiTheme="minorHAnsi" w:cstheme="minorBidi"/>
        </w:rPr>
        <w:t>The proposed future research directions are based on the research priorities of the 2021 roadmap for Topic 2, with a focus on stability assessment methodologies.</w:t>
      </w:r>
    </w:p>
    <w:p w14:paraId="65260FE9" w14:textId="492774A1" w:rsidR="00FE77CF" w:rsidRPr="00FE77CF" w:rsidRDefault="003A014F" w:rsidP="006165EA">
      <w:pPr>
        <w:pStyle w:val="BodyText"/>
        <w:spacing w:after="0"/>
        <w:rPr>
          <w:rFonts w:asciiTheme="minorHAnsi" w:hAnsiTheme="minorHAnsi" w:cstheme="minorBidi"/>
        </w:rPr>
      </w:pPr>
      <w:r>
        <w:rPr>
          <w:rFonts w:asciiTheme="minorHAnsi" w:hAnsiTheme="minorHAnsi" w:cstheme="minorBidi"/>
        </w:rPr>
        <w:lastRenderedPageBreak/>
        <w:t>T</w:t>
      </w:r>
      <w:r w:rsidR="51CA744A" w:rsidRPr="60762895">
        <w:rPr>
          <w:rFonts w:asciiTheme="minorHAnsi" w:hAnsiTheme="minorHAnsi" w:cstheme="minorBidi"/>
        </w:rPr>
        <w:t>he following outlines the key future research directions, prioritised based on their criticality and urgency. Each item builds on the findings of Stage 5 and aims to further enhance both small- and large-signal stability in IBR-dominated networks, addressing challenges associated with high renewable penetration, fast control dynamics, and emerging large converter-dominated loads.</w:t>
      </w:r>
    </w:p>
    <w:p w14:paraId="003D59A8" w14:textId="77777777" w:rsidR="00FE77CF" w:rsidRPr="00FE77CF" w:rsidRDefault="00FE77CF" w:rsidP="006165EA">
      <w:pPr>
        <w:pStyle w:val="BodyText"/>
        <w:numPr>
          <w:ilvl w:val="0"/>
          <w:numId w:val="43"/>
        </w:numPr>
        <w:spacing w:after="0"/>
        <w:rPr>
          <w:rFonts w:asciiTheme="minorHAnsi" w:hAnsiTheme="minorHAnsi" w:cstheme="minorHAnsi"/>
          <w:b/>
          <w:bCs/>
          <w:szCs w:val="24"/>
        </w:rPr>
      </w:pPr>
      <w:r w:rsidRPr="00FE77CF">
        <w:rPr>
          <w:rFonts w:asciiTheme="minorHAnsi" w:hAnsiTheme="minorHAnsi" w:cstheme="minorHAnsi"/>
          <w:b/>
          <w:bCs/>
          <w:szCs w:val="24"/>
        </w:rPr>
        <w:t>Small-Signal Stability (SSS):</w:t>
      </w:r>
    </w:p>
    <w:p w14:paraId="4CA526BF" w14:textId="77777777" w:rsidR="00FE77CF" w:rsidRPr="00FE77CF" w:rsidRDefault="00FE77CF" w:rsidP="006165EA">
      <w:pPr>
        <w:pStyle w:val="Caption"/>
        <w:numPr>
          <w:ilvl w:val="1"/>
          <w:numId w:val="43"/>
        </w:numPr>
        <w:spacing w:before="120" w:after="0"/>
        <w:ind w:left="1077" w:hanging="357"/>
        <w:rPr>
          <w:rFonts w:asciiTheme="minorHAnsi" w:hAnsiTheme="minorHAnsi" w:cstheme="minorHAnsi"/>
          <w:b w:val="0"/>
          <w:bCs w:val="0"/>
          <w:color w:val="000000" w:themeColor="text1"/>
          <w:sz w:val="24"/>
          <w:szCs w:val="24"/>
        </w:rPr>
      </w:pPr>
      <w:r w:rsidRPr="00FE77CF">
        <w:rPr>
          <w:rFonts w:asciiTheme="minorHAnsi" w:hAnsiTheme="minorHAnsi" w:cstheme="minorHAnsi"/>
          <w:b w:val="0"/>
          <w:bCs w:val="0"/>
          <w:color w:val="000000" w:themeColor="text1"/>
          <w:sz w:val="24"/>
          <w:szCs w:val="24"/>
        </w:rPr>
        <w:t xml:space="preserve">Using joint time- and frequency-domain analysis for more effective small signal stability assessment. Previous work has placed significant emphasis on developing frequency-domain methods for small-signal stability assessment. Future work can jointly analyse time and frequency domains for small-signal stability evaluation, considering different control strategies of IBRs. </w:t>
      </w:r>
    </w:p>
    <w:p w14:paraId="76CC4760" w14:textId="77777777" w:rsidR="00FE77CF" w:rsidRPr="00FE77CF" w:rsidRDefault="00FE77CF" w:rsidP="006165EA">
      <w:pPr>
        <w:pStyle w:val="Caption"/>
        <w:numPr>
          <w:ilvl w:val="1"/>
          <w:numId w:val="43"/>
        </w:numPr>
        <w:spacing w:before="120" w:after="0"/>
        <w:ind w:left="1077" w:hanging="357"/>
        <w:rPr>
          <w:rFonts w:asciiTheme="minorHAnsi" w:hAnsiTheme="minorHAnsi" w:cstheme="minorHAnsi"/>
          <w:b w:val="0"/>
          <w:bCs w:val="0"/>
          <w:color w:val="000000" w:themeColor="text1"/>
          <w:sz w:val="24"/>
          <w:szCs w:val="24"/>
        </w:rPr>
      </w:pPr>
      <w:r w:rsidRPr="00FE77CF">
        <w:rPr>
          <w:rFonts w:asciiTheme="minorHAnsi" w:hAnsiTheme="minorHAnsi" w:cstheme="minorHAnsi"/>
          <w:b w:val="0"/>
          <w:bCs w:val="0"/>
          <w:color w:val="000000" w:themeColor="text1"/>
          <w:sz w:val="24"/>
          <w:szCs w:val="24"/>
        </w:rPr>
        <w:t>One key challenge in this regard is the black-box nature of converter models (due to IP restrictions imposed by converter vendors), which prevents system operators and planners from fully understanding the dynamic behaviour of these new devices. This work will aim to use physics-informed machine learning to identify the parameters of converter model structures using a measurement-based approach.</w:t>
      </w:r>
    </w:p>
    <w:p w14:paraId="15DB1BDF" w14:textId="77777777" w:rsidR="00FE77CF" w:rsidRPr="00FE77CF" w:rsidRDefault="00FE77CF" w:rsidP="006165EA">
      <w:pPr>
        <w:pStyle w:val="Caption"/>
        <w:numPr>
          <w:ilvl w:val="1"/>
          <w:numId w:val="43"/>
        </w:numPr>
        <w:spacing w:before="120" w:after="0"/>
        <w:ind w:left="1077" w:hanging="357"/>
        <w:rPr>
          <w:rFonts w:asciiTheme="minorHAnsi" w:hAnsiTheme="minorHAnsi" w:cstheme="minorHAnsi"/>
          <w:b w:val="0"/>
          <w:bCs w:val="0"/>
          <w:color w:val="000000" w:themeColor="text1"/>
          <w:sz w:val="24"/>
          <w:szCs w:val="24"/>
        </w:rPr>
      </w:pPr>
      <w:r w:rsidRPr="00FE77CF">
        <w:rPr>
          <w:rFonts w:asciiTheme="minorHAnsi" w:hAnsiTheme="minorHAnsi" w:cstheme="minorHAnsi"/>
          <w:b w:val="0"/>
          <w:bCs w:val="0"/>
          <w:color w:val="000000" w:themeColor="text1"/>
          <w:sz w:val="24"/>
          <w:szCs w:val="24"/>
        </w:rPr>
        <w:t>Evaluating small-signal stability of power systems with different IBR controls using the developed data-driven time-domain black-box model in stage-5.</w:t>
      </w:r>
    </w:p>
    <w:p w14:paraId="11C9065E" w14:textId="77777777" w:rsidR="00FE77CF" w:rsidRPr="00FE77CF" w:rsidRDefault="00FE77CF" w:rsidP="006165EA">
      <w:pPr>
        <w:pStyle w:val="Caption"/>
        <w:numPr>
          <w:ilvl w:val="1"/>
          <w:numId w:val="43"/>
        </w:numPr>
        <w:spacing w:before="120" w:after="0"/>
        <w:ind w:left="1077" w:hanging="357"/>
        <w:rPr>
          <w:rFonts w:asciiTheme="minorHAnsi" w:hAnsiTheme="minorHAnsi" w:cstheme="minorHAnsi"/>
          <w:b w:val="0"/>
          <w:bCs w:val="0"/>
          <w:color w:val="000000" w:themeColor="text1"/>
          <w:sz w:val="24"/>
          <w:szCs w:val="24"/>
        </w:rPr>
      </w:pPr>
      <w:r w:rsidRPr="00FE77CF">
        <w:rPr>
          <w:rFonts w:asciiTheme="minorHAnsi" w:hAnsiTheme="minorHAnsi" w:cstheme="minorHAnsi"/>
          <w:b w:val="0"/>
          <w:bCs w:val="0"/>
          <w:color w:val="000000" w:themeColor="text1"/>
          <w:sz w:val="24"/>
          <w:szCs w:val="24"/>
        </w:rPr>
        <w:t>Future works also include comparing the developed black-box model in stage-5 with the real-world issues and OEM specific models.</w:t>
      </w:r>
    </w:p>
    <w:p w14:paraId="6805FB25" w14:textId="77777777" w:rsidR="00FE77CF" w:rsidRPr="00FE77CF" w:rsidRDefault="00FE77CF" w:rsidP="006165EA">
      <w:pPr>
        <w:pStyle w:val="BodyText"/>
        <w:numPr>
          <w:ilvl w:val="0"/>
          <w:numId w:val="43"/>
        </w:numPr>
        <w:spacing w:after="0"/>
        <w:rPr>
          <w:rFonts w:asciiTheme="minorHAnsi" w:hAnsiTheme="minorHAnsi" w:cstheme="minorHAnsi"/>
          <w:b/>
          <w:bCs/>
          <w:szCs w:val="24"/>
        </w:rPr>
      </w:pPr>
      <w:r w:rsidRPr="00FE77CF">
        <w:rPr>
          <w:rFonts w:asciiTheme="minorHAnsi" w:hAnsiTheme="minorHAnsi" w:cstheme="minorHAnsi"/>
          <w:b/>
          <w:bCs/>
          <w:szCs w:val="24"/>
        </w:rPr>
        <w:t>Dynamic Voltage Signature:</w:t>
      </w:r>
    </w:p>
    <w:p w14:paraId="4FD23FE7" w14:textId="39D74731" w:rsidR="00120DE6" w:rsidRPr="00E146C5" w:rsidRDefault="00120DE6" w:rsidP="006165EA">
      <w:pPr>
        <w:pStyle w:val="BodyText"/>
        <w:spacing w:after="0"/>
        <w:jc w:val="both"/>
        <w:rPr>
          <w:rFonts w:asciiTheme="minorHAnsi" w:hAnsiTheme="minorHAnsi" w:cstheme="minorHAnsi"/>
          <w:b/>
          <w:bCs/>
          <w:lang w:val="en-US"/>
        </w:rPr>
      </w:pPr>
      <w:r w:rsidRPr="00E146C5">
        <w:rPr>
          <w:rFonts w:asciiTheme="minorHAnsi" w:hAnsiTheme="minorHAnsi" w:cstheme="minorHAnsi"/>
          <w:lang w:val="en-US"/>
        </w:rPr>
        <w:t xml:space="preserve">In Stage 5, the proposed adaptive CPF-based SDVPI was limited by quasi-steady-state assumptions, focusing only on the static saddle-node bifurcation (SNB) and overlooking dynamic Hopf bifurcations (HB) critical to IBR-dominated grids. To address this, the future work proposes a Small-Disturbance Voltage Assessment Index (SDAI). This framework integrates both static and dynamic analyses to capture complex HB and SNB interactions, ensuring a comprehensive assessment of IBR and IBL stability. The </w:t>
      </w:r>
      <w:r w:rsidR="00030644" w:rsidRPr="00E146C5">
        <w:rPr>
          <w:rFonts w:asciiTheme="minorHAnsi" w:hAnsiTheme="minorHAnsi" w:cstheme="minorHAnsi"/>
          <w:lang w:val="en-US"/>
        </w:rPr>
        <w:t>tasks</w:t>
      </w:r>
      <w:r w:rsidRPr="00E146C5">
        <w:rPr>
          <w:rFonts w:asciiTheme="minorHAnsi" w:hAnsiTheme="minorHAnsi" w:cstheme="minorHAnsi"/>
          <w:lang w:val="en-US"/>
        </w:rPr>
        <w:t xml:space="preserve"> </w:t>
      </w:r>
      <w:r w:rsidR="00F54597">
        <w:rPr>
          <w:rFonts w:asciiTheme="minorHAnsi" w:hAnsiTheme="minorHAnsi" w:cstheme="minorHAnsi"/>
          <w:lang w:val="en-US"/>
        </w:rPr>
        <w:t xml:space="preserve">will </w:t>
      </w:r>
      <w:r w:rsidRPr="00E146C5">
        <w:rPr>
          <w:rFonts w:asciiTheme="minorHAnsi" w:hAnsiTheme="minorHAnsi" w:cstheme="minorHAnsi"/>
          <w:lang w:val="en-US"/>
        </w:rPr>
        <w:t>include:</w:t>
      </w:r>
      <w:r w:rsidRPr="00E146C5">
        <w:rPr>
          <w:rFonts w:asciiTheme="minorHAnsi" w:hAnsiTheme="minorHAnsi" w:cstheme="minorHAnsi"/>
          <w:b/>
          <w:bCs/>
          <w:lang w:val="en-US"/>
        </w:rPr>
        <w:t xml:space="preserve"> </w:t>
      </w:r>
    </w:p>
    <w:p w14:paraId="4FEA5DFA" w14:textId="77777777" w:rsidR="00120DE6" w:rsidRPr="00E146C5" w:rsidRDefault="00120DE6" w:rsidP="006165EA">
      <w:pPr>
        <w:pStyle w:val="ListParagraph0"/>
        <w:numPr>
          <w:ilvl w:val="1"/>
          <w:numId w:val="43"/>
        </w:numPr>
        <w:spacing w:before="120" w:after="0"/>
        <w:ind w:hanging="357"/>
        <w:jc w:val="both"/>
        <w:rPr>
          <w:rFonts w:asciiTheme="minorHAnsi" w:eastAsia="Times New Roman" w:hAnsiTheme="minorHAnsi" w:cstheme="minorHAnsi"/>
          <w:color w:val="auto"/>
        </w:rPr>
      </w:pPr>
      <w:r w:rsidRPr="00E146C5">
        <w:rPr>
          <w:rFonts w:asciiTheme="minorHAnsi" w:eastAsia="Times New Roman" w:hAnsiTheme="minorHAnsi" w:cstheme="minorHAnsi"/>
          <w:b/>
          <w:bCs/>
          <w:color w:val="auto"/>
        </w:rPr>
        <w:t>Development of a Linear–Nonlinear Framework:</w:t>
      </w:r>
      <w:r w:rsidRPr="00E146C5">
        <w:rPr>
          <w:rFonts w:asciiTheme="minorHAnsi" w:eastAsia="Times New Roman" w:hAnsiTheme="minorHAnsi" w:cstheme="minorHAnsi"/>
          <w:color w:val="auto"/>
        </w:rPr>
        <w:t xml:space="preserve"> The proposed SDAI will incorporate the nonlinear dynamics of IBRs and IBLs, including PLL synchronization, fast current limiting, and control mode switching (e.g., PQ to voltage control). These dynamics can introduce voltage oscillations and interactions that are not captured by conventional linear or static models.</w:t>
      </w:r>
    </w:p>
    <w:p w14:paraId="6D243096" w14:textId="77777777" w:rsidR="00120DE6" w:rsidRPr="00E146C5" w:rsidRDefault="00120DE6" w:rsidP="006165EA">
      <w:pPr>
        <w:pStyle w:val="ListParagraph0"/>
        <w:numPr>
          <w:ilvl w:val="1"/>
          <w:numId w:val="43"/>
        </w:numPr>
        <w:spacing w:before="120" w:after="0"/>
        <w:ind w:hanging="357"/>
        <w:jc w:val="both"/>
        <w:rPr>
          <w:rFonts w:asciiTheme="minorHAnsi" w:eastAsia="Times New Roman" w:hAnsiTheme="minorHAnsi" w:cstheme="minorHAnsi"/>
          <w:color w:val="auto"/>
        </w:rPr>
      </w:pPr>
      <w:r w:rsidRPr="00E146C5">
        <w:rPr>
          <w:rFonts w:asciiTheme="minorHAnsi" w:eastAsia="Times New Roman" w:hAnsiTheme="minorHAnsi" w:cstheme="minorHAnsi"/>
          <w:b/>
          <w:bCs/>
          <w:color w:val="auto"/>
        </w:rPr>
        <w:t>Development of a Hybrid Static–Dynamic Framework:</w:t>
      </w:r>
      <w:r w:rsidRPr="00E146C5">
        <w:rPr>
          <w:rFonts w:asciiTheme="minorHAnsi" w:eastAsia="Times New Roman" w:hAnsiTheme="minorHAnsi" w:cstheme="minorHAnsi"/>
          <w:color w:val="auto"/>
        </w:rPr>
        <w:t xml:space="preserve"> The proposed SDAI will simultaneously quantify the dynamic stability margin (DSM) and static stability margin (SSM) following a small disturbance. The framework will integrate static and dynamic analyses based on saddle-node bifurcation (SNB) and Hopf bifurcation (HB) by developing differential-algebraic equations (DAE) of the system and solving it. A vector-based representation will be utilised to enable comprehensive and quantitative stability assessment </w:t>
      </w:r>
      <w:proofErr w:type="gramStart"/>
      <w:r w:rsidRPr="00E146C5">
        <w:rPr>
          <w:rFonts w:asciiTheme="minorHAnsi" w:eastAsia="Times New Roman" w:hAnsiTheme="minorHAnsi" w:cstheme="minorHAnsi"/>
          <w:color w:val="auto"/>
        </w:rPr>
        <w:t>similar to</w:t>
      </w:r>
      <w:proofErr w:type="gramEnd"/>
      <w:r w:rsidRPr="00E146C5">
        <w:rPr>
          <w:rFonts w:asciiTheme="minorHAnsi" w:eastAsia="Times New Roman" w:hAnsiTheme="minorHAnsi" w:cstheme="minorHAnsi"/>
          <w:color w:val="auto"/>
        </w:rPr>
        <w:t xml:space="preserve"> the LDVS in stage 5.</w:t>
      </w:r>
    </w:p>
    <w:p w14:paraId="2068D27F" w14:textId="0BDBB542" w:rsidR="00120DE6" w:rsidRPr="00E146C5" w:rsidRDefault="00120DE6" w:rsidP="006165EA">
      <w:pPr>
        <w:pStyle w:val="ListParagraph0"/>
        <w:numPr>
          <w:ilvl w:val="1"/>
          <w:numId w:val="43"/>
        </w:numPr>
        <w:spacing w:before="120" w:after="0"/>
        <w:ind w:hanging="357"/>
        <w:jc w:val="both"/>
        <w:rPr>
          <w:rFonts w:asciiTheme="minorHAnsi" w:eastAsia="Times New Roman" w:hAnsiTheme="minorHAnsi" w:cstheme="minorHAnsi"/>
          <w:color w:val="auto"/>
        </w:rPr>
      </w:pPr>
      <w:r w:rsidRPr="00E146C5">
        <w:rPr>
          <w:rFonts w:asciiTheme="minorHAnsi" w:eastAsia="Times New Roman" w:hAnsiTheme="minorHAnsi" w:cstheme="minorHAnsi"/>
          <w:b/>
          <w:bCs/>
          <w:color w:val="auto"/>
        </w:rPr>
        <w:t>Network-Wide Propagation Analysis:</w:t>
      </w:r>
      <w:r w:rsidRPr="00E146C5">
        <w:rPr>
          <w:rFonts w:asciiTheme="minorHAnsi" w:eastAsia="Times New Roman" w:hAnsiTheme="minorHAnsi" w:cstheme="minorHAnsi"/>
          <w:color w:val="auto"/>
        </w:rPr>
        <w:t xml:space="preserve"> The proposed approach </w:t>
      </w:r>
      <w:r w:rsidR="00ED6AD0">
        <w:rPr>
          <w:rFonts w:asciiTheme="minorHAnsi" w:eastAsia="Times New Roman" w:hAnsiTheme="minorHAnsi" w:cstheme="minorHAnsi"/>
          <w:color w:val="auto"/>
        </w:rPr>
        <w:t xml:space="preserve">will </w:t>
      </w:r>
      <w:r w:rsidRPr="00E146C5">
        <w:rPr>
          <w:rFonts w:asciiTheme="minorHAnsi" w:eastAsia="Times New Roman" w:hAnsiTheme="minorHAnsi" w:cstheme="minorHAnsi"/>
          <w:color w:val="auto"/>
        </w:rPr>
        <w:t>extend stability assessment beyond individual buses by evaluating SDAI across multiple network locations. This enables the characterization of disturbance propagation, spatial interactions, and overall system voltage recovery.</w:t>
      </w:r>
    </w:p>
    <w:p w14:paraId="70600A1B" w14:textId="77777777" w:rsidR="00120DE6" w:rsidRPr="00E146C5" w:rsidRDefault="00120DE6" w:rsidP="006165EA">
      <w:pPr>
        <w:pStyle w:val="ListParagraph0"/>
        <w:numPr>
          <w:ilvl w:val="1"/>
          <w:numId w:val="43"/>
        </w:numPr>
        <w:spacing w:before="120" w:after="0"/>
        <w:ind w:hanging="357"/>
        <w:jc w:val="both"/>
        <w:rPr>
          <w:rFonts w:asciiTheme="minorHAnsi" w:eastAsia="Times New Roman" w:hAnsiTheme="minorHAnsi" w:cstheme="minorHAnsi"/>
          <w:color w:val="auto"/>
        </w:rPr>
      </w:pPr>
      <w:r w:rsidRPr="00E146C5">
        <w:rPr>
          <w:rFonts w:asciiTheme="minorHAnsi" w:eastAsia="Times New Roman" w:hAnsiTheme="minorHAnsi" w:cstheme="minorHAnsi"/>
          <w:b/>
          <w:bCs/>
          <w:color w:val="auto"/>
        </w:rPr>
        <w:lastRenderedPageBreak/>
        <w:t>Benchmarking with adaptive CPF and Time-Domain Simulation:</w:t>
      </w:r>
      <w:r w:rsidRPr="00E146C5">
        <w:rPr>
          <w:rFonts w:asciiTheme="minorHAnsi" w:eastAsia="Times New Roman" w:hAnsiTheme="minorHAnsi" w:cstheme="minorHAnsi"/>
          <w:color w:val="auto"/>
        </w:rPr>
        <w:t xml:space="preserve"> The SSM and DSM corresponding to post-disturbance operating conditions will be evaluated using adaptive CPF and time-domain simulation methods. The proposed SDAI will be validated against these CPF and Time-Domain Simulation based analysis, to ensure accuracy and consistency.</w:t>
      </w:r>
    </w:p>
    <w:p w14:paraId="2F70A1F3" w14:textId="77777777" w:rsidR="00120DE6" w:rsidRPr="00E146C5" w:rsidRDefault="00120DE6" w:rsidP="006165EA">
      <w:pPr>
        <w:pStyle w:val="ListParagraph0"/>
        <w:numPr>
          <w:ilvl w:val="1"/>
          <w:numId w:val="43"/>
        </w:numPr>
        <w:spacing w:before="120" w:after="0"/>
        <w:ind w:hanging="357"/>
        <w:jc w:val="both"/>
        <w:rPr>
          <w:rFonts w:asciiTheme="minorHAnsi" w:eastAsia="Times New Roman" w:hAnsiTheme="minorHAnsi" w:cstheme="minorHAnsi"/>
          <w:color w:val="auto"/>
        </w:rPr>
      </w:pPr>
      <w:r w:rsidRPr="00E146C5">
        <w:rPr>
          <w:rFonts w:asciiTheme="minorHAnsi" w:eastAsia="Times New Roman" w:hAnsiTheme="minorHAnsi" w:cstheme="minorHAnsi"/>
          <w:b/>
          <w:bCs/>
          <w:color w:val="auto"/>
        </w:rPr>
        <w:t>Sensitivity Analysis:</w:t>
      </w:r>
      <w:r w:rsidRPr="00E146C5">
        <w:rPr>
          <w:rFonts w:asciiTheme="minorHAnsi" w:eastAsia="Times New Roman" w:hAnsiTheme="minorHAnsi" w:cstheme="minorHAnsi"/>
          <w:color w:val="auto"/>
        </w:rPr>
        <w:t xml:space="preserve"> The framework will assess the impact of variations in load composition (e.g., dynamics versus ZIP loads), generation mix (e.g., IBR versus SMs), and network contingencies on voltage stability.</w:t>
      </w:r>
    </w:p>
    <w:p w14:paraId="71BB7CC9" w14:textId="77777777" w:rsidR="00FE77CF" w:rsidRPr="00FE77CF" w:rsidRDefault="00FE77CF" w:rsidP="006165EA">
      <w:pPr>
        <w:pStyle w:val="BodyText"/>
        <w:numPr>
          <w:ilvl w:val="0"/>
          <w:numId w:val="43"/>
        </w:numPr>
        <w:spacing w:after="0"/>
        <w:rPr>
          <w:rFonts w:asciiTheme="minorHAnsi" w:hAnsiTheme="minorHAnsi" w:cstheme="minorHAnsi"/>
          <w:b/>
          <w:bCs/>
          <w:szCs w:val="24"/>
        </w:rPr>
      </w:pPr>
      <w:r w:rsidRPr="00FE77CF">
        <w:rPr>
          <w:rFonts w:asciiTheme="minorHAnsi" w:hAnsiTheme="minorHAnsi" w:cstheme="minorHAnsi"/>
          <w:b/>
          <w:bCs/>
          <w:szCs w:val="24"/>
        </w:rPr>
        <w:t>Large-Disturbance Voltage Stability (LDVS):</w:t>
      </w:r>
    </w:p>
    <w:p w14:paraId="40AF1A70"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 xml:space="preserve">To perform STVS assessment considering network topology changes using an effective data-driven approach with adequate learning capability to capture </w:t>
      </w:r>
      <w:proofErr w:type="spellStart"/>
      <w:r w:rsidRPr="00FE77CF">
        <w:rPr>
          <w:rFonts w:asciiTheme="minorHAnsi" w:hAnsiTheme="minorHAnsi" w:cstheme="minorHAnsi"/>
          <w:szCs w:val="24"/>
        </w:rPr>
        <w:t>spatio</w:t>
      </w:r>
      <w:proofErr w:type="spellEnd"/>
      <w:r w:rsidRPr="00FE77CF">
        <w:rPr>
          <w:rFonts w:asciiTheme="minorHAnsi" w:hAnsiTheme="minorHAnsi" w:cstheme="minorHAnsi"/>
          <w:szCs w:val="24"/>
        </w:rPr>
        <w:t>-temporal characteristics of this problem.</w:t>
      </w:r>
    </w:p>
    <w:p w14:paraId="1896186D"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To evaluate the effects of voltage-current dual-loop control on the voltage support capability of VSGs (GFMs) and to investigate the dynamic interactions between GFM and GFL converters for improving voltage stability.</w:t>
      </w:r>
    </w:p>
    <w:p w14:paraId="5133C9FD"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 xml:space="preserve">To identify voltage control areas including optimum location of control devices (e.g., VSGs, SVCs, STATCOMs, BESSs) and critical contingencies in each area. Subsequently, to mitigate fault-induced delayed voltage recovery (FIDVR) using a Deep Reinforcement Learning (DRL)-based control strategy. </w:t>
      </w:r>
    </w:p>
    <w:p w14:paraId="4AD8D82F"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To develop hybrid machine-learning frameworks that leverage historical system data for robust baseline training while enabling real-time adaptive learning to ensure sustained stability monitoring accuracy and fast operational decision support under evolving grid conditions.</w:t>
      </w:r>
    </w:p>
    <w:p w14:paraId="7BEA64C7"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To develop voltage stability assessment frameworks that remain reliable under extreme class imbalance (e.g., &gt;200:1), by addressing training instability and poor representation of rare instability events using stabilization techniques such as spectral normalization, curriculum-based sampling, hybrid resampling and deep generative AI techniques.</w:t>
      </w:r>
    </w:p>
    <w:p w14:paraId="6A292119" w14:textId="77777777" w:rsidR="00FE77CF" w:rsidRPr="00FE77CF" w:rsidRDefault="00FE77CF" w:rsidP="006165EA">
      <w:pPr>
        <w:pStyle w:val="BodyText"/>
        <w:numPr>
          <w:ilvl w:val="1"/>
          <w:numId w:val="43"/>
        </w:numPr>
        <w:spacing w:after="0"/>
        <w:ind w:hanging="357"/>
        <w:rPr>
          <w:rFonts w:asciiTheme="minorHAnsi" w:hAnsiTheme="minorHAnsi" w:cstheme="minorHAnsi"/>
          <w:szCs w:val="24"/>
          <w:lang w:val="en-US"/>
        </w:rPr>
      </w:pPr>
      <w:r w:rsidRPr="00FE77CF">
        <w:rPr>
          <w:rFonts w:asciiTheme="minorHAnsi" w:hAnsiTheme="minorHAnsi" w:cstheme="minorHAnsi"/>
          <w:szCs w:val="24"/>
        </w:rPr>
        <w:t>To investigate the impact of renewable energy intermittency and fluctuations on voltage stability assessment while addressing unbalanced sample generation (for instance using active learning techniques). In addition, to incorporate more realistic PMU measurement error models, including non-Gaussian noise characteristics, to improve model robustness under practical operating conditions.</w:t>
      </w:r>
    </w:p>
    <w:p w14:paraId="46E7B132" w14:textId="0FE12171" w:rsidR="00FE77CF" w:rsidRPr="00FE77CF" w:rsidRDefault="00FE77CF" w:rsidP="006165EA">
      <w:pPr>
        <w:pStyle w:val="BodyText"/>
        <w:numPr>
          <w:ilvl w:val="1"/>
          <w:numId w:val="43"/>
        </w:numPr>
        <w:spacing w:after="0"/>
        <w:ind w:hanging="357"/>
        <w:rPr>
          <w:rFonts w:asciiTheme="minorHAnsi" w:hAnsiTheme="minorHAnsi" w:cstheme="minorHAnsi"/>
          <w:b/>
          <w:bCs/>
          <w:szCs w:val="24"/>
          <w:lang w:val="en-US"/>
        </w:rPr>
      </w:pPr>
      <w:r w:rsidRPr="00FE77CF">
        <w:rPr>
          <w:rFonts w:asciiTheme="minorHAnsi" w:hAnsiTheme="minorHAnsi" w:cstheme="minorHAnsi"/>
          <w:szCs w:val="24"/>
        </w:rPr>
        <w:t xml:space="preserve">To perform multi-timescale dynamic simulation to capture the interaction between fast </w:t>
      </w:r>
      <w:r w:rsidRPr="00C5172E">
        <w:rPr>
          <w:rFonts w:asciiTheme="minorHAnsi" w:hAnsiTheme="minorHAnsi" w:cstheme="minorHAnsi"/>
          <w:szCs w:val="24"/>
        </w:rPr>
        <w:t>and slow dynamics for accurately assessing LTVS</w:t>
      </w:r>
      <w:r w:rsidR="00C5765C">
        <w:rPr>
          <w:rFonts w:asciiTheme="minorHAnsi" w:hAnsiTheme="minorHAnsi" w:cstheme="minorHAnsi"/>
          <w:szCs w:val="24"/>
        </w:rPr>
        <w:t>.</w:t>
      </w:r>
    </w:p>
    <w:p w14:paraId="4185A155" w14:textId="77777777" w:rsidR="00FE77CF" w:rsidRPr="00FE77CF" w:rsidRDefault="00FE77CF" w:rsidP="006165EA">
      <w:pPr>
        <w:pStyle w:val="BodyText"/>
        <w:numPr>
          <w:ilvl w:val="0"/>
          <w:numId w:val="43"/>
        </w:numPr>
        <w:spacing w:after="0"/>
        <w:rPr>
          <w:rFonts w:asciiTheme="minorHAnsi" w:hAnsiTheme="minorHAnsi" w:cstheme="minorHAnsi"/>
          <w:b/>
          <w:bCs/>
          <w:szCs w:val="24"/>
        </w:rPr>
      </w:pPr>
      <w:r w:rsidRPr="00FE77CF">
        <w:rPr>
          <w:rFonts w:asciiTheme="minorHAnsi" w:hAnsiTheme="minorHAnsi" w:cstheme="minorHAnsi"/>
          <w:b/>
          <w:bCs/>
          <w:szCs w:val="24"/>
        </w:rPr>
        <w:t>Small-Disturbance Voltage Stability (SDVS):</w:t>
      </w:r>
    </w:p>
    <w:p w14:paraId="3E8B0F5F"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Integrate physics-informed neural networks (PINNs) to enforce power flow and dynamic stability constraints in data-driven models, enhancing both small- and large-disturbance voltage stability predictions with limited training data.</w:t>
      </w:r>
    </w:p>
    <w:p w14:paraId="77D99303"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Use machine</w:t>
      </w:r>
      <w:r w:rsidRPr="00FE77CF">
        <w:rPr>
          <w:rFonts w:ascii="Cambria Math" w:hAnsi="Cambria Math" w:cs="Cambria Math"/>
          <w:szCs w:val="24"/>
        </w:rPr>
        <w:t>‑</w:t>
      </w:r>
      <w:r w:rsidRPr="00FE77CF">
        <w:rPr>
          <w:rFonts w:asciiTheme="minorHAnsi" w:hAnsiTheme="minorHAnsi" w:cstheme="minorHAnsi"/>
          <w:szCs w:val="24"/>
        </w:rPr>
        <w:t>learning surrogates to approximate small</w:t>
      </w:r>
      <w:r w:rsidRPr="00FE77CF">
        <w:rPr>
          <w:rFonts w:ascii="Cambria Math" w:hAnsi="Cambria Math" w:cs="Cambria Math"/>
          <w:szCs w:val="24"/>
        </w:rPr>
        <w:t>‑</w:t>
      </w:r>
      <w:r w:rsidRPr="00FE77CF">
        <w:rPr>
          <w:rFonts w:asciiTheme="minorHAnsi" w:hAnsiTheme="minorHAnsi" w:cstheme="minorHAnsi"/>
          <w:szCs w:val="24"/>
        </w:rPr>
        <w:t>disturbance voltage stability margins, trained on offline adaptive CPF results.</w:t>
      </w:r>
    </w:p>
    <w:p w14:paraId="70E9E2AE"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lastRenderedPageBreak/>
        <w:t>Develop PMU</w:t>
      </w:r>
      <w:r w:rsidRPr="00FE77CF">
        <w:rPr>
          <w:rFonts w:ascii="Cambria Math" w:hAnsi="Cambria Math" w:cs="Cambria Math"/>
          <w:szCs w:val="24"/>
        </w:rPr>
        <w:t>‑</w:t>
      </w:r>
      <w:r w:rsidRPr="00FE77CF">
        <w:rPr>
          <w:rFonts w:asciiTheme="minorHAnsi" w:hAnsiTheme="minorHAnsi" w:cstheme="minorHAnsi"/>
          <w:szCs w:val="24"/>
        </w:rPr>
        <w:t>based, model</w:t>
      </w:r>
      <w:r w:rsidRPr="00FE77CF">
        <w:rPr>
          <w:rFonts w:ascii="Cambria Math" w:hAnsi="Cambria Math" w:cs="Cambria Math"/>
          <w:szCs w:val="24"/>
        </w:rPr>
        <w:t>‑</w:t>
      </w:r>
      <w:r w:rsidRPr="00FE77CF">
        <w:rPr>
          <w:rFonts w:asciiTheme="minorHAnsi" w:hAnsiTheme="minorHAnsi" w:cstheme="minorHAnsi"/>
          <w:szCs w:val="24"/>
        </w:rPr>
        <w:t>light indices (using AI techniques) that can track small</w:t>
      </w:r>
      <w:r w:rsidRPr="00FE77CF">
        <w:rPr>
          <w:rFonts w:ascii="Cambria Math" w:hAnsi="Cambria Math" w:cs="Cambria Math"/>
          <w:szCs w:val="24"/>
        </w:rPr>
        <w:t>‑</w:t>
      </w:r>
      <w:r w:rsidRPr="00FE77CF">
        <w:rPr>
          <w:rFonts w:asciiTheme="minorHAnsi" w:hAnsiTheme="minorHAnsi" w:cstheme="minorHAnsi"/>
          <w:szCs w:val="24"/>
        </w:rPr>
        <w:t>signal voltage security in real time under high IBR penetration.</w:t>
      </w:r>
    </w:p>
    <w:p w14:paraId="57AA3282"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Apply transfer learning so that AI models for voltage stability assessment stay accurate when topology, dispatch, or IBR mix changes.</w:t>
      </w:r>
    </w:p>
    <w:p w14:paraId="37608476"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Build distribution</w:t>
      </w:r>
      <w:r w:rsidRPr="00FE77CF">
        <w:rPr>
          <w:rFonts w:ascii="Cambria Math" w:hAnsi="Cambria Math" w:cs="Cambria Math"/>
          <w:szCs w:val="24"/>
        </w:rPr>
        <w:t>‑</w:t>
      </w:r>
      <w:r w:rsidRPr="00FE77CF">
        <w:rPr>
          <w:rFonts w:asciiTheme="minorHAnsi" w:hAnsiTheme="minorHAnsi" w:cstheme="minorHAnsi"/>
          <w:szCs w:val="24"/>
        </w:rPr>
        <w:t>level AI tools for small</w:t>
      </w:r>
      <w:r w:rsidRPr="00FE77CF">
        <w:rPr>
          <w:rFonts w:ascii="Cambria Math" w:hAnsi="Cambria Math" w:cs="Cambria Math"/>
          <w:szCs w:val="24"/>
        </w:rPr>
        <w:t>‑</w:t>
      </w:r>
      <w:r w:rsidRPr="00FE77CF">
        <w:rPr>
          <w:rFonts w:asciiTheme="minorHAnsi" w:hAnsiTheme="minorHAnsi" w:cstheme="minorHAnsi"/>
          <w:szCs w:val="24"/>
        </w:rPr>
        <w:t>disturbance voltage stability assessment, then embed them into integrated T–D assessments.</w:t>
      </w:r>
    </w:p>
    <w:p w14:paraId="0CC6778A"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Add uncertainty</w:t>
      </w:r>
      <w:r w:rsidRPr="00FE77CF">
        <w:rPr>
          <w:rFonts w:ascii="Cambria Math" w:hAnsi="Cambria Math" w:cs="Cambria Math"/>
          <w:szCs w:val="24"/>
        </w:rPr>
        <w:t>‑</w:t>
      </w:r>
      <w:r w:rsidRPr="00FE77CF">
        <w:rPr>
          <w:rFonts w:asciiTheme="minorHAnsi" w:hAnsiTheme="minorHAnsi" w:cstheme="minorHAnsi"/>
          <w:szCs w:val="24"/>
        </w:rPr>
        <w:t>aware AI (e.g., deep generative AI) techniques to turn small</w:t>
      </w:r>
      <w:r w:rsidRPr="00FE77CF">
        <w:rPr>
          <w:rFonts w:ascii="Cambria Math" w:hAnsi="Cambria Math" w:cs="Cambria Math"/>
          <w:szCs w:val="24"/>
        </w:rPr>
        <w:t>‑</w:t>
      </w:r>
      <w:r w:rsidRPr="00FE77CF">
        <w:rPr>
          <w:rFonts w:asciiTheme="minorHAnsi" w:hAnsiTheme="minorHAnsi" w:cstheme="minorHAnsi"/>
          <w:szCs w:val="24"/>
        </w:rPr>
        <w:t>disturbance margins into risk</w:t>
      </w:r>
      <w:r w:rsidRPr="00FE77CF">
        <w:rPr>
          <w:rFonts w:ascii="Cambria Math" w:hAnsi="Cambria Math" w:cs="Cambria Math"/>
          <w:szCs w:val="24"/>
        </w:rPr>
        <w:t>‑</w:t>
      </w:r>
      <w:r w:rsidRPr="00FE77CF">
        <w:rPr>
          <w:rFonts w:asciiTheme="minorHAnsi" w:hAnsiTheme="minorHAnsi" w:cstheme="minorHAnsi"/>
          <w:szCs w:val="24"/>
        </w:rPr>
        <w:t>based, probabilistic security indicators.</w:t>
      </w:r>
    </w:p>
    <w:p w14:paraId="34E4A65A" w14:textId="77777777" w:rsidR="00FE77CF" w:rsidRPr="00FE77CF" w:rsidRDefault="00FE77CF" w:rsidP="006165EA">
      <w:pPr>
        <w:pStyle w:val="BodyText"/>
        <w:numPr>
          <w:ilvl w:val="0"/>
          <w:numId w:val="44"/>
        </w:numPr>
        <w:spacing w:after="0"/>
        <w:rPr>
          <w:rFonts w:asciiTheme="minorHAnsi" w:hAnsiTheme="minorHAnsi" w:cstheme="minorHAnsi"/>
          <w:b/>
          <w:bCs/>
          <w:szCs w:val="24"/>
        </w:rPr>
      </w:pPr>
      <w:r w:rsidRPr="00FE77CF">
        <w:rPr>
          <w:rFonts w:asciiTheme="minorHAnsi" w:hAnsiTheme="minorHAnsi" w:cstheme="minorHAnsi"/>
          <w:b/>
          <w:bCs/>
          <w:szCs w:val="24"/>
        </w:rPr>
        <w:t>Large-Load Modelling:</w:t>
      </w:r>
    </w:p>
    <w:p w14:paraId="42CE8D88"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A data-driven large load generic framework (RMS/EMT) for stability studies will be developed. This framework will guide the types of large load models that should be used for various power system stability studies.</w:t>
      </w:r>
    </w:p>
    <w:p w14:paraId="09187526"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Existing dynamic load models in commercial software packages lack sufficient control and protection components to properly model large loads such as data centres. Future research would focus on this.</w:t>
      </w:r>
    </w:p>
    <w:p w14:paraId="0A52E503"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Reactive power capability and support services from the large load would be explored.</w:t>
      </w:r>
    </w:p>
    <w:p w14:paraId="29284C07" w14:textId="77777777" w:rsidR="00FE77CF" w:rsidRPr="00FE77CF" w:rsidRDefault="00FE77CF" w:rsidP="006165EA">
      <w:pPr>
        <w:pStyle w:val="BodyText"/>
        <w:numPr>
          <w:ilvl w:val="1"/>
          <w:numId w:val="43"/>
        </w:numPr>
        <w:spacing w:after="0"/>
        <w:ind w:hanging="357"/>
        <w:rPr>
          <w:rFonts w:asciiTheme="minorHAnsi" w:hAnsiTheme="minorHAnsi" w:cstheme="minorHAnsi"/>
          <w:szCs w:val="24"/>
        </w:rPr>
      </w:pPr>
      <w:r w:rsidRPr="00FE77CF">
        <w:rPr>
          <w:rFonts w:asciiTheme="minorHAnsi" w:hAnsiTheme="minorHAnsi" w:cstheme="minorHAnsi"/>
          <w:szCs w:val="24"/>
        </w:rPr>
        <w:t>An appropriate model of distribution system with distinct dynamics of the IBR for transmission system stability studies, i.e., interaction of TSO/DSO in the stability boundary, will be developed.</w:t>
      </w:r>
    </w:p>
    <w:p w14:paraId="30E0E23E" w14:textId="77777777" w:rsidR="00714A20" w:rsidRPr="00E27D3B" w:rsidRDefault="00714A20" w:rsidP="00CD4F3A">
      <w:pPr>
        <w:pStyle w:val="BodyText"/>
        <w:spacing w:line="240" w:lineRule="auto"/>
        <w:sectPr w:rsidR="00714A20" w:rsidRPr="00E27D3B" w:rsidSect="00382421">
          <w:footerReference w:type="even" r:id="rId151"/>
          <w:footerReference w:type="default" r:id="rId152"/>
          <w:pgSz w:w="11906" w:h="16838" w:code="9"/>
          <w:pgMar w:top="1134" w:right="1134" w:bottom="1134" w:left="1134" w:header="510" w:footer="624" w:gutter="0"/>
          <w:cols w:space="284"/>
          <w:docGrid w:linePitch="360"/>
        </w:sectPr>
      </w:pPr>
    </w:p>
    <w:p w14:paraId="6A917110" w14:textId="10645D14" w:rsidR="009634D2" w:rsidRDefault="009634D2" w:rsidP="00CD4F3A">
      <w:pPr>
        <w:pStyle w:val="Heading9"/>
        <w:numPr>
          <w:ilvl w:val="0"/>
          <w:numId w:val="0"/>
        </w:numPr>
      </w:pPr>
      <w:bookmarkStart w:id="467" w:name="_Toc223627399"/>
      <w:bookmarkStart w:id="468" w:name="_Ref224098953"/>
      <w:bookmarkStart w:id="469" w:name="_Toc315694432"/>
      <w:bookmarkStart w:id="470" w:name="_Toc233734343"/>
      <w:r w:rsidRPr="00E27D3B">
        <w:lastRenderedPageBreak/>
        <w:t>Appendix</w:t>
      </w:r>
      <w:bookmarkEnd w:id="467"/>
      <w:bookmarkEnd w:id="470"/>
    </w:p>
    <w:p w14:paraId="68240FD5" w14:textId="1FB677A0" w:rsidR="003424D3" w:rsidRPr="006605A3" w:rsidRDefault="00652C28" w:rsidP="00CD4F3A">
      <w:pPr>
        <w:pStyle w:val="AppendixHeading2"/>
        <w:ind w:left="1134" w:hanging="1134"/>
        <w:jc w:val="both"/>
      </w:pPr>
      <w:r>
        <w:t>Additional Data and Results</w:t>
      </w:r>
    </w:p>
    <w:p w14:paraId="4A803A3E" w14:textId="6BEFD794" w:rsidR="003424D3" w:rsidRPr="006605A3" w:rsidRDefault="003424D3" w:rsidP="00CD4F3A">
      <w:pPr>
        <w:pStyle w:val="Caption"/>
        <w:spacing w:line="240" w:lineRule="auto"/>
        <w:jc w:val="both"/>
      </w:pPr>
      <w:bookmarkStart w:id="471" w:name="_Toc233728984"/>
      <w:proofErr w:type="spellStart"/>
      <w:r w:rsidRPr="006605A3">
        <w:t>Apx</w:t>
      </w:r>
      <w:proofErr w:type="spellEnd"/>
      <w:r w:rsidRPr="006605A3">
        <w:t xml:space="preserve"> Table </w:t>
      </w:r>
      <w:fldSimple w:instr=" SEQ Apx_Table \* ARABIC \s 9 ">
        <w:r w:rsidRPr="006605A3">
          <w:rPr>
            <w:noProof/>
          </w:rPr>
          <w:t>1</w:t>
        </w:r>
      </w:fldSimple>
      <w:r w:rsidR="0080398A">
        <w:rPr>
          <w:noProof/>
        </w:rPr>
        <w:t>:</w:t>
      </w:r>
      <w:r w:rsidRPr="006605A3">
        <w:t xml:space="preserve"> Power system dynamic voltage signature of kth bus.</w:t>
      </w:r>
      <w:bookmarkEnd w:id="471"/>
    </w:p>
    <w:tbl>
      <w:tblPr>
        <w:tblStyle w:val="TableCSIRO"/>
        <w:tblW w:w="0" w:type="auto"/>
        <w:tblLook w:val="04A0" w:firstRow="1" w:lastRow="0" w:firstColumn="1" w:lastColumn="0" w:noHBand="0" w:noVBand="1"/>
      </w:tblPr>
      <w:tblGrid>
        <w:gridCol w:w="704"/>
        <w:gridCol w:w="692"/>
        <w:gridCol w:w="5528"/>
        <w:gridCol w:w="2478"/>
      </w:tblGrid>
      <w:tr w:rsidR="003424D3" w:rsidRPr="006605A3" w14:paraId="10322F53" w14:textId="77777777" w:rsidTr="006B6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472A86" w14:textId="77777777" w:rsidR="003424D3" w:rsidRPr="006605A3" w:rsidRDefault="00984B23" w:rsidP="00CD4F3A">
            <w:pPr>
              <w:ind w:right="-78"/>
              <w:jc w:val="both"/>
              <w:rPr>
                <w:rFonts w:asciiTheme="minorHAnsi" w:hAnsiTheme="minorHAnsi" w:cstheme="minorHAnsi"/>
                <w:color w:val="FFFFFF" w:themeColor="background1"/>
                <w:sz w:val="16"/>
                <w:szCs w:val="16"/>
              </w:rPr>
            </w:pPr>
            <m:oMathPara>
              <m:oMath>
                <m:sSub>
                  <m:sSubPr>
                    <m:ctrlPr>
                      <w:rPr>
                        <w:rFonts w:ascii="Cambria Math" w:hAnsi="Cambria Math" w:cstheme="minorHAnsi"/>
                        <w:color w:val="FFFFFF" w:themeColor="background1"/>
                        <w:sz w:val="16"/>
                        <w:szCs w:val="16"/>
                      </w:rPr>
                    </m:ctrlPr>
                  </m:sSubPr>
                  <m:e>
                    <m:r>
                      <m:rPr>
                        <m:sty m:val="b"/>
                      </m:rPr>
                      <w:rPr>
                        <w:rFonts w:ascii="Cambria Math" w:hAnsi="Cambria Math" w:cstheme="minorHAnsi"/>
                        <w:color w:val="FFFFFF" w:themeColor="background1"/>
                        <w:sz w:val="16"/>
                        <w:szCs w:val="16"/>
                      </w:rPr>
                      <m:t>STVM</m:t>
                    </m:r>
                    <m:ctrlPr>
                      <w:rPr>
                        <w:rFonts w:ascii="Cambria Math" w:hAnsi="Cambria Math" w:cstheme="minorHAnsi"/>
                        <w:color w:val="FFFFFF" w:themeColor="background1"/>
                        <w:sz w:val="16"/>
                        <w:szCs w:val="16"/>
                        <w:lang w:val="en-US"/>
                      </w:rPr>
                    </m:ctrlPr>
                  </m:e>
                  <m:sub>
                    <m:r>
                      <m:rPr>
                        <m:sty m:val="b"/>
                      </m:rPr>
                      <w:rPr>
                        <w:rFonts w:ascii="Cambria Math" w:hAnsi="Cambria Math" w:cstheme="minorHAnsi"/>
                        <w:color w:val="FFFFFF" w:themeColor="background1"/>
                        <w:sz w:val="16"/>
                        <w:szCs w:val="16"/>
                      </w:rPr>
                      <m:t>K</m:t>
                    </m:r>
                  </m:sub>
                </m:sSub>
              </m:oMath>
            </m:oMathPara>
          </w:p>
        </w:tc>
        <w:tc>
          <w:tcPr>
            <w:tcW w:w="692" w:type="dxa"/>
          </w:tcPr>
          <w:p w14:paraId="293733E4" w14:textId="77777777" w:rsidR="003424D3" w:rsidRPr="006605A3" w:rsidRDefault="00984B23" w:rsidP="00CD4F3A">
            <w:pPr>
              <w:ind w:right="-78"/>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m:oMathPara>
              <m:oMath>
                <m:sSub>
                  <m:sSubPr>
                    <m:ctrlPr>
                      <w:rPr>
                        <w:rFonts w:ascii="Cambria Math" w:hAnsi="Cambria Math" w:cstheme="minorHAnsi"/>
                        <w:color w:val="FFFFFF" w:themeColor="background1"/>
                        <w:sz w:val="16"/>
                        <w:szCs w:val="16"/>
                      </w:rPr>
                    </m:ctrlPr>
                  </m:sSubPr>
                  <m:e>
                    <m:r>
                      <m:rPr>
                        <m:sty m:val="b"/>
                      </m:rPr>
                      <w:rPr>
                        <w:rFonts w:ascii="Cambria Math" w:hAnsi="Cambria Math" w:cstheme="minorHAnsi"/>
                        <w:color w:val="FFFFFF" w:themeColor="background1"/>
                        <w:sz w:val="16"/>
                        <w:szCs w:val="16"/>
                      </w:rPr>
                      <m:t>LTVM</m:t>
                    </m:r>
                  </m:e>
                  <m:sub>
                    <m:r>
                      <m:rPr>
                        <m:sty m:val="b"/>
                      </m:rPr>
                      <w:rPr>
                        <w:rFonts w:ascii="Cambria Math" w:hAnsi="Cambria Math" w:cstheme="minorHAnsi"/>
                        <w:color w:val="FFFFFF" w:themeColor="background1"/>
                        <w:sz w:val="16"/>
                        <w:szCs w:val="16"/>
                      </w:rPr>
                      <m:t>K</m:t>
                    </m:r>
                  </m:sub>
                </m:sSub>
              </m:oMath>
            </m:oMathPara>
          </w:p>
        </w:tc>
        <w:tc>
          <w:tcPr>
            <w:tcW w:w="5528" w:type="dxa"/>
          </w:tcPr>
          <w:p w14:paraId="45CE8A2B" w14:textId="77777777" w:rsidR="003424D3" w:rsidRPr="006605A3" w:rsidRDefault="003424D3" w:rsidP="00CD4F3A">
            <w:pPr>
              <w:ind w:left="-75" w:right="-22"/>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6605A3">
              <w:rPr>
                <w:rFonts w:cstheme="minorHAnsi"/>
                <w:color w:val="FFFFFF" w:themeColor="background1"/>
                <w:sz w:val="16"/>
                <w:szCs w:val="16"/>
              </w:rPr>
              <w:t>DYNAMIC SIGNATURE</w:t>
            </w:r>
          </w:p>
        </w:tc>
        <w:tc>
          <w:tcPr>
            <w:tcW w:w="2478" w:type="dxa"/>
          </w:tcPr>
          <w:p w14:paraId="1F977362" w14:textId="77777777" w:rsidR="003424D3" w:rsidRPr="006605A3" w:rsidRDefault="003424D3" w:rsidP="00CD4F3A">
            <w:pPr>
              <w:ind w:left="426" w:right="-22"/>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6605A3">
              <w:rPr>
                <w:rFonts w:cstheme="minorHAnsi"/>
                <w:color w:val="FFFFFF" w:themeColor="background1"/>
                <w:sz w:val="16"/>
                <w:szCs w:val="16"/>
              </w:rPr>
              <w:t>COMMENTS</w:t>
            </w:r>
          </w:p>
        </w:tc>
      </w:tr>
      <w:tr w:rsidR="003424D3" w:rsidRPr="006605A3" w14:paraId="1A884EDD" w14:textId="77777777" w:rsidTr="006B6AD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704" w:type="dxa"/>
          </w:tcPr>
          <w:p w14:paraId="704E49E2" w14:textId="77777777" w:rsidR="003424D3" w:rsidRPr="006605A3" w:rsidRDefault="003424D3" w:rsidP="00CD4F3A">
            <w:pPr>
              <w:ind w:right="-78"/>
              <w:jc w:val="both"/>
              <w:rPr>
                <w:b w:val="0"/>
                <w:bCs w:val="0"/>
                <w:sz w:val="16"/>
                <w:szCs w:val="16"/>
              </w:rPr>
            </w:pPr>
            <w:r w:rsidRPr="006605A3">
              <w:rPr>
                <w:b w:val="0"/>
                <w:bCs w:val="0"/>
                <w:sz w:val="16"/>
                <w:szCs w:val="16"/>
              </w:rPr>
              <w:t>+1</w:t>
            </w:r>
          </w:p>
        </w:tc>
        <w:tc>
          <w:tcPr>
            <w:tcW w:w="692" w:type="dxa"/>
          </w:tcPr>
          <w:p w14:paraId="06754EED" w14:textId="77777777" w:rsidR="003424D3" w:rsidRPr="006605A3" w:rsidRDefault="003424D3" w:rsidP="00CD4F3A">
            <w:pPr>
              <w:ind w:right="-78"/>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+1</w:t>
            </w:r>
          </w:p>
        </w:tc>
        <w:tc>
          <w:tcPr>
            <w:tcW w:w="5528" w:type="dxa"/>
          </w:tcPr>
          <w:p w14:paraId="5D619C42" w14:textId="77777777" w:rsidR="003424D3" w:rsidRPr="006605A3" w:rsidRDefault="003424D3" w:rsidP="00CD4F3A">
            <w:pPr>
              <w:ind w:left="-75"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Voltage recovers to its pre-fault values</w:t>
            </w:r>
          </w:p>
        </w:tc>
        <w:tc>
          <w:tcPr>
            <w:tcW w:w="2478" w:type="dxa"/>
          </w:tcPr>
          <w:p w14:paraId="04B478BB" w14:textId="77777777" w:rsidR="003424D3" w:rsidRPr="006605A3" w:rsidRDefault="003424D3" w:rsidP="00CD4F3A">
            <w:pPr>
              <w:ind w:left="-81"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 xml:space="preserve">Short-term voltage stable (STVS) and long-term voltage stable (LTVS) </w:t>
            </w:r>
          </w:p>
        </w:tc>
      </w:tr>
      <w:tr w:rsidR="003424D3" w:rsidRPr="006605A3" w14:paraId="15A9604A" w14:textId="77777777" w:rsidTr="006B6ADA">
        <w:trPr>
          <w:trHeight w:val="563"/>
        </w:trPr>
        <w:tc>
          <w:tcPr>
            <w:cnfStyle w:val="001000000000" w:firstRow="0" w:lastRow="0" w:firstColumn="1" w:lastColumn="0" w:oddVBand="0" w:evenVBand="0" w:oddHBand="0" w:evenHBand="0" w:firstRowFirstColumn="0" w:firstRowLastColumn="0" w:lastRowFirstColumn="0" w:lastRowLastColumn="0"/>
            <w:tcW w:w="704" w:type="dxa"/>
          </w:tcPr>
          <w:p w14:paraId="7A463F36"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73F3ED08" w14:textId="77777777" w:rsidR="003424D3" w:rsidRPr="006605A3" w:rsidRDefault="003424D3" w:rsidP="00CD4F3A">
            <w:pPr>
              <w:ind w:right="-78"/>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+1</w:t>
            </w:r>
          </w:p>
        </w:tc>
        <w:tc>
          <w:tcPr>
            <w:tcW w:w="5528" w:type="dxa"/>
          </w:tcPr>
          <w:p w14:paraId="6FD933D4" w14:textId="77777777" w:rsidR="003424D3" w:rsidRPr="006605A3" w:rsidRDefault="003424D3" w:rsidP="00CD4F3A">
            <w:pPr>
              <w:ind w:left="-75"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 xml:space="preserve">Short-term voltage within the WECC criterion and </w:t>
            </w:r>
          </w:p>
          <w:p w14:paraId="7AA649D1" w14:textId="77777777" w:rsidR="003424D3" w:rsidRPr="006605A3" w:rsidRDefault="003424D3" w:rsidP="00CD4F3A">
            <w:pPr>
              <w:ind w:left="-75"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long-term voltage recovers to its pre-fault values</w:t>
            </w:r>
          </w:p>
        </w:tc>
        <w:tc>
          <w:tcPr>
            <w:tcW w:w="2478" w:type="dxa"/>
          </w:tcPr>
          <w:p w14:paraId="586AD63A" w14:textId="77777777" w:rsidR="003424D3" w:rsidRPr="006605A3" w:rsidRDefault="003424D3" w:rsidP="00CD4F3A">
            <w:pPr>
              <w:ind w:left="-81"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STVS and LTVS</w:t>
            </w:r>
          </w:p>
        </w:tc>
      </w:tr>
      <w:tr w:rsidR="003424D3" w:rsidRPr="006605A3" w14:paraId="309F1B86" w14:textId="77777777" w:rsidTr="006B6AD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04" w:type="dxa"/>
          </w:tcPr>
          <w:p w14:paraId="1DDFBBF8" w14:textId="77777777" w:rsidR="003424D3" w:rsidRPr="006605A3" w:rsidRDefault="003424D3" w:rsidP="00CD4F3A">
            <w:pPr>
              <w:ind w:right="-78"/>
              <w:jc w:val="both"/>
              <w:rPr>
                <w:b w:val="0"/>
                <w:bCs w:val="0"/>
                <w:sz w:val="16"/>
                <w:szCs w:val="16"/>
              </w:rPr>
            </w:pPr>
            <w:r w:rsidRPr="006605A3">
              <w:rPr>
                <w:b w:val="0"/>
                <w:bCs w:val="0"/>
                <w:sz w:val="16"/>
                <w:szCs w:val="16"/>
              </w:rPr>
              <w:t>+1</w:t>
            </w:r>
          </w:p>
        </w:tc>
        <w:tc>
          <w:tcPr>
            <w:tcW w:w="692" w:type="dxa"/>
          </w:tcPr>
          <w:p w14:paraId="2B3ADEB4" w14:textId="77777777" w:rsidR="003424D3" w:rsidRPr="006605A3" w:rsidRDefault="003424D3" w:rsidP="00CD4F3A">
            <w:pPr>
              <w:ind w:right="-78"/>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0C7E6F6B" w14:textId="77777777" w:rsidR="003424D3" w:rsidRPr="006605A3" w:rsidRDefault="003424D3" w:rsidP="00CD4F3A">
            <w:pPr>
              <w:ind w:left="-75"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Short-term voltage recovers to its pre-fault values, and long-term voltage within the WECC criterion</w:t>
            </w:r>
          </w:p>
        </w:tc>
        <w:tc>
          <w:tcPr>
            <w:tcW w:w="2478" w:type="dxa"/>
          </w:tcPr>
          <w:p w14:paraId="69850F0B" w14:textId="77777777" w:rsidR="003424D3" w:rsidRPr="006605A3" w:rsidRDefault="003424D3" w:rsidP="00CD4F3A">
            <w:pPr>
              <w:ind w:left="-81"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STVS and LTVS</w:t>
            </w:r>
          </w:p>
        </w:tc>
      </w:tr>
      <w:tr w:rsidR="003424D3" w:rsidRPr="006605A3" w14:paraId="0F33D753" w14:textId="77777777" w:rsidTr="006B6ADA">
        <w:tc>
          <w:tcPr>
            <w:cnfStyle w:val="001000000000" w:firstRow="0" w:lastRow="0" w:firstColumn="1" w:lastColumn="0" w:oddVBand="0" w:evenVBand="0" w:oddHBand="0" w:evenHBand="0" w:firstRowFirstColumn="0" w:firstRowLastColumn="0" w:lastRowFirstColumn="0" w:lastRowLastColumn="0"/>
            <w:tcW w:w="704" w:type="dxa"/>
          </w:tcPr>
          <w:p w14:paraId="62EFA730"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1EEDCF88" w14:textId="77777777" w:rsidR="003424D3" w:rsidRPr="006605A3" w:rsidRDefault="003424D3" w:rsidP="00CD4F3A">
            <w:pPr>
              <w:ind w:right="-78"/>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243F47E2" w14:textId="77777777" w:rsidR="003424D3" w:rsidRPr="006605A3" w:rsidRDefault="003424D3" w:rsidP="00CD4F3A">
            <w:pPr>
              <w:ind w:left="-75"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Short-term voltage and long-term voltage within the WECC criterion</w:t>
            </w:r>
          </w:p>
        </w:tc>
        <w:tc>
          <w:tcPr>
            <w:tcW w:w="2478" w:type="dxa"/>
          </w:tcPr>
          <w:p w14:paraId="2AB57AC6" w14:textId="77777777" w:rsidR="003424D3" w:rsidRPr="006605A3" w:rsidRDefault="003424D3" w:rsidP="00CD4F3A">
            <w:pPr>
              <w:ind w:left="-81"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STVS and LTVS</w:t>
            </w:r>
          </w:p>
        </w:tc>
      </w:tr>
      <w:tr w:rsidR="003424D3" w:rsidRPr="006605A3" w14:paraId="7D4FD0F1" w14:textId="77777777" w:rsidTr="006B6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2D83303" w14:textId="77777777" w:rsidR="003424D3" w:rsidRPr="006605A3" w:rsidRDefault="003424D3" w:rsidP="00CD4F3A">
            <w:pPr>
              <w:ind w:right="-78"/>
              <w:jc w:val="both"/>
              <w:rPr>
                <w:b w:val="0"/>
                <w:bCs w:val="0"/>
                <w:sz w:val="16"/>
                <w:szCs w:val="16"/>
              </w:rPr>
            </w:pPr>
            <w:r w:rsidRPr="006605A3">
              <w:rPr>
                <w:b w:val="0"/>
                <w:bCs w:val="0"/>
                <w:sz w:val="16"/>
                <w:szCs w:val="16"/>
              </w:rPr>
              <w:t>+1</w:t>
            </w:r>
          </w:p>
        </w:tc>
        <w:tc>
          <w:tcPr>
            <w:tcW w:w="692" w:type="dxa"/>
          </w:tcPr>
          <w:p w14:paraId="4B29EC35" w14:textId="77777777" w:rsidR="003424D3" w:rsidRPr="006605A3" w:rsidRDefault="003424D3" w:rsidP="00CD4F3A">
            <w:pPr>
              <w:ind w:right="-78"/>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2257793C" w14:textId="77777777" w:rsidR="003424D3" w:rsidRPr="006605A3" w:rsidRDefault="003424D3" w:rsidP="00CD4F3A">
            <w:pPr>
              <w:ind w:left="-75"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Short-term voltage recovers to its pre-fault values, but long-term voltage violates the WECC criterion</w:t>
            </w:r>
          </w:p>
        </w:tc>
        <w:tc>
          <w:tcPr>
            <w:tcW w:w="2478" w:type="dxa"/>
          </w:tcPr>
          <w:p w14:paraId="10D2AD52" w14:textId="77777777" w:rsidR="003424D3" w:rsidRPr="006605A3" w:rsidRDefault="003424D3" w:rsidP="00CD4F3A">
            <w:pPr>
              <w:ind w:left="-81"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 xml:space="preserve">STVS and long-term voltage unstable (LTVU) </w:t>
            </w:r>
          </w:p>
        </w:tc>
      </w:tr>
      <w:tr w:rsidR="003424D3" w:rsidRPr="006605A3" w14:paraId="450D6DB2" w14:textId="77777777" w:rsidTr="006B6ADA">
        <w:tc>
          <w:tcPr>
            <w:cnfStyle w:val="001000000000" w:firstRow="0" w:lastRow="0" w:firstColumn="1" w:lastColumn="0" w:oddVBand="0" w:evenVBand="0" w:oddHBand="0" w:evenHBand="0" w:firstRowFirstColumn="0" w:firstRowLastColumn="0" w:lastRowFirstColumn="0" w:lastRowLastColumn="0"/>
            <w:tcW w:w="704" w:type="dxa"/>
          </w:tcPr>
          <w:p w14:paraId="7A0FA98E"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45E89E1A" w14:textId="77777777" w:rsidR="003424D3" w:rsidRPr="006605A3" w:rsidRDefault="003424D3" w:rsidP="00CD4F3A">
            <w:pPr>
              <w:ind w:right="-78"/>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+1</w:t>
            </w:r>
          </w:p>
        </w:tc>
        <w:tc>
          <w:tcPr>
            <w:tcW w:w="5528" w:type="dxa"/>
          </w:tcPr>
          <w:p w14:paraId="08062C7B" w14:textId="77777777" w:rsidR="003424D3" w:rsidRPr="006605A3" w:rsidRDefault="003424D3" w:rsidP="00CD4F3A">
            <w:pPr>
              <w:ind w:left="-75"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Short-term voltage violates the WECC criterion, but long-term voltage recovers to its pre-fault values</w:t>
            </w:r>
          </w:p>
        </w:tc>
        <w:tc>
          <w:tcPr>
            <w:tcW w:w="2478" w:type="dxa"/>
          </w:tcPr>
          <w:p w14:paraId="6FE526C6" w14:textId="77777777" w:rsidR="003424D3" w:rsidRPr="006605A3" w:rsidRDefault="003424D3" w:rsidP="00CD4F3A">
            <w:pPr>
              <w:ind w:left="-81"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Short-term voltage unstable (STVU) and LTVS</w:t>
            </w:r>
          </w:p>
        </w:tc>
      </w:tr>
      <w:tr w:rsidR="003424D3" w:rsidRPr="006605A3" w14:paraId="69F47361" w14:textId="77777777" w:rsidTr="006B6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F361191"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484CC197" w14:textId="77777777" w:rsidR="003424D3" w:rsidRPr="006605A3" w:rsidRDefault="003424D3" w:rsidP="00CD4F3A">
            <w:pPr>
              <w:ind w:right="-78"/>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43AB967F" w14:textId="77777777" w:rsidR="003424D3" w:rsidRPr="006605A3" w:rsidRDefault="003424D3" w:rsidP="00CD4F3A">
            <w:pPr>
              <w:ind w:left="-75"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Short-term voltage violates the WECC criterion, but long-term voltage within the WECC criterion</w:t>
            </w:r>
          </w:p>
        </w:tc>
        <w:tc>
          <w:tcPr>
            <w:tcW w:w="2478" w:type="dxa"/>
          </w:tcPr>
          <w:p w14:paraId="28B95B68" w14:textId="77777777" w:rsidR="003424D3" w:rsidRPr="006605A3" w:rsidRDefault="003424D3" w:rsidP="00CD4F3A">
            <w:pPr>
              <w:ind w:left="-81"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STVU and LTVS</w:t>
            </w:r>
          </w:p>
        </w:tc>
      </w:tr>
      <w:tr w:rsidR="003424D3" w:rsidRPr="006605A3" w14:paraId="04DE7DFC" w14:textId="77777777" w:rsidTr="006B6ADA">
        <w:tc>
          <w:tcPr>
            <w:cnfStyle w:val="001000000000" w:firstRow="0" w:lastRow="0" w:firstColumn="1" w:lastColumn="0" w:oddVBand="0" w:evenVBand="0" w:oddHBand="0" w:evenHBand="0" w:firstRowFirstColumn="0" w:firstRowLastColumn="0" w:lastRowFirstColumn="0" w:lastRowLastColumn="0"/>
            <w:tcW w:w="704" w:type="dxa"/>
          </w:tcPr>
          <w:p w14:paraId="61FB3ED5"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7EA64F1C" w14:textId="77777777" w:rsidR="003424D3" w:rsidRPr="006605A3" w:rsidRDefault="003424D3" w:rsidP="00CD4F3A">
            <w:pPr>
              <w:ind w:right="-78"/>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4D35EE4A" w14:textId="77777777" w:rsidR="003424D3" w:rsidRPr="006605A3" w:rsidRDefault="003424D3" w:rsidP="00CD4F3A">
            <w:pPr>
              <w:ind w:left="-75"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Short-term voltage within the WECC criterion, but long-term voltage violates the WECC criterion</w:t>
            </w:r>
          </w:p>
        </w:tc>
        <w:tc>
          <w:tcPr>
            <w:tcW w:w="2478" w:type="dxa"/>
          </w:tcPr>
          <w:p w14:paraId="2903764F" w14:textId="77777777" w:rsidR="003424D3" w:rsidRPr="006605A3" w:rsidRDefault="003424D3" w:rsidP="00CD4F3A">
            <w:pPr>
              <w:ind w:left="-81" w:right="-22"/>
              <w:jc w:val="both"/>
              <w:cnfStyle w:val="000000000000" w:firstRow="0" w:lastRow="0" w:firstColumn="0" w:lastColumn="0" w:oddVBand="0" w:evenVBand="0" w:oddHBand="0" w:evenHBand="0" w:firstRowFirstColumn="0" w:firstRowLastColumn="0" w:lastRowFirstColumn="0" w:lastRowLastColumn="0"/>
              <w:rPr>
                <w:sz w:val="16"/>
                <w:szCs w:val="16"/>
              </w:rPr>
            </w:pPr>
            <w:r w:rsidRPr="006605A3">
              <w:rPr>
                <w:sz w:val="16"/>
                <w:szCs w:val="16"/>
              </w:rPr>
              <w:t>STVS and LTVU</w:t>
            </w:r>
          </w:p>
        </w:tc>
      </w:tr>
      <w:tr w:rsidR="003424D3" w:rsidRPr="006605A3" w14:paraId="3B978071" w14:textId="77777777" w:rsidTr="006B6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693D262" w14:textId="77777777" w:rsidR="003424D3" w:rsidRPr="006605A3" w:rsidRDefault="003424D3" w:rsidP="00CD4F3A">
            <w:pPr>
              <w:ind w:right="-78"/>
              <w:jc w:val="both"/>
              <w:rPr>
                <w:b w:val="0"/>
                <w:bCs w:val="0"/>
                <w:sz w:val="16"/>
                <w:szCs w:val="16"/>
              </w:rPr>
            </w:pPr>
            <w:r w:rsidRPr="006605A3">
              <w:rPr>
                <w:b w:val="0"/>
                <w:bCs w:val="0"/>
                <w:sz w:val="16"/>
                <w:szCs w:val="16"/>
              </w:rPr>
              <w:t>-</w:t>
            </w:r>
            <w:proofErr w:type="spellStart"/>
            <w:r w:rsidRPr="006605A3">
              <w:rPr>
                <w:b w:val="0"/>
                <w:bCs w:val="0"/>
                <w:sz w:val="16"/>
                <w:szCs w:val="16"/>
              </w:rPr>
              <w:t>ve</w:t>
            </w:r>
            <w:proofErr w:type="spellEnd"/>
          </w:p>
        </w:tc>
        <w:tc>
          <w:tcPr>
            <w:tcW w:w="692" w:type="dxa"/>
          </w:tcPr>
          <w:p w14:paraId="4FFAEF63" w14:textId="77777777" w:rsidR="003424D3" w:rsidRPr="006605A3" w:rsidRDefault="003424D3" w:rsidP="00CD4F3A">
            <w:pPr>
              <w:ind w:right="-78"/>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w:t>
            </w:r>
            <w:proofErr w:type="spellStart"/>
            <w:r w:rsidRPr="006605A3">
              <w:rPr>
                <w:sz w:val="16"/>
                <w:szCs w:val="16"/>
              </w:rPr>
              <w:t>ve</w:t>
            </w:r>
            <w:proofErr w:type="spellEnd"/>
          </w:p>
        </w:tc>
        <w:tc>
          <w:tcPr>
            <w:tcW w:w="5528" w:type="dxa"/>
          </w:tcPr>
          <w:p w14:paraId="68BE977B" w14:textId="77777777" w:rsidR="003424D3" w:rsidRPr="006605A3" w:rsidRDefault="003424D3" w:rsidP="00CD4F3A">
            <w:pPr>
              <w:ind w:left="-75"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Short-term voltage and long-term voltage violate the WECC criterion</w:t>
            </w:r>
          </w:p>
        </w:tc>
        <w:tc>
          <w:tcPr>
            <w:tcW w:w="2478" w:type="dxa"/>
          </w:tcPr>
          <w:p w14:paraId="72C646D0" w14:textId="77777777" w:rsidR="003424D3" w:rsidRPr="006605A3" w:rsidRDefault="003424D3" w:rsidP="00CD4F3A">
            <w:pPr>
              <w:ind w:left="-81" w:right="-22"/>
              <w:jc w:val="both"/>
              <w:cnfStyle w:val="000000100000" w:firstRow="0" w:lastRow="0" w:firstColumn="0" w:lastColumn="0" w:oddVBand="0" w:evenVBand="0" w:oddHBand="1" w:evenHBand="0" w:firstRowFirstColumn="0" w:firstRowLastColumn="0" w:lastRowFirstColumn="0" w:lastRowLastColumn="0"/>
              <w:rPr>
                <w:sz w:val="16"/>
                <w:szCs w:val="16"/>
              </w:rPr>
            </w:pPr>
            <w:r w:rsidRPr="006605A3">
              <w:rPr>
                <w:sz w:val="16"/>
                <w:szCs w:val="16"/>
              </w:rPr>
              <w:t>STVU and LTVU</w:t>
            </w:r>
          </w:p>
        </w:tc>
      </w:tr>
    </w:tbl>
    <w:p w14:paraId="79FDB4C0" w14:textId="77777777" w:rsidR="00FE59AE" w:rsidRDefault="00FE59AE" w:rsidP="00CD4F3A">
      <w:pPr>
        <w:pStyle w:val="Caption"/>
        <w:spacing w:line="240" w:lineRule="auto"/>
        <w:jc w:val="both"/>
      </w:pPr>
    </w:p>
    <w:p w14:paraId="7A5C29B3" w14:textId="65C99E0F" w:rsidR="00FE59AE" w:rsidRPr="006605A3" w:rsidRDefault="00FE59AE" w:rsidP="00CD4F3A">
      <w:pPr>
        <w:pStyle w:val="Caption"/>
        <w:spacing w:line="240" w:lineRule="auto"/>
        <w:jc w:val="both"/>
      </w:pPr>
      <w:bookmarkStart w:id="472" w:name="_Toc233728985"/>
      <w:proofErr w:type="spellStart"/>
      <w:r w:rsidRPr="006605A3">
        <w:t>Apx</w:t>
      </w:r>
      <w:proofErr w:type="spellEnd"/>
      <w:r w:rsidRPr="006605A3">
        <w:t xml:space="preserve"> Table </w:t>
      </w:r>
      <w:fldSimple w:instr=" SEQ Apx_Table \* ARABIC \s 9 ">
        <w:r>
          <w:rPr>
            <w:noProof/>
          </w:rPr>
          <w:t>2</w:t>
        </w:r>
      </w:fldSimple>
      <w:r w:rsidR="0080398A">
        <w:rPr>
          <w:noProof/>
        </w:rPr>
        <w:t>:</w:t>
      </w:r>
      <w:r w:rsidRPr="006605A3">
        <w:t xml:space="preserve"> Pseudocode of the entire calculation process of </w:t>
      </w:r>
      <m:oMath>
        <m:sPre>
          <m:sPrePr>
            <m:ctrlPr>
              <w:rPr>
                <w:rFonts w:ascii="Cambria Math" w:hAnsi="Cambria Math"/>
                <w:lang w:val="en-US"/>
              </w:rPr>
            </m:ctrlPr>
          </m:sPrePr>
          <m:sub>
            <m:r>
              <m:rPr>
                <m:sty m:val="b"/>
              </m:rPr>
              <w:rPr>
                <w:rFonts w:ascii="Cambria Math" w:hAnsi="Cambria Math"/>
                <w:lang w:val="en-US"/>
              </w:rPr>
              <m:t>sys</m:t>
            </m:r>
          </m:sub>
          <m:sup>
            <m:r>
              <m:rPr>
                <m:sty m:val="bi"/>
              </m:rPr>
              <w:rPr>
                <w:rFonts w:ascii="Cambria Math" w:hAnsi="Cambria Math"/>
                <w:lang w:val="en-US"/>
              </w:rPr>
              <m:t>k</m:t>
            </m:r>
          </m:sup>
          <m:e>
            <m:r>
              <m:rPr>
                <m:sty m:val="bi"/>
              </m:rPr>
              <w:rPr>
                <w:rFonts w:ascii="Cambria Math" w:hAnsi="Cambria Math"/>
              </w:rPr>
              <m:t>DVRI</m:t>
            </m:r>
          </m:e>
        </m:sPre>
      </m:oMath>
      <w:r w:rsidRPr="006605A3">
        <w:rPr>
          <w:lang w:val="en-US"/>
        </w:rPr>
        <w:t>.</w:t>
      </w:r>
      <w:bookmarkEnd w:id="472"/>
    </w:p>
    <w:p w14:paraId="00A90C98" w14:textId="67EF5DB1" w:rsidR="003424D3" w:rsidRPr="006605A3" w:rsidRDefault="003424D3" w:rsidP="00CD4F3A">
      <w:pPr>
        <w:pStyle w:val="Caption"/>
        <w:spacing w:line="240" w:lineRule="auto"/>
        <w:jc w:val="both"/>
      </w:pPr>
      <w:r w:rsidRPr="006605A3">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424D3" w:rsidRPr="006605A3" w14:paraId="0366A933" w14:textId="77777777" w:rsidTr="006B6ADA">
        <w:trPr>
          <w:jc w:val="center"/>
        </w:trPr>
        <w:tc>
          <w:tcPr>
            <w:tcW w:w="9638" w:type="dxa"/>
            <w:shd w:val="clear" w:color="auto" w:fill="000000" w:themeFill="text1"/>
          </w:tcPr>
          <w:p w14:paraId="7054E1C8" w14:textId="77777777" w:rsidR="003424D3" w:rsidRPr="006605A3" w:rsidRDefault="003424D3" w:rsidP="00CD4F3A">
            <w:pPr>
              <w:ind w:left="33" w:right="-22"/>
              <w:jc w:val="both"/>
              <w:rPr>
                <w:sz w:val="16"/>
                <w:szCs w:val="16"/>
              </w:rPr>
            </w:pPr>
            <w:r w:rsidRPr="006605A3">
              <w:rPr>
                <w:color w:val="FFFFFF" w:themeColor="background1"/>
                <w:sz w:val="16"/>
                <w:szCs w:val="16"/>
              </w:rPr>
              <w:t>Step-1: Identification of an oscillatory and non-oscillatory voltage waveform</w:t>
            </w:r>
          </w:p>
        </w:tc>
      </w:tr>
      <w:tr w:rsidR="003424D3" w:rsidRPr="006605A3" w14:paraId="691C128A" w14:textId="77777777" w:rsidTr="006B6ADA">
        <w:trPr>
          <w:jc w:val="center"/>
        </w:trPr>
        <w:tc>
          <w:tcPr>
            <w:tcW w:w="9638" w:type="dxa"/>
          </w:tcPr>
          <w:p w14:paraId="1475CBFE" w14:textId="77777777" w:rsidR="003424D3" w:rsidRPr="006605A3" w:rsidRDefault="003424D3" w:rsidP="00CD4F3A">
            <w:pPr>
              <w:ind w:right="-22"/>
              <w:jc w:val="both"/>
              <w:rPr>
                <w:sz w:val="16"/>
                <w:szCs w:val="16"/>
              </w:rPr>
            </w:pPr>
            <w:r w:rsidRPr="006605A3">
              <w:rPr>
                <w:sz w:val="16"/>
                <w:szCs w:val="16"/>
              </w:rPr>
              <w:t xml:space="preserve">1: Calculate </w:t>
            </w:r>
            <w:proofErr w:type="spellStart"/>
            <w:r w:rsidRPr="006605A3">
              <w:rPr>
                <w:sz w:val="16"/>
                <w:szCs w:val="16"/>
              </w:rPr>
              <w:t>mSD</w:t>
            </w:r>
            <w:proofErr w:type="spellEnd"/>
            <w:r w:rsidRPr="006605A3">
              <w:rPr>
                <w:sz w:val="16"/>
                <w:szCs w:val="16"/>
              </w:rPr>
              <w:t xml:space="preserve"> for ORVW and NRVW</w:t>
            </w:r>
          </w:p>
          <w:p w14:paraId="061F872C" w14:textId="77777777" w:rsidR="003424D3" w:rsidRPr="006605A3" w:rsidRDefault="003424D3" w:rsidP="00CD4F3A">
            <w:pPr>
              <w:ind w:right="-22"/>
              <w:jc w:val="both"/>
              <w:rPr>
                <w:sz w:val="16"/>
                <w:szCs w:val="16"/>
              </w:rPr>
            </w:pPr>
            <w:r w:rsidRPr="006605A3">
              <w:rPr>
                <w:sz w:val="16"/>
                <w:szCs w:val="16"/>
              </w:rPr>
              <w:t xml:space="preserve">2: Compute PDF, CDF and ∑CDF of </w:t>
            </w:r>
            <w:proofErr w:type="spellStart"/>
            <w:r w:rsidRPr="006605A3">
              <w:rPr>
                <w:sz w:val="16"/>
                <w:szCs w:val="16"/>
              </w:rPr>
              <w:t>mSD</w:t>
            </w:r>
            <w:proofErr w:type="spellEnd"/>
            <w:r w:rsidRPr="006605A3">
              <w:rPr>
                <w:sz w:val="16"/>
                <w:szCs w:val="16"/>
              </w:rPr>
              <w:t xml:space="preserve"> profile through KDE</w:t>
            </w:r>
          </w:p>
          <w:p w14:paraId="029169CC" w14:textId="77777777" w:rsidR="003424D3" w:rsidRPr="006605A3" w:rsidRDefault="003424D3" w:rsidP="00CD4F3A">
            <w:pPr>
              <w:ind w:right="-22"/>
              <w:jc w:val="both"/>
              <w:rPr>
                <w:sz w:val="16"/>
                <w:szCs w:val="16"/>
              </w:rPr>
            </w:pPr>
            <w:r w:rsidRPr="006605A3">
              <w:rPr>
                <w:sz w:val="16"/>
                <w:szCs w:val="16"/>
              </w:rPr>
              <w:t xml:space="preserve">3: If ∑CDF of </w:t>
            </w:r>
            <w:proofErr w:type="spellStart"/>
            <w:r w:rsidRPr="006605A3">
              <w:rPr>
                <w:sz w:val="16"/>
                <w:szCs w:val="16"/>
              </w:rPr>
              <w:t>mSD</w:t>
            </w:r>
            <w:proofErr w:type="spellEnd"/>
            <w:r w:rsidRPr="006605A3">
              <w:rPr>
                <w:sz w:val="16"/>
                <w:szCs w:val="16"/>
              </w:rPr>
              <w:t xml:space="preserve"> of any STVS or LTVS ≥ 1:  </w:t>
            </w:r>
          </w:p>
          <w:p w14:paraId="1F945D2D" w14:textId="77777777" w:rsidR="003424D3" w:rsidRPr="006605A3" w:rsidRDefault="003424D3" w:rsidP="00CD4F3A">
            <w:pPr>
              <w:ind w:right="-22"/>
              <w:jc w:val="both"/>
              <w:rPr>
                <w:sz w:val="16"/>
                <w:szCs w:val="16"/>
              </w:rPr>
            </w:pPr>
            <w:r w:rsidRPr="006605A3">
              <w:rPr>
                <w:sz w:val="16"/>
                <w:szCs w:val="16"/>
              </w:rPr>
              <w:t xml:space="preserve">4:              Flag: </w:t>
            </w:r>
            <w:proofErr w:type="spellStart"/>
            <w:r w:rsidRPr="006605A3">
              <w:rPr>
                <w:i/>
                <w:iCs/>
                <w:sz w:val="16"/>
                <w:szCs w:val="16"/>
              </w:rPr>
              <w:t>sysSTVI</w:t>
            </w:r>
            <w:proofErr w:type="spellEnd"/>
            <w:r w:rsidRPr="006605A3">
              <w:rPr>
                <w:sz w:val="16"/>
                <w:szCs w:val="16"/>
              </w:rPr>
              <w:t xml:space="preserve"> or </w:t>
            </w:r>
            <w:proofErr w:type="spellStart"/>
            <w:r w:rsidRPr="006605A3">
              <w:rPr>
                <w:i/>
                <w:iCs/>
                <w:sz w:val="16"/>
                <w:szCs w:val="16"/>
              </w:rPr>
              <w:t>sysLTVI</w:t>
            </w:r>
            <w:proofErr w:type="spellEnd"/>
            <w:r w:rsidRPr="006605A3">
              <w:rPr>
                <w:sz w:val="16"/>
                <w:szCs w:val="16"/>
              </w:rPr>
              <w:t>= -1</w:t>
            </w:r>
          </w:p>
          <w:p w14:paraId="19C74551" w14:textId="77777777" w:rsidR="003424D3" w:rsidRPr="006605A3" w:rsidRDefault="003424D3" w:rsidP="00CD4F3A">
            <w:pPr>
              <w:ind w:right="-22"/>
              <w:jc w:val="both"/>
              <w:rPr>
                <w:sz w:val="16"/>
                <w:szCs w:val="16"/>
              </w:rPr>
            </w:pPr>
            <w:r w:rsidRPr="006605A3">
              <w:rPr>
                <w:sz w:val="16"/>
                <w:szCs w:val="16"/>
              </w:rPr>
              <w:t xml:space="preserve">5:              Comments: System is either STVU or LTVU </w:t>
            </w:r>
          </w:p>
          <w:p w14:paraId="0CBB073A" w14:textId="77777777" w:rsidR="003424D3" w:rsidRPr="006605A3" w:rsidRDefault="003424D3" w:rsidP="00CD4F3A">
            <w:pPr>
              <w:ind w:right="-22"/>
              <w:jc w:val="both"/>
              <w:rPr>
                <w:sz w:val="16"/>
                <w:szCs w:val="16"/>
              </w:rPr>
            </w:pPr>
            <w:r w:rsidRPr="006605A3">
              <w:rPr>
                <w:sz w:val="16"/>
                <w:szCs w:val="16"/>
              </w:rPr>
              <w:t>6:              end</w:t>
            </w:r>
          </w:p>
          <w:p w14:paraId="7E10E487" w14:textId="77777777" w:rsidR="003424D3" w:rsidRPr="006605A3" w:rsidRDefault="003424D3" w:rsidP="00CD4F3A">
            <w:pPr>
              <w:ind w:right="-22"/>
              <w:jc w:val="both"/>
              <w:rPr>
                <w:sz w:val="16"/>
                <w:szCs w:val="16"/>
              </w:rPr>
            </w:pPr>
            <w:r w:rsidRPr="006605A3">
              <w:rPr>
                <w:sz w:val="16"/>
                <w:szCs w:val="16"/>
              </w:rPr>
              <w:t>7: else-GOTO step-2</w:t>
            </w:r>
          </w:p>
        </w:tc>
      </w:tr>
      <w:tr w:rsidR="003424D3" w:rsidRPr="006605A3" w14:paraId="233C1B67" w14:textId="77777777" w:rsidTr="006B6ADA">
        <w:trPr>
          <w:jc w:val="center"/>
        </w:trPr>
        <w:tc>
          <w:tcPr>
            <w:tcW w:w="9638" w:type="dxa"/>
            <w:shd w:val="clear" w:color="auto" w:fill="000000" w:themeFill="text1"/>
          </w:tcPr>
          <w:p w14:paraId="75002FF1" w14:textId="77777777" w:rsidR="003424D3" w:rsidRPr="006605A3" w:rsidRDefault="003424D3" w:rsidP="00CD4F3A">
            <w:pPr>
              <w:ind w:right="-22"/>
              <w:jc w:val="both"/>
              <w:rPr>
                <w:sz w:val="16"/>
                <w:szCs w:val="16"/>
              </w:rPr>
            </w:pPr>
            <w:r w:rsidRPr="006605A3">
              <w:rPr>
                <w:color w:val="FFFFFF" w:themeColor="background1"/>
                <w:sz w:val="16"/>
                <w:szCs w:val="16"/>
              </w:rPr>
              <w:t xml:space="preserve">Step-2: Computation of local </w:t>
            </w:r>
            <w:r w:rsidRPr="006605A3">
              <w:rPr>
                <w:i/>
                <w:iCs/>
                <w:color w:val="FFFFFF" w:themeColor="background1"/>
                <w:sz w:val="16"/>
                <w:szCs w:val="16"/>
              </w:rPr>
              <w:t>STVI</w:t>
            </w:r>
            <w:r w:rsidRPr="006605A3">
              <w:rPr>
                <w:color w:val="FFFFFF" w:themeColor="background1"/>
                <w:sz w:val="16"/>
                <w:szCs w:val="16"/>
              </w:rPr>
              <w:t xml:space="preserve"> and </w:t>
            </w:r>
            <w:r w:rsidRPr="006605A3">
              <w:rPr>
                <w:i/>
                <w:iCs/>
                <w:color w:val="FFFFFF" w:themeColor="background1"/>
                <w:sz w:val="16"/>
                <w:szCs w:val="16"/>
              </w:rPr>
              <w:t>LTVI</w:t>
            </w:r>
          </w:p>
        </w:tc>
      </w:tr>
      <w:tr w:rsidR="003424D3" w:rsidRPr="006605A3" w14:paraId="28D4CB45" w14:textId="77777777" w:rsidTr="006B6ADA">
        <w:trPr>
          <w:jc w:val="center"/>
        </w:trPr>
        <w:tc>
          <w:tcPr>
            <w:tcW w:w="9638" w:type="dxa"/>
          </w:tcPr>
          <w:p w14:paraId="53F3F2CB" w14:textId="77777777" w:rsidR="003424D3" w:rsidRPr="006605A3" w:rsidRDefault="003424D3" w:rsidP="00CD4F3A">
            <w:pPr>
              <w:ind w:right="-22"/>
              <w:jc w:val="both"/>
              <w:rPr>
                <w:sz w:val="16"/>
                <w:szCs w:val="16"/>
              </w:rPr>
            </w:pPr>
            <w:r w:rsidRPr="006605A3">
              <w:rPr>
                <w:sz w:val="16"/>
                <w:szCs w:val="16"/>
              </w:rPr>
              <w:t>8: Define WECC and Calculate %VD</w:t>
            </w:r>
          </w:p>
          <w:p w14:paraId="50B62E50" w14:textId="77777777" w:rsidR="003424D3" w:rsidRPr="006605A3" w:rsidRDefault="003424D3" w:rsidP="00CD4F3A">
            <w:pPr>
              <w:ind w:right="-22"/>
              <w:jc w:val="both"/>
            </w:pPr>
            <w:r w:rsidRPr="006605A3">
              <w:rPr>
                <w:sz w:val="16"/>
                <w:szCs w:val="16"/>
              </w:rPr>
              <w:t xml:space="preserve">9: Compute </w:t>
            </w:r>
            <m:oMath>
              <m:sSubSup>
                <m:sSubSupPr>
                  <m:ctrlPr>
                    <w:rPr>
                      <w:rFonts w:ascii="Cambria Math" w:hAnsi="Cambria Math"/>
                      <w:i/>
                      <w:sz w:val="16"/>
                      <w:szCs w:val="16"/>
                    </w:rPr>
                  </m:ctrlPr>
                </m:sSubSupPr>
                <m:e>
                  <m:r>
                    <w:rPr>
                      <w:rFonts w:ascii="Cambria Math" w:hAnsi="Cambria Math"/>
                      <w:sz w:val="16"/>
                      <w:szCs w:val="16"/>
                    </w:rPr>
                    <m:t>μ</m:t>
                  </m:r>
                </m:e>
                <m:sub>
                  <m:r>
                    <w:rPr>
                      <w:rFonts w:ascii="Cambria Math" w:hAnsi="Cambria Math"/>
                      <w:sz w:val="16"/>
                      <w:szCs w:val="16"/>
                    </w:rPr>
                    <m:t>k,n</m:t>
                  </m:r>
                </m:sub>
                <m:sup>
                  <m:r>
                    <w:rPr>
                      <w:rFonts w:ascii="Cambria Math" w:hAnsi="Cambria Math"/>
                      <w:sz w:val="16"/>
                      <w:szCs w:val="16"/>
                    </w:rPr>
                    <m:t>ST</m:t>
                  </m:r>
                </m:sup>
              </m:sSubSup>
              <m:r>
                <w:rPr>
                  <w:rFonts w:ascii="Cambria Math" w:hAnsi="Cambria Math"/>
                  <w:sz w:val="16"/>
                  <w:szCs w:val="16"/>
                </w:rPr>
                <m:t xml:space="preserve"> and </m:t>
              </m:r>
              <m:sSubSup>
                <m:sSubSupPr>
                  <m:ctrlPr>
                    <w:rPr>
                      <w:rFonts w:ascii="Cambria Math" w:hAnsi="Cambria Math"/>
                      <w:i/>
                      <w:sz w:val="16"/>
                      <w:szCs w:val="16"/>
                    </w:rPr>
                  </m:ctrlPr>
                </m:sSubSupPr>
                <m:e>
                  <m:r>
                    <w:rPr>
                      <w:rFonts w:ascii="Cambria Math" w:hAnsi="Cambria Math"/>
                      <w:sz w:val="16"/>
                      <w:szCs w:val="16"/>
                    </w:rPr>
                    <m:t>μ</m:t>
                  </m:r>
                </m:e>
                <m:sub>
                  <m:r>
                    <w:rPr>
                      <w:rFonts w:ascii="Cambria Math" w:hAnsi="Cambria Math"/>
                      <w:sz w:val="16"/>
                      <w:szCs w:val="16"/>
                    </w:rPr>
                    <m:t>k,n</m:t>
                  </m:r>
                </m:sub>
                <m:sup>
                  <m:r>
                    <w:rPr>
                      <w:rFonts w:ascii="Cambria Math" w:hAnsi="Cambria Math"/>
                      <w:sz w:val="16"/>
                      <w:szCs w:val="16"/>
                    </w:rPr>
                    <m:t>LT</m:t>
                  </m:r>
                </m:sup>
              </m:sSubSup>
            </m:oMath>
            <w:r w:rsidRPr="006605A3">
              <w:rPr>
                <w:sz w:val="16"/>
                <w:szCs w:val="16"/>
              </w:rPr>
              <w:t xml:space="preserve"> as a </w:t>
            </w:r>
            <m:oMath>
              <m:r>
                <w:rPr>
                  <w:rFonts w:ascii="Cambria Math" w:hAnsi="Cambria Math"/>
                  <w:sz w:val="16"/>
                  <w:szCs w:val="16"/>
                </w:rPr>
                <m:t>f{%V</m:t>
              </m:r>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k,n</m:t>
                  </m:r>
                </m:sub>
              </m:sSub>
              <m:r>
                <w:rPr>
                  <w:rFonts w:ascii="Cambria Math" w:hAnsi="Cambria Math"/>
                  <w:sz w:val="16"/>
                  <w:szCs w:val="16"/>
                </w:rPr>
                <m:t>(</m:t>
              </m:r>
            </m:oMath>
            <w:r w:rsidRPr="006605A3">
              <w:rPr>
                <w:sz w:val="16"/>
                <w:szCs w:val="16"/>
              </w:rPr>
              <w:t>WECC)}</w:t>
            </w:r>
            <w:r w:rsidRPr="006605A3">
              <w:t xml:space="preserve"> </w:t>
            </w:r>
          </w:p>
          <w:p w14:paraId="781B815C" w14:textId="77777777" w:rsidR="003424D3" w:rsidRPr="006605A3" w:rsidRDefault="003424D3" w:rsidP="00CD4F3A">
            <w:pPr>
              <w:ind w:right="-22"/>
              <w:jc w:val="both"/>
              <w:rPr>
                <w:sz w:val="16"/>
                <w:szCs w:val="16"/>
              </w:rPr>
            </w:pPr>
            <w:r w:rsidRPr="006605A3">
              <w:rPr>
                <w:sz w:val="16"/>
                <w:szCs w:val="16"/>
              </w:rPr>
              <w:lastRenderedPageBreak/>
              <w:t xml:space="preserve">10: if </w:t>
            </w:r>
            <w:r w:rsidRPr="006605A3">
              <w:rPr>
                <w:i/>
                <w:iCs/>
                <w:sz w:val="16"/>
                <w:szCs w:val="16"/>
              </w:rPr>
              <w:t>STVI</w:t>
            </w:r>
            <w:r w:rsidRPr="006605A3">
              <w:rPr>
                <w:sz w:val="16"/>
                <w:szCs w:val="16"/>
              </w:rPr>
              <w:t xml:space="preserve"> or </w:t>
            </w:r>
            <w:r w:rsidRPr="006605A3">
              <w:rPr>
                <w:i/>
                <w:iCs/>
                <w:sz w:val="16"/>
                <w:szCs w:val="16"/>
              </w:rPr>
              <w:t xml:space="preserve">LTVI </w:t>
            </w:r>
            <w:r w:rsidRPr="006605A3">
              <w:rPr>
                <w:sz w:val="16"/>
                <w:szCs w:val="16"/>
              </w:rPr>
              <w:t>&lt; 0</w:t>
            </w:r>
          </w:p>
          <w:p w14:paraId="523E9F81" w14:textId="77777777" w:rsidR="003424D3" w:rsidRPr="006605A3" w:rsidRDefault="003424D3" w:rsidP="00CD4F3A">
            <w:pPr>
              <w:ind w:right="-22"/>
              <w:jc w:val="both"/>
              <w:rPr>
                <w:sz w:val="16"/>
                <w:szCs w:val="16"/>
              </w:rPr>
            </w:pPr>
            <w:r w:rsidRPr="006605A3">
              <w:rPr>
                <w:sz w:val="16"/>
                <w:szCs w:val="16"/>
              </w:rPr>
              <w:t xml:space="preserve">11:              Flag: </w:t>
            </w:r>
            <w:proofErr w:type="spellStart"/>
            <w:r w:rsidRPr="006605A3">
              <w:rPr>
                <w:i/>
                <w:iCs/>
                <w:sz w:val="16"/>
                <w:szCs w:val="16"/>
              </w:rPr>
              <w:t>sysSTVI</w:t>
            </w:r>
            <w:proofErr w:type="spellEnd"/>
            <w:r w:rsidRPr="006605A3">
              <w:rPr>
                <w:sz w:val="16"/>
                <w:szCs w:val="16"/>
              </w:rPr>
              <w:t xml:space="preserve"> or </w:t>
            </w:r>
            <w:proofErr w:type="spellStart"/>
            <w:r w:rsidRPr="006605A3">
              <w:rPr>
                <w:i/>
                <w:iCs/>
                <w:sz w:val="16"/>
                <w:szCs w:val="16"/>
              </w:rPr>
              <w:t>sysLTVI</w:t>
            </w:r>
            <w:proofErr w:type="spellEnd"/>
            <w:r w:rsidRPr="006605A3">
              <w:rPr>
                <w:sz w:val="16"/>
                <w:szCs w:val="16"/>
              </w:rPr>
              <w:t>= -1</w:t>
            </w:r>
          </w:p>
          <w:p w14:paraId="477A0615" w14:textId="77777777" w:rsidR="003424D3" w:rsidRPr="006605A3" w:rsidRDefault="003424D3" w:rsidP="00CD4F3A">
            <w:pPr>
              <w:ind w:right="-22"/>
              <w:jc w:val="both"/>
              <w:rPr>
                <w:sz w:val="16"/>
                <w:szCs w:val="16"/>
              </w:rPr>
            </w:pPr>
            <w:r w:rsidRPr="006605A3">
              <w:rPr>
                <w:sz w:val="16"/>
                <w:szCs w:val="16"/>
              </w:rPr>
              <w:t xml:space="preserve">12:              Comments: System is either STVU or LTVU </w:t>
            </w:r>
          </w:p>
          <w:p w14:paraId="2F4834E3" w14:textId="77777777" w:rsidR="003424D3" w:rsidRPr="006605A3" w:rsidRDefault="003424D3" w:rsidP="00CD4F3A">
            <w:pPr>
              <w:ind w:right="-22"/>
              <w:jc w:val="both"/>
              <w:rPr>
                <w:sz w:val="16"/>
                <w:szCs w:val="16"/>
              </w:rPr>
            </w:pPr>
            <w:r w:rsidRPr="006605A3">
              <w:rPr>
                <w:sz w:val="16"/>
                <w:szCs w:val="16"/>
              </w:rPr>
              <w:t>13:              end</w:t>
            </w:r>
          </w:p>
          <w:p w14:paraId="0021B977" w14:textId="77777777" w:rsidR="003424D3" w:rsidRPr="006605A3" w:rsidRDefault="003424D3" w:rsidP="00CD4F3A">
            <w:pPr>
              <w:ind w:right="-22"/>
              <w:jc w:val="both"/>
              <w:rPr>
                <w:sz w:val="16"/>
                <w:szCs w:val="16"/>
              </w:rPr>
            </w:pPr>
            <w:r w:rsidRPr="006605A3">
              <w:rPr>
                <w:sz w:val="16"/>
                <w:szCs w:val="16"/>
              </w:rPr>
              <w:t>14: else-GOTO step-3</w:t>
            </w:r>
          </w:p>
        </w:tc>
      </w:tr>
      <w:tr w:rsidR="003424D3" w:rsidRPr="006605A3" w14:paraId="7FC00D94" w14:textId="77777777" w:rsidTr="006B6ADA">
        <w:trPr>
          <w:jc w:val="center"/>
        </w:trPr>
        <w:tc>
          <w:tcPr>
            <w:tcW w:w="9638" w:type="dxa"/>
            <w:shd w:val="clear" w:color="auto" w:fill="000000" w:themeFill="text1"/>
          </w:tcPr>
          <w:p w14:paraId="0686E306" w14:textId="77777777" w:rsidR="003424D3" w:rsidRPr="006605A3" w:rsidRDefault="003424D3" w:rsidP="00CD4F3A">
            <w:pPr>
              <w:ind w:right="-22"/>
              <w:jc w:val="both"/>
              <w:rPr>
                <w:sz w:val="16"/>
                <w:szCs w:val="16"/>
              </w:rPr>
            </w:pPr>
            <w:r w:rsidRPr="006605A3">
              <w:rPr>
                <w:color w:val="FFFFFF" w:themeColor="background1"/>
                <w:sz w:val="16"/>
                <w:szCs w:val="16"/>
              </w:rPr>
              <w:t xml:space="preserve">Step-3: Computation of </w:t>
            </w:r>
            <w:proofErr w:type="spellStart"/>
            <w:r w:rsidRPr="006605A3">
              <w:rPr>
                <w:color w:val="FFFFFF" w:themeColor="background1"/>
                <w:sz w:val="16"/>
                <w:szCs w:val="16"/>
              </w:rPr>
              <w:t>sys</w:t>
            </w:r>
            <w:r w:rsidRPr="006605A3">
              <w:rPr>
                <w:i/>
                <w:iCs/>
                <w:color w:val="FFFFFF" w:themeColor="background1"/>
                <w:sz w:val="16"/>
                <w:szCs w:val="16"/>
              </w:rPr>
              <w:t>STVI</w:t>
            </w:r>
            <w:proofErr w:type="spellEnd"/>
            <w:r w:rsidRPr="006605A3">
              <w:rPr>
                <w:color w:val="FFFFFF" w:themeColor="background1"/>
                <w:sz w:val="16"/>
                <w:szCs w:val="16"/>
              </w:rPr>
              <w:t xml:space="preserve"> or </w:t>
            </w:r>
            <w:proofErr w:type="spellStart"/>
            <w:r w:rsidRPr="006605A3">
              <w:rPr>
                <w:color w:val="FFFFFF" w:themeColor="background1"/>
                <w:sz w:val="16"/>
                <w:szCs w:val="16"/>
              </w:rPr>
              <w:t>sys</w:t>
            </w:r>
            <w:r w:rsidRPr="006605A3">
              <w:rPr>
                <w:i/>
                <w:iCs/>
                <w:color w:val="FFFFFF" w:themeColor="background1"/>
                <w:sz w:val="16"/>
                <w:szCs w:val="16"/>
              </w:rPr>
              <w:t>LTVI</w:t>
            </w:r>
            <w:proofErr w:type="spellEnd"/>
          </w:p>
        </w:tc>
      </w:tr>
      <w:tr w:rsidR="003424D3" w:rsidRPr="006605A3" w14:paraId="497EFB82" w14:textId="77777777" w:rsidTr="006B6ADA">
        <w:trPr>
          <w:jc w:val="center"/>
        </w:trPr>
        <w:tc>
          <w:tcPr>
            <w:tcW w:w="9638" w:type="dxa"/>
          </w:tcPr>
          <w:p w14:paraId="05D5F402" w14:textId="77777777" w:rsidR="003424D3" w:rsidRPr="006605A3" w:rsidRDefault="003424D3" w:rsidP="00CD4F3A">
            <w:pPr>
              <w:ind w:right="-22"/>
              <w:jc w:val="both"/>
              <w:rPr>
                <w:sz w:val="16"/>
                <w:szCs w:val="16"/>
              </w:rPr>
            </w:pPr>
            <w:r w:rsidRPr="006605A3">
              <w:rPr>
                <w:sz w:val="16"/>
                <w:szCs w:val="16"/>
              </w:rPr>
              <w:t xml:space="preserve">15: Calculate </w:t>
            </w:r>
            <m:oMath>
              <m:sSub>
                <m:sSubPr>
                  <m:ctrlPr>
                    <w:rPr>
                      <w:rFonts w:ascii="Cambria Math" w:hAnsi="Cambria Math"/>
                      <w:i/>
                      <w:sz w:val="16"/>
                      <w:szCs w:val="16"/>
                    </w:rPr>
                  </m:ctrlPr>
                </m:sSubPr>
                <m:e>
                  <m:r>
                    <w:rPr>
                      <w:rFonts w:ascii="Cambria Math" w:hAnsi="Cambria Math"/>
                      <w:sz w:val="16"/>
                      <w:szCs w:val="16"/>
                    </w:rPr>
                    <m:t>Z</m:t>
                  </m:r>
                </m:e>
                <m:sub>
                  <m:r>
                    <w:rPr>
                      <w:rFonts w:ascii="Cambria Math" w:hAnsi="Cambria Math"/>
                      <w:sz w:val="16"/>
                      <w:szCs w:val="16"/>
                    </w:rPr>
                    <m:t>k,k</m:t>
                  </m:r>
                </m:sub>
              </m:sSub>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Z</m:t>
                  </m:r>
                </m:e>
                <m:sub>
                  <m:r>
                    <w:rPr>
                      <w:rFonts w:ascii="Cambria Math" w:hAnsi="Cambria Math"/>
                      <w:sz w:val="16"/>
                      <w:szCs w:val="16"/>
                    </w:rPr>
                    <m:t>k,l</m:t>
                  </m:r>
                </m:sub>
              </m:sSub>
            </m:oMath>
            <w:r w:rsidRPr="006605A3">
              <w:rPr>
                <w:sz w:val="16"/>
                <w:szCs w:val="16"/>
              </w:rPr>
              <w:t xml:space="preserve"> and </w:t>
            </w:r>
            <m:oMath>
              <m:sSub>
                <m:sSubPr>
                  <m:ctrlPr>
                    <w:rPr>
                      <w:rFonts w:ascii="Cambria Math" w:hAnsi="Cambria Math"/>
                      <w:i/>
                      <w:sz w:val="16"/>
                      <w:szCs w:val="16"/>
                    </w:rPr>
                  </m:ctrlPr>
                </m:sSubPr>
                <m:e>
                  <m:r>
                    <w:rPr>
                      <w:rFonts w:ascii="Cambria Math" w:hAnsi="Cambria Math"/>
                      <w:sz w:val="16"/>
                      <w:szCs w:val="16"/>
                    </w:rPr>
                    <m:t>γ</m:t>
                  </m:r>
                </m:e>
                <m:sub>
                  <m:r>
                    <w:rPr>
                      <w:rFonts w:ascii="Cambria Math" w:hAnsi="Cambria Math"/>
                      <w:sz w:val="16"/>
                      <w:szCs w:val="16"/>
                    </w:rPr>
                    <m:t>k,l</m:t>
                  </m:r>
                </m:sub>
              </m:sSub>
            </m:oMath>
          </w:p>
          <w:p w14:paraId="7BFEB356" w14:textId="77777777" w:rsidR="003424D3" w:rsidRPr="006605A3" w:rsidRDefault="003424D3" w:rsidP="00CD4F3A">
            <w:pPr>
              <w:ind w:right="-22"/>
              <w:jc w:val="both"/>
              <w:rPr>
                <w:i/>
                <w:iCs/>
                <w:sz w:val="16"/>
                <w:szCs w:val="16"/>
              </w:rPr>
            </w:pPr>
            <w:r w:rsidRPr="006605A3">
              <w:rPr>
                <w:sz w:val="16"/>
                <w:szCs w:val="16"/>
              </w:rPr>
              <w:t xml:space="preserve">16: Compute </w:t>
            </w:r>
            <w:proofErr w:type="spellStart"/>
            <w:r w:rsidRPr="006605A3">
              <w:rPr>
                <w:sz w:val="16"/>
                <w:szCs w:val="16"/>
              </w:rPr>
              <w:t>sys</w:t>
            </w:r>
            <w:r w:rsidRPr="006605A3">
              <w:rPr>
                <w:i/>
                <w:iCs/>
                <w:sz w:val="16"/>
                <w:szCs w:val="16"/>
              </w:rPr>
              <w:t>STVI</w:t>
            </w:r>
            <w:proofErr w:type="spellEnd"/>
            <w:r w:rsidRPr="006605A3">
              <w:rPr>
                <w:sz w:val="16"/>
                <w:szCs w:val="16"/>
              </w:rPr>
              <w:t xml:space="preserve"> and </w:t>
            </w:r>
            <w:proofErr w:type="spellStart"/>
            <w:r w:rsidRPr="006605A3">
              <w:rPr>
                <w:sz w:val="16"/>
                <w:szCs w:val="16"/>
              </w:rPr>
              <w:t>sys</w:t>
            </w:r>
            <w:r w:rsidRPr="006605A3">
              <w:rPr>
                <w:i/>
                <w:iCs/>
                <w:sz w:val="16"/>
                <w:szCs w:val="16"/>
              </w:rPr>
              <w:t>LTVI</w:t>
            </w:r>
            <w:proofErr w:type="spellEnd"/>
          </w:p>
          <w:p w14:paraId="7532D670" w14:textId="77777777" w:rsidR="003424D3" w:rsidRPr="006605A3" w:rsidRDefault="003424D3" w:rsidP="00CD4F3A">
            <w:pPr>
              <w:ind w:right="-22"/>
              <w:jc w:val="both"/>
              <w:rPr>
                <w:sz w:val="16"/>
                <w:szCs w:val="16"/>
              </w:rPr>
            </w:pPr>
            <w:r w:rsidRPr="006605A3">
              <w:rPr>
                <w:sz w:val="16"/>
                <w:szCs w:val="16"/>
              </w:rPr>
              <w:t xml:space="preserve">17: if </w:t>
            </w:r>
            <w:proofErr w:type="spellStart"/>
            <w:r w:rsidRPr="006605A3">
              <w:rPr>
                <w:sz w:val="16"/>
                <w:szCs w:val="16"/>
              </w:rPr>
              <w:t>sys</w:t>
            </w:r>
            <w:r w:rsidRPr="006605A3">
              <w:rPr>
                <w:i/>
                <w:iCs/>
                <w:sz w:val="16"/>
                <w:szCs w:val="16"/>
              </w:rPr>
              <w:t>STVI</w:t>
            </w:r>
            <w:proofErr w:type="spellEnd"/>
            <w:r w:rsidRPr="006605A3">
              <w:rPr>
                <w:sz w:val="16"/>
                <w:szCs w:val="16"/>
              </w:rPr>
              <w:t xml:space="preserve"> </w:t>
            </w:r>
            <w:proofErr w:type="spellStart"/>
            <w:r w:rsidRPr="006605A3">
              <w:rPr>
                <w:sz w:val="16"/>
                <w:szCs w:val="16"/>
              </w:rPr>
              <w:t>δδ</w:t>
            </w:r>
            <w:proofErr w:type="spellEnd"/>
            <w:r w:rsidRPr="006605A3">
              <w:rPr>
                <w:sz w:val="16"/>
                <w:szCs w:val="16"/>
              </w:rPr>
              <w:t xml:space="preserve"> </w:t>
            </w:r>
            <w:proofErr w:type="spellStart"/>
            <w:r w:rsidRPr="006605A3">
              <w:rPr>
                <w:sz w:val="16"/>
                <w:szCs w:val="16"/>
              </w:rPr>
              <w:t>sys</w:t>
            </w:r>
            <w:r w:rsidRPr="006605A3">
              <w:rPr>
                <w:i/>
                <w:iCs/>
                <w:sz w:val="16"/>
                <w:szCs w:val="16"/>
              </w:rPr>
              <w:t>LTVI</w:t>
            </w:r>
            <w:proofErr w:type="spellEnd"/>
            <w:r w:rsidRPr="006605A3">
              <w:rPr>
                <w:i/>
                <w:iCs/>
                <w:sz w:val="16"/>
                <w:szCs w:val="16"/>
              </w:rPr>
              <w:t xml:space="preserve"> </w:t>
            </w:r>
            <w:r w:rsidRPr="006605A3">
              <w:rPr>
                <w:sz w:val="16"/>
                <w:szCs w:val="16"/>
              </w:rPr>
              <w:t>&lt; 0</w:t>
            </w:r>
          </w:p>
          <w:p w14:paraId="3A596B9E" w14:textId="77777777" w:rsidR="003424D3" w:rsidRPr="006605A3" w:rsidRDefault="003424D3" w:rsidP="00CD4F3A">
            <w:pPr>
              <w:ind w:right="-22"/>
              <w:jc w:val="both"/>
              <w:rPr>
                <w:sz w:val="16"/>
                <w:szCs w:val="16"/>
              </w:rPr>
            </w:pPr>
            <w:r w:rsidRPr="006605A3">
              <w:rPr>
                <w:sz w:val="16"/>
                <w:szCs w:val="16"/>
              </w:rPr>
              <w:t xml:space="preserve">18:              Comments: System is either STVI or LTVI </w:t>
            </w:r>
          </w:p>
          <w:p w14:paraId="138259A7" w14:textId="77777777" w:rsidR="003424D3" w:rsidRPr="006605A3" w:rsidRDefault="003424D3" w:rsidP="00CD4F3A">
            <w:pPr>
              <w:ind w:right="-22"/>
              <w:jc w:val="both"/>
              <w:rPr>
                <w:sz w:val="16"/>
                <w:szCs w:val="16"/>
              </w:rPr>
            </w:pPr>
            <w:r w:rsidRPr="006605A3">
              <w:rPr>
                <w:sz w:val="16"/>
                <w:szCs w:val="16"/>
              </w:rPr>
              <w:t>19:              end</w:t>
            </w:r>
          </w:p>
          <w:p w14:paraId="0AB61990" w14:textId="77777777" w:rsidR="003424D3" w:rsidRPr="006605A3" w:rsidRDefault="003424D3" w:rsidP="00CD4F3A">
            <w:pPr>
              <w:ind w:right="-22"/>
              <w:jc w:val="both"/>
              <w:rPr>
                <w:sz w:val="16"/>
                <w:szCs w:val="16"/>
              </w:rPr>
            </w:pPr>
            <w:r w:rsidRPr="006605A3">
              <w:rPr>
                <w:sz w:val="16"/>
                <w:szCs w:val="16"/>
              </w:rPr>
              <w:t xml:space="preserve">20: else </w:t>
            </w:r>
          </w:p>
          <w:p w14:paraId="06FF5E24" w14:textId="77777777" w:rsidR="003424D3" w:rsidRPr="006605A3" w:rsidRDefault="003424D3" w:rsidP="00CD4F3A">
            <w:pPr>
              <w:ind w:right="-22"/>
              <w:jc w:val="both"/>
              <w:rPr>
                <w:sz w:val="16"/>
                <w:szCs w:val="16"/>
              </w:rPr>
            </w:pPr>
            <w:r w:rsidRPr="006605A3">
              <w:rPr>
                <w:sz w:val="16"/>
                <w:szCs w:val="16"/>
              </w:rPr>
              <w:t xml:space="preserve">21:               Comments: System is both STVS or LTVS </w:t>
            </w:r>
          </w:p>
          <w:p w14:paraId="0DCB40BB" w14:textId="77777777" w:rsidR="003424D3" w:rsidRPr="006605A3" w:rsidRDefault="003424D3" w:rsidP="00CD4F3A">
            <w:pPr>
              <w:ind w:right="-22"/>
              <w:jc w:val="both"/>
              <w:rPr>
                <w:sz w:val="16"/>
                <w:szCs w:val="16"/>
              </w:rPr>
            </w:pPr>
            <w:r w:rsidRPr="006605A3">
              <w:rPr>
                <w:sz w:val="16"/>
                <w:szCs w:val="16"/>
              </w:rPr>
              <w:t>22:               end</w:t>
            </w:r>
          </w:p>
        </w:tc>
      </w:tr>
      <w:tr w:rsidR="003424D3" w:rsidRPr="006605A3" w14:paraId="17688096" w14:textId="77777777" w:rsidTr="006B6ADA">
        <w:trPr>
          <w:jc w:val="center"/>
        </w:trPr>
        <w:tc>
          <w:tcPr>
            <w:tcW w:w="9638" w:type="dxa"/>
          </w:tcPr>
          <w:p w14:paraId="13DA50CA" w14:textId="77777777" w:rsidR="00FE59AE" w:rsidRPr="006605A3" w:rsidRDefault="00FE59AE" w:rsidP="00CD4F3A">
            <w:pPr>
              <w:ind w:right="-22"/>
              <w:jc w:val="both"/>
              <w:rPr>
                <w:sz w:val="16"/>
                <w:szCs w:val="16"/>
              </w:rPr>
            </w:pPr>
          </w:p>
          <w:p w14:paraId="7AB37A40" w14:textId="05D6A5AA" w:rsidR="003424D3" w:rsidRPr="006605A3" w:rsidRDefault="00FE59AE" w:rsidP="00CD4F3A">
            <w:pPr>
              <w:pStyle w:val="Caption"/>
              <w:spacing w:line="240" w:lineRule="auto"/>
              <w:jc w:val="both"/>
            </w:pPr>
            <w:bookmarkStart w:id="473" w:name="_Toc233728986"/>
            <w:proofErr w:type="spellStart"/>
            <w:r w:rsidRPr="006605A3">
              <w:t>Apx</w:t>
            </w:r>
            <w:proofErr w:type="spellEnd"/>
            <w:r w:rsidRPr="006605A3">
              <w:t xml:space="preserve"> Table </w:t>
            </w:r>
            <w:fldSimple w:instr=" SEQ Apx_Table \* ARABIC \s 9 ">
              <w:r>
                <w:rPr>
                  <w:noProof/>
                </w:rPr>
                <w:t>3</w:t>
              </w:r>
            </w:fldSimple>
            <w:r w:rsidR="0080398A">
              <w:rPr>
                <w:noProof/>
              </w:rPr>
              <w:t>:</w:t>
            </w:r>
            <w:r w:rsidRPr="006605A3">
              <w:t xml:space="preserve"> </w:t>
            </w:r>
            <w:r w:rsidR="003424D3" w:rsidRPr="006605A3">
              <w:t>The value of SDVPI of different buses for 6% renewables in IEEE 39 bus system.</w:t>
            </w:r>
            <w:bookmarkEnd w:id="473"/>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14"/>
              <w:gridCol w:w="901"/>
              <w:gridCol w:w="901"/>
              <w:gridCol w:w="901"/>
              <w:gridCol w:w="901"/>
              <w:gridCol w:w="921"/>
              <w:gridCol w:w="956"/>
              <w:gridCol w:w="990"/>
              <w:gridCol w:w="1022"/>
              <w:gridCol w:w="472"/>
            </w:tblGrid>
            <w:tr w:rsidR="003424D3" w:rsidRPr="006605A3" w14:paraId="339E695C" w14:textId="77777777" w:rsidTr="00A03DAB">
              <w:trPr>
                <w:trHeight w:val="285"/>
                <w:jc w:val="center"/>
              </w:trPr>
              <w:tc>
                <w:tcPr>
                  <w:tcW w:w="723" w:type="dxa"/>
                  <w:shd w:val="clear" w:color="auto" w:fill="000000" w:themeFill="text1"/>
                  <w:noWrap/>
                  <w:vAlign w:val="bottom"/>
                  <w:hideMark/>
                </w:tcPr>
                <w:p w14:paraId="5265E854"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Bus \ Scaling</w:t>
                  </w:r>
                </w:p>
              </w:tc>
              <w:tc>
                <w:tcPr>
                  <w:tcW w:w="314" w:type="dxa"/>
                  <w:shd w:val="clear" w:color="auto" w:fill="000000" w:themeFill="text1"/>
                  <w:noWrap/>
                  <w:vAlign w:val="bottom"/>
                  <w:hideMark/>
                </w:tcPr>
                <w:p w14:paraId="2A8EBAC1"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w:t>
                  </w:r>
                </w:p>
              </w:tc>
              <w:tc>
                <w:tcPr>
                  <w:tcW w:w="901" w:type="dxa"/>
                  <w:shd w:val="clear" w:color="auto" w:fill="000000" w:themeFill="text1"/>
                  <w:noWrap/>
                  <w:vAlign w:val="bottom"/>
                  <w:hideMark/>
                </w:tcPr>
                <w:p w14:paraId="409F4898"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0.05</w:t>
                  </w:r>
                </w:p>
              </w:tc>
              <w:tc>
                <w:tcPr>
                  <w:tcW w:w="901" w:type="dxa"/>
                  <w:shd w:val="clear" w:color="auto" w:fill="000000" w:themeFill="text1"/>
                  <w:noWrap/>
                  <w:vAlign w:val="bottom"/>
                  <w:hideMark/>
                </w:tcPr>
                <w:p w14:paraId="39B0B7D3"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0.11</w:t>
                  </w:r>
                </w:p>
              </w:tc>
              <w:tc>
                <w:tcPr>
                  <w:tcW w:w="901" w:type="dxa"/>
                  <w:shd w:val="clear" w:color="auto" w:fill="000000" w:themeFill="text1"/>
                  <w:noWrap/>
                  <w:vAlign w:val="bottom"/>
                  <w:hideMark/>
                </w:tcPr>
                <w:p w14:paraId="4B88F3DE"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0.18</w:t>
                  </w:r>
                </w:p>
              </w:tc>
              <w:tc>
                <w:tcPr>
                  <w:tcW w:w="901" w:type="dxa"/>
                  <w:shd w:val="clear" w:color="auto" w:fill="000000" w:themeFill="text1"/>
                  <w:noWrap/>
                  <w:vAlign w:val="bottom"/>
                  <w:hideMark/>
                </w:tcPr>
                <w:p w14:paraId="600059CC"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0.26</w:t>
                  </w:r>
                </w:p>
              </w:tc>
              <w:tc>
                <w:tcPr>
                  <w:tcW w:w="921" w:type="dxa"/>
                  <w:shd w:val="clear" w:color="auto" w:fill="000000" w:themeFill="text1"/>
                  <w:noWrap/>
                  <w:vAlign w:val="bottom"/>
                  <w:hideMark/>
                </w:tcPr>
                <w:p w14:paraId="0881D243"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0.36</w:t>
                  </w:r>
                </w:p>
              </w:tc>
              <w:tc>
                <w:tcPr>
                  <w:tcW w:w="956" w:type="dxa"/>
                  <w:shd w:val="clear" w:color="auto" w:fill="000000" w:themeFill="text1"/>
                  <w:noWrap/>
                  <w:vAlign w:val="bottom"/>
                  <w:hideMark/>
                </w:tcPr>
                <w:p w14:paraId="776BFE12"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0.46</w:t>
                  </w:r>
                </w:p>
              </w:tc>
              <w:tc>
                <w:tcPr>
                  <w:tcW w:w="990" w:type="dxa"/>
                  <w:shd w:val="clear" w:color="auto" w:fill="000000" w:themeFill="text1"/>
                  <w:noWrap/>
                  <w:vAlign w:val="bottom"/>
                  <w:hideMark/>
                </w:tcPr>
                <w:p w14:paraId="04FEFF6A"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0.48</w:t>
                  </w:r>
                </w:p>
              </w:tc>
              <w:tc>
                <w:tcPr>
                  <w:tcW w:w="1022" w:type="dxa"/>
                  <w:shd w:val="clear" w:color="auto" w:fill="000000" w:themeFill="text1"/>
                  <w:vAlign w:val="bottom"/>
                </w:tcPr>
                <w:p w14:paraId="4599372F"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0.49</w:t>
                  </w:r>
                </w:p>
              </w:tc>
              <w:tc>
                <w:tcPr>
                  <w:tcW w:w="472" w:type="dxa"/>
                  <w:shd w:val="clear" w:color="auto" w:fill="000000" w:themeFill="text1"/>
                  <w:vAlign w:val="bottom"/>
                </w:tcPr>
                <w:p w14:paraId="21E6F053"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0.5</w:t>
                  </w:r>
                </w:p>
              </w:tc>
            </w:tr>
            <w:tr w:rsidR="003424D3" w:rsidRPr="006605A3" w14:paraId="282F73F0" w14:textId="77777777" w:rsidTr="00A03DAB">
              <w:trPr>
                <w:trHeight w:val="285"/>
                <w:jc w:val="center"/>
              </w:trPr>
              <w:tc>
                <w:tcPr>
                  <w:tcW w:w="723" w:type="dxa"/>
                  <w:noWrap/>
                  <w:vAlign w:val="bottom"/>
                  <w:hideMark/>
                </w:tcPr>
                <w:p w14:paraId="5F3CB3A7" w14:textId="77777777" w:rsidR="003424D3" w:rsidRPr="006605A3" w:rsidRDefault="003424D3" w:rsidP="00CD4F3A">
                  <w:pPr>
                    <w:pStyle w:val="TableText"/>
                    <w:jc w:val="both"/>
                    <w:rPr>
                      <w:sz w:val="16"/>
                      <w:szCs w:val="20"/>
                    </w:rPr>
                  </w:pPr>
                  <w:r w:rsidRPr="006605A3">
                    <w:rPr>
                      <w:sz w:val="16"/>
                      <w:szCs w:val="20"/>
                    </w:rPr>
                    <w:t>Bus 03</w:t>
                  </w:r>
                </w:p>
              </w:tc>
              <w:tc>
                <w:tcPr>
                  <w:tcW w:w="314" w:type="dxa"/>
                  <w:noWrap/>
                  <w:vAlign w:val="bottom"/>
                </w:tcPr>
                <w:p w14:paraId="36C50794"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3FC0808C" w14:textId="77777777" w:rsidR="003424D3" w:rsidRPr="006605A3" w:rsidRDefault="003424D3" w:rsidP="00CD4F3A">
                  <w:pPr>
                    <w:pStyle w:val="TableText"/>
                    <w:jc w:val="both"/>
                    <w:rPr>
                      <w:sz w:val="16"/>
                      <w:szCs w:val="20"/>
                    </w:rPr>
                  </w:pPr>
                  <w:r w:rsidRPr="006605A3">
                    <w:rPr>
                      <w:sz w:val="16"/>
                      <w:szCs w:val="20"/>
                    </w:rPr>
                    <w:t>0.91791</w:t>
                  </w:r>
                </w:p>
              </w:tc>
              <w:tc>
                <w:tcPr>
                  <w:tcW w:w="901" w:type="dxa"/>
                  <w:noWrap/>
                  <w:vAlign w:val="bottom"/>
                </w:tcPr>
                <w:p w14:paraId="57105526" w14:textId="77777777" w:rsidR="003424D3" w:rsidRPr="006605A3" w:rsidRDefault="003424D3" w:rsidP="00CD4F3A">
                  <w:pPr>
                    <w:pStyle w:val="TableText"/>
                    <w:jc w:val="both"/>
                    <w:rPr>
                      <w:sz w:val="16"/>
                      <w:szCs w:val="20"/>
                    </w:rPr>
                  </w:pPr>
                  <w:r w:rsidRPr="006605A3">
                    <w:rPr>
                      <w:sz w:val="16"/>
                      <w:szCs w:val="20"/>
                    </w:rPr>
                    <w:t>0.927838</w:t>
                  </w:r>
                </w:p>
              </w:tc>
              <w:tc>
                <w:tcPr>
                  <w:tcW w:w="901" w:type="dxa"/>
                  <w:noWrap/>
                  <w:vAlign w:val="bottom"/>
                </w:tcPr>
                <w:p w14:paraId="289F67ED" w14:textId="77777777" w:rsidR="003424D3" w:rsidRPr="006605A3" w:rsidRDefault="003424D3" w:rsidP="00CD4F3A">
                  <w:pPr>
                    <w:pStyle w:val="TableText"/>
                    <w:jc w:val="both"/>
                    <w:rPr>
                      <w:sz w:val="16"/>
                      <w:szCs w:val="20"/>
                    </w:rPr>
                  </w:pPr>
                  <w:r w:rsidRPr="006605A3">
                    <w:rPr>
                      <w:sz w:val="16"/>
                      <w:szCs w:val="20"/>
                    </w:rPr>
                    <w:t>0.912753</w:t>
                  </w:r>
                </w:p>
              </w:tc>
              <w:tc>
                <w:tcPr>
                  <w:tcW w:w="901" w:type="dxa"/>
                  <w:noWrap/>
                  <w:vAlign w:val="bottom"/>
                </w:tcPr>
                <w:p w14:paraId="0662AFC4" w14:textId="77777777" w:rsidR="003424D3" w:rsidRPr="006605A3" w:rsidRDefault="003424D3" w:rsidP="00CD4F3A">
                  <w:pPr>
                    <w:pStyle w:val="TableText"/>
                    <w:jc w:val="both"/>
                    <w:rPr>
                      <w:sz w:val="16"/>
                      <w:szCs w:val="20"/>
                    </w:rPr>
                  </w:pPr>
                  <w:r w:rsidRPr="006605A3">
                    <w:rPr>
                      <w:sz w:val="16"/>
                      <w:szCs w:val="20"/>
                    </w:rPr>
                    <w:t>0.87509</w:t>
                  </w:r>
                </w:p>
              </w:tc>
              <w:tc>
                <w:tcPr>
                  <w:tcW w:w="921" w:type="dxa"/>
                  <w:noWrap/>
                  <w:vAlign w:val="bottom"/>
                </w:tcPr>
                <w:p w14:paraId="12FD9C51" w14:textId="77777777" w:rsidR="003424D3" w:rsidRPr="006605A3" w:rsidRDefault="003424D3" w:rsidP="00CD4F3A">
                  <w:pPr>
                    <w:pStyle w:val="TableText"/>
                    <w:jc w:val="both"/>
                    <w:rPr>
                      <w:sz w:val="16"/>
                      <w:szCs w:val="20"/>
                    </w:rPr>
                  </w:pPr>
                  <w:r w:rsidRPr="006605A3">
                    <w:rPr>
                      <w:sz w:val="16"/>
                      <w:szCs w:val="20"/>
                    </w:rPr>
                    <w:t>0.806659</w:t>
                  </w:r>
                </w:p>
              </w:tc>
              <w:tc>
                <w:tcPr>
                  <w:tcW w:w="956" w:type="dxa"/>
                  <w:noWrap/>
                  <w:vAlign w:val="bottom"/>
                </w:tcPr>
                <w:p w14:paraId="2662860D" w14:textId="77777777" w:rsidR="003424D3" w:rsidRPr="006605A3" w:rsidRDefault="003424D3" w:rsidP="00CD4F3A">
                  <w:pPr>
                    <w:pStyle w:val="TableText"/>
                    <w:jc w:val="both"/>
                    <w:rPr>
                      <w:sz w:val="16"/>
                      <w:szCs w:val="20"/>
                    </w:rPr>
                  </w:pPr>
                  <w:r w:rsidRPr="006605A3">
                    <w:rPr>
                      <w:sz w:val="16"/>
                      <w:szCs w:val="20"/>
                    </w:rPr>
                    <w:t>0.663482</w:t>
                  </w:r>
                </w:p>
              </w:tc>
              <w:tc>
                <w:tcPr>
                  <w:tcW w:w="990" w:type="dxa"/>
                  <w:noWrap/>
                  <w:vAlign w:val="bottom"/>
                </w:tcPr>
                <w:p w14:paraId="2CBD6429" w14:textId="77777777" w:rsidR="003424D3" w:rsidRPr="006605A3" w:rsidRDefault="003424D3" w:rsidP="00CD4F3A">
                  <w:pPr>
                    <w:pStyle w:val="TableText"/>
                    <w:jc w:val="both"/>
                    <w:rPr>
                      <w:sz w:val="16"/>
                      <w:szCs w:val="20"/>
                    </w:rPr>
                  </w:pPr>
                  <w:r w:rsidRPr="006605A3">
                    <w:rPr>
                      <w:sz w:val="16"/>
                      <w:szCs w:val="20"/>
                    </w:rPr>
                    <w:t>0.596604</w:t>
                  </w:r>
                </w:p>
              </w:tc>
              <w:tc>
                <w:tcPr>
                  <w:tcW w:w="1022" w:type="dxa"/>
                  <w:vAlign w:val="bottom"/>
                </w:tcPr>
                <w:p w14:paraId="78B83EA6" w14:textId="77777777" w:rsidR="003424D3" w:rsidRPr="006605A3" w:rsidRDefault="003424D3" w:rsidP="00CD4F3A">
                  <w:pPr>
                    <w:pStyle w:val="TableText"/>
                    <w:jc w:val="both"/>
                    <w:rPr>
                      <w:sz w:val="16"/>
                      <w:szCs w:val="20"/>
                    </w:rPr>
                  </w:pPr>
                  <w:r w:rsidRPr="006605A3">
                    <w:rPr>
                      <w:sz w:val="16"/>
                      <w:szCs w:val="20"/>
                    </w:rPr>
                    <w:t>0.505196</w:t>
                  </w:r>
                </w:p>
              </w:tc>
              <w:tc>
                <w:tcPr>
                  <w:tcW w:w="472" w:type="dxa"/>
                  <w:vAlign w:val="bottom"/>
                </w:tcPr>
                <w:p w14:paraId="4F486AA1"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49A05617" w14:textId="77777777" w:rsidTr="00A03DAB">
              <w:trPr>
                <w:trHeight w:val="285"/>
                <w:jc w:val="center"/>
              </w:trPr>
              <w:tc>
                <w:tcPr>
                  <w:tcW w:w="723" w:type="dxa"/>
                  <w:noWrap/>
                  <w:vAlign w:val="bottom"/>
                  <w:hideMark/>
                </w:tcPr>
                <w:p w14:paraId="3F7F82AC" w14:textId="77777777" w:rsidR="003424D3" w:rsidRPr="006605A3" w:rsidRDefault="003424D3" w:rsidP="00CD4F3A">
                  <w:pPr>
                    <w:pStyle w:val="TableText"/>
                    <w:jc w:val="both"/>
                    <w:rPr>
                      <w:sz w:val="16"/>
                      <w:szCs w:val="20"/>
                    </w:rPr>
                  </w:pPr>
                  <w:r w:rsidRPr="006605A3">
                    <w:rPr>
                      <w:sz w:val="16"/>
                      <w:szCs w:val="20"/>
                    </w:rPr>
                    <w:t>Bus 04</w:t>
                  </w:r>
                </w:p>
              </w:tc>
              <w:tc>
                <w:tcPr>
                  <w:tcW w:w="314" w:type="dxa"/>
                  <w:noWrap/>
                  <w:vAlign w:val="bottom"/>
                </w:tcPr>
                <w:p w14:paraId="19C4DB13"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30153288" w14:textId="77777777" w:rsidR="003424D3" w:rsidRPr="006605A3" w:rsidRDefault="003424D3" w:rsidP="00CD4F3A">
                  <w:pPr>
                    <w:pStyle w:val="TableText"/>
                    <w:jc w:val="both"/>
                    <w:rPr>
                      <w:sz w:val="16"/>
                      <w:szCs w:val="20"/>
                    </w:rPr>
                  </w:pPr>
                  <w:r w:rsidRPr="006605A3">
                    <w:rPr>
                      <w:sz w:val="16"/>
                      <w:szCs w:val="20"/>
                    </w:rPr>
                    <w:t>0.89158</w:t>
                  </w:r>
                </w:p>
              </w:tc>
              <w:tc>
                <w:tcPr>
                  <w:tcW w:w="901" w:type="dxa"/>
                  <w:noWrap/>
                  <w:vAlign w:val="bottom"/>
                </w:tcPr>
                <w:p w14:paraId="384061F3" w14:textId="77777777" w:rsidR="003424D3" w:rsidRPr="006605A3" w:rsidRDefault="003424D3" w:rsidP="00CD4F3A">
                  <w:pPr>
                    <w:pStyle w:val="TableText"/>
                    <w:jc w:val="both"/>
                    <w:rPr>
                      <w:sz w:val="16"/>
                      <w:szCs w:val="20"/>
                    </w:rPr>
                  </w:pPr>
                  <w:r w:rsidRPr="006605A3">
                    <w:rPr>
                      <w:sz w:val="16"/>
                      <w:szCs w:val="20"/>
                    </w:rPr>
                    <w:t>0.896492</w:t>
                  </w:r>
                </w:p>
              </w:tc>
              <w:tc>
                <w:tcPr>
                  <w:tcW w:w="901" w:type="dxa"/>
                  <w:noWrap/>
                  <w:vAlign w:val="bottom"/>
                </w:tcPr>
                <w:p w14:paraId="18FA7940" w14:textId="77777777" w:rsidR="003424D3" w:rsidRPr="006605A3" w:rsidRDefault="003424D3" w:rsidP="00CD4F3A">
                  <w:pPr>
                    <w:pStyle w:val="TableText"/>
                    <w:jc w:val="both"/>
                    <w:rPr>
                      <w:sz w:val="16"/>
                      <w:szCs w:val="20"/>
                    </w:rPr>
                  </w:pPr>
                  <w:r w:rsidRPr="006605A3">
                    <w:rPr>
                      <w:sz w:val="16"/>
                      <w:szCs w:val="20"/>
                    </w:rPr>
                    <w:t>0.876683</w:t>
                  </w:r>
                </w:p>
              </w:tc>
              <w:tc>
                <w:tcPr>
                  <w:tcW w:w="901" w:type="dxa"/>
                  <w:noWrap/>
                  <w:vAlign w:val="bottom"/>
                </w:tcPr>
                <w:p w14:paraId="5C0A5B26" w14:textId="77777777" w:rsidR="003424D3" w:rsidRPr="006605A3" w:rsidRDefault="003424D3" w:rsidP="00CD4F3A">
                  <w:pPr>
                    <w:pStyle w:val="TableText"/>
                    <w:jc w:val="both"/>
                    <w:rPr>
                      <w:sz w:val="16"/>
                      <w:szCs w:val="20"/>
                    </w:rPr>
                  </w:pPr>
                  <w:r w:rsidRPr="006605A3">
                    <w:rPr>
                      <w:sz w:val="16"/>
                      <w:szCs w:val="20"/>
                    </w:rPr>
                    <w:t>0.832042</w:t>
                  </w:r>
                </w:p>
              </w:tc>
              <w:tc>
                <w:tcPr>
                  <w:tcW w:w="921" w:type="dxa"/>
                  <w:noWrap/>
                  <w:vAlign w:val="bottom"/>
                </w:tcPr>
                <w:p w14:paraId="1457A4E9" w14:textId="77777777" w:rsidR="003424D3" w:rsidRPr="006605A3" w:rsidRDefault="003424D3" w:rsidP="00CD4F3A">
                  <w:pPr>
                    <w:pStyle w:val="TableText"/>
                    <w:jc w:val="both"/>
                    <w:rPr>
                      <w:sz w:val="16"/>
                      <w:szCs w:val="20"/>
                    </w:rPr>
                  </w:pPr>
                  <w:r w:rsidRPr="006605A3">
                    <w:rPr>
                      <w:sz w:val="16"/>
                      <w:szCs w:val="20"/>
                    </w:rPr>
                    <w:t>0.75272</w:t>
                  </w:r>
                </w:p>
              </w:tc>
              <w:tc>
                <w:tcPr>
                  <w:tcW w:w="956" w:type="dxa"/>
                  <w:noWrap/>
                  <w:vAlign w:val="bottom"/>
                </w:tcPr>
                <w:p w14:paraId="015E4BE6" w14:textId="77777777" w:rsidR="003424D3" w:rsidRPr="006605A3" w:rsidRDefault="003424D3" w:rsidP="00CD4F3A">
                  <w:pPr>
                    <w:pStyle w:val="TableText"/>
                    <w:jc w:val="both"/>
                    <w:rPr>
                      <w:sz w:val="16"/>
                      <w:szCs w:val="20"/>
                    </w:rPr>
                  </w:pPr>
                  <w:r w:rsidRPr="006605A3">
                    <w:rPr>
                      <w:sz w:val="16"/>
                      <w:szCs w:val="20"/>
                    </w:rPr>
                    <w:t>0.56945</w:t>
                  </w:r>
                </w:p>
              </w:tc>
              <w:tc>
                <w:tcPr>
                  <w:tcW w:w="990" w:type="dxa"/>
                  <w:noWrap/>
                  <w:vAlign w:val="bottom"/>
                </w:tcPr>
                <w:p w14:paraId="19927473" w14:textId="77777777" w:rsidR="003424D3" w:rsidRPr="006605A3" w:rsidRDefault="003424D3" w:rsidP="00CD4F3A">
                  <w:pPr>
                    <w:pStyle w:val="TableText"/>
                    <w:jc w:val="both"/>
                    <w:rPr>
                      <w:sz w:val="16"/>
                      <w:szCs w:val="20"/>
                    </w:rPr>
                  </w:pPr>
                  <w:r w:rsidRPr="006605A3">
                    <w:rPr>
                      <w:sz w:val="16"/>
                      <w:szCs w:val="20"/>
                    </w:rPr>
                    <w:t>0.467127</w:t>
                  </w:r>
                </w:p>
              </w:tc>
              <w:tc>
                <w:tcPr>
                  <w:tcW w:w="1022" w:type="dxa"/>
                  <w:vAlign w:val="bottom"/>
                </w:tcPr>
                <w:p w14:paraId="228A149B" w14:textId="77777777" w:rsidR="003424D3" w:rsidRPr="006605A3" w:rsidRDefault="003424D3" w:rsidP="00CD4F3A">
                  <w:pPr>
                    <w:pStyle w:val="TableText"/>
                    <w:jc w:val="both"/>
                    <w:rPr>
                      <w:sz w:val="16"/>
                      <w:szCs w:val="20"/>
                    </w:rPr>
                  </w:pPr>
                  <w:r w:rsidRPr="006605A3">
                    <w:rPr>
                      <w:sz w:val="16"/>
                      <w:szCs w:val="20"/>
                    </w:rPr>
                    <w:t>0.337385</w:t>
                  </w:r>
                </w:p>
              </w:tc>
              <w:tc>
                <w:tcPr>
                  <w:tcW w:w="472" w:type="dxa"/>
                  <w:vAlign w:val="bottom"/>
                </w:tcPr>
                <w:p w14:paraId="26453F76"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79976FC5" w14:textId="77777777" w:rsidTr="00A03DAB">
              <w:trPr>
                <w:trHeight w:val="285"/>
                <w:jc w:val="center"/>
              </w:trPr>
              <w:tc>
                <w:tcPr>
                  <w:tcW w:w="723" w:type="dxa"/>
                  <w:noWrap/>
                  <w:vAlign w:val="bottom"/>
                  <w:hideMark/>
                </w:tcPr>
                <w:p w14:paraId="271385BD" w14:textId="77777777" w:rsidR="003424D3" w:rsidRPr="006605A3" w:rsidRDefault="003424D3" w:rsidP="00CD4F3A">
                  <w:pPr>
                    <w:pStyle w:val="TableText"/>
                    <w:jc w:val="both"/>
                    <w:rPr>
                      <w:sz w:val="16"/>
                      <w:szCs w:val="20"/>
                    </w:rPr>
                  </w:pPr>
                  <w:r w:rsidRPr="006605A3">
                    <w:rPr>
                      <w:sz w:val="16"/>
                      <w:szCs w:val="20"/>
                    </w:rPr>
                    <w:t>Bus 07</w:t>
                  </w:r>
                </w:p>
              </w:tc>
              <w:tc>
                <w:tcPr>
                  <w:tcW w:w="314" w:type="dxa"/>
                  <w:noWrap/>
                  <w:vAlign w:val="bottom"/>
                </w:tcPr>
                <w:p w14:paraId="32FE697F"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6521EBB3" w14:textId="77777777" w:rsidR="003424D3" w:rsidRPr="006605A3" w:rsidRDefault="003424D3" w:rsidP="00CD4F3A">
                  <w:pPr>
                    <w:pStyle w:val="TableText"/>
                    <w:jc w:val="both"/>
                    <w:rPr>
                      <w:sz w:val="16"/>
                      <w:szCs w:val="20"/>
                    </w:rPr>
                  </w:pPr>
                  <w:r w:rsidRPr="006605A3">
                    <w:rPr>
                      <w:sz w:val="16"/>
                      <w:szCs w:val="20"/>
                    </w:rPr>
                    <w:t>0.892532</w:t>
                  </w:r>
                </w:p>
              </w:tc>
              <w:tc>
                <w:tcPr>
                  <w:tcW w:w="901" w:type="dxa"/>
                  <w:noWrap/>
                  <w:vAlign w:val="bottom"/>
                </w:tcPr>
                <w:p w14:paraId="615C2591" w14:textId="77777777" w:rsidR="003424D3" w:rsidRPr="006605A3" w:rsidRDefault="003424D3" w:rsidP="00CD4F3A">
                  <w:pPr>
                    <w:pStyle w:val="TableText"/>
                    <w:jc w:val="both"/>
                    <w:rPr>
                      <w:sz w:val="16"/>
                      <w:szCs w:val="20"/>
                    </w:rPr>
                  </w:pPr>
                  <w:r w:rsidRPr="006605A3">
                    <w:rPr>
                      <w:sz w:val="16"/>
                      <w:szCs w:val="20"/>
                    </w:rPr>
                    <w:t>0.895287</w:t>
                  </w:r>
                </w:p>
              </w:tc>
              <w:tc>
                <w:tcPr>
                  <w:tcW w:w="901" w:type="dxa"/>
                  <w:noWrap/>
                  <w:vAlign w:val="bottom"/>
                </w:tcPr>
                <w:p w14:paraId="271A08F7" w14:textId="77777777" w:rsidR="003424D3" w:rsidRPr="006605A3" w:rsidRDefault="003424D3" w:rsidP="00CD4F3A">
                  <w:pPr>
                    <w:pStyle w:val="TableText"/>
                    <w:jc w:val="both"/>
                    <w:rPr>
                      <w:sz w:val="16"/>
                      <w:szCs w:val="20"/>
                    </w:rPr>
                  </w:pPr>
                  <w:r w:rsidRPr="006605A3">
                    <w:rPr>
                      <w:sz w:val="16"/>
                      <w:szCs w:val="20"/>
                    </w:rPr>
                    <w:t>0.870951</w:t>
                  </w:r>
                </w:p>
              </w:tc>
              <w:tc>
                <w:tcPr>
                  <w:tcW w:w="901" w:type="dxa"/>
                  <w:noWrap/>
                  <w:vAlign w:val="bottom"/>
                </w:tcPr>
                <w:p w14:paraId="2CD6A4AD" w14:textId="77777777" w:rsidR="003424D3" w:rsidRPr="006605A3" w:rsidRDefault="003424D3" w:rsidP="00CD4F3A">
                  <w:pPr>
                    <w:pStyle w:val="TableText"/>
                    <w:jc w:val="both"/>
                    <w:rPr>
                      <w:sz w:val="16"/>
                      <w:szCs w:val="20"/>
                    </w:rPr>
                  </w:pPr>
                  <w:r w:rsidRPr="006605A3">
                    <w:rPr>
                      <w:sz w:val="16"/>
                      <w:szCs w:val="20"/>
                    </w:rPr>
                    <w:t>0.816728</w:t>
                  </w:r>
                </w:p>
              </w:tc>
              <w:tc>
                <w:tcPr>
                  <w:tcW w:w="921" w:type="dxa"/>
                  <w:noWrap/>
                  <w:vAlign w:val="bottom"/>
                </w:tcPr>
                <w:p w14:paraId="41785C7C" w14:textId="77777777" w:rsidR="003424D3" w:rsidRPr="006605A3" w:rsidRDefault="003424D3" w:rsidP="00CD4F3A">
                  <w:pPr>
                    <w:pStyle w:val="TableText"/>
                    <w:jc w:val="both"/>
                    <w:rPr>
                      <w:sz w:val="16"/>
                      <w:szCs w:val="20"/>
                    </w:rPr>
                  </w:pPr>
                  <w:r w:rsidRPr="006605A3">
                    <w:rPr>
                      <w:sz w:val="16"/>
                      <w:szCs w:val="20"/>
                    </w:rPr>
                    <w:t>0.718954</w:t>
                  </w:r>
                </w:p>
              </w:tc>
              <w:tc>
                <w:tcPr>
                  <w:tcW w:w="956" w:type="dxa"/>
                  <w:noWrap/>
                  <w:vAlign w:val="bottom"/>
                </w:tcPr>
                <w:p w14:paraId="4180E081" w14:textId="77777777" w:rsidR="003424D3" w:rsidRPr="006605A3" w:rsidRDefault="003424D3" w:rsidP="00CD4F3A">
                  <w:pPr>
                    <w:pStyle w:val="TableText"/>
                    <w:jc w:val="both"/>
                    <w:rPr>
                      <w:sz w:val="16"/>
                      <w:szCs w:val="20"/>
                    </w:rPr>
                  </w:pPr>
                  <w:r w:rsidRPr="006605A3">
                    <w:rPr>
                      <w:sz w:val="16"/>
                      <w:szCs w:val="20"/>
                    </w:rPr>
                    <w:t>0.483093</w:t>
                  </w:r>
                </w:p>
              </w:tc>
              <w:tc>
                <w:tcPr>
                  <w:tcW w:w="990" w:type="dxa"/>
                  <w:noWrap/>
                  <w:vAlign w:val="bottom"/>
                </w:tcPr>
                <w:p w14:paraId="08319E71" w14:textId="77777777" w:rsidR="003424D3" w:rsidRPr="006605A3" w:rsidRDefault="003424D3" w:rsidP="00CD4F3A">
                  <w:pPr>
                    <w:pStyle w:val="TableText"/>
                    <w:jc w:val="both"/>
                    <w:rPr>
                      <w:sz w:val="16"/>
                      <w:szCs w:val="20"/>
                    </w:rPr>
                  </w:pPr>
                  <w:r w:rsidRPr="006605A3">
                    <w:rPr>
                      <w:sz w:val="16"/>
                      <w:szCs w:val="20"/>
                    </w:rPr>
                    <w:t>0.35374</w:t>
                  </w:r>
                </w:p>
              </w:tc>
              <w:tc>
                <w:tcPr>
                  <w:tcW w:w="1022" w:type="dxa"/>
                  <w:vAlign w:val="bottom"/>
                </w:tcPr>
                <w:p w14:paraId="729805E7" w14:textId="77777777" w:rsidR="003424D3" w:rsidRPr="006605A3" w:rsidRDefault="003424D3" w:rsidP="00CD4F3A">
                  <w:pPr>
                    <w:pStyle w:val="TableText"/>
                    <w:jc w:val="both"/>
                    <w:rPr>
                      <w:sz w:val="16"/>
                      <w:szCs w:val="20"/>
                    </w:rPr>
                  </w:pPr>
                  <w:r w:rsidRPr="006605A3">
                    <w:rPr>
                      <w:sz w:val="16"/>
                      <w:szCs w:val="20"/>
                    </w:rPr>
                    <w:t>0.192371</w:t>
                  </w:r>
                </w:p>
              </w:tc>
              <w:tc>
                <w:tcPr>
                  <w:tcW w:w="472" w:type="dxa"/>
                  <w:vAlign w:val="bottom"/>
                </w:tcPr>
                <w:p w14:paraId="4D27593E"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088A0A6" w14:textId="77777777" w:rsidTr="00A03DAB">
              <w:trPr>
                <w:trHeight w:val="285"/>
                <w:jc w:val="center"/>
              </w:trPr>
              <w:tc>
                <w:tcPr>
                  <w:tcW w:w="723" w:type="dxa"/>
                  <w:noWrap/>
                  <w:vAlign w:val="bottom"/>
                  <w:hideMark/>
                </w:tcPr>
                <w:p w14:paraId="41A7C703" w14:textId="77777777" w:rsidR="003424D3" w:rsidRPr="006605A3" w:rsidRDefault="003424D3" w:rsidP="00CD4F3A">
                  <w:pPr>
                    <w:pStyle w:val="TableText"/>
                    <w:jc w:val="both"/>
                    <w:rPr>
                      <w:sz w:val="16"/>
                      <w:szCs w:val="20"/>
                    </w:rPr>
                  </w:pPr>
                  <w:r w:rsidRPr="006605A3">
                    <w:rPr>
                      <w:sz w:val="16"/>
                      <w:szCs w:val="20"/>
                    </w:rPr>
                    <w:t>Bus 08</w:t>
                  </w:r>
                </w:p>
              </w:tc>
              <w:tc>
                <w:tcPr>
                  <w:tcW w:w="314" w:type="dxa"/>
                  <w:noWrap/>
                  <w:vAlign w:val="bottom"/>
                </w:tcPr>
                <w:p w14:paraId="5C8A8E09"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4A77E834" w14:textId="77777777" w:rsidR="003424D3" w:rsidRPr="006605A3" w:rsidRDefault="003424D3" w:rsidP="00CD4F3A">
                  <w:pPr>
                    <w:pStyle w:val="TableText"/>
                    <w:jc w:val="both"/>
                    <w:rPr>
                      <w:sz w:val="16"/>
                      <w:szCs w:val="20"/>
                    </w:rPr>
                  </w:pPr>
                  <w:r w:rsidRPr="006605A3">
                    <w:rPr>
                      <w:sz w:val="16"/>
                      <w:szCs w:val="20"/>
                    </w:rPr>
                    <w:t>0.892094</w:t>
                  </w:r>
                </w:p>
              </w:tc>
              <w:tc>
                <w:tcPr>
                  <w:tcW w:w="901" w:type="dxa"/>
                  <w:noWrap/>
                  <w:vAlign w:val="bottom"/>
                </w:tcPr>
                <w:p w14:paraId="7513F32C" w14:textId="77777777" w:rsidR="003424D3" w:rsidRPr="006605A3" w:rsidRDefault="003424D3" w:rsidP="00CD4F3A">
                  <w:pPr>
                    <w:pStyle w:val="TableText"/>
                    <w:jc w:val="both"/>
                    <w:rPr>
                      <w:sz w:val="16"/>
                      <w:szCs w:val="20"/>
                    </w:rPr>
                  </w:pPr>
                  <w:r w:rsidRPr="006605A3">
                    <w:rPr>
                      <w:sz w:val="16"/>
                      <w:szCs w:val="20"/>
                    </w:rPr>
                    <w:t>0.894018</w:t>
                  </w:r>
                </w:p>
              </w:tc>
              <w:tc>
                <w:tcPr>
                  <w:tcW w:w="901" w:type="dxa"/>
                  <w:noWrap/>
                  <w:vAlign w:val="bottom"/>
                </w:tcPr>
                <w:p w14:paraId="1964C87C" w14:textId="77777777" w:rsidR="003424D3" w:rsidRPr="006605A3" w:rsidRDefault="003424D3" w:rsidP="00CD4F3A">
                  <w:pPr>
                    <w:pStyle w:val="TableText"/>
                    <w:jc w:val="both"/>
                    <w:rPr>
                      <w:sz w:val="16"/>
                      <w:szCs w:val="20"/>
                    </w:rPr>
                  </w:pPr>
                  <w:r w:rsidRPr="006605A3">
                    <w:rPr>
                      <w:sz w:val="16"/>
                      <w:szCs w:val="20"/>
                    </w:rPr>
                    <w:t>0.867163</w:t>
                  </w:r>
                </w:p>
              </w:tc>
              <w:tc>
                <w:tcPr>
                  <w:tcW w:w="901" w:type="dxa"/>
                  <w:noWrap/>
                  <w:vAlign w:val="bottom"/>
                </w:tcPr>
                <w:p w14:paraId="4A6C0D4B" w14:textId="77777777" w:rsidR="003424D3" w:rsidRPr="006605A3" w:rsidRDefault="003424D3" w:rsidP="00CD4F3A">
                  <w:pPr>
                    <w:pStyle w:val="TableText"/>
                    <w:jc w:val="both"/>
                    <w:rPr>
                      <w:sz w:val="16"/>
                      <w:szCs w:val="20"/>
                    </w:rPr>
                  </w:pPr>
                  <w:r w:rsidRPr="006605A3">
                    <w:rPr>
                      <w:sz w:val="16"/>
                      <w:szCs w:val="20"/>
                    </w:rPr>
                    <w:t>0.808481</w:t>
                  </w:r>
                </w:p>
              </w:tc>
              <w:tc>
                <w:tcPr>
                  <w:tcW w:w="921" w:type="dxa"/>
                  <w:noWrap/>
                  <w:vAlign w:val="bottom"/>
                </w:tcPr>
                <w:p w14:paraId="2E46E4B1" w14:textId="77777777" w:rsidR="003424D3" w:rsidRPr="006605A3" w:rsidRDefault="003424D3" w:rsidP="00CD4F3A">
                  <w:pPr>
                    <w:pStyle w:val="TableText"/>
                    <w:jc w:val="both"/>
                    <w:rPr>
                      <w:sz w:val="16"/>
                      <w:szCs w:val="20"/>
                    </w:rPr>
                  </w:pPr>
                  <w:r w:rsidRPr="006605A3">
                    <w:rPr>
                      <w:sz w:val="16"/>
                      <w:szCs w:val="20"/>
                    </w:rPr>
                    <w:t>0.702651</w:t>
                  </w:r>
                </w:p>
              </w:tc>
              <w:tc>
                <w:tcPr>
                  <w:tcW w:w="956" w:type="dxa"/>
                  <w:noWrap/>
                  <w:vAlign w:val="bottom"/>
                </w:tcPr>
                <w:p w14:paraId="70C02A19" w14:textId="77777777" w:rsidR="003424D3" w:rsidRPr="006605A3" w:rsidRDefault="003424D3" w:rsidP="00CD4F3A">
                  <w:pPr>
                    <w:pStyle w:val="TableText"/>
                    <w:jc w:val="both"/>
                    <w:rPr>
                      <w:sz w:val="16"/>
                      <w:szCs w:val="20"/>
                    </w:rPr>
                  </w:pPr>
                  <w:r w:rsidRPr="006605A3">
                    <w:rPr>
                      <w:sz w:val="16"/>
                      <w:szCs w:val="20"/>
                    </w:rPr>
                    <w:t>0.452105</w:t>
                  </w:r>
                </w:p>
              </w:tc>
              <w:tc>
                <w:tcPr>
                  <w:tcW w:w="990" w:type="dxa"/>
                  <w:noWrap/>
                  <w:vAlign w:val="bottom"/>
                </w:tcPr>
                <w:p w14:paraId="171BEC15" w14:textId="77777777" w:rsidR="003424D3" w:rsidRPr="006605A3" w:rsidRDefault="003424D3" w:rsidP="00CD4F3A">
                  <w:pPr>
                    <w:pStyle w:val="TableText"/>
                    <w:jc w:val="both"/>
                    <w:rPr>
                      <w:sz w:val="16"/>
                      <w:szCs w:val="20"/>
                    </w:rPr>
                  </w:pPr>
                  <w:r w:rsidRPr="006605A3">
                    <w:rPr>
                      <w:sz w:val="16"/>
                      <w:szCs w:val="20"/>
                    </w:rPr>
                    <w:t>0.319393</w:t>
                  </w:r>
                </w:p>
              </w:tc>
              <w:tc>
                <w:tcPr>
                  <w:tcW w:w="1022" w:type="dxa"/>
                  <w:vAlign w:val="bottom"/>
                </w:tcPr>
                <w:p w14:paraId="253CA3CB" w14:textId="77777777" w:rsidR="003424D3" w:rsidRPr="006605A3" w:rsidRDefault="003424D3" w:rsidP="00CD4F3A">
                  <w:pPr>
                    <w:pStyle w:val="TableText"/>
                    <w:jc w:val="both"/>
                    <w:rPr>
                      <w:sz w:val="16"/>
                      <w:szCs w:val="20"/>
                    </w:rPr>
                  </w:pPr>
                  <w:r w:rsidRPr="006605A3">
                    <w:rPr>
                      <w:sz w:val="16"/>
                      <w:szCs w:val="20"/>
                    </w:rPr>
                    <w:t>0.153754</w:t>
                  </w:r>
                </w:p>
              </w:tc>
              <w:tc>
                <w:tcPr>
                  <w:tcW w:w="472" w:type="dxa"/>
                  <w:vAlign w:val="bottom"/>
                </w:tcPr>
                <w:p w14:paraId="22646522"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68D86B9" w14:textId="77777777" w:rsidTr="00A03DAB">
              <w:trPr>
                <w:trHeight w:val="285"/>
                <w:jc w:val="center"/>
              </w:trPr>
              <w:tc>
                <w:tcPr>
                  <w:tcW w:w="723" w:type="dxa"/>
                  <w:noWrap/>
                  <w:vAlign w:val="bottom"/>
                  <w:hideMark/>
                </w:tcPr>
                <w:p w14:paraId="1487A4DF" w14:textId="77777777" w:rsidR="003424D3" w:rsidRPr="006605A3" w:rsidRDefault="003424D3" w:rsidP="00CD4F3A">
                  <w:pPr>
                    <w:pStyle w:val="TableText"/>
                    <w:jc w:val="both"/>
                    <w:rPr>
                      <w:sz w:val="16"/>
                      <w:szCs w:val="20"/>
                    </w:rPr>
                  </w:pPr>
                  <w:r w:rsidRPr="006605A3">
                    <w:rPr>
                      <w:sz w:val="16"/>
                      <w:szCs w:val="20"/>
                    </w:rPr>
                    <w:t>Bus 12</w:t>
                  </w:r>
                </w:p>
              </w:tc>
              <w:tc>
                <w:tcPr>
                  <w:tcW w:w="314" w:type="dxa"/>
                  <w:noWrap/>
                  <w:vAlign w:val="bottom"/>
                </w:tcPr>
                <w:p w14:paraId="32CCCB11"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75971829" w14:textId="77777777" w:rsidR="003424D3" w:rsidRPr="006605A3" w:rsidRDefault="003424D3" w:rsidP="00CD4F3A">
                  <w:pPr>
                    <w:pStyle w:val="TableText"/>
                    <w:jc w:val="both"/>
                    <w:rPr>
                      <w:sz w:val="16"/>
                      <w:szCs w:val="20"/>
                    </w:rPr>
                  </w:pPr>
                  <w:r w:rsidRPr="006605A3">
                    <w:rPr>
                      <w:sz w:val="16"/>
                      <w:szCs w:val="20"/>
                    </w:rPr>
                    <w:t>0.888729</w:t>
                  </w:r>
                </w:p>
              </w:tc>
              <w:tc>
                <w:tcPr>
                  <w:tcW w:w="901" w:type="dxa"/>
                  <w:noWrap/>
                  <w:vAlign w:val="bottom"/>
                </w:tcPr>
                <w:p w14:paraId="4086E24E" w14:textId="77777777" w:rsidR="003424D3" w:rsidRPr="006605A3" w:rsidRDefault="003424D3" w:rsidP="00CD4F3A">
                  <w:pPr>
                    <w:pStyle w:val="TableText"/>
                    <w:jc w:val="both"/>
                    <w:rPr>
                      <w:sz w:val="16"/>
                      <w:szCs w:val="20"/>
                    </w:rPr>
                  </w:pPr>
                  <w:r w:rsidRPr="006605A3">
                    <w:rPr>
                      <w:sz w:val="16"/>
                      <w:szCs w:val="20"/>
                    </w:rPr>
                    <w:t>0.891464</w:t>
                  </w:r>
                </w:p>
              </w:tc>
              <w:tc>
                <w:tcPr>
                  <w:tcW w:w="901" w:type="dxa"/>
                  <w:noWrap/>
                  <w:vAlign w:val="bottom"/>
                </w:tcPr>
                <w:p w14:paraId="11A4A0E2" w14:textId="77777777" w:rsidR="003424D3" w:rsidRPr="006605A3" w:rsidRDefault="003424D3" w:rsidP="00CD4F3A">
                  <w:pPr>
                    <w:pStyle w:val="TableText"/>
                    <w:jc w:val="both"/>
                    <w:rPr>
                      <w:sz w:val="16"/>
                      <w:szCs w:val="20"/>
                    </w:rPr>
                  </w:pPr>
                  <w:r w:rsidRPr="006605A3">
                    <w:rPr>
                      <w:sz w:val="16"/>
                      <w:szCs w:val="20"/>
                    </w:rPr>
                    <w:t>0.872548</w:t>
                  </w:r>
                </w:p>
              </w:tc>
              <w:tc>
                <w:tcPr>
                  <w:tcW w:w="901" w:type="dxa"/>
                  <w:noWrap/>
                  <w:vAlign w:val="bottom"/>
                </w:tcPr>
                <w:p w14:paraId="73BCA9B5" w14:textId="77777777" w:rsidR="003424D3" w:rsidRPr="006605A3" w:rsidRDefault="003424D3" w:rsidP="00CD4F3A">
                  <w:pPr>
                    <w:pStyle w:val="TableText"/>
                    <w:jc w:val="both"/>
                    <w:rPr>
                      <w:sz w:val="16"/>
                      <w:szCs w:val="20"/>
                    </w:rPr>
                  </w:pPr>
                  <w:r w:rsidRPr="006605A3">
                    <w:rPr>
                      <w:sz w:val="16"/>
                      <w:szCs w:val="20"/>
                    </w:rPr>
                    <w:t>0.831588</w:t>
                  </w:r>
                </w:p>
              </w:tc>
              <w:tc>
                <w:tcPr>
                  <w:tcW w:w="921" w:type="dxa"/>
                  <w:noWrap/>
                  <w:vAlign w:val="bottom"/>
                </w:tcPr>
                <w:p w14:paraId="27C77A05" w14:textId="77777777" w:rsidR="003424D3" w:rsidRPr="006605A3" w:rsidRDefault="003424D3" w:rsidP="00CD4F3A">
                  <w:pPr>
                    <w:pStyle w:val="TableText"/>
                    <w:jc w:val="both"/>
                    <w:rPr>
                      <w:sz w:val="16"/>
                      <w:szCs w:val="20"/>
                    </w:rPr>
                  </w:pPr>
                  <w:r w:rsidRPr="006605A3">
                    <w:rPr>
                      <w:sz w:val="16"/>
                      <w:szCs w:val="20"/>
                    </w:rPr>
                    <w:t>0.759996</w:t>
                  </w:r>
                </w:p>
              </w:tc>
              <w:tc>
                <w:tcPr>
                  <w:tcW w:w="956" w:type="dxa"/>
                  <w:noWrap/>
                  <w:vAlign w:val="bottom"/>
                </w:tcPr>
                <w:p w14:paraId="2AA0CFA2" w14:textId="77777777" w:rsidR="003424D3" w:rsidRPr="006605A3" w:rsidRDefault="003424D3" w:rsidP="00CD4F3A">
                  <w:pPr>
                    <w:pStyle w:val="TableText"/>
                    <w:jc w:val="both"/>
                    <w:rPr>
                      <w:sz w:val="16"/>
                      <w:szCs w:val="20"/>
                    </w:rPr>
                  </w:pPr>
                  <w:r w:rsidRPr="006605A3">
                    <w:rPr>
                      <w:sz w:val="16"/>
                      <w:szCs w:val="20"/>
                    </w:rPr>
                    <w:t>0.584699</w:t>
                  </w:r>
                </w:p>
              </w:tc>
              <w:tc>
                <w:tcPr>
                  <w:tcW w:w="990" w:type="dxa"/>
                  <w:noWrap/>
                  <w:vAlign w:val="bottom"/>
                </w:tcPr>
                <w:p w14:paraId="764A4E11" w14:textId="77777777" w:rsidR="003424D3" w:rsidRPr="006605A3" w:rsidRDefault="003424D3" w:rsidP="00CD4F3A">
                  <w:pPr>
                    <w:pStyle w:val="TableText"/>
                    <w:jc w:val="both"/>
                    <w:rPr>
                      <w:sz w:val="16"/>
                      <w:szCs w:val="20"/>
                    </w:rPr>
                  </w:pPr>
                  <w:r w:rsidRPr="006605A3">
                    <w:rPr>
                      <w:sz w:val="16"/>
                      <w:szCs w:val="20"/>
                    </w:rPr>
                    <w:t>0.468227</w:t>
                  </w:r>
                </w:p>
              </w:tc>
              <w:tc>
                <w:tcPr>
                  <w:tcW w:w="1022" w:type="dxa"/>
                  <w:vAlign w:val="bottom"/>
                </w:tcPr>
                <w:p w14:paraId="1BA1E8AD" w14:textId="77777777" w:rsidR="003424D3" w:rsidRPr="006605A3" w:rsidRDefault="003424D3" w:rsidP="00CD4F3A">
                  <w:pPr>
                    <w:pStyle w:val="TableText"/>
                    <w:jc w:val="both"/>
                    <w:rPr>
                      <w:sz w:val="16"/>
                      <w:szCs w:val="20"/>
                    </w:rPr>
                  </w:pPr>
                  <w:r w:rsidRPr="006605A3">
                    <w:rPr>
                      <w:sz w:val="16"/>
                      <w:szCs w:val="20"/>
                    </w:rPr>
                    <w:t>0.323141</w:t>
                  </w:r>
                </w:p>
              </w:tc>
              <w:tc>
                <w:tcPr>
                  <w:tcW w:w="472" w:type="dxa"/>
                  <w:vAlign w:val="bottom"/>
                </w:tcPr>
                <w:p w14:paraId="2D67EA20"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1960B06D" w14:textId="77777777" w:rsidTr="00A03DAB">
              <w:trPr>
                <w:trHeight w:val="285"/>
                <w:jc w:val="center"/>
              </w:trPr>
              <w:tc>
                <w:tcPr>
                  <w:tcW w:w="723" w:type="dxa"/>
                  <w:noWrap/>
                  <w:vAlign w:val="bottom"/>
                  <w:hideMark/>
                </w:tcPr>
                <w:p w14:paraId="7E762A6A" w14:textId="77777777" w:rsidR="003424D3" w:rsidRPr="006605A3" w:rsidRDefault="003424D3" w:rsidP="00CD4F3A">
                  <w:pPr>
                    <w:pStyle w:val="TableText"/>
                    <w:jc w:val="both"/>
                    <w:rPr>
                      <w:sz w:val="16"/>
                      <w:szCs w:val="20"/>
                    </w:rPr>
                  </w:pPr>
                  <w:r w:rsidRPr="006605A3">
                    <w:rPr>
                      <w:sz w:val="16"/>
                      <w:szCs w:val="20"/>
                    </w:rPr>
                    <w:t>Bus 15</w:t>
                  </w:r>
                </w:p>
              </w:tc>
              <w:tc>
                <w:tcPr>
                  <w:tcW w:w="314" w:type="dxa"/>
                  <w:noWrap/>
                  <w:vAlign w:val="bottom"/>
                </w:tcPr>
                <w:p w14:paraId="16462217"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1B969051" w14:textId="77777777" w:rsidR="003424D3" w:rsidRPr="006605A3" w:rsidRDefault="003424D3" w:rsidP="00CD4F3A">
                  <w:pPr>
                    <w:pStyle w:val="TableText"/>
                    <w:jc w:val="both"/>
                    <w:rPr>
                      <w:sz w:val="16"/>
                      <w:szCs w:val="20"/>
                    </w:rPr>
                  </w:pPr>
                  <w:r w:rsidRPr="006605A3">
                    <w:rPr>
                      <w:sz w:val="16"/>
                      <w:szCs w:val="20"/>
                    </w:rPr>
                    <w:t>0.896387</w:t>
                  </w:r>
                </w:p>
              </w:tc>
              <w:tc>
                <w:tcPr>
                  <w:tcW w:w="901" w:type="dxa"/>
                  <w:noWrap/>
                  <w:vAlign w:val="bottom"/>
                </w:tcPr>
                <w:p w14:paraId="7A2B4399" w14:textId="77777777" w:rsidR="003424D3" w:rsidRPr="006605A3" w:rsidRDefault="003424D3" w:rsidP="00CD4F3A">
                  <w:pPr>
                    <w:pStyle w:val="TableText"/>
                    <w:jc w:val="both"/>
                    <w:rPr>
                      <w:sz w:val="16"/>
                      <w:szCs w:val="20"/>
                    </w:rPr>
                  </w:pPr>
                  <w:r w:rsidRPr="006605A3">
                    <w:rPr>
                      <w:sz w:val="16"/>
                      <w:szCs w:val="20"/>
                    </w:rPr>
                    <w:t>0.908102</w:t>
                  </w:r>
                </w:p>
              </w:tc>
              <w:tc>
                <w:tcPr>
                  <w:tcW w:w="901" w:type="dxa"/>
                  <w:noWrap/>
                  <w:vAlign w:val="bottom"/>
                </w:tcPr>
                <w:p w14:paraId="68CD2C0E" w14:textId="77777777" w:rsidR="003424D3" w:rsidRPr="006605A3" w:rsidRDefault="003424D3" w:rsidP="00CD4F3A">
                  <w:pPr>
                    <w:pStyle w:val="TableText"/>
                    <w:jc w:val="both"/>
                    <w:rPr>
                      <w:sz w:val="16"/>
                      <w:szCs w:val="20"/>
                    </w:rPr>
                  </w:pPr>
                  <w:r w:rsidRPr="006605A3">
                    <w:rPr>
                      <w:sz w:val="16"/>
                      <w:szCs w:val="20"/>
                    </w:rPr>
                    <w:t>0.89557</w:t>
                  </w:r>
                </w:p>
              </w:tc>
              <w:tc>
                <w:tcPr>
                  <w:tcW w:w="901" w:type="dxa"/>
                  <w:noWrap/>
                  <w:vAlign w:val="bottom"/>
                </w:tcPr>
                <w:p w14:paraId="22200F72" w14:textId="77777777" w:rsidR="003424D3" w:rsidRPr="006605A3" w:rsidRDefault="003424D3" w:rsidP="00CD4F3A">
                  <w:pPr>
                    <w:pStyle w:val="TableText"/>
                    <w:jc w:val="both"/>
                    <w:rPr>
                      <w:sz w:val="16"/>
                      <w:szCs w:val="20"/>
                    </w:rPr>
                  </w:pPr>
                  <w:r w:rsidRPr="006605A3">
                    <w:rPr>
                      <w:sz w:val="16"/>
                      <w:szCs w:val="20"/>
                    </w:rPr>
                    <w:t>0.86429</w:t>
                  </w:r>
                </w:p>
              </w:tc>
              <w:tc>
                <w:tcPr>
                  <w:tcW w:w="921" w:type="dxa"/>
                  <w:noWrap/>
                  <w:vAlign w:val="bottom"/>
                </w:tcPr>
                <w:p w14:paraId="42FD53A4" w14:textId="77777777" w:rsidR="003424D3" w:rsidRPr="006605A3" w:rsidRDefault="003424D3" w:rsidP="00CD4F3A">
                  <w:pPr>
                    <w:pStyle w:val="TableText"/>
                    <w:jc w:val="both"/>
                    <w:rPr>
                      <w:sz w:val="16"/>
                      <w:szCs w:val="20"/>
                    </w:rPr>
                  </w:pPr>
                  <w:r w:rsidRPr="006605A3">
                    <w:rPr>
                      <w:sz w:val="16"/>
                      <w:szCs w:val="20"/>
                    </w:rPr>
                    <w:t>0.808991</w:t>
                  </w:r>
                </w:p>
              </w:tc>
              <w:tc>
                <w:tcPr>
                  <w:tcW w:w="956" w:type="dxa"/>
                  <w:noWrap/>
                  <w:vAlign w:val="bottom"/>
                </w:tcPr>
                <w:p w14:paraId="0B7EA282" w14:textId="77777777" w:rsidR="003424D3" w:rsidRPr="006605A3" w:rsidRDefault="003424D3" w:rsidP="00CD4F3A">
                  <w:pPr>
                    <w:pStyle w:val="TableText"/>
                    <w:jc w:val="both"/>
                    <w:rPr>
                      <w:sz w:val="16"/>
                      <w:szCs w:val="20"/>
                    </w:rPr>
                  </w:pPr>
                  <w:r w:rsidRPr="006605A3">
                    <w:rPr>
                      <w:sz w:val="16"/>
                      <w:szCs w:val="20"/>
                    </w:rPr>
                    <w:t>0.692589</w:t>
                  </w:r>
                </w:p>
              </w:tc>
              <w:tc>
                <w:tcPr>
                  <w:tcW w:w="990" w:type="dxa"/>
                  <w:noWrap/>
                  <w:vAlign w:val="bottom"/>
                </w:tcPr>
                <w:p w14:paraId="142D063C" w14:textId="77777777" w:rsidR="003424D3" w:rsidRPr="006605A3" w:rsidRDefault="003424D3" w:rsidP="00CD4F3A">
                  <w:pPr>
                    <w:pStyle w:val="TableText"/>
                    <w:jc w:val="both"/>
                    <w:rPr>
                      <w:sz w:val="16"/>
                      <w:szCs w:val="20"/>
                    </w:rPr>
                  </w:pPr>
                  <w:r w:rsidRPr="006605A3">
                    <w:rPr>
                      <w:sz w:val="16"/>
                      <w:szCs w:val="20"/>
                    </w:rPr>
                    <w:t>0.632099</w:t>
                  </w:r>
                </w:p>
              </w:tc>
              <w:tc>
                <w:tcPr>
                  <w:tcW w:w="1022" w:type="dxa"/>
                  <w:vAlign w:val="bottom"/>
                </w:tcPr>
                <w:p w14:paraId="1E54D755" w14:textId="77777777" w:rsidR="003424D3" w:rsidRPr="006605A3" w:rsidRDefault="003424D3" w:rsidP="00CD4F3A">
                  <w:pPr>
                    <w:pStyle w:val="TableText"/>
                    <w:jc w:val="both"/>
                    <w:rPr>
                      <w:sz w:val="16"/>
                      <w:szCs w:val="20"/>
                    </w:rPr>
                  </w:pPr>
                  <w:r w:rsidRPr="006605A3">
                    <w:rPr>
                      <w:sz w:val="16"/>
                      <w:szCs w:val="20"/>
                    </w:rPr>
                    <w:t>0.556398</w:t>
                  </w:r>
                </w:p>
              </w:tc>
              <w:tc>
                <w:tcPr>
                  <w:tcW w:w="472" w:type="dxa"/>
                  <w:vAlign w:val="bottom"/>
                </w:tcPr>
                <w:p w14:paraId="37D59FD0"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5F737AA6" w14:textId="77777777" w:rsidTr="00A03DAB">
              <w:trPr>
                <w:trHeight w:val="285"/>
                <w:jc w:val="center"/>
              </w:trPr>
              <w:tc>
                <w:tcPr>
                  <w:tcW w:w="723" w:type="dxa"/>
                  <w:noWrap/>
                  <w:vAlign w:val="bottom"/>
                  <w:hideMark/>
                </w:tcPr>
                <w:p w14:paraId="2D5D127A" w14:textId="77777777" w:rsidR="003424D3" w:rsidRPr="006605A3" w:rsidRDefault="003424D3" w:rsidP="00CD4F3A">
                  <w:pPr>
                    <w:pStyle w:val="TableText"/>
                    <w:jc w:val="both"/>
                    <w:rPr>
                      <w:sz w:val="16"/>
                      <w:szCs w:val="20"/>
                    </w:rPr>
                  </w:pPr>
                  <w:r w:rsidRPr="006605A3">
                    <w:rPr>
                      <w:sz w:val="16"/>
                      <w:szCs w:val="20"/>
                    </w:rPr>
                    <w:t>Bus 16</w:t>
                  </w:r>
                </w:p>
              </w:tc>
              <w:tc>
                <w:tcPr>
                  <w:tcW w:w="314" w:type="dxa"/>
                  <w:noWrap/>
                  <w:vAlign w:val="bottom"/>
                </w:tcPr>
                <w:p w14:paraId="669A93BB"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53225CBA" w14:textId="77777777" w:rsidR="003424D3" w:rsidRPr="006605A3" w:rsidRDefault="003424D3" w:rsidP="00CD4F3A">
                  <w:pPr>
                    <w:pStyle w:val="TableText"/>
                    <w:jc w:val="both"/>
                    <w:rPr>
                      <w:sz w:val="16"/>
                      <w:szCs w:val="20"/>
                    </w:rPr>
                  </w:pPr>
                  <w:r w:rsidRPr="006605A3">
                    <w:rPr>
                      <w:sz w:val="16"/>
                      <w:szCs w:val="20"/>
                    </w:rPr>
                    <w:t>0.91411</w:t>
                  </w:r>
                </w:p>
              </w:tc>
              <w:tc>
                <w:tcPr>
                  <w:tcW w:w="901" w:type="dxa"/>
                  <w:noWrap/>
                  <w:vAlign w:val="bottom"/>
                </w:tcPr>
                <w:p w14:paraId="684C25B5" w14:textId="77777777" w:rsidR="003424D3" w:rsidRPr="006605A3" w:rsidRDefault="003424D3" w:rsidP="00CD4F3A">
                  <w:pPr>
                    <w:pStyle w:val="TableText"/>
                    <w:jc w:val="both"/>
                    <w:rPr>
                      <w:sz w:val="16"/>
                      <w:szCs w:val="20"/>
                    </w:rPr>
                  </w:pPr>
                  <w:r w:rsidRPr="006605A3">
                    <w:rPr>
                      <w:sz w:val="16"/>
                      <w:szCs w:val="20"/>
                    </w:rPr>
                    <w:t>0.92914</w:t>
                  </w:r>
                </w:p>
              </w:tc>
              <w:tc>
                <w:tcPr>
                  <w:tcW w:w="901" w:type="dxa"/>
                  <w:noWrap/>
                  <w:vAlign w:val="bottom"/>
                </w:tcPr>
                <w:p w14:paraId="4C4F7E4C" w14:textId="77777777" w:rsidR="003424D3" w:rsidRPr="006605A3" w:rsidRDefault="003424D3" w:rsidP="00CD4F3A">
                  <w:pPr>
                    <w:pStyle w:val="TableText"/>
                    <w:jc w:val="both"/>
                    <w:rPr>
                      <w:sz w:val="16"/>
                      <w:szCs w:val="20"/>
                    </w:rPr>
                  </w:pPr>
                  <w:r w:rsidRPr="006605A3">
                    <w:rPr>
                      <w:sz w:val="16"/>
                      <w:szCs w:val="20"/>
                    </w:rPr>
                    <w:t>0.921766</w:t>
                  </w:r>
                </w:p>
              </w:tc>
              <w:tc>
                <w:tcPr>
                  <w:tcW w:w="901" w:type="dxa"/>
                  <w:noWrap/>
                  <w:vAlign w:val="bottom"/>
                </w:tcPr>
                <w:p w14:paraId="20AD18E1" w14:textId="77777777" w:rsidR="003424D3" w:rsidRPr="006605A3" w:rsidRDefault="003424D3" w:rsidP="00CD4F3A">
                  <w:pPr>
                    <w:pStyle w:val="TableText"/>
                    <w:jc w:val="both"/>
                    <w:rPr>
                      <w:sz w:val="16"/>
                      <w:szCs w:val="20"/>
                    </w:rPr>
                  </w:pPr>
                  <w:r w:rsidRPr="006605A3">
                    <w:rPr>
                      <w:sz w:val="16"/>
                      <w:szCs w:val="20"/>
                    </w:rPr>
                    <w:t>0.899064</w:t>
                  </w:r>
                </w:p>
              </w:tc>
              <w:tc>
                <w:tcPr>
                  <w:tcW w:w="921" w:type="dxa"/>
                  <w:noWrap/>
                  <w:vAlign w:val="bottom"/>
                </w:tcPr>
                <w:p w14:paraId="2BA03F77" w14:textId="77777777" w:rsidR="003424D3" w:rsidRPr="006605A3" w:rsidRDefault="003424D3" w:rsidP="00CD4F3A">
                  <w:pPr>
                    <w:pStyle w:val="TableText"/>
                    <w:jc w:val="both"/>
                    <w:rPr>
                      <w:sz w:val="16"/>
                      <w:szCs w:val="20"/>
                    </w:rPr>
                  </w:pPr>
                  <w:r w:rsidRPr="006605A3">
                    <w:rPr>
                      <w:sz w:val="16"/>
                      <w:szCs w:val="20"/>
                    </w:rPr>
                    <w:t>0.85771</w:t>
                  </w:r>
                </w:p>
              </w:tc>
              <w:tc>
                <w:tcPr>
                  <w:tcW w:w="956" w:type="dxa"/>
                  <w:noWrap/>
                  <w:vAlign w:val="bottom"/>
                </w:tcPr>
                <w:p w14:paraId="3DAF75E6" w14:textId="77777777" w:rsidR="003424D3" w:rsidRPr="006605A3" w:rsidRDefault="003424D3" w:rsidP="00CD4F3A">
                  <w:pPr>
                    <w:pStyle w:val="TableText"/>
                    <w:jc w:val="both"/>
                    <w:rPr>
                      <w:sz w:val="16"/>
                      <w:szCs w:val="20"/>
                    </w:rPr>
                  </w:pPr>
                  <w:r w:rsidRPr="006605A3">
                    <w:rPr>
                      <w:sz w:val="16"/>
                      <w:szCs w:val="20"/>
                    </w:rPr>
                    <w:t>0.772933</w:t>
                  </w:r>
                </w:p>
              </w:tc>
              <w:tc>
                <w:tcPr>
                  <w:tcW w:w="990" w:type="dxa"/>
                  <w:noWrap/>
                  <w:vAlign w:val="bottom"/>
                </w:tcPr>
                <w:p w14:paraId="0F4ABED7" w14:textId="77777777" w:rsidR="003424D3" w:rsidRPr="006605A3" w:rsidRDefault="003424D3" w:rsidP="00CD4F3A">
                  <w:pPr>
                    <w:pStyle w:val="TableText"/>
                    <w:jc w:val="both"/>
                    <w:rPr>
                      <w:sz w:val="16"/>
                      <w:szCs w:val="20"/>
                    </w:rPr>
                  </w:pPr>
                  <w:r w:rsidRPr="006605A3">
                    <w:rPr>
                      <w:sz w:val="16"/>
                      <w:szCs w:val="20"/>
                    </w:rPr>
                    <w:t>0.73184</w:t>
                  </w:r>
                </w:p>
              </w:tc>
              <w:tc>
                <w:tcPr>
                  <w:tcW w:w="1022" w:type="dxa"/>
                  <w:vAlign w:val="bottom"/>
                </w:tcPr>
                <w:p w14:paraId="4188001E" w14:textId="77777777" w:rsidR="003424D3" w:rsidRPr="006605A3" w:rsidRDefault="003424D3" w:rsidP="00CD4F3A">
                  <w:pPr>
                    <w:pStyle w:val="TableText"/>
                    <w:jc w:val="both"/>
                    <w:rPr>
                      <w:sz w:val="16"/>
                      <w:szCs w:val="20"/>
                    </w:rPr>
                  </w:pPr>
                  <w:r w:rsidRPr="006605A3">
                    <w:rPr>
                      <w:sz w:val="16"/>
                      <w:szCs w:val="20"/>
                    </w:rPr>
                    <w:t>0.679531</w:t>
                  </w:r>
                </w:p>
              </w:tc>
              <w:tc>
                <w:tcPr>
                  <w:tcW w:w="472" w:type="dxa"/>
                  <w:vAlign w:val="bottom"/>
                </w:tcPr>
                <w:p w14:paraId="197959B7"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01ECF4F" w14:textId="77777777" w:rsidTr="00A03DAB">
              <w:trPr>
                <w:trHeight w:val="285"/>
                <w:jc w:val="center"/>
              </w:trPr>
              <w:tc>
                <w:tcPr>
                  <w:tcW w:w="723" w:type="dxa"/>
                  <w:noWrap/>
                  <w:vAlign w:val="bottom"/>
                  <w:hideMark/>
                </w:tcPr>
                <w:p w14:paraId="6C3522D8" w14:textId="77777777" w:rsidR="003424D3" w:rsidRPr="006605A3" w:rsidRDefault="003424D3" w:rsidP="00CD4F3A">
                  <w:pPr>
                    <w:pStyle w:val="TableText"/>
                    <w:jc w:val="both"/>
                    <w:rPr>
                      <w:sz w:val="16"/>
                      <w:szCs w:val="20"/>
                    </w:rPr>
                  </w:pPr>
                  <w:r w:rsidRPr="006605A3">
                    <w:rPr>
                      <w:sz w:val="16"/>
                      <w:szCs w:val="20"/>
                    </w:rPr>
                    <w:t>Bus 18</w:t>
                  </w:r>
                </w:p>
              </w:tc>
              <w:tc>
                <w:tcPr>
                  <w:tcW w:w="314" w:type="dxa"/>
                  <w:noWrap/>
                  <w:vAlign w:val="bottom"/>
                </w:tcPr>
                <w:p w14:paraId="4D86B1ED"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4364BBDF" w14:textId="77777777" w:rsidR="003424D3" w:rsidRPr="006605A3" w:rsidRDefault="003424D3" w:rsidP="00CD4F3A">
                  <w:pPr>
                    <w:pStyle w:val="TableText"/>
                    <w:jc w:val="both"/>
                    <w:rPr>
                      <w:sz w:val="16"/>
                      <w:szCs w:val="20"/>
                    </w:rPr>
                  </w:pPr>
                  <w:r w:rsidRPr="006605A3">
                    <w:rPr>
                      <w:sz w:val="16"/>
                      <w:szCs w:val="20"/>
                    </w:rPr>
                    <w:t>0.912911</w:t>
                  </w:r>
                </w:p>
              </w:tc>
              <w:tc>
                <w:tcPr>
                  <w:tcW w:w="901" w:type="dxa"/>
                  <w:noWrap/>
                  <w:vAlign w:val="bottom"/>
                </w:tcPr>
                <w:p w14:paraId="0A882DA3" w14:textId="77777777" w:rsidR="003424D3" w:rsidRPr="006605A3" w:rsidRDefault="003424D3" w:rsidP="00CD4F3A">
                  <w:pPr>
                    <w:pStyle w:val="TableText"/>
                    <w:jc w:val="both"/>
                    <w:rPr>
                      <w:sz w:val="16"/>
                      <w:szCs w:val="20"/>
                    </w:rPr>
                  </w:pPr>
                  <w:r w:rsidRPr="006605A3">
                    <w:rPr>
                      <w:sz w:val="16"/>
                      <w:szCs w:val="20"/>
                    </w:rPr>
                    <w:t>0.924344</w:t>
                  </w:r>
                </w:p>
              </w:tc>
              <w:tc>
                <w:tcPr>
                  <w:tcW w:w="901" w:type="dxa"/>
                  <w:noWrap/>
                  <w:vAlign w:val="bottom"/>
                </w:tcPr>
                <w:p w14:paraId="254B6E9A" w14:textId="77777777" w:rsidR="003424D3" w:rsidRPr="006605A3" w:rsidRDefault="003424D3" w:rsidP="00CD4F3A">
                  <w:pPr>
                    <w:pStyle w:val="TableText"/>
                    <w:jc w:val="both"/>
                    <w:rPr>
                      <w:sz w:val="16"/>
                      <w:szCs w:val="20"/>
                    </w:rPr>
                  </w:pPr>
                  <w:r w:rsidRPr="006605A3">
                    <w:rPr>
                      <w:sz w:val="16"/>
                      <w:szCs w:val="20"/>
                    </w:rPr>
                    <w:t>0.91109</w:t>
                  </w:r>
                </w:p>
              </w:tc>
              <w:tc>
                <w:tcPr>
                  <w:tcW w:w="901" w:type="dxa"/>
                  <w:noWrap/>
                  <w:vAlign w:val="bottom"/>
                </w:tcPr>
                <w:p w14:paraId="59DEE01D" w14:textId="77777777" w:rsidR="003424D3" w:rsidRPr="006605A3" w:rsidRDefault="003424D3" w:rsidP="00CD4F3A">
                  <w:pPr>
                    <w:pStyle w:val="TableText"/>
                    <w:jc w:val="both"/>
                    <w:rPr>
                      <w:sz w:val="16"/>
                      <w:szCs w:val="20"/>
                    </w:rPr>
                  </w:pPr>
                  <w:r w:rsidRPr="006605A3">
                    <w:rPr>
                      <w:sz w:val="16"/>
                      <w:szCs w:val="20"/>
                    </w:rPr>
                    <w:t>0.877651</w:t>
                  </w:r>
                </w:p>
              </w:tc>
              <w:tc>
                <w:tcPr>
                  <w:tcW w:w="921" w:type="dxa"/>
                  <w:noWrap/>
                  <w:vAlign w:val="bottom"/>
                </w:tcPr>
                <w:p w14:paraId="56488E07" w14:textId="77777777" w:rsidR="003424D3" w:rsidRPr="006605A3" w:rsidRDefault="003424D3" w:rsidP="00CD4F3A">
                  <w:pPr>
                    <w:pStyle w:val="TableText"/>
                    <w:jc w:val="both"/>
                    <w:rPr>
                      <w:sz w:val="16"/>
                      <w:szCs w:val="20"/>
                    </w:rPr>
                  </w:pPr>
                  <w:r w:rsidRPr="006605A3">
                    <w:rPr>
                      <w:sz w:val="16"/>
                      <w:szCs w:val="20"/>
                    </w:rPr>
                    <w:t>0.8175</w:t>
                  </w:r>
                </w:p>
              </w:tc>
              <w:tc>
                <w:tcPr>
                  <w:tcW w:w="956" w:type="dxa"/>
                  <w:noWrap/>
                  <w:vAlign w:val="bottom"/>
                </w:tcPr>
                <w:p w14:paraId="387D860C" w14:textId="77777777" w:rsidR="003424D3" w:rsidRPr="006605A3" w:rsidRDefault="003424D3" w:rsidP="00CD4F3A">
                  <w:pPr>
                    <w:pStyle w:val="TableText"/>
                    <w:jc w:val="both"/>
                    <w:rPr>
                      <w:sz w:val="16"/>
                      <w:szCs w:val="20"/>
                    </w:rPr>
                  </w:pPr>
                  <w:r w:rsidRPr="006605A3">
                    <w:rPr>
                      <w:sz w:val="16"/>
                      <w:szCs w:val="20"/>
                    </w:rPr>
                    <w:t>0.6951</w:t>
                  </w:r>
                </w:p>
              </w:tc>
              <w:tc>
                <w:tcPr>
                  <w:tcW w:w="990" w:type="dxa"/>
                  <w:noWrap/>
                  <w:vAlign w:val="bottom"/>
                </w:tcPr>
                <w:p w14:paraId="428C5C97" w14:textId="77777777" w:rsidR="003424D3" w:rsidRPr="006605A3" w:rsidRDefault="003424D3" w:rsidP="00CD4F3A">
                  <w:pPr>
                    <w:pStyle w:val="TableText"/>
                    <w:jc w:val="both"/>
                    <w:rPr>
                      <w:sz w:val="16"/>
                      <w:szCs w:val="20"/>
                    </w:rPr>
                  </w:pPr>
                  <w:r w:rsidRPr="006605A3">
                    <w:rPr>
                      <w:sz w:val="16"/>
                      <w:szCs w:val="20"/>
                    </w:rPr>
                    <w:t>0.639102</w:t>
                  </w:r>
                </w:p>
              </w:tc>
              <w:tc>
                <w:tcPr>
                  <w:tcW w:w="1022" w:type="dxa"/>
                  <w:vAlign w:val="bottom"/>
                </w:tcPr>
                <w:p w14:paraId="1DC8EBB8" w14:textId="77777777" w:rsidR="003424D3" w:rsidRPr="006605A3" w:rsidRDefault="003424D3" w:rsidP="00CD4F3A">
                  <w:pPr>
                    <w:pStyle w:val="TableText"/>
                    <w:jc w:val="both"/>
                    <w:rPr>
                      <w:sz w:val="16"/>
                      <w:szCs w:val="20"/>
                    </w:rPr>
                  </w:pPr>
                  <w:r w:rsidRPr="006605A3">
                    <w:rPr>
                      <w:sz w:val="16"/>
                      <w:szCs w:val="20"/>
                    </w:rPr>
                    <w:t>0.564474</w:t>
                  </w:r>
                </w:p>
              </w:tc>
              <w:tc>
                <w:tcPr>
                  <w:tcW w:w="472" w:type="dxa"/>
                  <w:vAlign w:val="bottom"/>
                </w:tcPr>
                <w:p w14:paraId="4007A3AC"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7952035" w14:textId="77777777" w:rsidTr="00A03DAB">
              <w:trPr>
                <w:trHeight w:val="285"/>
                <w:jc w:val="center"/>
              </w:trPr>
              <w:tc>
                <w:tcPr>
                  <w:tcW w:w="723" w:type="dxa"/>
                  <w:noWrap/>
                  <w:vAlign w:val="bottom"/>
                  <w:hideMark/>
                </w:tcPr>
                <w:p w14:paraId="3903CAAA" w14:textId="77777777" w:rsidR="003424D3" w:rsidRPr="006605A3" w:rsidRDefault="003424D3" w:rsidP="00CD4F3A">
                  <w:pPr>
                    <w:pStyle w:val="TableText"/>
                    <w:jc w:val="both"/>
                    <w:rPr>
                      <w:sz w:val="16"/>
                      <w:szCs w:val="20"/>
                    </w:rPr>
                  </w:pPr>
                  <w:r w:rsidRPr="006605A3">
                    <w:rPr>
                      <w:sz w:val="16"/>
                      <w:szCs w:val="20"/>
                    </w:rPr>
                    <w:t>Bus 20</w:t>
                  </w:r>
                </w:p>
              </w:tc>
              <w:tc>
                <w:tcPr>
                  <w:tcW w:w="314" w:type="dxa"/>
                  <w:noWrap/>
                  <w:vAlign w:val="bottom"/>
                </w:tcPr>
                <w:p w14:paraId="6182A1BE"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6B83D0E9" w14:textId="77777777" w:rsidR="003424D3" w:rsidRPr="006605A3" w:rsidRDefault="003424D3" w:rsidP="00CD4F3A">
                  <w:pPr>
                    <w:pStyle w:val="TableText"/>
                    <w:jc w:val="both"/>
                    <w:rPr>
                      <w:sz w:val="16"/>
                      <w:szCs w:val="20"/>
                    </w:rPr>
                  </w:pPr>
                  <w:r w:rsidRPr="006605A3">
                    <w:rPr>
                      <w:sz w:val="16"/>
                      <w:szCs w:val="20"/>
                    </w:rPr>
                    <w:t>0.960324</w:t>
                  </w:r>
                </w:p>
              </w:tc>
              <w:tc>
                <w:tcPr>
                  <w:tcW w:w="901" w:type="dxa"/>
                  <w:noWrap/>
                  <w:vAlign w:val="bottom"/>
                </w:tcPr>
                <w:p w14:paraId="3AF26126" w14:textId="77777777" w:rsidR="003424D3" w:rsidRPr="006605A3" w:rsidRDefault="003424D3" w:rsidP="00CD4F3A">
                  <w:pPr>
                    <w:pStyle w:val="TableText"/>
                    <w:jc w:val="both"/>
                    <w:rPr>
                      <w:sz w:val="16"/>
                      <w:szCs w:val="20"/>
                    </w:rPr>
                  </w:pPr>
                  <w:r w:rsidRPr="006605A3">
                    <w:rPr>
                      <w:sz w:val="16"/>
                      <w:szCs w:val="20"/>
                    </w:rPr>
                    <w:t>0.964428</w:t>
                  </w:r>
                </w:p>
              </w:tc>
              <w:tc>
                <w:tcPr>
                  <w:tcW w:w="901" w:type="dxa"/>
                  <w:noWrap/>
                  <w:vAlign w:val="bottom"/>
                </w:tcPr>
                <w:p w14:paraId="7F85B4DC" w14:textId="77777777" w:rsidR="003424D3" w:rsidRPr="006605A3" w:rsidRDefault="003424D3" w:rsidP="00CD4F3A">
                  <w:pPr>
                    <w:pStyle w:val="TableText"/>
                    <w:jc w:val="both"/>
                    <w:rPr>
                      <w:sz w:val="16"/>
                      <w:szCs w:val="20"/>
                    </w:rPr>
                  </w:pPr>
                  <w:r w:rsidRPr="006605A3">
                    <w:rPr>
                      <w:sz w:val="16"/>
                      <w:szCs w:val="20"/>
                    </w:rPr>
                    <w:t>0.961298</w:t>
                  </w:r>
                </w:p>
              </w:tc>
              <w:tc>
                <w:tcPr>
                  <w:tcW w:w="901" w:type="dxa"/>
                  <w:noWrap/>
                  <w:vAlign w:val="bottom"/>
                </w:tcPr>
                <w:p w14:paraId="477855C1" w14:textId="77777777" w:rsidR="003424D3" w:rsidRPr="006605A3" w:rsidRDefault="003424D3" w:rsidP="00CD4F3A">
                  <w:pPr>
                    <w:pStyle w:val="TableText"/>
                    <w:jc w:val="both"/>
                    <w:rPr>
                      <w:sz w:val="16"/>
                      <w:szCs w:val="20"/>
                    </w:rPr>
                  </w:pPr>
                  <w:r w:rsidRPr="006605A3">
                    <w:rPr>
                      <w:sz w:val="16"/>
                      <w:szCs w:val="20"/>
                    </w:rPr>
                    <w:t>0.953632</w:t>
                  </w:r>
                </w:p>
              </w:tc>
              <w:tc>
                <w:tcPr>
                  <w:tcW w:w="921" w:type="dxa"/>
                  <w:noWrap/>
                  <w:vAlign w:val="bottom"/>
                </w:tcPr>
                <w:p w14:paraId="6E7EB470" w14:textId="77777777" w:rsidR="003424D3" w:rsidRPr="006605A3" w:rsidRDefault="003424D3" w:rsidP="00CD4F3A">
                  <w:pPr>
                    <w:pStyle w:val="TableText"/>
                    <w:jc w:val="both"/>
                    <w:rPr>
                      <w:sz w:val="16"/>
                      <w:szCs w:val="20"/>
                    </w:rPr>
                  </w:pPr>
                  <w:r w:rsidRPr="006605A3">
                    <w:rPr>
                      <w:sz w:val="16"/>
                      <w:szCs w:val="20"/>
                    </w:rPr>
                    <w:t>0.940969</w:t>
                  </w:r>
                </w:p>
              </w:tc>
              <w:tc>
                <w:tcPr>
                  <w:tcW w:w="956" w:type="dxa"/>
                  <w:noWrap/>
                  <w:vAlign w:val="bottom"/>
                </w:tcPr>
                <w:p w14:paraId="0DDD190A" w14:textId="77777777" w:rsidR="003424D3" w:rsidRPr="006605A3" w:rsidRDefault="003424D3" w:rsidP="00CD4F3A">
                  <w:pPr>
                    <w:pStyle w:val="TableText"/>
                    <w:jc w:val="both"/>
                    <w:rPr>
                      <w:sz w:val="16"/>
                      <w:szCs w:val="20"/>
                    </w:rPr>
                  </w:pPr>
                  <w:r w:rsidRPr="006605A3">
                    <w:rPr>
                      <w:sz w:val="16"/>
                      <w:szCs w:val="20"/>
                    </w:rPr>
                    <w:t>0.918578</w:t>
                  </w:r>
                </w:p>
              </w:tc>
              <w:tc>
                <w:tcPr>
                  <w:tcW w:w="990" w:type="dxa"/>
                  <w:noWrap/>
                  <w:vAlign w:val="bottom"/>
                </w:tcPr>
                <w:p w14:paraId="76163AEB" w14:textId="77777777" w:rsidR="003424D3" w:rsidRPr="006605A3" w:rsidRDefault="003424D3" w:rsidP="00CD4F3A">
                  <w:pPr>
                    <w:pStyle w:val="TableText"/>
                    <w:jc w:val="both"/>
                    <w:rPr>
                      <w:sz w:val="16"/>
                      <w:szCs w:val="20"/>
                    </w:rPr>
                  </w:pPr>
                  <w:r w:rsidRPr="006605A3">
                    <w:rPr>
                      <w:sz w:val="16"/>
                      <w:szCs w:val="20"/>
                    </w:rPr>
                    <w:t>0.909166</w:t>
                  </w:r>
                </w:p>
              </w:tc>
              <w:tc>
                <w:tcPr>
                  <w:tcW w:w="1022" w:type="dxa"/>
                  <w:vAlign w:val="bottom"/>
                </w:tcPr>
                <w:p w14:paraId="4DDF429B" w14:textId="77777777" w:rsidR="003424D3" w:rsidRPr="006605A3" w:rsidRDefault="003424D3" w:rsidP="00CD4F3A">
                  <w:pPr>
                    <w:pStyle w:val="TableText"/>
                    <w:jc w:val="both"/>
                    <w:rPr>
                      <w:sz w:val="16"/>
                      <w:szCs w:val="20"/>
                    </w:rPr>
                  </w:pPr>
                  <w:r w:rsidRPr="006605A3">
                    <w:rPr>
                      <w:sz w:val="16"/>
                      <w:szCs w:val="20"/>
                    </w:rPr>
                    <w:t>0.897592</w:t>
                  </w:r>
                </w:p>
              </w:tc>
              <w:tc>
                <w:tcPr>
                  <w:tcW w:w="472" w:type="dxa"/>
                  <w:vAlign w:val="bottom"/>
                </w:tcPr>
                <w:p w14:paraId="090B0A41"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2E2FF9E2" w14:textId="77777777" w:rsidTr="00A03DAB">
              <w:trPr>
                <w:trHeight w:val="285"/>
                <w:jc w:val="center"/>
              </w:trPr>
              <w:tc>
                <w:tcPr>
                  <w:tcW w:w="723" w:type="dxa"/>
                  <w:noWrap/>
                  <w:vAlign w:val="bottom"/>
                  <w:hideMark/>
                </w:tcPr>
                <w:p w14:paraId="7F013464" w14:textId="77777777" w:rsidR="003424D3" w:rsidRPr="006605A3" w:rsidRDefault="003424D3" w:rsidP="00CD4F3A">
                  <w:pPr>
                    <w:pStyle w:val="TableText"/>
                    <w:jc w:val="both"/>
                    <w:rPr>
                      <w:sz w:val="16"/>
                      <w:szCs w:val="20"/>
                    </w:rPr>
                  </w:pPr>
                  <w:r w:rsidRPr="006605A3">
                    <w:rPr>
                      <w:sz w:val="16"/>
                      <w:szCs w:val="20"/>
                    </w:rPr>
                    <w:t>Bus 21</w:t>
                  </w:r>
                </w:p>
              </w:tc>
              <w:tc>
                <w:tcPr>
                  <w:tcW w:w="314" w:type="dxa"/>
                  <w:noWrap/>
                  <w:vAlign w:val="bottom"/>
                </w:tcPr>
                <w:p w14:paraId="6C43E7CC"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0420668A" w14:textId="77777777" w:rsidR="003424D3" w:rsidRPr="006605A3" w:rsidRDefault="003424D3" w:rsidP="00CD4F3A">
                  <w:pPr>
                    <w:pStyle w:val="TableText"/>
                    <w:jc w:val="both"/>
                    <w:rPr>
                      <w:sz w:val="16"/>
                      <w:szCs w:val="20"/>
                    </w:rPr>
                  </w:pPr>
                  <w:r w:rsidRPr="006605A3">
                    <w:rPr>
                      <w:sz w:val="16"/>
                      <w:szCs w:val="20"/>
                    </w:rPr>
                    <w:t>0.915648</w:t>
                  </w:r>
                </w:p>
              </w:tc>
              <w:tc>
                <w:tcPr>
                  <w:tcW w:w="901" w:type="dxa"/>
                  <w:noWrap/>
                  <w:vAlign w:val="bottom"/>
                </w:tcPr>
                <w:p w14:paraId="6A0A5F1F" w14:textId="77777777" w:rsidR="003424D3" w:rsidRPr="006605A3" w:rsidRDefault="003424D3" w:rsidP="00CD4F3A">
                  <w:pPr>
                    <w:pStyle w:val="TableText"/>
                    <w:jc w:val="both"/>
                    <w:rPr>
                      <w:sz w:val="16"/>
                      <w:szCs w:val="20"/>
                    </w:rPr>
                  </w:pPr>
                  <w:r w:rsidRPr="006605A3">
                    <w:rPr>
                      <w:sz w:val="16"/>
                      <w:szCs w:val="20"/>
                    </w:rPr>
                    <w:t>0.931328</w:t>
                  </w:r>
                </w:p>
              </w:tc>
              <w:tc>
                <w:tcPr>
                  <w:tcW w:w="901" w:type="dxa"/>
                  <w:noWrap/>
                  <w:vAlign w:val="bottom"/>
                </w:tcPr>
                <w:p w14:paraId="2AF021CC" w14:textId="77777777" w:rsidR="003424D3" w:rsidRPr="006605A3" w:rsidRDefault="003424D3" w:rsidP="00CD4F3A">
                  <w:pPr>
                    <w:pStyle w:val="TableText"/>
                    <w:jc w:val="both"/>
                    <w:rPr>
                      <w:sz w:val="16"/>
                      <w:szCs w:val="20"/>
                    </w:rPr>
                  </w:pPr>
                  <w:r w:rsidRPr="006605A3">
                    <w:rPr>
                      <w:sz w:val="16"/>
                      <w:szCs w:val="20"/>
                    </w:rPr>
                    <w:t>0.926697</w:t>
                  </w:r>
                </w:p>
              </w:tc>
              <w:tc>
                <w:tcPr>
                  <w:tcW w:w="901" w:type="dxa"/>
                  <w:noWrap/>
                  <w:vAlign w:val="bottom"/>
                </w:tcPr>
                <w:p w14:paraId="594D5A69" w14:textId="77777777" w:rsidR="003424D3" w:rsidRPr="006605A3" w:rsidRDefault="003424D3" w:rsidP="00CD4F3A">
                  <w:pPr>
                    <w:pStyle w:val="TableText"/>
                    <w:jc w:val="both"/>
                    <w:rPr>
                      <w:sz w:val="16"/>
                      <w:szCs w:val="20"/>
                    </w:rPr>
                  </w:pPr>
                  <w:r w:rsidRPr="006605A3">
                    <w:rPr>
                      <w:sz w:val="16"/>
                      <w:szCs w:val="20"/>
                    </w:rPr>
                    <w:t>0.909744</w:t>
                  </w:r>
                </w:p>
              </w:tc>
              <w:tc>
                <w:tcPr>
                  <w:tcW w:w="921" w:type="dxa"/>
                  <w:noWrap/>
                  <w:vAlign w:val="bottom"/>
                </w:tcPr>
                <w:p w14:paraId="07925D0B" w14:textId="77777777" w:rsidR="003424D3" w:rsidRPr="006605A3" w:rsidRDefault="003424D3" w:rsidP="00CD4F3A">
                  <w:pPr>
                    <w:pStyle w:val="TableText"/>
                    <w:jc w:val="both"/>
                    <w:rPr>
                      <w:sz w:val="16"/>
                      <w:szCs w:val="20"/>
                    </w:rPr>
                  </w:pPr>
                  <w:r w:rsidRPr="006605A3">
                    <w:rPr>
                      <w:sz w:val="16"/>
                      <w:szCs w:val="20"/>
                    </w:rPr>
                    <w:t>0.878697</w:t>
                  </w:r>
                </w:p>
              </w:tc>
              <w:tc>
                <w:tcPr>
                  <w:tcW w:w="956" w:type="dxa"/>
                  <w:noWrap/>
                  <w:vAlign w:val="bottom"/>
                </w:tcPr>
                <w:p w14:paraId="15081BE2" w14:textId="77777777" w:rsidR="003424D3" w:rsidRPr="006605A3" w:rsidRDefault="003424D3" w:rsidP="00CD4F3A">
                  <w:pPr>
                    <w:pStyle w:val="TableText"/>
                    <w:jc w:val="both"/>
                    <w:rPr>
                      <w:sz w:val="16"/>
                      <w:szCs w:val="20"/>
                    </w:rPr>
                  </w:pPr>
                  <w:r w:rsidRPr="006605A3">
                    <w:rPr>
                      <w:sz w:val="16"/>
                      <w:szCs w:val="20"/>
                    </w:rPr>
                    <w:t>0.816445</w:t>
                  </w:r>
                </w:p>
              </w:tc>
              <w:tc>
                <w:tcPr>
                  <w:tcW w:w="990" w:type="dxa"/>
                  <w:noWrap/>
                  <w:vAlign w:val="bottom"/>
                </w:tcPr>
                <w:p w14:paraId="73225902" w14:textId="77777777" w:rsidR="003424D3" w:rsidRPr="006605A3" w:rsidRDefault="003424D3" w:rsidP="00CD4F3A">
                  <w:pPr>
                    <w:pStyle w:val="TableText"/>
                    <w:jc w:val="both"/>
                    <w:rPr>
                      <w:sz w:val="16"/>
                      <w:szCs w:val="20"/>
                    </w:rPr>
                  </w:pPr>
                  <w:r w:rsidRPr="006605A3">
                    <w:rPr>
                      <w:sz w:val="16"/>
                      <w:szCs w:val="20"/>
                    </w:rPr>
                    <w:t>0.786954</w:t>
                  </w:r>
                </w:p>
              </w:tc>
              <w:tc>
                <w:tcPr>
                  <w:tcW w:w="1022" w:type="dxa"/>
                  <w:vAlign w:val="bottom"/>
                </w:tcPr>
                <w:p w14:paraId="07BD8C81" w14:textId="77777777" w:rsidR="003424D3" w:rsidRPr="006605A3" w:rsidRDefault="003424D3" w:rsidP="00CD4F3A">
                  <w:pPr>
                    <w:pStyle w:val="TableText"/>
                    <w:jc w:val="both"/>
                    <w:rPr>
                      <w:sz w:val="16"/>
                      <w:szCs w:val="20"/>
                    </w:rPr>
                  </w:pPr>
                  <w:r w:rsidRPr="006605A3">
                    <w:rPr>
                      <w:sz w:val="16"/>
                      <w:szCs w:val="20"/>
                    </w:rPr>
                    <w:t>0.749626</w:t>
                  </w:r>
                </w:p>
              </w:tc>
              <w:tc>
                <w:tcPr>
                  <w:tcW w:w="472" w:type="dxa"/>
                  <w:vAlign w:val="bottom"/>
                </w:tcPr>
                <w:p w14:paraId="0DC3DE33"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5646202D" w14:textId="77777777" w:rsidTr="00A03DAB">
              <w:trPr>
                <w:trHeight w:val="285"/>
                <w:jc w:val="center"/>
              </w:trPr>
              <w:tc>
                <w:tcPr>
                  <w:tcW w:w="723" w:type="dxa"/>
                  <w:noWrap/>
                  <w:vAlign w:val="bottom"/>
                  <w:hideMark/>
                </w:tcPr>
                <w:p w14:paraId="01922527" w14:textId="77777777" w:rsidR="003424D3" w:rsidRPr="006605A3" w:rsidRDefault="003424D3" w:rsidP="00CD4F3A">
                  <w:pPr>
                    <w:pStyle w:val="TableText"/>
                    <w:jc w:val="both"/>
                    <w:rPr>
                      <w:sz w:val="16"/>
                      <w:szCs w:val="20"/>
                    </w:rPr>
                  </w:pPr>
                  <w:r w:rsidRPr="006605A3">
                    <w:rPr>
                      <w:sz w:val="16"/>
                      <w:szCs w:val="20"/>
                    </w:rPr>
                    <w:t>Bus 23</w:t>
                  </w:r>
                </w:p>
              </w:tc>
              <w:tc>
                <w:tcPr>
                  <w:tcW w:w="314" w:type="dxa"/>
                  <w:noWrap/>
                  <w:vAlign w:val="bottom"/>
                </w:tcPr>
                <w:p w14:paraId="5EA7F8AC"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6CFBBE77" w14:textId="77777777" w:rsidR="003424D3" w:rsidRPr="006605A3" w:rsidRDefault="003424D3" w:rsidP="00CD4F3A">
                  <w:pPr>
                    <w:pStyle w:val="TableText"/>
                    <w:jc w:val="both"/>
                    <w:rPr>
                      <w:sz w:val="16"/>
                      <w:szCs w:val="20"/>
                    </w:rPr>
                  </w:pPr>
                  <w:r w:rsidRPr="006605A3">
                    <w:rPr>
                      <w:sz w:val="16"/>
                      <w:szCs w:val="20"/>
                    </w:rPr>
                    <w:t>0.940141</w:t>
                  </w:r>
                </w:p>
              </w:tc>
              <w:tc>
                <w:tcPr>
                  <w:tcW w:w="901" w:type="dxa"/>
                  <w:noWrap/>
                  <w:vAlign w:val="bottom"/>
                </w:tcPr>
                <w:p w14:paraId="10C6DAB0" w14:textId="77777777" w:rsidR="003424D3" w:rsidRPr="006605A3" w:rsidRDefault="003424D3" w:rsidP="00CD4F3A">
                  <w:pPr>
                    <w:pStyle w:val="TableText"/>
                    <w:jc w:val="both"/>
                    <w:rPr>
                      <w:sz w:val="16"/>
                      <w:szCs w:val="20"/>
                    </w:rPr>
                  </w:pPr>
                  <w:r w:rsidRPr="006605A3">
                    <w:rPr>
                      <w:sz w:val="16"/>
                      <w:szCs w:val="20"/>
                    </w:rPr>
                    <w:t>0.95386</w:t>
                  </w:r>
                </w:p>
              </w:tc>
              <w:tc>
                <w:tcPr>
                  <w:tcW w:w="901" w:type="dxa"/>
                  <w:noWrap/>
                  <w:vAlign w:val="bottom"/>
                </w:tcPr>
                <w:p w14:paraId="37C0445D" w14:textId="77777777" w:rsidR="003424D3" w:rsidRPr="006605A3" w:rsidRDefault="003424D3" w:rsidP="00CD4F3A">
                  <w:pPr>
                    <w:pStyle w:val="TableText"/>
                    <w:jc w:val="both"/>
                    <w:rPr>
                      <w:sz w:val="16"/>
                      <w:szCs w:val="20"/>
                    </w:rPr>
                  </w:pPr>
                  <w:r w:rsidRPr="006605A3">
                    <w:rPr>
                      <w:sz w:val="16"/>
                      <w:szCs w:val="20"/>
                    </w:rPr>
                    <w:t>0.952726</w:t>
                  </w:r>
                </w:p>
              </w:tc>
              <w:tc>
                <w:tcPr>
                  <w:tcW w:w="901" w:type="dxa"/>
                  <w:noWrap/>
                  <w:vAlign w:val="bottom"/>
                </w:tcPr>
                <w:p w14:paraId="660B86FD" w14:textId="77777777" w:rsidR="003424D3" w:rsidRPr="006605A3" w:rsidRDefault="003424D3" w:rsidP="00CD4F3A">
                  <w:pPr>
                    <w:pStyle w:val="TableText"/>
                    <w:jc w:val="both"/>
                    <w:rPr>
                      <w:sz w:val="16"/>
                      <w:szCs w:val="20"/>
                    </w:rPr>
                  </w:pPr>
                  <w:r w:rsidRPr="006605A3">
                    <w:rPr>
                      <w:sz w:val="16"/>
                      <w:szCs w:val="20"/>
                    </w:rPr>
                    <w:t>0.943818</w:t>
                  </w:r>
                </w:p>
              </w:tc>
              <w:tc>
                <w:tcPr>
                  <w:tcW w:w="921" w:type="dxa"/>
                  <w:noWrap/>
                  <w:vAlign w:val="bottom"/>
                </w:tcPr>
                <w:p w14:paraId="634684A1" w14:textId="77777777" w:rsidR="003424D3" w:rsidRPr="006605A3" w:rsidRDefault="003424D3" w:rsidP="00CD4F3A">
                  <w:pPr>
                    <w:pStyle w:val="TableText"/>
                    <w:jc w:val="both"/>
                    <w:rPr>
                      <w:sz w:val="16"/>
                      <w:szCs w:val="20"/>
                    </w:rPr>
                  </w:pPr>
                  <w:r w:rsidRPr="006605A3">
                    <w:rPr>
                      <w:sz w:val="16"/>
                      <w:szCs w:val="20"/>
                    </w:rPr>
                    <w:t>0.926731</w:t>
                  </w:r>
                </w:p>
              </w:tc>
              <w:tc>
                <w:tcPr>
                  <w:tcW w:w="956" w:type="dxa"/>
                  <w:noWrap/>
                  <w:vAlign w:val="bottom"/>
                </w:tcPr>
                <w:p w14:paraId="235B03D5" w14:textId="77777777" w:rsidR="003424D3" w:rsidRPr="006605A3" w:rsidRDefault="003424D3" w:rsidP="00CD4F3A">
                  <w:pPr>
                    <w:pStyle w:val="TableText"/>
                    <w:jc w:val="both"/>
                    <w:rPr>
                      <w:sz w:val="16"/>
                      <w:szCs w:val="20"/>
                    </w:rPr>
                  </w:pPr>
                  <w:r w:rsidRPr="006605A3">
                    <w:rPr>
                      <w:sz w:val="16"/>
                      <w:szCs w:val="20"/>
                    </w:rPr>
                    <w:t>0.892316</w:t>
                  </w:r>
                </w:p>
              </w:tc>
              <w:tc>
                <w:tcPr>
                  <w:tcW w:w="990" w:type="dxa"/>
                  <w:noWrap/>
                  <w:vAlign w:val="bottom"/>
                </w:tcPr>
                <w:p w14:paraId="75AED911" w14:textId="77777777" w:rsidR="003424D3" w:rsidRPr="006605A3" w:rsidRDefault="003424D3" w:rsidP="00CD4F3A">
                  <w:pPr>
                    <w:pStyle w:val="TableText"/>
                    <w:jc w:val="both"/>
                    <w:rPr>
                      <w:sz w:val="16"/>
                      <w:szCs w:val="20"/>
                    </w:rPr>
                  </w:pPr>
                  <w:r w:rsidRPr="006605A3">
                    <w:rPr>
                      <w:sz w:val="16"/>
                      <w:szCs w:val="20"/>
                    </w:rPr>
                    <w:t>0.876012</w:t>
                  </w:r>
                </w:p>
              </w:tc>
              <w:tc>
                <w:tcPr>
                  <w:tcW w:w="1022" w:type="dxa"/>
                  <w:vAlign w:val="bottom"/>
                </w:tcPr>
                <w:p w14:paraId="4FCA6772" w14:textId="77777777" w:rsidR="003424D3" w:rsidRPr="006605A3" w:rsidRDefault="003424D3" w:rsidP="00CD4F3A">
                  <w:pPr>
                    <w:pStyle w:val="TableText"/>
                    <w:jc w:val="both"/>
                    <w:rPr>
                      <w:sz w:val="16"/>
                      <w:szCs w:val="20"/>
                    </w:rPr>
                  </w:pPr>
                  <w:r w:rsidRPr="006605A3">
                    <w:rPr>
                      <w:sz w:val="16"/>
                      <w:szCs w:val="20"/>
                    </w:rPr>
                    <w:t>0.855373</w:t>
                  </w:r>
                </w:p>
              </w:tc>
              <w:tc>
                <w:tcPr>
                  <w:tcW w:w="472" w:type="dxa"/>
                  <w:vAlign w:val="bottom"/>
                </w:tcPr>
                <w:p w14:paraId="22EF6D70"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1A50C04" w14:textId="77777777" w:rsidTr="00A03DAB">
              <w:trPr>
                <w:trHeight w:val="285"/>
                <w:jc w:val="center"/>
              </w:trPr>
              <w:tc>
                <w:tcPr>
                  <w:tcW w:w="723" w:type="dxa"/>
                  <w:noWrap/>
                  <w:vAlign w:val="bottom"/>
                  <w:hideMark/>
                </w:tcPr>
                <w:p w14:paraId="5B4D4AEB" w14:textId="77777777" w:rsidR="003424D3" w:rsidRPr="006605A3" w:rsidRDefault="003424D3" w:rsidP="00CD4F3A">
                  <w:pPr>
                    <w:pStyle w:val="TableText"/>
                    <w:jc w:val="both"/>
                    <w:rPr>
                      <w:sz w:val="16"/>
                      <w:szCs w:val="20"/>
                    </w:rPr>
                  </w:pPr>
                  <w:r w:rsidRPr="006605A3">
                    <w:rPr>
                      <w:sz w:val="16"/>
                      <w:szCs w:val="20"/>
                    </w:rPr>
                    <w:t>Bus 24</w:t>
                  </w:r>
                </w:p>
              </w:tc>
              <w:tc>
                <w:tcPr>
                  <w:tcW w:w="314" w:type="dxa"/>
                  <w:noWrap/>
                  <w:vAlign w:val="bottom"/>
                </w:tcPr>
                <w:p w14:paraId="3F3FFAC7"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1484833B" w14:textId="77777777" w:rsidR="003424D3" w:rsidRPr="006605A3" w:rsidRDefault="003424D3" w:rsidP="00CD4F3A">
                  <w:pPr>
                    <w:pStyle w:val="TableText"/>
                    <w:jc w:val="both"/>
                    <w:rPr>
                      <w:sz w:val="16"/>
                      <w:szCs w:val="20"/>
                    </w:rPr>
                  </w:pPr>
                  <w:r w:rsidRPr="006605A3">
                    <w:rPr>
                      <w:sz w:val="16"/>
                      <w:szCs w:val="20"/>
                    </w:rPr>
                    <w:t>0.919202</w:t>
                  </w:r>
                </w:p>
              </w:tc>
              <w:tc>
                <w:tcPr>
                  <w:tcW w:w="901" w:type="dxa"/>
                  <w:noWrap/>
                  <w:vAlign w:val="bottom"/>
                </w:tcPr>
                <w:p w14:paraId="3AAB273B" w14:textId="77777777" w:rsidR="003424D3" w:rsidRPr="006605A3" w:rsidRDefault="003424D3" w:rsidP="00CD4F3A">
                  <w:pPr>
                    <w:pStyle w:val="TableText"/>
                    <w:jc w:val="both"/>
                    <w:rPr>
                      <w:sz w:val="16"/>
                      <w:szCs w:val="20"/>
                    </w:rPr>
                  </w:pPr>
                  <w:r w:rsidRPr="006605A3">
                    <w:rPr>
                      <w:sz w:val="16"/>
                      <w:szCs w:val="20"/>
                    </w:rPr>
                    <w:t>0.936271</w:t>
                  </w:r>
                </w:p>
              </w:tc>
              <w:tc>
                <w:tcPr>
                  <w:tcW w:w="901" w:type="dxa"/>
                  <w:noWrap/>
                  <w:vAlign w:val="bottom"/>
                </w:tcPr>
                <w:p w14:paraId="530CD022" w14:textId="77777777" w:rsidR="003424D3" w:rsidRPr="006605A3" w:rsidRDefault="003424D3" w:rsidP="00CD4F3A">
                  <w:pPr>
                    <w:pStyle w:val="TableText"/>
                    <w:jc w:val="both"/>
                    <w:rPr>
                      <w:sz w:val="16"/>
                      <w:szCs w:val="20"/>
                    </w:rPr>
                  </w:pPr>
                  <w:r w:rsidRPr="006605A3">
                    <w:rPr>
                      <w:sz w:val="16"/>
                      <w:szCs w:val="20"/>
                    </w:rPr>
                    <w:t>0.931046</w:t>
                  </w:r>
                </w:p>
              </w:tc>
              <w:tc>
                <w:tcPr>
                  <w:tcW w:w="901" w:type="dxa"/>
                  <w:noWrap/>
                  <w:vAlign w:val="bottom"/>
                </w:tcPr>
                <w:p w14:paraId="2D99900E" w14:textId="77777777" w:rsidR="003424D3" w:rsidRPr="006605A3" w:rsidRDefault="003424D3" w:rsidP="00CD4F3A">
                  <w:pPr>
                    <w:pStyle w:val="TableText"/>
                    <w:jc w:val="both"/>
                    <w:rPr>
                      <w:sz w:val="16"/>
                      <w:szCs w:val="20"/>
                    </w:rPr>
                  </w:pPr>
                  <w:r w:rsidRPr="006605A3">
                    <w:rPr>
                      <w:sz w:val="16"/>
                      <w:szCs w:val="20"/>
                    </w:rPr>
                    <w:t>0.911457</w:t>
                  </w:r>
                </w:p>
              </w:tc>
              <w:tc>
                <w:tcPr>
                  <w:tcW w:w="921" w:type="dxa"/>
                  <w:noWrap/>
                  <w:vAlign w:val="bottom"/>
                </w:tcPr>
                <w:p w14:paraId="77382B8B" w14:textId="77777777" w:rsidR="003424D3" w:rsidRPr="006605A3" w:rsidRDefault="003424D3" w:rsidP="00CD4F3A">
                  <w:pPr>
                    <w:pStyle w:val="TableText"/>
                    <w:jc w:val="both"/>
                    <w:rPr>
                      <w:sz w:val="16"/>
                      <w:szCs w:val="20"/>
                    </w:rPr>
                  </w:pPr>
                  <w:r w:rsidRPr="006605A3">
                    <w:rPr>
                      <w:sz w:val="16"/>
                      <w:szCs w:val="20"/>
                    </w:rPr>
                    <w:t>0.874846</w:t>
                  </w:r>
                </w:p>
              </w:tc>
              <w:tc>
                <w:tcPr>
                  <w:tcW w:w="956" w:type="dxa"/>
                  <w:noWrap/>
                  <w:vAlign w:val="bottom"/>
                </w:tcPr>
                <w:p w14:paraId="40EB781F" w14:textId="77777777" w:rsidR="003424D3" w:rsidRPr="006605A3" w:rsidRDefault="003424D3" w:rsidP="00CD4F3A">
                  <w:pPr>
                    <w:pStyle w:val="TableText"/>
                    <w:jc w:val="both"/>
                    <w:rPr>
                      <w:sz w:val="16"/>
                      <w:szCs w:val="20"/>
                    </w:rPr>
                  </w:pPr>
                  <w:r w:rsidRPr="006605A3">
                    <w:rPr>
                      <w:sz w:val="16"/>
                      <w:szCs w:val="20"/>
                    </w:rPr>
                    <w:t>0.798875</w:t>
                  </w:r>
                </w:p>
              </w:tc>
              <w:tc>
                <w:tcPr>
                  <w:tcW w:w="990" w:type="dxa"/>
                  <w:noWrap/>
                  <w:vAlign w:val="bottom"/>
                </w:tcPr>
                <w:p w14:paraId="246C0439" w14:textId="77777777" w:rsidR="003424D3" w:rsidRPr="006605A3" w:rsidRDefault="003424D3" w:rsidP="00CD4F3A">
                  <w:pPr>
                    <w:pStyle w:val="TableText"/>
                    <w:jc w:val="both"/>
                    <w:rPr>
                      <w:sz w:val="16"/>
                      <w:szCs w:val="20"/>
                    </w:rPr>
                  </w:pPr>
                  <w:r w:rsidRPr="006605A3">
                    <w:rPr>
                      <w:sz w:val="16"/>
                      <w:szCs w:val="20"/>
                    </w:rPr>
                    <w:t>0.761753</w:t>
                  </w:r>
                </w:p>
              </w:tc>
              <w:tc>
                <w:tcPr>
                  <w:tcW w:w="1022" w:type="dxa"/>
                  <w:vAlign w:val="bottom"/>
                </w:tcPr>
                <w:p w14:paraId="5EEAB2B5" w14:textId="77777777" w:rsidR="003424D3" w:rsidRPr="006605A3" w:rsidRDefault="003424D3" w:rsidP="00CD4F3A">
                  <w:pPr>
                    <w:pStyle w:val="TableText"/>
                    <w:jc w:val="both"/>
                    <w:rPr>
                      <w:sz w:val="16"/>
                      <w:szCs w:val="20"/>
                    </w:rPr>
                  </w:pPr>
                  <w:r w:rsidRPr="006605A3">
                    <w:rPr>
                      <w:sz w:val="16"/>
                      <w:szCs w:val="20"/>
                    </w:rPr>
                    <w:t>0.714445</w:t>
                  </w:r>
                </w:p>
              </w:tc>
              <w:tc>
                <w:tcPr>
                  <w:tcW w:w="472" w:type="dxa"/>
                  <w:vAlign w:val="bottom"/>
                </w:tcPr>
                <w:p w14:paraId="6CD6A5D7"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2365D5A" w14:textId="77777777" w:rsidTr="00A03DAB">
              <w:trPr>
                <w:trHeight w:val="285"/>
                <w:jc w:val="center"/>
              </w:trPr>
              <w:tc>
                <w:tcPr>
                  <w:tcW w:w="723" w:type="dxa"/>
                  <w:noWrap/>
                  <w:vAlign w:val="bottom"/>
                  <w:hideMark/>
                </w:tcPr>
                <w:p w14:paraId="33CA9FF0" w14:textId="77777777" w:rsidR="003424D3" w:rsidRPr="006605A3" w:rsidRDefault="003424D3" w:rsidP="00CD4F3A">
                  <w:pPr>
                    <w:pStyle w:val="TableText"/>
                    <w:jc w:val="both"/>
                    <w:rPr>
                      <w:sz w:val="16"/>
                      <w:szCs w:val="20"/>
                    </w:rPr>
                  </w:pPr>
                  <w:r w:rsidRPr="006605A3">
                    <w:rPr>
                      <w:sz w:val="16"/>
                      <w:szCs w:val="20"/>
                    </w:rPr>
                    <w:t>Bus 25</w:t>
                  </w:r>
                </w:p>
              </w:tc>
              <w:tc>
                <w:tcPr>
                  <w:tcW w:w="314" w:type="dxa"/>
                  <w:noWrap/>
                  <w:vAlign w:val="bottom"/>
                </w:tcPr>
                <w:p w14:paraId="7F6693A6"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1D3B4E5E" w14:textId="77777777" w:rsidR="003424D3" w:rsidRPr="006605A3" w:rsidRDefault="003424D3" w:rsidP="00CD4F3A">
                  <w:pPr>
                    <w:pStyle w:val="TableText"/>
                    <w:jc w:val="both"/>
                    <w:rPr>
                      <w:sz w:val="16"/>
                      <w:szCs w:val="20"/>
                    </w:rPr>
                  </w:pPr>
                  <w:r w:rsidRPr="006605A3">
                    <w:rPr>
                      <w:sz w:val="16"/>
                      <w:szCs w:val="20"/>
                    </w:rPr>
                    <w:t>0.959656</w:t>
                  </w:r>
                </w:p>
              </w:tc>
              <w:tc>
                <w:tcPr>
                  <w:tcW w:w="901" w:type="dxa"/>
                  <w:noWrap/>
                  <w:vAlign w:val="bottom"/>
                </w:tcPr>
                <w:p w14:paraId="073A1C2E" w14:textId="77777777" w:rsidR="003424D3" w:rsidRPr="006605A3" w:rsidRDefault="003424D3" w:rsidP="00CD4F3A">
                  <w:pPr>
                    <w:pStyle w:val="TableText"/>
                    <w:jc w:val="both"/>
                    <w:rPr>
                      <w:sz w:val="16"/>
                      <w:szCs w:val="20"/>
                    </w:rPr>
                  </w:pPr>
                  <w:r w:rsidRPr="006605A3">
                    <w:rPr>
                      <w:sz w:val="16"/>
                      <w:szCs w:val="20"/>
                    </w:rPr>
                    <w:t>0.947868</w:t>
                  </w:r>
                </w:p>
              </w:tc>
              <w:tc>
                <w:tcPr>
                  <w:tcW w:w="901" w:type="dxa"/>
                  <w:noWrap/>
                  <w:vAlign w:val="bottom"/>
                </w:tcPr>
                <w:p w14:paraId="5B57D4BF" w14:textId="77777777" w:rsidR="003424D3" w:rsidRPr="006605A3" w:rsidRDefault="003424D3" w:rsidP="00CD4F3A">
                  <w:pPr>
                    <w:pStyle w:val="TableText"/>
                    <w:jc w:val="both"/>
                    <w:rPr>
                      <w:sz w:val="16"/>
                      <w:szCs w:val="20"/>
                    </w:rPr>
                  </w:pPr>
                  <w:r w:rsidRPr="006605A3">
                    <w:rPr>
                      <w:sz w:val="16"/>
                      <w:szCs w:val="20"/>
                    </w:rPr>
                    <w:t>0.9248</w:t>
                  </w:r>
                </w:p>
              </w:tc>
              <w:tc>
                <w:tcPr>
                  <w:tcW w:w="901" w:type="dxa"/>
                  <w:noWrap/>
                  <w:vAlign w:val="bottom"/>
                </w:tcPr>
                <w:p w14:paraId="53897A87" w14:textId="77777777" w:rsidR="003424D3" w:rsidRPr="006605A3" w:rsidRDefault="003424D3" w:rsidP="00CD4F3A">
                  <w:pPr>
                    <w:pStyle w:val="TableText"/>
                    <w:jc w:val="both"/>
                    <w:rPr>
                      <w:sz w:val="16"/>
                      <w:szCs w:val="20"/>
                    </w:rPr>
                  </w:pPr>
                  <w:r w:rsidRPr="006605A3">
                    <w:rPr>
                      <w:sz w:val="16"/>
                      <w:szCs w:val="20"/>
                    </w:rPr>
                    <w:t>0.888776</w:t>
                  </w:r>
                </w:p>
              </w:tc>
              <w:tc>
                <w:tcPr>
                  <w:tcW w:w="921" w:type="dxa"/>
                  <w:noWrap/>
                  <w:vAlign w:val="bottom"/>
                </w:tcPr>
                <w:p w14:paraId="5C2E7066" w14:textId="77777777" w:rsidR="003424D3" w:rsidRPr="006605A3" w:rsidRDefault="003424D3" w:rsidP="00CD4F3A">
                  <w:pPr>
                    <w:pStyle w:val="TableText"/>
                    <w:jc w:val="both"/>
                    <w:rPr>
                      <w:sz w:val="16"/>
                      <w:szCs w:val="20"/>
                    </w:rPr>
                  </w:pPr>
                  <w:r w:rsidRPr="006605A3">
                    <w:rPr>
                      <w:sz w:val="16"/>
                      <w:szCs w:val="20"/>
                    </w:rPr>
                    <w:t>0.831014</w:t>
                  </w:r>
                </w:p>
              </w:tc>
              <w:tc>
                <w:tcPr>
                  <w:tcW w:w="956" w:type="dxa"/>
                  <w:noWrap/>
                  <w:vAlign w:val="bottom"/>
                </w:tcPr>
                <w:p w14:paraId="7C9ACD58" w14:textId="77777777" w:rsidR="003424D3" w:rsidRPr="006605A3" w:rsidRDefault="003424D3" w:rsidP="00CD4F3A">
                  <w:pPr>
                    <w:pStyle w:val="TableText"/>
                    <w:jc w:val="both"/>
                    <w:rPr>
                      <w:sz w:val="16"/>
                      <w:szCs w:val="20"/>
                    </w:rPr>
                  </w:pPr>
                  <w:r w:rsidRPr="006605A3">
                    <w:rPr>
                      <w:sz w:val="16"/>
                      <w:szCs w:val="20"/>
                    </w:rPr>
                    <w:t>0.726616</w:t>
                  </w:r>
                </w:p>
              </w:tc>
              <w:tc>
                <w:tcPr>
                  <w:tcW w:w="990" w:type="dxa"/>
                  <w:noWrap/>
                  <w:vAlign w:val="bottom"/>
                </w:tcPr>
                <w:p w14:paraId="59C4B66F" w14:textId="77777777" w:rsidR="003424D3" w:rsidRPr="006605A3" w:rsidRDefault="003424D3" w:rsidP="00CD4F3A">
                  <w:pPr>
                    <w:pStyle w:val="TableText"/>
                    <w:jc w:val="both"/>
                    <w:rPr>
                      <w:sz w:val="16"/>
                      <w:szCs w:val="20"/>
                    </w:rPr>
                  </w:pPr>
                  <w:r w:rsidRPr="006605A3">
                    <w:rPr>
                      <w:sz w:val="16"/>
                      <w:szCs w:val="20"/>
                    </w:rPr>
                    <w:t>0.687235</w:t>
                  </w:r>
                </w:p>
              </w:tc>
              <w:tc>
                <w:tcPr>
                  <w:tcW w:w="1022" w:type="dxa"/>
                  <w:vAlign w:val="bottom"/>
                </w:tcPr>
                <w:p w14:paraId="6A9797C3" w14:textId="77777777" w:rsidR="003424D3" w:rsidRPr="006605A3" w:rsidRDefault="003424D3" w:rsidP="00CD4F3A">
                  <w:pPr>
                    <w:pStyle w:val="TableText"/>
                    <w:jc w:val="both"/>
                    <w:rPr>
                      <w:sz w:val="16"/>
                      <w:szCs w:val="20"/>
                    </w:rPr>
                  </w:pPr>
                  <w:r w:rsidRPr="006605A3">
                    <w:rPr>
                      <w:sz w:val="16"/>
                      <w:szCs w:val="20"/>
                    </w:rPr>
                    <w:t>0.628575</w:t>
                  </w:r>
                </w:p>
              </w:tc>
              <w:tc>
                <w:tcPr>
                  <w:tcW w:w="472" w:type="dxa"/>
                  <w:vAlign w:val="bottom"/>
                </w:tcPr>
                <w:p w14:paraId="54A61311"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79B2D30D" w14:textId="77777777" w:rsidTr="00A03DAB">
              <w:trPr>
                <w:trHeight w:val="285"/>
                <w:jc w:val="center"/>
              </w:trPr>
              <w:tc>
                <w:tcPr>
                  <w:tcW w:w="723" w:type="dxa"/>
                  <w:noWrap/>
                  <w:vAlign w:val="bottom"/>
                  <w:hideMark/>
                </w:tcPr>
                <w:p w14:paraId="7AA807EE" w14:textId="77777777" w:rsidR="003424D3" w:rsidRPr="006605A3" w:rsidRDefault="003424D3" w:rsidP="00CD4F3A">
                  <w:pPr>
                    <w:pStyle w:val="TableText"/>
                    <w:jc w:val="both"/>
                    <w:rPr>
                      <w:sz w:val="16"/>
                      <w:szCs w:val="20"/>
                    </w:rPr>
                  </w:pPr>
                  <w:r w:rsidRPr="006605A3">
                    <w:rPr>
                      <w:sz w:val="16"/>
                      <w:szCs w:val="20"/>
                    </w:rPr>
                    <w:t>Bus 26</w:t>
                  </w:r>
                </w:p>
              </w:tc>
              <w:tc>
                <w:tcPr>
                  <w:tcW w:w="314" w:type="dxa"/>
                  <w:noWrap/>
                  <w:vAlign w:val="bottom"/>
                </w:tcPr>
                <w:p w14:paraId="1B45252F"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46B03FE2" w14:textId="77777777" w:rsidR="003424D3" w:rsidRPr="006605A3" w:rsidRDefault="003424D3" w:rsidP="00CD4F3A">
                  <w:pPr>
                    <w:pStyle w:val="TableText"/>
                    <w:jc w:val="both"/>
                    <w:rPr>
                      <w:sz w:val="16"/>
                      <w:szCs w:val="20"/>
                    </w:rPr>
                  </w:pPr>
                  <w:r w:rsidRPr="006605A3">
                    <w:rPr>
                      <w:sz w:val="16"/>
                      <w:szCs w:val="20"/>
                    </w:rPr>
                    <w:t>0.933382</w:t>
                  </w:r>
                </w:p>
              </w:tc>
              <w:tc>
                <w:tcPr>
                  <w:tcW w:w="901" w:type="dxa"/>
                  <w:noWrap/>
                  <w:vAlign w:val="bottom"/>
                </w:tcPr>
                <w:p w14:paraId="728FA9B3" w14:textId="77777777" w:rsidR="003424D3" w:rsidRPr="006605A3" w:rsidRDefault="003424D3" w:rsidP="00CD4F3A">
                  <w:pPr>
                    <w:pStyle w:val="TableText"/>
                    <w:jc w:val="both"/>
                    <w:rPr>
                      <w:sz w:val="16"/>
                      <w:szCs w:val="20"/>
                    </w:rPr>
                  </w:pPr>
                  <w:r w:rsidRPr="006605A3">
                    <w:rPr>
                      <w:sz w:val="16"/>
                      <w:szCs w:val="20"/>
                    </w:rPr>
                    <w:t>0.933276</w:t>
                  </w:r>
                </w:p>
              </w:tc>
              <w:tc>
                <w:tcPr>
                  <w:tcW w:w="901" w:type="dxa"/>
                  <w:noWrap/>
                  <w:vAlign w:val="bottom"/>
                </w:tcPr>
                <w:p w14:paraId="0C6E27C0" w14:textId="77777777" w:rsidR="003424D3" w:rsidRPr="006605A3" w:rsidRDefault="003424D3" w:rsidP="00CD4F3A">
                  <w:pPr>
                    <w:pStyle w:val="TableText"/>
                    <w:jc w:val="both"/>
                    <w:rPr>
                      <w:sz w:val="16"/>
                      <w:szCs w:val="20"/>
                    </w:rPr>
                  </w:pPr>
                  <w:r w:rsidRPr="006605A3">
                    <w:rPr>
                      <w:sz w:val="16"/>
                      <w:szCs w:val="20"/>
                    </w:rPr>
                    <w:t>0.91688</w:t>
                  </w:r>
                </w:p>
              </w:tc>
              <w:tc>
                <w:tcPr>
                  <w:tcW w:w="901" w:type="dxa"/>
                  <w:noWrap/>
                  <w:vAlign w:val="bottom"/>
                </w:tcPr>
                <w:p w14:paraId="78F79DA1" w14:textId="77777777" w:rsidR="003424D3" w:rsidRPr="006605A3" w:rsidRDefault="003424D3" w:rsidP="00CD4F3A">
                  <w:pPr>
                    <w:pStyle w:val="TableText"/>
                    <w:jc w:val="both"/>
                    <w:rPr>
                      <w:sz w:val="16"/>
                      <w:szCs w:val="20"/>
                    </w:rPr>
                  </w:pPr>
                  <w:r w:rsidRPr="006605A3">
                    <w:rPr>
                      <w:sz w:val="16"/>
                      <w:szCs w:val="20"/>
                    </w:rPr>
                    <w:t>0.886538</w:t>
                  </w:r>
                </w:p>
              </w:tc>
              <w:tc>
                <w:tcPr>
                  <w:tcW w:w="921" w:type="dxa"/>
                  <w:noWrap/>
                  <w:vAlign w:val="bottom"/>
                </w:tcPr>
                <w:p w14:paraId="4E67221F" w14:textId="77777777" w:rsidR="003424D3" w:rsidRPr="006605A3" w:rsidRDefault="003424D3" w:rsidP="00CD4F3A">
                  <w:pPr>
                    <w:pStyle w:val="TableText"/>
                    <w:jc w:val="both"/>
                    <w:rPr>
                      <w:sz w:val="16"/>
                      <w:szCs w:val="20"/>
                    </w:rPr>
                  </w:pPr>
                  <w:r w:rsidRPr="006605A3">
                    <w:rPr>
                      <w:sz w:val="16"/>
                      <w:szCs w:val="20"/>
                    </w:rPr>
                    <w:t>0.836249</w:t>
                  </w:r>
                </w:p>
              </w:tc>
              <w:tc>
                <w:tcPr>
                  <w:tcW w:w="956" w:type="dxa"/>
                  <w:noWrap/>
                  <w:vAlign w:val="bottom"/>
                </w:tcPr>
                <w:p w14:paraId="6594EA2F" w14:textId="77777777" w:rsidR="003424D3" w:rsidRPr="006605A3" w:rsidRDefault="003424D3" w:rsidP="00CD4F3A">
                  <w:pPr>
                    <w:pStyle w:val="TableText"/>
                    <w:jc w:val="both"/>
                    <w:rPr>
                      <w:sz w:val="16"/>
                      <w:szCs w:val="20"/>
                    </w:rPr>
                  </w:pPr>
                  <w:r w:rsidRPr="006605A3">
                    <w:rPr>
                      <w:sz w:val="16"/>
                      <w:szCs w:val="20"/>
                    </w:rPr>
                    <w:t>0.743961</w:t>
                  </w:r>
                </w:p>
              </w:tc>
              <w:tc>
                <w:tcPr>
                  <w:tcW w:w="990" w:type="dxa"/>
                  <w:noWrap/>
                  <w:vAlign w:val="bottom"/>
                </w:tcPr>
                <w:p w14:paraId="1CE8EEA2" w14:textId="77777777" w:rsidR="003424D3" w:rsidRPr="006605A3" w:rsidRDefault="003424D3" w:rsidP="00CD4F3A">
                  <w:pPr>
                    <w:pStyle w:val="TableText"/>
                    <w:jc w:val="both"/>
                    <w:rPr>
                      <w:sz w:val="16"/>
                      <w:szCs w:val="20"/>
                    </w:rPr>
                  </w:pPr>
                  <w:r w:rsidRPr="006605A3">
                    <w:rPr>
                      <w:sz w:val="16"/>
                      <w:szCs w:val="20"/>
                    </w:rPr>
                    <w:t>0.707385</w:t>
                  </w:r>
                </w:p>
              </w:tc>
              <w:tc>
                <w:tcPr>
                  <w:tcW w:w="1022" w:type="dxa"/>
                  <w:vAlign w:val="bottom"/>
                </w:tcPr>
                <w:p w14:paraId="2F17835C" w14:textId="77777777" w:rsidR="003424D3" w:rsidRPr="006605A3" w:rsidRDefault="003424D3" w:rsidP="00CD4F3A">
                  <w:pPr>
                    <w:pStyle w:val="TableText"/>
                    <w:jc w:val="both"/>
                    <w:rPr>
                      <w:sz w:val="16"/>
                      <w:szCs w:val="20"/>
                    </w:rPr>
                  </w:pPr>
                  <w:r w:rsidRPr="006605A3">
                    <w:rPr>
                      <w:sz w:val="16"/>
                      <w:szCs w:val="20"/>
                    </w:rPr>
                    <w:t>0.657613</w:t>
                  </w:r>
                </w:p>
              </w:tc>
              <w:tc>
                <w:tcPr>
                  <w:tcW w:w="472" w:type="dxa"/>
                  <w:vAlign w:val="bottom"/>
                </w:tcPr>
                <w:p w14:paraId="34173757"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558C4EBC" w14:textId="77777777" w:rsidTr="00A03DAB">
              <w:trPr>
                <w:trHeight w:val="285"/>
                <w:jc w:val="center"/>
              </w:trPr>
              <w:tc>
                <w:tcPr>
                  <w:tcW w:w="723" w:type="dxa"/>
                  <w:noWrap/>
                  <w:vAlign w:val="bottom"/>
                  <w:hideMark/>
                </w:tcPr>
                <w:p w14:paraId="5C57A0BE" w14:textId="77777777" w:rsidR="003424D3" w:rsidRPr="006605A3" w:rsidRDefault="003424D3" w:rsidP="00CD4F3A">
                  <w:pPr>
                    <w:pStyle w:val="TableText"/>
                    <w:jc w:val="both"/>
                    <w:rPr>
                      <w:sz w:val="16"/>
                      <w:szCs w:val="20"/>
                    </w:rPr>
                  </w:pPr>
                  <w:r w:rsidRPr="006605A3">
                    <w:rPr>
                      <w:sz w:val="16"/>
                      <w:szCs w:val="20"/>
                    </w:rPr>
                    <w:t>Bus 27</w:t>
                  </w:r>
                </w:p>
              </w:tc>
              <w:tc>
                <w:tcPr>
                  <w:tcW w:w="314" w:type="dxa"/>
                  <w:noWrap/>
                  <w:vAlign w:val="bottom"/>
                </w:tcPr>
                <w:p w14:paraId="28BE7F27"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2F20C4C0" w14:textId="77777777" w:rsidR="003424D3" w:rsidRPr="006605A3" w:rsidRDefault="003424D3" w:rsidP="00CD4F3A">
                  <w:pPr>
                    <w:pStyle w:val="TableText"/>
                    <w:jc w:val="both"/>
                    <w:rPr>
                      <w:sz w:val="16"/>
                      <w:szCs w:val="20"/>
                    </w:rPr>
                  </w:pPr>
                  <w:r w:rsidRPr="006605A3">
                    <w:rPr>
                      <w:sz w:val="16"/>
                      <w:szCs w:val="20"/>
                    </w:rPr>
                    <w:t>0.915818</w:t>
                  </w:r>
                </w:p>
              </w:tc>
              <w:tc>
                <w:tcPr>
                  <w:tcW w:w="901" w:type="dxa"/>
                  <w:noWrap/>
                  <w:vAlign w:val="bottom"/>
                </w:tcPr>
                <w:p w14:paraId="1728BB77" w14:textId="77777777" w:rsidR="003424D3" w:rsidRPr="006605A3" w:rsidRDefault="003424D3" w:rsidP="00CD4F3A">
                  <w:pPr>
                    <w:pStyle w:val="TableText"/>
                    <w:jc w:val="both"/>
                    <w:rPr>
                      <w:sz w:val="16"/>
                      <w:szCs w:val="20"/>
                    </w:rPr>
                  </w:pPr>
                  <w:r w:rsidRPr="006605A3">
                    <w:rPr>
                      <w:sz w:val="16"/>
                      <w:szCs w:val="20"/>
                    </w:rPr>
                    <w:t>0.919705</w:t>
                  </w:r>
                </w:p>
              </w:tc>
              <w:tc>
                <w:tcPr>
                  <w:tcW w:w="901" w:type="dxa"/>
                  <w:noWrap/>
                  <w:vAlign w:val="bottom"/>
                </w:tcPr>
                <w:p w14:paraId="10AC832C" w14:textId="77777777" w:rsidR="003424D3" w:rsidRPr="006605A3" w:rsidRDefault="003424D3" w:rsidP="00CD4F3A">
                  <w:pPr>
                    <w:pStyle w:val="TableText"/>
                    <w:jc w:val="both"/>
                    <w:rPr>
                      <w:sz w:val="16"/>
                      <w:szCs w:val="20"/>
                    </w:rPr>
                  </w:pPr>
                  <w:r w:rsidRPr="006605A3">
                    <w:rPr>
                      <w:sz w:val="16"/>
                      <w:szCs w:val="20"/>
                    </w:rPr>
                    <w:t>0.903913</w:t>
                  </w:r>
                </w:p>
              </w:tc>
              <w:tc>
                <w:tcPr>
                  <w:tcW w:w="901" w:type="dxa"/>
                  <w:noWrap/>
                  <w:vAlign w:val="bottom"/>
                </w:tcPr>
                <w:p w14:paraId="4530F8A4" w14:textId="77777777" w:rsidR="003424D3" w:rsidRPr="006605A3" w:rsidRDefault="003424D3" w:rsidP="00CD4F3A">
                  <w:pPr>
                    <w:pStyle w:val="TableText"/>
                    <w:jc w:val="both"/>
                    <w:rPr>
                      <w:sz w:val="16"/>
                      <w:szCs w:val="20"/>
                    </w:rPr>
                  </w:pPr>
                  <w:r w:rsidRPr="006605A3">
                    <w:rPr>
                      <w:sz w:val="16"/>
                      <w:szCs w:val="20"/>
                    </w:rPr>
                    <w:t>0.871935</w:t>
                  </w:r>
                </w:p>
              </w:tc>
              <w:tc>
                <w:tcPr>
                  <w:tcW w:w="921" w:type="dxa"/>
                  <w:noWrap/>
                  <w:vAlign w:val="bottom"/>
                </w:tcPr>
                <w:p w14:paraId="02BF7443" w14:textId="77777777" w:rsidR="003424D3" w:rsidRPr="006605A3" w:rsidRDefault="003424D3" w:rsidP="00CD4F3A">
                  <w:pPr>
                    <w:pStyle w:val="TableText"/>
                    <w:jc w:val="both"/>
                    <w:rPr>
                      <w:sz w:val="16"/>
                      <w:szCs w:val="20"/>
                    </w:rPr>
                  </w:pPr>
                  <w:r w:rsidRPr="006605A3">
                    <w:rPr>
                      <w:sz w:val="16"/>
                      <w:szCs w:val="20"/>
                    </w:rPr>
                    <w:t>0.817795</w:t>
                  </w:r>
                </w:p>
              </w:tc>
              <w:tc>
                <w:tcPr>
                  <w:tcW w:w="956" w:type="dxa"/>
                  <w:noWrap/>
                  <w:vAlign w:val="bottom"/>
                </w:tcPr>
                <w:p w14:paraId="05DBE92A" w14:textId="77777777" w:rsidR="003424D3" w:rsidRPr="006605A3" w:rsidRDefault="003424D3" w:rsidP="00CD4F3A">
                  <w:pPr>
                    <w:pStyle w:val="TableText"/>
                    <w:jc w:val="both"/>
                    <w:rPr>
                      <w:sz w:val="16"/>
                      <w:szCs w:val="20"/>
                    </w:rPr>
                  </w:pPr>
                  <w:r w:rsidRPr="006605A3">
                    <w:rPr>
                      <w:sz w:val="16"/>
                      <w:szCs w:val="20"/>
                    </w:rPr>
                    <w:t>0.715316</w:t>
                  </w:r>
                </w:p>
              </w:tc>
              <w:tc>
                <w:tcPr>
                  <w:tcW w:w="990" w:type="dxa"/>
                  <w:noWrap/>
                  <w:vAlign w:val="bottom"/>
                </w:tcPr>
                <w:p w14:paraId="608C93ED" w14:textId="77777777" w:rsidR="003424D3" w:rsidRPr="006605A3" w:rsidRDefault="003424D3" w:rsidP="00CD4F3A">
                  <w:pPr>
                    <w:pStyle w:val="TableText"/>
                    <w:jc w:val="both"/>
                    <w:rPr>
                      <w:sz w:val="16"/>
                      <w:szCs w:val="20"/>
                    </w:rPr>
                  </w:pPr>
                  <w:r w:rsidRPr="006605A3">
                    <w:rPr>
                      <w:sz w:val="16"/>
                      <w:szCs w:val="20"/>
                    </w:rPr>
                    <w:t>0.672194</w:t>
                  </w:r>
                </w:p>
              </w:tc>
              <w:tc>
                <w:tcPr>
                  <w:tcW w:w="1022" w:type="dxa"/>
                  <w:vAlign w:val="bottom"/>
                </w:tcPr>
                <w:p w14:paraId="0C13C741" w14:textId="77777777" w:rsidR="003424D3" w:rsidRPr="006605A3" w:rsidRDefault="003424D3" w:rsidP="00CD4F3A">
                  <w:pPr>
                    <w:pStyle w:val="TableText"/>
                    <w:jc w:val="both"/>
                    <w:rPr>
                      <w:sz w:val="16"/>
                      <w:szCs w:val="20"/>
                    </w:rPr>
                  </w:pPr>
                  <w:r w:rsidRPr="006605A3">
                    <w:rPr>
                      <w:sz w:val="16"/>
                      <w:szCs w:val="20"/>
                    </w:rPr>
                    <w:t>0.61486</w:t>
                  </w:r>
                </w:p>
              </w:tc>
              <w:tc>
                <w:tcPr>
                  <w:tcW w:w="472" w:type="dxa"/>
                  <w:vAlign w:val="bottom"/>
                </w:tcPr>
                <w:p w14:paraId="6DCFBCD6"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3FD56899" w14:textId="77777777" w:rsidTr="00A03DAB">
              <w:trPr>
                <w:trHeight w:val="285"/>
                <w:jc w:val="center"/>
              </w:trPr>
              <w:tc>
                <w:tcPr>
                  <w:tcW w:w="723" w:type="dxa"/>
                  <w:noWrap/>
                  <w:vAlign w:val="bottom"/>
                  <w:hideMark/>
                </w:tcPr>
                <w:p w14:paraId="02B558D8" w14:textId="77777777" w:rsidR="003424D3" w:rsidRPr="006605A3" w:rsidRDefault="003424D3" w:rsidP="00CD4F3A">
                  <w:pPr>
                    <w:pStyle w:val="TableText"/>
                    <w:jc w:val="both"/>
                    <w:rPr>
                      <w:sz w:val="16"/>
                      <w:szCs w:val="20"/>
                    </w:rPr>
                  </w:pPr>
                  <w:r w:rsidRPr="006605A3">
                    <w:rPr>
                      <w:sz w:val="16"/>
                      <w:szCs w:val="20"/>
                    </w:rPr>
                    <w:t>Bus 28</w:t>
                  </w:r>
                </w:p>
              </w:tc>
              <w:tc>
                <w:tcPr>
                  <w:tcW w:w="314" w:type="dxa"/>
                  <w:noWrap/>
                  <w:vAlign w:val="bottom"/>
                </w:tcPr>
                <w:p w14:paraId="021E0215"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5442882B" w14:textId="77777777" w:rsidR="003424D3" w:rsidRPr="006605A3" w:rsidRDefault="003424D3" w:rsidP="00CD4F3A">
                  <w:pPr>
                    <w:pStyle w:val="TableText"/>
                    <w:jc w:val="both"/>
                    <w:rPr>
                      <w:sz w:val="16"/>
                      <w:szCs w:val="20"/>
                    </w:rPr>
                  </w:pPr>
                  <w:r w:rsidRPr="006605A3">
                    <w:rPr>
                      <w:sz w:val="16"/>
                      <w:szCs w:val="20"/>
                    </w:rPr>
                    <w:t>0.949182</w:t>
                  </w:r>
                </w:p>
              </w:tc>
              <w:tc>
                <w:tcPr>
                  <w:tcW w:w="901" w:type="dxa"/>
                  <w:noWrap/>
                  <w:vAlign w:val="bottom"/>
                </w:tcPr>
                <w:p w14:paraId="176EAE5D" w14:textId="77777777" w:rsidR="003424D3" w:rsidRPr="006605A3" w:rsidRDefault="003424D3" w:rsidP="00CD4F3A">
                  <w:pPr>
                    <w:pStyle w:val="TableText"/>
                    <w:jc w:val="both"/>
                    <w:rPr>
                      <w:sz w:val="16"/>
                      <w:szCs w:val="20"/>
                    </w:rPr>
                  </w:pPr>
                  <w:r w:rsidRPr="006605A3">
                    <w:rPr>
                      <w:sz w:val="16"/>
                      <w:szCs w:val="20"/>
                    </w:rPr>
                    <w:t>0.952614</w:t>
                  </w:r>
                </w:p>
              </w:tc>
              <w:tc>
                <w:tcPr>
                  <w:tcW w:w="901" w:type="dxa"/>
                  <w:noWrap/>
                  <w:vAlign w:val="bottom"/>
                </w:tcPr>
                <w:p w14:paraId="0C23E255" w14:textId="77777777" w:rsidR="003424D3" w:rsidRPr="006605A3" w:rsidRDefault="003424D3" w:rsidP="00CD4F3A">
                  <w:pPr>
                    <w:pStyle w:val="TableText"/>
                    <w:jc w:val="both"/>
                    <w:rPr>
                      <w:sz w:val="16"/>
                      <w:szCs w:val="20"/>
                    </w:rPr>
                  </w:pPr>
                  <w:r w:rsidRPr="006605A3">
                    <w:rPr>
                      <w:sz w:val="16"/>
                      <w:szCs w:val="20"/>
                    </w:rPr>
                    <w:t>0.944198</w:t>
                  </w:r>
                </w:p>
              </w:tc>
              <w:tc>
                <w:tcPr>
                  <w:tcW w:w="901" w:type="dxa"/>
                  <w:noWrap/>
                  <w:vAlign w:val="bottom"/>
                </w:tcPr>
                <w:p w14:paraId="57AE815D" w14:textId="77777777" w:rsidR="003424D3" w:rsidRPr="006605A3" w:rsidRDefault="003424D3" w:rsidP="00CD4F3A">
                  <w:pPr>
                    <w:pStyle w:val="TableText"/>
                    <w:jc w:val="both"/>
                    <w:rPr>
                      <w:sz w:val="16"/>
                      <w:szCs w:val="20"/>
                    </w:rPr>
                  </w:pPr>
                  <w:r w:rsidRPr="006605A3">
                    <w:rPr>
                      <w:sz w:val="16"/>
                      <w:szCs w:val="20"/>
                    </w:rPr>
                    <w:t>0.927316</w:t>
                  </w:r>
                </w:p>
              </w:tc>
              <w:tc>
                <w:tcPr>
                  <w:tcW w:w="921" w:type="dxa"/>
                  <w:noWrap/>
                  <w:vAlign w:val="bottom"/>
                </w:tcPr>
                <w:p w14:paraId="5CA5A640" w14:textId="77777777" w:rsidR="003424D3" w:rsidRPr="006605A3" w:rsidRDefault="003424D3" w:rsidP="00CD4F3A">
                  <w:pPr>
                    <w:pStyle w:val="TableText"/>
                    <w:jc w:val="both"/>
                    <w:rPr>
                      <w:sz w:val="16"/>
                      <w:szCs w:val="20"/>
                    </w:rPr>
                  </w:pPr>
                  <w:r w:rsidRPr="006605A3">
                    <w:rPr>
                      <w:sz w:val="16"/>
                      <w:szCs w:val="20"/>
                    </w:rPr>
                    <w:t>0.899267</w:t>
                  </w:r>
                </w:p>
              </w:tc>
              <w:tc>
                <w:tcPr>
                  <w:tcW w:w="956" w:type="dxa"/>
                  <w:noWrap/>
                  <w:vAlign w:val="bottom"/>
                </w:tcPr>
                <w:p w14:paraId="59E7BA71" w14:textId="77777777" w:rsidR="003424D3" w:rsidRPr="006605A3" w:rsidRDefault="003424D3" w:rsidP="00CD4F3A">
                  <w:pPr>
                    <w:pStyle w:val="TableText"/>
                    <w:jc w:val="both"/>
                    <w:rPr>
                      <w:sz w:val="16"/>
                      <w:szCs w:val="20"/>
                    </w:rPr>
                  </w:pPr>
                  <w:r w:rsidRPr="006605A3">
                    <w:rPr>
                      <w:sz w:val="16"/>
                      <w:szCs w:val="20"/>
                    </w:rPr>
                    <w:t>0.849023</w:t>
                  </w:r>
                </w:p>
              </w:tc>
              <w:tc>
                <w:tcPr>
                  <w:tcW w:w="990" w:type="dxa"/>
                  <w:noWrap/>
                  <w:vAlign w:val="bottom"/>
                </w:tcPr>
                <w:p w14:paraId="29E86F0C" w14:textId="77777777" w:rsidR="003424D3" w:rsidRPr="006605A3" w:rsidRDefault="003424D3" w:rsidP="00CD4F3A">
                  <w:pPr>
                    <w:pStyle w:val="TableText"/>
                    <w:jc w:val="both"/>
                    <w:rPr>
                      <w:sz w:val="16"/>
                      <w:szCs w:val="20"/>
                    </w:rPr>
                  </w:pPr>
                  <w:r w:rsidRPr="006605A3">
                    <w:rPr>
                      <w:sz w:val="16"/>
                      <w:szCs w:val="20"/>
                    </w:rPr>
                    <w:t>0.829612</w:t>
                  </w:r>
                </w:p>
              </w:tc>
              <w:tc>
                <w:tcPr>
                  <w:tcW w:w="1022" w:type="dxa"/>
                  <w:vAlign w:val="bottom"/>
                </w:tcPr>
                <w:p w14:paraId="54F8EBB6" w14:textId="77777777" w:rsidR="003424D3" w:rsidRPr="006605A3" w:rsidRDefault="003424D3" w:rsidP="00CD4F3A">
                  <w:pPr>
                    <w:pStyle w:val="TableText"/>
                    <w:jc w:val="both"/>
                    <w:rPr>
                      <w:sz w:val="16"/>
                      <w:szCs w:val="20"/>
                    </w:rPr>
                  </w:pPr>
                  <w:r w:rsidRPr="006605A3">
                    <w:rPr>
                      <w:sz w:val="16"/>
                      <w:szCs w:val="20"/>
                    </w:rPr>
                    <w:t>0.803415</w:t>
                  </w:r>
                </w:p>
              </w:tc>
              <w:tc>
                <w:tcPr>
                  <w:tcW w:w="472" w:type="dxa"/>
                  <w:vAlign w:val="bottom"/>
                </w:tcPr>
                <w:p w14:paraId="6C77827A"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2F20CA72" w14:textId="77777777" w:rsidTr="00A03DAB">
              <w:trPr>
                <w:trHeight w:val="285"/>
                <w:jc w:val="center"/>
              </w:trPr>
              <w:tc>
                <w:tcPr>
                  <w:tcW w:w="723" w:type="dxa"/>
                  <w:noWrap/>
                  <w:vAlign w:val="bottom"/>
                  <w:hideMark/>
                </w:tcPr>
                <w:p w14:paraId="791A8D2C" w14:textId="77777777" w:rsidR="003424D3" w:rsidRPr="006605A3" w:rsidRDefault="003424D3" w:rsidP="00CD4F3A">
                  <w:pPr>
                    <w:pStyle w:val="TableText"/>
                    <w:jc w:val="both"/>
                    <w:rPr>
                      <w:sz w:val="16"/>
                      <w:szCs w:val="20"/>
                    </w:rPr>
                  </w:pPr>
                  <w:r w:rsidRPr="006605A3">
                    <w:rPr>
                      <w:sz w:val="16"/>
                      <w:szCs w:val="20"/>
                    </w:rPr>
                    <w:t>Bus 29</w:t>
                  </w:r>
                </w:p>
              </w:tc>
              <w:tc>
                <w:tcPr>
                  <w:tcW w:w="314" w:type="dxa"/>
                  <w:noWrap/>
                  <w:vAlign w:val="bottom"/>
                </w:tcPr>
                <w:p w14:paraId="0AA6B7CA"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38E57BF4" w14:textId="77777777" w:rsidR="003424D3" w:rsidRPr="006605A3" w:rsidRDefault="003424D3" w:rsidP="00CD4F3A">
                  <w:pPr>
                    <w:pStyle w:val="TableText"/>
                    <w:jc w:val="both"/>
                    <w:rPr>
                      <w:sz w:val="16"/>
                      <w:szCs w:val="20"/>
                    </w:rPr>
                  </w:pPr>
                  <w:r w:rsidRPr="006605A3">
                    <w:rPr>
                      <w:sz w:val="16"/>
                      <w:szCs w:val="20"/>
                    </w:rPr>
                    <w:t>0.962041</w:t>
                  </w:r>
                </w:p>
              </w:tc>
              <w:tc>
                <w:tcPr>
                  <w:tcW w:w="901" w:type="dxa"/>
                  <w:noWrap/>
                  <w:vAlign w:val="bottom"/>
                </w:tcPr>
                <w:p w14:paraId="56D102A0" w14:textId="77777777" w:rsidR="003424D3" w:rsidRPr="006605A3" w:rsidRDefault="003424D3" w:rsidP="00CD4F3A">
                  <w:pPr>
                    <w:pStyle w:val="TableText"/>
                    <w:jc w:val="both"/>
                    <w:rPr>
                      <w:sz w:val="16"/>
                      <w:szCs w:val="20"/>
                    </w:rPr>
                  </w:pPr>
                  <w:r w:rsidRPr="006605A3">
                    <w:rPr>
                      <w:sz w:val="16"/>
                      <w:szCs w:val="20"/>
                    </w:rPr>
                    <w:t>0.965659</w:t>
                  </w:r>
                </w:p>
              </w:tc>
              <w:tc>
                <w:tcPr>
                  <w:tcW w:w="901" w:type="dxa"/>
                  <w:noWrap/>
                  <w:vAlign w:val="bottom"/>
                </w:tcPr>
                <w:p w14:paraId="2B5E9CCD" w14:textId="77777777" w:rsidR="003424D3" w:rsidRPr="006605A3" w:rsidRDefault="003424D3" w:rsidP="00CD4F3A">
                  <w:pPr>
                    <w:pStyle w:val="TableText"/>
                    <w:jc w:val="both"/>
                    <w:rPr>
                      <w:sz w:val="16"/>
                      <w:szCs w:val="20"/>
                    </w:rPr>
                  </w:pPr>
                  <w:r w:rsidRPr="006605A3">
                    <w:rPr>
                      <w:sz w:val="16"/>
                      <w:szCs w:val="20"/>
                    </w:rPr>
                    <w:t>0.960217</w:t>
                  </w:r>
                </w:p>
              </w:tc>
              <w:tc>
                <w:tcPr>
                  <w:tcW w:w="901" w:type="dxa"/>
                  <w:noWrap/>
                  <w:vAlign w:val="bottom"/>
                </w:tcPr>
                <w:p w14:paraId="67B234CB" w14:textId="77777777" w:rsidR="003424D3" w:rsidRPr="006605A3" w:rsidRDefault="003424D3" w:rsidP="00CD4F3A">
                  <w:pPr>
                    <w:pStyle w:val="TableText"/>
                    <w:jc w:val="both"/>
                    <w:rPr>
                      <w:sz w:val="16"/>
                      <w:szCs w:val="20"/>
                    </w:rPr>
                  </w:pPr>
                  <w:r w:rsidRPr="006605A3">
                    <w:rPr>
                      <w:sz w:val="16"/>
                      <w:szCs w:val="20"/>
                    </w:rPr>
                    <w:t>0.948714</w:t>
                  </w:r>
                </w:p>
              </w:tc>
              <w:tc>
                <w:tcPr>
                  <w:tcW w:w="921" w:type="dxa"/>
                  <w:noWrap/>
                  <w:vAlign w:val="bottom"/>
                </w:tcPr>
                <w:p w14:paraId="3AA04529" w14:textId="77777777" w:rsidR="003424D3" w:rsidRPr="006605A3" w:rsidRDefault="003424D3" w:rsidP="00CD4F3A">
                  <w:pPr>
                    <w:pStyle w:val="TableText"/>
                    <w:jc w:val="both"/>
                    <w:rPr>
                      <w:sz w:val="16"/>
                      <w:szCs w:val="20"/>
                    </w:rPr>
                  </w:pPr>
                  <w:r w:rsidRPr="006605A3">
                    <w:rPr>
                      <w:sz w:val="16"/>
                      <w:szCs w:val="20"/>
                    </w:rPr>
                    <w:t>0.929442</w:t>
                  </w:r>
                </w:p>
              </w:tc>
              <w:tc>
                <w:tcPr>
                  <w:tcW w:w="956" w:type="dxa"/>
                  <w:noWrap/>
                  <w:vAlign w:val="bottom"/>
                </w:tcPr>
                <w:p w14:paraId="318A0193" w14:textId="77777777" w:rsidR="003424D3" w:rsidRPr="006605A3" w:rsidRDefault="003424D3" w:rsidP="00CD4F3A">
                  <w:pPr>
                    <w:pStyle w:val="TableText"/>
                    <w:jc w:val="both"/>
                    <w:rPr>
                      <w:sz w:val="16"/>
                      <w:szCs w:val="20"/>
                    </w:rPr>
                  </w:pPr>
                  <w:r w:rsidRPr="006605A3">
                    <w:rPr>
                      <w:sz w:val="16"/>
                      <w:szCs w:val="20"/>
                    </w:rPr>
                    <w:t>0.894899</w:t>
                  </w:r>
                </w:p>
              </w:tc>
              <w:tc>
                <w:tcPr>
                  <w:tcW w:w="990" w:type="dxa"/>
                  <w:noWrap/>
                  <w:vAlign w:val="bottom"/>
                </w:tcPr>
                <w:p w14:paraId="166B296A" w14:textId="77777777" w:rsidR="003424D3" w:rsidRPr="006605A3" w:rsidRDefault="003424D3" w:rsidP="00CD4F3A">
                  <w:pPr>
                    <w:pStyle w:val="TableText"/>
                    <w:jc w:val="both"/>
                    <w:rPr>
                      <w:sz w:val="16"/>
                      <w:szCs w:val="20"/>
                    </w:rPr>
                  </w:pPr>
                  <w:r w:rsidRPr="006605A3">
                    <w:rPr>
                      <w:sz w:val="16"/>
                      <w:szCs w:val="20"/>
                    </w:rPr>
                    <w:t>0.881523</w:t>
                  </w:r>
                </w:p>
              </w:tc>
              <w:tc>
                <w:tcPr>
                  <w:tcW w:w="1022" w:type="dxa"/>
                  <w:vAlign w:val="bottom"/>
                </w:tcPr>
                <w:p w14:paraId="28208626" w14:textId="77777777" w:rsidR="003424D3" w:rsidRPr="006605A3" w:rsidRDefault="003424D3" w:rsidP="00CD4F3A">
                  <w:pPr>
                    <w:pStyle w:val="TableText"/>
                    <w:jc w:val="both"/>
                    <w:rPr>
                      <w:sz w:val="16"/>
                      <w:szCs w:val="20"/>
                    </w:rPr>
                  </w:pPr>
                  <w:r w:rsidRPr="006605A3">
                    <w:rPr>
                      <w:sz w:val="16"/>
                      <w:szCs w:val="20"/>
                    </w:rPr>
                    <w:t>0.863444</w:t>
                  </w:r>
                </w:p>
              </w:tc>
              <w:tc>
                <w:tcPr>
                  <w:tcW w:w="472" w:type="dxa"/>
                  <w:vAlign w:val="bottom"/>
                </w:tcPr>
                <w:p w14:paraId="02C733F4" w14:textId="77777777" w:rsidR="003424D3" w:rsidRPr="006605A3" w:rsidRDefault="003424D3" w:rsidP="00CD4F3A">
                  <w:pPr>
                    <w:pStyle w:val="TableText"/>
                    <w:jc w:val="both"/>
                    <w:rPr>
                      <w:sz w:val="16"/>
                      <w:szCs w:val="20"/>
                    </w:rPr>
                  </w:pPr>
                  <w:r w:rsidRPr="006605A3">
                    <w:rPr>
                      <w:sz w:val="16"/>
                      <w:szCs w:val="20"/>
                    </w:rPr>
                    <w:t>0</w:t>
                  </w:r>
                </w:p>
              </w:tc>
            </w:tr>
            <w:tr w:rsidR="003424D3" w:rsidRPr="006605A3" w14:paraId="075064AE" w14:textId="77777777" w:rsidTr="00A03DAB">
              <w:trPr>
                <w:trHeight w:val="285"/>
                <w:jc w:val="center"/>
              </w:trPr>
              <w:tc>
                <w:tcPr>
                  <w:tcW w:w="723" w:type="dxa"/>
                  <w:noWrap/>
                  <w:vAlign w:val="bottom"/>
                  <w:hideMark/>
                </w:tcPr>
                <w:p w14:paraId="180330BD" w14:textId="77777777" w:rsidR="003424D3" w:rsidRPr="006605A3" w:rsidRDefault="003424D3" w:rsidP="00CD4F3A">
                  <w:pPr>
                    <w:pStyle w:val="TableText"/>
                    <w:jc w:val="both"/>
                    <w:rPr>
                      <w:sz w:val="16"/>
                      <w:szCs w:val="20"/>
                    </w:rPr>
                  </w:pPr>
                  <w:r w:rsidRPr="006605A3">
                    <w:rPr>
                      <w:sz w:val="16"/>
                      <w:szCs w:val="20"/>
                    </w:rPr>
                    <w:t>Bus 31</w:t>
                  </w:r>
                </w:p>
              </w:tc>
              <w:tc>
                <w:tcPr>
                  <w:tcW w:w="314" w:type="dxa"/>
                  <w:noWrap/>
                  <w:vAlign w:val="bottom"/>
                </w:tcPr>
                <w:p w14:paraId="4D718B6A"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17FE49A9"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115C9E4E"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2931DBDF" w14:textId="77777777" w:rsidR="003424D3" w:rsidRPr="006605A3" w:rsidRDefault="003424D3" w:rsidP="00CD4F3A">
                  <w:pPr>
                    <w:pStyle w:val="TableText"/>
                    <w:jc w:val="both"/>
                    <w:rPr>
                      <w:sz w:val="16"/>
                      <w:szCs w:val="20"/>
                    </w:rPr>
                  </w:pPr>
                  <w:r w:rsidRPr="006605A3">
                    <w:rPr>
                      <w:sz w:val="16"/>
                      <w:szCs w:val="20"/>
                    </w:rPr>
                    <w:t>1</w:t>
                  </w:r>
                </w:p>
              </w:tc>
              <w:tc>
                <w:tcPr>
                  <w:tcW w:w="901" w:type="dxa"/>
                  <w:noWrap/>
                  <w:vAlign w:val="bottom"/>
                </w:tcPr>
                <w:p w14:paraId="78CCC310" w14:textId="77777777" w:rsidR="003424D3" w:rsidRPr="006605A3" w:rsidRDefault="003424D3" w:rsidP="00CD4F3A">
                  <w:pPr>
                    <w:pStyle w:val="TableText"/>
                    <w:jc w:val="both"/>
                    <w:rPr>
                      <w:sz w:val="16"/>
                      <w:szCs w:val="20"/>
                    </w:rPr>
                  </w:pPr>
                  <w:r w:rsidRPr="006605A3">
                    <w:rPr>
                      <w:sz w:val="16"/>
                      <w:szCs w:val="20"/>
                    </w:rPr>
                    <w:t>1</w:t>
                  </w:r>
                </w:p>
              </w:tc>
              <w:tc>
                <w:tcPr>
                  <w:tcW w:w="921" w:type="dxa"/>
                  <w:noWrap/>
                  <w:vAlign w:val="bottom"/>
                </w:tcPr>
                <w:p w14:paraId="626440D6" w14:textId="77777777" w:rsidR="003424D3" w:rsidRPr="006605A3" w:rsidRDefault="003424D3" w:rsidP="00CD4F3A">
                  <w:pPr>
                    <w:pStyle w:val="TableText"/>
                    <w:jc w:val="both"/>
                    <w:rPr>
                      <w:sz w:val="16"/>
                      <w:szCs w:val="20"/>
                    </w:rPr>
                  </w:pPr>
                  <w:r w:rsidRPr="006605A3">
                    <w:rPr>
                      <w:sz w:val="16"/>
                      <w:szCs w:val="20"/>
                    </w:rPr>
                    <w:t>1</w:t>
                  </w:r>
                </w:p>
              </w:tc>
              <w:tc>
                <w:tcPr>
                  <w:tcW w:w="956" w:type="dxa"/>
                  <w:noWrap/>
                  <w:vAlign w:val="bottom"/>
                </w:tcPr>
                <w:p w14:paraId="3B182DAE" w14:textId="77777777" w:rsidR="003424D3" w:rsidRPr="006605A3" w:rsidRDefault="003424D3" w:rsidP="00CD4F3A">
                  <w:pPr>
                    <w:pStyle w:val="TableText"/>
                    <w:jc w:val="both"/>
                    <w:rPr>
                      <w:sz w:val="16"/>
                      <w:szCs w:val="20"/>
                    </w:rPr>
                  </w:pPr>
                  <w:r w:rsidRPr="006605A3">
                    <w:rPr>
                      <w:sz w:val="16"/>
                      <w:szCs w:val="20"/>
                    </w:rPr>
                    <w:t>0.880833</w:t>
                  </w:r>
                </w:p>
              </w:tc>
              <w:tc>
                <w:tcPr>
                  <w:tcW w:w="990" w:type="dxa"/>
                  <w:noWrap/>
                  <w:vAlign w:val="bottom"/>
                </w:tcPr>
                <w:p w14:paraId="299D412E" w14:textId="77777777" w:rsidR="003424D3" w:rsidRPr="006605A3" w:rsidRDefault="003424D3" w:rsidP="00CD4F3A">
                  <w:pPr>
                    <w:pStyle w:val="TableText"/>
                    <w:jc w:val="both"/>
                    <w:rPr>
                      <w:sz w:val="16"/>
                      <w:szCs w:val="20"/>
                    </w:rPr>
                  </w:pPr>
                  <w:r w:rsidRPr="006605A3">
                    <w:rPr>
                      <w:sz w:val="16"/>
                      <w:szCs w:val="20"/>
                    </w:rPr>
                    <w:t>0.773838</w:t>
                  </w:r>
                </w:p>
              </w:tc>
              <w:tc>
                <w:tcPr>
                  <w:tcW w:w="1022" w:type="dxa"/>
                  <w:vAlign w:val="bottom"/>
                </w:tcPr>
                <w:p w14:paraId="10DA5ACE" w14:textId="77777777" w:rsidR="003424D3" w:rsidRPr="006605A3" w:rsidRDefault="003424D3" w:rsidP="00CD4F3A">
                  <w:pPr>
                    <w:pStyle w:val="TableText"/>
                    <w:jc w:val="both"/>
                    <w:rPr>
                      <w:sz w:val="16"/>
                      <w:szCs w:val="20"/>
                    </w:rPr>
                  </w:pPr>
                  <w:r w:rsidRPr="006605A3">
                    <w:rPr>
                      <w:sz w:val="16"/>
                      <w:szCs w:val="20"/>
                    </w:rPr>
                    <w:t>0.647041</w:t>
                  </w:r>
                </w:p>
              </w:tc>
              <w:tc>
                <w:tcPr>
                  <w:tcW w:w="472" w:type="dxa"/>
                  <w:vAlign w:val="bottom"/>
                </w:tcPr>
                <w:p w14:paraId="23DA4331" w14:textId="77777777" w:rsidR="003424D3" w:rsidRPr="006605A3" w:rsidRDefault="003424D3" w:rsidP="00CD4F3A">
                  <w:pPr>
                    <w:pStyle w:val="TableText"/>
                    <w:jc w:val="both"/>
                    <w:rPr>
                      <w:sz w:val="16"/>
                      <w:szCs w:val="20"/>
                    </w:rPr>
                  </w:pPr>
                  <w:r w:rsidRPr="006605A3">
                    <w:rPr>
                      <w:sz w:val="16"/>
                      <w:szCs w:val="20"/>
                    </w:rPr>
                    <w:t>0</w:t>
                  </w:r>
                </w:p>
              </w:tc>
            </w:tr>
          </w:tbl>
          <w:p w14:paraId="32330B54" w14:textId="77777777" w:rsidR="003424D3" w:rsidRPr="006605A3" w:rsidRDefault="003424D3" w:rsidP="00CD4F3A">
            <w:pPr>
              <w:pStyle w:val="Caption"/>
              <w:spacing w:line="240" w:lineRule="auto"/>
              <w:jc w:val="both"/>
            </w:pPr>
          </w:p>
          <w:p w14:paraId="6B465E1E" w14:textId="77777777" w:rsidR="003424D3" w:rsidRPr="006605A3" w:rsidRDefault="003424D3" w:rsidP="00CD4F3A">
            <w:pPr>
              <w:pStyle w:val="BodyText"/>
              <w:spacing w:line="240" w:lineRule="auto"/>
            </w:pPr>
          </w:p>
          <w:p w14:paraId="0595A57B" w14:textId="77777777" w:rsidR="003424D3" w:rsidRPr="006605A3" w:rsidRDefault="003424D3" w:rsidP="00CD4F3A">
            <w:pPr>
              <w:pStyle w:val="BodyText"/>
              <w:spacing w:line="240" w:lineRule="auto"/>
            </w:pPr>
          </w:p>
          <w:p w14:paraId="58FA0778" w14:textId="77777777" w:rsidR="003424D3" w:rsidRPr="006605A3" w:rsidRDefault="003424D3" w:rsidP="00CD4F3A">
            <w:pPr>
              <w:pStyle w:val="BodyText"/>
              <w:spacing w:line="240" w:lineRule="auto"/>
            </w:pPr>
          </w:p>
          <w:p w14:paraId="0AFD71BF" w14:textId="77777777" w:rsidR="003424D3" w:rsidRPr="006605A3" w:rsidRDefault="003424D3" w:rsidP="00CD4F3A">
            <w:pPr>
              <w:pStyle w:val="BodyText"/>
              <w:spacing w:line="240" w:lineRule="auto"/>
            </w:pPr>
          </w:p>
          <w:p w14:paraId="3801561F" w14:textId="77777777" w:rsidR="003424D3" w:rsidRPr="006605A3" w:rsidRDefault="003424D3" w:rsidP="00CD4F3A">
            <w:pPr>
              <w:pStyle w:val="BodyText"/>
              <w:spacing w:line="240" w:lineRule="auto"/>
            </w:pPr>
          </w:p>
          <w:p w14:paraId="29D0349C" w14:textId="77777777" w:rsidR="003424D3" w:rsidRPr="006605A3" w:rsidRDefault="003424D3" w:rsidP="00CD4F3A">
            <w:pPr>
              <w:pStyle w:val="BodyText"/>
              <w:spacing w:line="240" w:lineRule="auto"/>
            </w:pPr>
          </w:p>
          <w:p w14:paraId="337F088F" w14:textId="2DACD01E" w:rsidR="003424D3" w:rsidRPr="006605A3" w:rsidRDefault="00F02E84" w:rsidP="001552EC">
            <w:pPr>
              <w:pStyle w:val="Caption"/>
              <w:spacing w:line="240" w:lineRule="auto"/>
              <w:jc w:val="center"/>
            </w:pPr>
            <w:bookmarkStart w:id="474" w:name="_Toc233728987"/>
            <w:proofErr w:type="spellStart"/>
            <w:r w:rsidRPr="006605A3">
              <w:t>Apx</w:t>
            </w:r>
            <w:proofErr w:type="spellEnd"/>
            <w:r w:rsidRPr="006605A3">
              <w:t xml:space="preserve"> Table </w:t>
            </w:r>
            <w:fldSimple w:instr=" SEQ Apx_Table \* ARABIC \s 9 ">
              <w:r>
                <w:rPr>
                  <w:noProof/>
                </w:rPr>
                <w:t>4</w:t>
              </w:r>
            </w:fldSimple>
            <w:r w:rsidR="0080398A">
              <w:rPr>
                <w:noProof/>
              </w:rPr>
              <w:t xml:space="preserve">: </w:t>
            </w:r>
            <w:r w:rsidR="003424D3" w:rsidRPr="006605A3">
              <w:t>The value of SDVPI of different buses for 13% renewables in IEEE 39 bus system.</w:t>
            </w:r>
            <w:bookmarkEnd w:id="474"/>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14"/>
              <w:gridCol w:w="901"/>
              <w:gridCol w:w="901"/>
              <w:gridCol w:w="901"/>
              <w:gridCol w:w="901"/>
              <w:gridCol w:w="921"/>
              <w:gridCol w:w="956"/>
              <w:gridCol w:w="990"/>
              <w:gridCol w:w="994"/>
              <w:gridCol w:w="500"/>
            </w:tblGrid>
            <w:tr w:rsidR="003424D3" w:rsidRPr="006605A3" w14:paraId="5EB9151C" w14:textId="77777777" w:rsidTr="00A03DAB">
              <w:trPr>
                <w:trHeight w:val="285"/>
                <w:jc w:val="center"/>
              </w:trPr>
              <w:tc>
                <w:tcPr>
                  <w:tcW w:w="723" w:type="dxa"/>
                  <w:shd w:val="clear" w:color="auto" w:fill="000000" w:themeFill="text1"/>
                  <w:noWrap/>
                  <w:vAlign w:val="bottom"/>
                  <w:hideMark/>
                </w:tcPr>
                <w:p w14:paraId="2B781F28"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Bus \ Scaling</w:t>
                  </w:r>
                </w:p>
              </w:tc>
              <w:tc>
                <w:tcPr>
                  <w:tcW w:w="314" w:type="dxa"/>
                  <w:shd w:val="clear" w:color="auto" w:fill="000000" w:themeFill="text1"/>
                  <w:noWrap/>
                  <w:vAlign w:val="bottom"/>
                  <w:hideMark/>
                </w:tcPr>
                <w:p w14:paraId="3A5006C4"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w:t>
                  </w:r>
                </w:p>
              </w:tc>
              <w:tc>
                <w:tcPr>
                  <w:tcW w:w="901" w:type="dxa"/>
                  <w:shd w:val="clear" w:color="auto" w:fill="000000" w:themeFill="text1"/>
                  <w:noWrap/>
                  <w:vAlign w:val="bottom"/>
                  <w:hideMark/>
                </w:tcPr>
                <w:p w14:paraId="2B2060C0"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0.05</w:t>
                  </w:r>
                </w:p>
              </w:tc>
              <w:tc>
                <w:tcPr>
                  <w:tcW w:w="901" w:type="dxa"/>
                  <w:shd w:val="clear" w:color="auto" w:fill="000000" w:themeFill="text1"/>
                  <w:noWrap/>
                  <w:vAlign w:val="bottom"/>
                  <w:hideMark/>
                </w:tcPr>
                <w:p w14:paraId="142C6D89"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0.11</w:t>
                  </w:r>
                </w:p>
              </w:tc>
              <w:tc>
                <w:tcPr>
                  <w:tcW w:w="901" w:type="dxa"/>
                  <w:shd w:val="clear" w:color="auto" w:fill="000000" w:themeFill="text1"/>
                  <w:noWrap/>
                  <w:vAlign w:val="bottom"/>
                  <w:hideMark/>
                </w:tcPr>
                <w:p w14:paraId="0772D4B3"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0.18</w:t>
                  </w:r>
                </w:p>
              </w:tc>
              <w:tc>
                <w:tcPr>
                  <w:tcW w:w="901" w:type="dxa"/>
                  <w:shd w:val="clear" w:color="auto" w:fill="000000" w:themeFill="text1"/>
                  <w:noWrap/>
                  <w:vAlign w:val="bottom"/>
                  <w:hideMark/>
                </w:tcPr>
                <w:p w14:paraId="5B5685C8"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0.26</w:t>
                  </w:r>
                </w:p>
              </w:tc>
              <w:tc>
                <w:tcPr>
                  <w:tcW w:w="921" w:type="dxa"/>
                  <w:shd w:val="clear" w:color="auto" w:fill="000000" w:themeFill="text1"/>
                  <w:noWrap/>
                  <w:vAlign w:val="bottom"/>
                  <w:hideMark/>
                </w:tcPr>
                <w:p w14:paraId="215730AF"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0.36</w:t>
                  </w:r>
                </w:p>
              </w:tc>
              <w:tc>
                <w:tcPr>
                  <w:tcW w:w="956" w:type="dxa"/>
                  <w:shd w:val="clear" w:color="auto" w:fill="000000" w:themeFill="text1"/>
                  <w:noWrap/>
                  <w:vAlign w:val="bottom"/>
                  <w:hideMark/>
                </w:tcPr>
                <w:p w14:paraId="28F37A0D"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0.41</w:t>
                  </w:r>
                </w:p>
              </w:tc>
              <w:tc>
                <w:tcPr>
                  <w:tcW w:w="990" w:type="dxa"/>
                  <w:shd w:val="clear" w:color="auto" w:fill="000000" w:themeFill="text1"/>
                  <w:noWrap/>
                  <w:vAlign w:val="bottom"/>
                  <w:hideMark/>
                </w:tcPr>
                <w:p w14:paraId="1F9DFB59"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0.44</w:t>
                  </w:r>
                </w:p>
              </w:tc>
              <w:tc>
                <w:tcPr>
                  <w:tcW w:w="1022" w:type="dxa"/>
                  <w:shd w:val="clear" w:color="auto" w:fill="000000" w:themeFill="text1"/>
                  <w:vAlign w:val="bottom"/>
                </w:tcPr>
                <w:p w14:paraId="0AC048C5"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0.47</w:t>
                  </w:r>
                </w:p>
              </w:tc>
              <w:tc>
                <w:tcPr>
                  <w:tcW w:w="472" w:type="dxa"/>
                  <w:shd w:val="clear" w:color="auto" w:fill="000000" w:themeFill="text1"/>
                  <w:vAlign w:val="bottom"/>
                </w:tcPr>
                <w:p w14:paraId="0DB47354" w14:textId="77777777" w:rsidR="003424D3" w:rsidRPr="006605A3" w:rsidRDefault="003424D3" w:rsidP="00CD4F3A">
                  <w:pPr>
                    <w:pStyle w:val="TableText"/>
                    <w:jc w:val="both"/>
                    <w:rPr>
                      <w:color w:val="FFFFFF" w:themeColor="background1"/>
                      <w:sz w:val="16"/>
                      <w:szCs w:val="20"/>
                    </w:rPr>
                  </w:pPr>
                  <w:r w:rsidRPr="006605A3">
                    <w:rPr>
                      <w:rFonts w:cs="Calibri"/>
                      <w:color w:val="FFFFFF" w:themeColor="background1"/>
                      <w:sz w:val="16"/>
                      <w:szCs w:val="20"/>
                    </w:rPr>
                    <w:t>0.48</w:t>
                  </w:r>
                </w:p>
              </w:tc>
            </w:tr>
            <w:tr w:rsidR="003424D3" w:rsidRPr="006605A3" w14:paraId="4840A16D" w14:textId="77777777" w:rsidTr="00A03DAB">
              <w:trPr>
                <w:trHeight w:val="285"/>
                <w:jc w:val="center"/>
              </w:trPr>
              <w:tc>
                <w:tcPr>
                  <w:tcW w:w="723" w:type="dxa"/>
                  <w:noWrap/>
                  <w:vAlign w:val="bottom"/>
                  <w:hideMark/>
                </w:tcPr>
                <w:p w14:paraId="7D6BCA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03</w:t>
                  </w:r>
                </w:p>
              </w:tc>
              <w:tc>
                <w:tcPr>
                  <w:tcW w:w="314" w:type="dxa"/>
                  <w:noWrap/>
                  <w:vAlign w:val="bottom"/>
                </w:tcPr>
                <w:p w14:paraId="2B512A4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63D03B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0.928421</w:t>
                  </w:r>
                </w:p>
              </w:tc>
              <w:tc>
                <w:tcPr>
                  <w:tcW w:w="901" w:type="dxa"/>
                  <w:noWrap/>
                  <w:vAlign w:val="bottom"/>
                </w:tcPr>
                <w:p w14:paraId="468FA55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0.933222</w:t>
                  </w:r>
                </w:p>
              </w:tc>
              <w:tc>
                <w:tcPr>
                  <w:tcW w:w="901" w:type="dxa"/>
                  <w:noWrap/>
                  <w:vAlign w:val="bottom"/>
                </w:tcPr>
                <w:p w14:paraId="0FC7980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0.912044</w:t>
                  </w:r>
                </w:p>
              </w:tc>
              <w:tc>
                <w:tcPr>
                  <w:tcW w:w="901" w:type="dxa"/>
                  <w:noWrap/>
                  <w:vAlign w:val="bottom"/>
                </w:tcPr>
                <w:p w14:paraId="771F598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0.869078</w:t>
                  </w:r>
                </w:p>
              </w:tc>
              <w:tc>
                <w:tcPr>
                  <w:tcW w:w="921" w:type="dxa"/>
                  <w:noWrap/>
                  <w:vAlign w:val="bottom"/>
                </w:tcPr>
                <w:p w14:paraId="08BB1B0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0.793299</w:t>
                  </w:r>
                </w:p>
              </w:tc>
              <w:tc>
                <w:tcPr>
                  <w:tcW w:w="956" w:type="dxa"/>
                  <w:noWrap/>
                  <w:vAlign w:val="bottom"/>
                </w:tcPr>
                <w:p w14:paraId="0D08232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0.73848</w:t>
                  </w:r>
                </w:p>
              </w:tc>
              <w:tc>
                <w:tcPr>
                  <w:tcW w:w="990" w:type="dxa"/>
                  <w:noWrap/>
                  <w:vAlign w:val="bottom"/>
                </w:tcPr>
                <w:p w14:paraId="0C383EB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0.683635</w:t>
                  </w:r>
                </w:p>
              </w:tc>
              <w:tc>
                <w:tcPr>
                  <w:tcW w:w="1022" w:type="dxa"/>
                  <w:vAlign w:val="bottom"/>
                </w:tcPr>
                <w:p w14:paraId="64CAE63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0.572249</w:t>
                  </w:r>
                </w:p>
              </w:tc>
              <w:tc>
                <w:tcPr>
                  <w:tcW w:w="472" w:type="dxa"/>
                  <w:vAlign w:val="bottom"/>
                </w:tcPr>
                <w:p w14:paraId="56EFCAB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5426FF63" w14:textId="77777777" w:rsidTr="00A03DAB">
              <w:trPr>
                <w:trHeight w:val="285"/>
                <w:jc w:val="center"/>
              </w:trPr>
              <w:tc>
                <w:tcPr>
                  <w:tcW w:w="723" w:type="dxa"/>
                  <w:noWrap/>
                  <w:vAlign w:val="bottom"/>
                  <w:hideMark/>
                </w:tcPr>
                <w:p w14:paraId="727DAF5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04</w:t>
                  </w:r>
                </w:p>
              </w:tc>
              <w:tc>
                <w:tcPr>
                  <w:tcW w:w="314" w:type="dxa"/>
                  <w:noWrap/>
                  <w:vAlign w:val="bottom"/>
                </w:tcPr>
                <w:p w14:paraId="5ABD315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719C2A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0.895514</w:t>
                  </w:r>
                </w:p>
              </w:tc>
              <w:tc>
                <w:tcPr>
                  <w:tcW w:w="901" w:type="dxa"/>
                  <w:noWrap/>
                  <w:vAlign w:val="bottom"/>
                </w:tcPr>
                <w:p w14:paraId="224C319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0.898435</w:t>
                  </w:r>
                </w:p>
              </w:tc>
              <w:tc>
                <w:tcPr>
                  <w:tcW w:w="901" w:type="dxa"/>
                  <w:noWrap/>
                  <w:vAlign w:val="bottom"/>
                </w:tcPr>
                <w:p w14:paraId="60165F6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0.874362</w:t>
                  </w:r>
                </w:p>
              </w:tc>
              <w:tc>
                <w:tcPr>
                  <w:tcW w:w="901" w:type="dxa"/>
                  <w:noWrap/>
                  <w:vAlign w:val="bottom"/>
                </w:tcPr>
                <w:p w14:paraId="55575A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0.825739</w:t>
                  </w:r>
                </w:p>
              </w:tc>
              <w:tc>
                <w:tcPr>
                  <w:tcW w:w="921" w:type="dxa"/>
                  <w:noWrap/>
                  <w:vAlign w:val="bottom"/>
                </w:tcPr>
                <w:p w14:paraId="132DFC9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0.740326</w:t>
                  </w:r>
                </w:p>
              </w:tc>
              <w:tc>
                <w:tcPr>
                  <w:tcW w:w="956" w:type="dxa"/>
                  <w:noWrap/>
                  <w:vAlign w:val="bottom"/>
                </w:tcPr>
                <w:p w14:paraId="663F7D8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0.678534</w:t>
                  </w:r>
                </w:p>
              </w:tc>
              <w:tc>
                <w:tcPr>
                  <w:tcW w:w="990" w:type="dxa"/>
                  <w:noWrap/>
                  <w:vAlign w:val="bottom"/>
                </w:tcPr>
                <w:p w14:paraId="2CBE792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0.608083</w:t>
                  </w:r>
                </w:p>
              </w:tc>
              <w:tc>
                <w:tcPr>
                  <w:tcW w:w="1022" w:type="dxa"/>
                  <w:vAlign w:val="bottom"/>
                </w:tcPr>
                <w:p w14:paraId="2239DA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0.453233</w:t>
                  </w:r>
                </w:p>
              </w:tc>
              <w:tc>
                <w:tcPr>
                  <w:tcW w:w="472" w:type="dxa"/>
                  <w:vAlign w:val="bottom"/>
                </w:tcPr>
                <w:p w14:paraId="208CC9D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74432B8" w14:textId="77777777" w:rsidTr="00A03DAB">
              <w:trPr>
                <w:trHeight w:val="285"/>
                <w:jc w:val="center"/>
              </w:trPr>
              <w:tc>
                <w:tcPr>
                  <w:tcW w:w="723" w:type="dxa"/>
                  <w:noWrap/>
                  <w:vAlign w:val="bottom"/>
                  <w:hideMark/>
                </w:tcPr>
                <w:p w14:paraId="7720561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07</w:t>
                  </w:r>
                </w:p>
              </w:tc>
              <w:tc>
                <w:tcPr>
                  <w:tcW w:w="314" w:type="dxa"/>
                  <w:noWrap/>
                  <w:vAlign w:val="bottom"/>
                </w:tcPr>
                <w:p w14:paraId="2E93F4D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D23D9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0.894257</w:t>
                  </w:r>
                </w:p>
              </w:tc>
              <w:tc>
                <w:tcPr>
                  <w:tcW w:w="901" w:type="dxa"/>
                  <w:noWrap/>
                  <w:vAlign w:val="bottom"/>
                </w:tcPr>
                <w:p w14:paraId="636D524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0.896</w:t>
                  </w:r>
                </w:p>
              </w:tc>
              <w:tc>
                <w:tcPr>
                  <w:tcW w:w="901" w:type="dxa"/>
                  <w:noWrap/>
                  <w:vAlign w:val="bottom"/>
                </w:tcPr>
                <w:p w14:paraId="73FAA30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0.867473</w:t>
                  </w:r>
                </w:p>
              </w:tc>
              <w:tc>
                <w:tcPr>
                  <w:tcW w:w="901" w:type="dxa"/>
                  <w:noWrap/>
                  <w:vAlign w:val="bottom"/>
                </w:tcPr>
                <w:p w14:paraId="714DC5B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0.809261</w:t>
                  </w:r>
                </w:p>
              </w:tc>
              <w:tc>
                <w:tcPr>
                  <w:tcW w:w="921" w:type="dxa"/>
                  <w:noWrap/>
                  <w:vAlign w:val="bottom"/>
                </w:tcPr>
                <w:p w14:paraId="4FA807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0.704976</w:t>
                  </w:r>
                </w:p>
              </w:tc>
              <w:tc>
                <w:tcPr>
                  <w:tcW w:w="956" w:type="dxa"/>
                  <w:noWrap/>
                  <w:vAlign w:val="bottom"/>
                </w:tcPr>
                <w:p w14:paraId="7C4128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0.627757</w:t>
                  </w:r>
                </w:p>
              </w:tc>
              <w:tc>
                <w:tcPr>
                  <w:tcW w:w="990" w:type="dxa"/>
                  <w:noWrap/>
                  <w:vAlign w:val="bottom"/>
                </w:tcPr>
                <w:p w14:paraId="6ACD09C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0.535675</w:t>
                  </w:r>
                </w:p>
              </w:tc>
              <w:tc>
                <w:tcPr>
                  <w:tcW w:w="1022" w:type="dxa"/>
                  <w:vAlign w:val="bottom"/>
                </w:tcPr>
                <w:p w14:paraId="56FD224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0.346318</w:t>
                  </w:r>
                </w:p>
              </w:tc>
              <w:tc>
                <w:tcPr>
                  <w:tcW w:w="472" w:type="dxa"/>
                  <w:vAlign w:val="bottom"/>
                </w:tcPr>
                <w:p w14:paraId="4819224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D26E2A5" w14:textId="77777777" w:rsidTr="00A03DAB">
              <w:trPr>
                <w:trHeight w:val="285"/>
                <w:jc w:val="center"/>
              </w:trPr>
              <w:tc>
                <w:tcPr>
                  <w:tcW w:w="723" w:type="dxa"/>
                  <w:noWrap/>
                  <w:vAlign w:val="bottom"/>
                  <w:hideMark/>
                </w:tcPr>
                <w:p w14:paraId="5E5A70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08</w:t>
                  </w:r>
                </w:p>
              </w:tc>
              <w:tc>
                <w:tcPr>
                  <w:tcW w:w="314" w:type="dxa"/>
                  <w:noWrap/>
                  <w:vAlign w:val="bottom"/>
                </w:tcPr>
                <w:p w14:paraId="4E8E0BB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3A64737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0.893888</w:t>
                  </w:r>
                </w:p>
              </w:tc>
              <w:tc>
                <w:tcPr>
                  <w:tcW w:w="901" w:type="dxa"/>
                  <w:noWrap/>
                  <w:vAlign w:val="bottom"/>
                </w:tcPr>
                <w:p w14:paraId="3AAEDCC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0.894469</w:t>
                  </w:r>
                </w:p>
              </w:tc>
              <w:tc>
                <w:tcPr>
                  <w:tcW w:w="901" w:type="dxa"/>
                  <w:noWrap/>
                  <w:vAlign w:val="bottom"/>
                </w:tcPr>
                <w:p w14:paraId="615950E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0.863224</w:t>
                  </w:r>
                </w:p>
              </w:tc>
              <w:tc>
                <w:tcPr>
                  <w:tcW w:w="901" w:type="dxa"/>
                  <w:noWrap/>
                  <w:vAlign w:val="bottom"/>
                </w:tcPr>
                <w:p w14:paraId="3A81A31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0.800332</w:t>
                  </w:r>
                </w:p>
              </w:tc>
              <w:tc>
                <w:tcPr>
                  <w:tcW w:w="921" w:type="dxa"/>
                  <w:noWrap/>
                  <w:vAlign w:val="bottom"/>
                </w:tcPr>
                <w:p w14:paraId="1A5B1F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0.687527</w:t>
                  </w:r>
                </w:p>
              </w:tc>
              <w:tc>
                <w:tcPr>
                  <w:tcW w:w="956" w:type="dxa"/>
                  <w:noWrap/>
                  <w:vAlign w:val="bottom"/>
                </w:tcPr>
                <w:p w14:paraId="34E5584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0.603587</w:t>
                  </w:r>
                </w:p>
              </w:tc>
              <w:tc>
                <w:tcPr>
                  <w:tcW w:w="990" w:type="dxa"/>
                  <w:noWrap/>
                  <w:vAlign w:val="bottom"/>
                </w:tcPr>
                <w:p w14:paraId="5D78CC6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0.50645</w:t>
                  </w:r>
                </w:p>
              </w:tc>
              <w:tc>
                <w:tcPr>
                  <w:tcW w:w="1022" w:type="dxa"/>
                  <w:vAlign w:val="bottom"/>
                </w:tcPr>
                <w:p w14:paraId="7E4643C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0.312647</w:t>
                  </w:r>
                </w:p>
              </w:tc>
              <w:tc>
                <w:tcPr>
                  <w:tcW w:w="472" w:type="dxa"/>
                  <w:vAlign w:val="bottom"/>
                </w:tcPr>
                <w:p w14:paraId="68A2807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3ECC509" w14:textId="77777777" w:rsidTr="00A03DAB">
              <w:trPr>
                <w:trHeight w:val="285"/>
                <w:jc w:val="center"/>
              </w:trPr>
              <w:tc>
                <w:tcPr>
                  <w:tcW w:w="723" w:type="dxa"/>
                  <w:noWrap/>
                  <w:vAlign w:val="bottom"/>
                  <w:hideMark/>
                </w:tcPr>
                <w:p w14:paraId="17D19B2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12</w:t>
                  </w:r>
                </w:p>
              </w:tc>
              <w:tc>
                <w:tcPr>
                  <w:tcW w:w="314" w:type="dxa"/>
                  <w:noWrap/>
                  <w:vAlign w:val="bottom"/>
                </w:tcPr>
                <w:p w14:paraId="5F38E38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47DA82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0.89045</w:t>
                  </w:r>
                </w:p>
              </w:tc>
              <w:tc>
                <w:tcPr>
                  <w:tcW w:w="901" w:type="dxa"/>
                  <w:noWrap/>
                  <w:vAlign w:val="bottom"/>
                </w:tcPr>
                <w:p w14:paraId="03A7DE0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0.892372</w:t>
                  </w:r>
                </w:p>
              </w:tc>
              <w:tc>
                <w:tcPr>
                  <w:tcW w:w="901" w:type="dxa"/>
                  <w:noWrap/>
                  <w:vAlign w:val="bottom"/>
                </w:tcPr>
                <w:p w14:paraId="59FD2C1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0.870334</w:t>
                  </w:r>
                </w:p>
              </w:tc>
              <w:tc>
                <w:tcPr>
                  <w:tcW w:w="901" w:type="dxa"/>
                  <w:noWrap/>
                  <w:vAlign w:val="bottom"/>
                </w:tcPr>
                <w:p w14:paraId="6091A37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0.826376</w:t>
                  </w:r>
                </w:p>
              </w:tc>
              <w:tc>
                <w:tcPr>
                  <w:tcW w:w="921" w:type="dxa"/>
                  <w:noWrap/>
                  <w:vAlign w:val="bottom"/>
                </w:tcPr>
                <w:p w14:paraId="4E389A5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0.750031</w:t>
                  </w:r>
                </w:p>
              </w:tc>
              <w:tc>
                <w:tcPr>
                  <w:tcW w:w="956" w:type="dxa"/>
                  <w:noWrap/>
                  <w:vAlign w:val="bottom"/>
                </w:tcPr>
                <w:p w14:paraId="6C84F4F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0.695293</w:t>
                  </w:r>
                </w:p>
              </w:tc>
              <w:tc>
                <w:tcPr>
                  <w:tcW w:w="990" w:type="dxa"/>
                  <w:noWrap/>
                  <w:vAlign w:val="bottom"/>
                </w:tcPr>
                <w:p w14:paraId="43B64B8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0.629821</w:t>
                  </w:r>
                </w:p>
              </w:tc>
              <w:tc>
                <w:tcPr>
                  <w:tcW w:w="1022" w:type="dxa"/>
                  <w:vAlign w:val="bottom"/>
                </w:tcPr>
                <w:p w14:paraId="437D0D1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0.45883</w:t>
                  </w:r>
                </w:p>
              </w:tc>
              <w:tc>
                <w:tcPr>
                  <w:tcW w:w="472" w:type="dxa"/>
                  <w:vAlign w:val="bottom"/>
                </w:tcPr>
                <w:p w14:paraId="2F6C971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E1304A9" w14:textId="77777777" w:rsidTr="00A03DAB">
              <w:trPr>
                <w:trHeight w:val="285"/>
                <w:jc w:val="center"/>
              </w:trPr>
              <w:tc>
                <w:tcPr>
                  <w:tcW w:w="723" w:type="dxa"/>
                  <w:noWrap/>
                  <w:vAlign w:val="bottom"/>
                  <w:hideMark/>
                </w:tcPr>
                <w:p w14:paraId="5D4FE4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15</w:t>
                  </w:r>
                </w:p>
              </w:tc>
              <w:tc>
                <w:tcPr>
                  <w:tcW w:w="314" w:type="dxa"/>
                  <w:noWrap/>
                  <w:vAlign w:val="bottom"/>
                </w:tcPr>
                <w:p w14:paraId="5CF4605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621A5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0.898963</w:t>
                  </w:r>
                </w:p>
              </w:tc>
              <w:tc>
                <w:tcPr>
                  <w:tcW w:w="901" w:type="dxa"/>
                  <w:noWrap/>
                  <w:vAlign w:val="bottom"/>
                </w:tcPr>
                <w:p w14:paraId="73E8572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0.909285</w:t>
                  </w:r>
                </w:p>
              </w:tc>
              <w:tc>
                <w:tcPr>
                  <w:tcW w:w="901" w:type="dxa"/>
                  <w:noWrap/>
                  <w:vAlign w:val="bottom"/>
                </w:tcPr>
                <w:p w14:paraId="336396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0.893886</w:t>
                  </w:r>
                </w:p>
              </w:tc>
              <w:tc>
                <w:tcPr>
                  <w:tcW w:w="901" w:type="dxa"/>
                  <w:noWrap/>
                  <w:vAlign w:val="bottom"/>
                </w:tcPr>
                <w:p w14:paraId="0E9F31C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0.859856</w:t>
                  </w:r>
                </w:p>
              </w:tc>
              <w:tc>
                <w:tcPr>
                  <w:tcW w:w="921" w:type="dxa"/>
                  <w:noWrap/>
                  <w:vAlign w:val="bottom"/>
                </w:tcPr>
                <w:p w14:paraId="0C45F1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0.800384</w:t>
                  </w:r>
                </w:p>
              </w:tc>
              <w:tc>
                <w:tcPr>
                  <w:tcW w:w="956" w:type="dxa"/>
                  <w:noWrap/>
                  <w:vAlign w:val="bottom"/>
                </w:tcPr>
                <w:p w14:paraId="7244AF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0.758432</w:t>
                  </w:r>
                </w:p>
              </w:tc>
              <w:tc>
                <w:tcPr>
                  <w:tcW w:w="990" w:type="dxa"/>
                  <w:noWrap/>
                  <w:vAlign w:val="bottom"/>
                </w:tcPr>
                <w:p w14:paraId="5015D14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0.715048</w:t>
                  </w:r>
                </w:p>
              </w:tc>
              <w:tc>
                <w:tcPr>
                  <w:tcW w:w="1022" w:type="dxa"/>
                  <w:vAlign w:val="bottom"/>
                </w:tcPr>
                <w:p w14:paraId="700B5E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0.621677</w:t>
                  </w:r>
                </w:p>
              </w:tc>
              <w:tc>
                <w:tcPr>
                  <w:tcW w:w="472" w:type="dxa"/>
                  <w:vAlign w:val="bottom"/>
                </w:tcPr>
                <w:p w14:paraId="7F2D75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1B408FF" w14:textId="77777777" w:rsidTr="00A03DAB">
              <w:trPr>
                <w:trHeight w:val="285"/>
                <w:jc w:val="center"/>
              </w:trPr>
              <w:tc>
                <w:tcPr>
                  <w:tcW w:w="723" w:type="dxa"/>
                  <w:noWrap/>
                  <w:vAlign w:val="bottom"/>
                  <w:hideMark/>
                </w:tcPr>
                <w:p w14:paraId="0AA673F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16</w:t>
                  </w:r>
                </w:p>
              </w:tc>
              <w:tc>
                <w:tcPr>
                  <w:tcW w:w="314" w:type="dxa"/>
                  <w:noWrap/>
                  <w:vAlign w:val="bottom"/>
                </w:tcPr>
                <w:p w14:paraId="2EBC1A9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1549B0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0.916331</w:t>
                  </w:r>
                </w:p>
              </w:tc>
              <w:tc>
                <w:tcPr>
                  <w:tcW w:w="901" w:type="dxa"/>
                  <w:noWrap/>
                  <w:vAlign w:val="bottom"/>
                </w:tcPr>
                <w:p w14:paraId="25CC074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0.930214</w:t>
                  </w:r>
                </w:p>
              </w:tc>
              <w:tc>
                <w:tcPr>
                  <w:tcW w:w="901" w:type="dxa"/>
                  <w:noWrap/>
                  <w:vAlign w:val="bottom"/>
                </w:tcPr>
                <w:p w14:paraId="1F40F1D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0.920418</w:t>
                  </w:r>
                </w:p>
              </w:tc>
              <w:tc>
                <w:tcPr>
                  <w:tcW w:w="901" w:type="dxa"/>
                  <w:noWrap/>
                  <w:vAlign w:val="bottom"/>
                </w:tcPr>
                <w:p w14:paraId="1989799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0.89538</w:t>
                  </w:r>
                </w:p>
              </w:tc>
              <w:tc>
                <w:tcPr>
                  <w:tcW w:w="921" w:type="dxa"/>
                  <w:noWrap/>
                  <w:vAlign w:val="bottom"/>
                </w:tcPr>
                <w:p w14:paraId="4A0965F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0.850541</w:t>
                  </w:r>
                </w:p>
              </w:tc>
              <w:tc>
                <w:tcPr>
                  <w:tcW w:w="956" w:type="dxa"/>
                  <w:noWrap/>
                  <w:vAlign w:val="bottom"/>
                </w:tcPr>
                <w:p w14:paraId="65996BF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0.818808</w:t>
                  </w:r>
                </w:p>
              </w:tc>
              <w:tc>
                <w:tcPr>
                  <w:tcW w:w="990" w:type="dxa"/>
                  <w:noWrap/>
                  <w:vAlign w:val="bottom"/>
                </w:tcPr>
                <w:p w14:paraId="49D0B45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0.787078</w:t>
                  </w:r>
                </w:p>
              </w:tc>
              <w:tc>
                <w:tcPr>
                  <w:tcW w:w="1022" w:type="dxa"/>
                  <w:vAlign w:val="bottom"/>
                </w:tcPr>
                <w:p w14:paraId="66A3F30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0.72166</w:t>
                  </w:r>
                </w:p>
              </w:tc>
              <w:tc>
                <w:tcPr>
                  <w:tcW w:w="472" w:type="dxa"/>
                  <w:vAlign w:val="bottom"/>
                </w:tcPr>
                <w:p w14:paraId="3AAF49E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71D2F16" w14:textId="77777777" w:rsidTr="00A03DAB">
              <w:trPr>
                <w:trHeight w:val="285"/>
                <w:jc w:val="center"/>
              </w:trPr>
              <w:tc>
                <w:tcPr>
                  <w:tcW w:w="723" w:type="dxa"/>
                  <w:noWrap/>
                  <w:vAlign w:val="bottom"/>
                  <w:hideMark/>
                </w:tcPr>
                <w:p w14:paraId="22CA212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18</w:t>
                  </w:r>
                </w:p>
              </w:tc>
              <w:tc>
                <w:tcPr>
                  <w:tcW w:w="314" w:type="dxa"/>
                  <w:noWrap/>
                  <w:vAlign w:val="bottom"/>
                </w:tcPr>
                <w:p w14:paraId="3F670BE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6F41110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0.919146</w:t>
                  </w:r>
                </w:p>
              </w:tc>
              <w:tc>
                <w:tcPr>
                  <w:tcW w:w="901" w:type="dxa"/>
                  <w:noWrap/>
                  <w:vAlign w:val="bottom"/>
                </w:tcPr>
                <w:p w14:paraId="2E3757D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0.9273</w:t>
                  </w:r>
                </w:p>
              </w:tc>
              <w:tc>
                <w:tcPr>
                  <w:tcW w:w="901" w:type="dxa"/>
                  <w:noWrap/>
                  <w:vAlign w:val="bottom"/>
                </w:tcPr>
                <w:p w14:paraId="1C32B22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0.909614</w:t>
                  </w:r>
                </w:p>
              </w:tc>
              <w:tc>
                <w:tcPr>
                  <w:tcW w:w="901" w:type="dxa"/>
                  <w:noWrap/>
                  <w:vAlign w:val="bottom"/>
                </w:tcPr>
                <w:p w14:paraId="5FE90EC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0.87209</w:t>
                  </w:r>
                </w:p>
              </w:tc>
              <w:tc>
                <w:tcPr>
                  <w:tcW w:w="921" w:type="dxa"/>
                  <w:noWrap/>
                  <w:vAlign w:val="bottom"/>
                </w:tcPr>
                <w:p w14:paraId="0AE7EFB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0.806043</w:t>
                  </w:r>
                </w:p>
              </w:tc>
              <w:tc>
                <w:tcPr>
                  <w:tcW w:w="956" w:type="dxa"/>
                  <w:noWrap/>
                  <w:vAlign w:val="bottom"/>
                </w:tcPr>
                <w:p w14:paraId="7EE4CF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0.758812</w:t>
                  </w:r>
                </w:p>
              </w:tc>
              <w:tc>
                <w:tcPr>
                  <w:tcW w:w="990" w:type="dxa"/>
                  <w:noWrap/>
                  <w:vAlign w:val="bottom"/>
                </w:tcPr>
                <w:p w14:paraId="2AEC96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0.712431</w:t>
                  </w:r>
                </w:p>
              </w:tc>
              <w:tc>
                <w:tcPr>
                  <w:tcW w:w="1022" w:type="dxa"/>
                  <w:vAlign w:val="bottom"/>
                </w:tcPr>
                <w:p w14:paraId="5159DCF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0.619945</w:t>
                  </w:r>
                </w:p>
              </w:tc>
              <w:tc>
                <w:tcPr>
                  <w:tcW w:w="472" w:type="dxa"/>
                  <w:vAlign w:val="bottom"/>
                </w:tcPr>
                <w:p w14:paraId="7F7F062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55108318" w14:textId="77777777" w:rsidTr="00A03DAB">
              <w:trPr>
                <w:trHeight w:val="285"/>
                <w:jc w:val="center"/>
              </w:trPr>
              <w:tc>
                <w:tcPr>
                  <w:tcW w:w="723" w:type="dxa"/>
                  <w:noWrap/>
                  <w:vAlign w:val="bottom"/>
                  <w:hideMark/>
                </w:tcPr>
                <w:p w14:paraId="45A43C2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20</w:t>
                  </w:r>
                </w:p>
              </w:tc>
              <w:tc>
                <w:tcPr>
                  <w:tcW w:w="314" w:type="dxa"/>
                  <w:noWrap/>
                  <w:vAlign w:val="bottom"/>
                </w:tcPr>
                <w:p w14:paraId="48A38F5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45BFA04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0.960608</w:t>
                  </w:r>
                </w:p>
              </w:tc>
              <w:tc>
                <w:tcPr>
                  <w:tcW w:w="901" w:type="dxa"/>
                  <w:noWrap/>
                  <w:vAlign w:val="bottom"/>
                </w:tcPr>
                <w:p w14:paraId="637588A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0.964724</w:t>
                  </w:r>
                </w:p>
              </w:tc>
              <w:tc>
                <w:tcPr>
                  <w:tcW w:w="901" w:type="dxa"/>
                  <w:noWrap/>
                  <w:vAlign w:val="bottom"/>
                </w:tcPr>
                <w:p w14:paraId="2F096B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0.961045</w:t>
                  </w:r>
                </w:p>
              </w:tc>
              <w:tc>
                <w:tcPr>
                  <w:tcW w:w="901" w:type="dxa"/>
                  <w:noWrap/>
                  <w:vAlign w:val="bottom"/>
                </w:tcPr>
                <w:p w14:paraId="177A7E1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0.952862</w:t>
                  </w:r>
                </w:p>
              </w:tc>
              <w:tc>
                <w:tcPr>
                  <w:tcW w:w="921" w:type="dxa"/>
                  <w:noWrap/>
                  <w:vAlign w:val="bottom"/>
                </w:tcPr>
                <w:p w14:paraId="5143ABD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0.939436</w:t>
                  </w:r>
                </w:p>
              </w:tc>
              <w:tc>
                <w:tcPr>
                  <w:tcW w:w="956" w:type="dxa"/>
                  <w:noWrap/>
                  <w:vAlign w:val="bottom"/>
                </w:tcPr>
                <w:p w14:paraId="2C244A7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0.930576</w:t>
                  </w:r>
                </w:p>
              </w:tc>
              <w:tc>
                <w:tcPr>
                  <w:tcW w:w="990" w:type="dxa"/>
                  <w:noWrap/>
                  <w:vAlign w:val="bottom"/>
                </w:tcPr>
                <w:p w14:paraId="074AB97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0.922481</w:t>
                  </w:r>
                </w:p>
              </w:tc>
              <w:tc>
                <w:tcPr>
                  <w:tcW w:w="1022" w:type="dxa"/>
                  <w:vAlign w:val="bottom"/>
                </w:tcPr>
                <w:p w14:paraId="58BAB1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0.907546</w:t>
                  </w:r>
                </w:p>
              </w:tc>
              <w:tc>
                <w:tcPr>
                  <w:tcW w:w="472" w:type="dxa"/>
                  <w:vAlign w:val="bottom"/>
                </w:tcPr>
                <w:p w14:paraId="0D3C15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1CE0DA6" w14:textId="77777777" w:rsidTr="00A03DAB">
              <w:trPr>
                <w:trHeight w:val="285"/>
                <w:jc w:val="center"/>
              </w:trPr>
              <w:tc>
                <w:tcPr>
                  <w:tcW w:w="723" w:type="dxa"/>
                  <w:noWrap/>
                  <w:vAlign w:val="bottom"/>
                  <w:hideMark/>
                </w:tcPr>
                <w:p w14:paraId="75821C2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21</w:t>
                  </w:r>
                </w:p>
              </w:tc>
              <w:tc>
                <w:tcPr>
                  <w:tcW w:w="314" w:type="dxa"/>
                  <w:noWrap/>
                  <w:vAlign w:val="bottom"/>
                </w:tcPr>
                <w:p w14:paraId="1B7E648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5AE4362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0.917362</w:t>
                  </w:r>
                </w:p>
              </w:tc>
              <w:tc>
                <w:tcPr>
                  <w:tcW w:w="901" w:type="dxa"/>
                  <w:noWrap/>
                  <w:vAlign w:val="bottom"/>
                </w:tcPr>
                <w:p w14:paraId="7FFF956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0.932163</w:t>
                  </w:r>
                </w:p>
              </w:tc>
              <w:tc>
                <w:tcPr>
                  <w:tcW w:w="901" w:type="dxa"/>
                  <w:noWrap/>
                  <w:vAlign w:val="bottom"/>
                </w:tcPr>
                <w:p w14:paraId="0B141CB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0.925792</w:t>
                  </w:r>
                </w:p>
              </w:tc>
              <w:tc>
                <w:tcPr>
                  <w:tcW w:w="901" w:type="dxa"/>
                  <w:noWrap/>
                  <w:vAlign w:val="bottom"/>
                </w:tcPr>
                <w:p w14:paraId="1D9F43A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0.907164</w:t>
                  </w:r>
                </w:p>
              </w:tc>
              <w:tc>
                <w:tcPr>
                  <w:tcW w:w="921" w:type="dxa"/>
                  <w:noWrap/>
                  <w:vAlign w:val="bottom"/>
                </w:tcPr>
                <w:p w14:paraId="01F3DC2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0.873623</w:t>
                  </w:r>
                </w:p>
              </w:tc>
              <w:tc>
                <w:tcPr>
                  <w:tcW w:w="956" w:type="dxa"/>
                  <w:noWrap/>
                  <w:vAlign w:val="bottom"/>
                </w:tcPr>
                <w:p w14:paraId="03508B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0.850097</w:t>
                  </w:r>
                </w:p>
              </w:tc>
              <w:tc>
                <w:tcPr>
                  <w:tcW w:w="990" w:type="dxa"/>
                  <w:noWrap/>
                  <w:vAlign w:val="bottom"/>
                </w:tcPr>
                <w:p w14:paraId="440EDDB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0.826926</w:t>
                  </w:r>
                </w:p>
              </w:tc>
              <w:tc>
                <w:tcPr>
                  <w:tcW w:w="1022" w:type="dxa"/>
                  <w:vAlign w:val="bottom"/>
                </w:tcPr>
                <w:p w14:paraId="095D459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0.779977</w:t>
                  </w:r>
                </w:p>
              </w:tc>
              <w:tc>
                <w:tcPr>
                  <w:tcW w:w="472" w:type="dxa"/>
                  <w:vAlign w:val="bottom"/>
                </w:tcPr>
                <w:p w14:paraId="5A4485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F5E9B85" w14:textId="77777777" w:rsidTr="00A03DAB">
              <w:trPr>
                <w:trHeight w:val="285"/>
                <w:jc w:val="center"/>
              </w:trPr>
              <w:tc>
                <w:tcPr>
                  <w:tcW w:w="723" w:type="dxa"/>
                  <w:noWrap/>
                  <w:vAlign w:val="bottom"/>
                  <w:hideMark/>
                </w:tcPr>
                <w:p w14:paraId="28EE5CA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23</w:t>
                  </w:r>
                </w:p>
              </w:tc>
              <w:tc>
                <w:tcPr>
                  <w:tcW w:w="314" w:type="dxa"/>
                  <w:noWrap/>
                  <w:vAlign w:val="bottom"/>
                </w:tcPr>
                <w:p w14:paraId="5B65CAE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6B262EB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0.941233</w:t>
                  </w:r>
                </w:p>
              </w:tc>
              <w:tc>
                <w:tcPr>
                  <w:tcW w:w="901" w:type="dxa"/>
                  <w:noWrap/>
                  <w:vAlign w:val="bottom"/>
                </w:tcPr>
                <w:p w14:paraId="32DB66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0.954393</w:t>
                  </w:r>
                </w:p>
              </w:tc>
              <w:tc>
                <w:tcPr>
                  <w:tcW w:w="901" w:type="dxa"/>
                  <w:noWrap/>
                  <w:vAlign w:val="bottom"/>
                </w:tcPr>
                <w:p w14:paraId="25F7D03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0.952263</w:t>
                  </w:r>
                </w:p>
              </w:tc>
              <w:tc>
                <w:tcPr>
                  <w:tcW w:w="901" w:type="dxa"/>
                  <w:noWrap/>
                  <w:vAlign w:val="bottom"/>
                </w:tcPr>
                <w:p w14:paraId="2EFB525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0.94241</w:t>
                  </w:r>
                </w:p>
              </w:tc>
              <w:tc>
                <w:tcPr>
                  <w:tcW w:w="921" w:type="dxa"/>
                  <w:noWrap/>
                  <w:vAlign w:val="bottom"/>
                </w:tcPr>
                <w:p w14:paraId="7A92288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0.923933</w:t>
                  </w:r>
                </w:p>
              </w:tc>
              <w:tc>
                <w:tcPr>
                  <w:tcW w:w="956" w:type="dxa"/>
                  <w:noWrap/>
                  <w:vAlign w:val="bottom"/>
                </w:tcPr>
                <w:p w14:paraId="5429658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0.910924</w:t>
                  </w:r>
                </w:p>
              </w:tc>
              <w:tc>
                <w:tcPr>
                  <w:tcW w:w="990" w:type="dxa"/>
                  <w:noWrap/>
                  <w:vAlign w:val="bottom"/>
                </w:tcPr>
                <w:p w14:paraId="53281B5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0.898111</w:t>
                  </w:r>
                </w:p>
              </w:tc>
              <w:tc>
                <w:tcPr>
                  <w:tcW w:w="1022" w:type="dxa"/>
                  <w:vAlign w:val="bottom"/>
                </w:tcPr>
                <w:p w14:paraId="44ADE71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0.872104</w:t>
                  </w:r>
                </w:p>
              </w:tc>
              <w:tc>
                <w:tcPr>
                  <w:tcW w:w="472" w:type="dxa"/>
                  <w:vAlign w:val="bottom"/>
                </w:tcPr>
                <w:p w14:paraId="5E8856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CB662DD" w14:textId="77777777" w:rsidTr="00A03DAB">
              <w:trPr>
                <w:trHeight w:val="285"/>
                <w:jc w:val="center"/>
              </w:trPr>
              <w:tc>
                <w:tcPr>
                  <w:tcW w:w="723" w:type="dxa"/>
                  <w:noWrap/>
                  <w:vAlign w:val="bottom"/>
                  <w:hideMark/>
                </w:tcPr>
                <w:p w14:paraId="5B8106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24</w:t>
                  </w:r>
                </w:p>
              </w:tc>
              <w:tc>
                <w:tcPr>
                  <w:tcW w:w="314" w:type="dxa"/>
                  <w:noWrap/>
                  <w:vAlign w:val="bottom"/>
                </w:tcPr>
                <w:p w14:paraId="7FDE48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D839B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0.921302</w:t>
                  </w:r>
                </w:p>
              </w:tc>
              <w:tc>
                <w:tcPr>
                  <w:tcW w:w="901" w:type="dxa"/>
                  <w:noWrap/>
                  <w:vAlign w:val="bottom"/>
                </w:tcPr>
                <w:p w14:paraId="0CFBC20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0.937294</w:t>
                  </w:r>
                </w:p>
              </w:tc>
              <w:tc>
                <w:tcPr>
                  <w:tcW w:w="901" w:type="dxa"/>
                  <w:noWrap/>
                  <w:vAlign w:val="bottom"/>
                </w:tcPr>
                <w:p w14:paraId="314FBB9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0.929844</w:t>
                  </w:r>
                </w:p>
              </w:tc>
              <w:tc>
                <w:tcPr>
                  <w:tcW w:w="901" w:type="dxa"/>
                  <w:noWrap/>
                  <w:vAlign w:val="bottom"/>
                </w:tcPr>
                <w:p w14:paraId="5ADBA3E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0.90812</w:t>
                  </w:r>
                </w:p>
              </w:tc>
              <w:tc>
                <w:tcPr>
                  <w:tcW w:w="921" w:type="dxa"/>
                  <w:noWrap/>
                  <w:vAlign w:val="bottom"/>
                </w:tcPr>
                <w:p w14:paraId="372AF8C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0.868341</w:t>
                  </w:r>
                </w:p>
              </w:tc>
              <w:tc>
                <w:tcPr>
                  <w:tcW w:w="956" w:type="dxa"/>
                  <w:noWrap/>
                  <w:vAlign w:val="bottom"/>
                </w:tcPr>
                <w:p w14:paraId="0695F44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0.840005</w:t>
                  </w:r>
                </w:p>
              </w:tc>
              <w:tc>
                <w:tcPr>
                  <w:tcW w:w="990" w:type="dxa"/>
                  <w:noWrap/>
                  <w:vAlign w:val="bottom"/>
                </w:tcPr>
                <w:p w14:paraId="41C944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0.811507</w:t>
                  </w:r>
                </w:p>
              </w:tc>
              <w:tc>
                <w:tcPr>
                  <w:tcW w:w="1022" w:type="dxa"/>
                  <w:vAlign w:val="bottom"/>
                </w:tcPr>
                <w:p w14:paraId="616038D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0.752348</w:t>
                  </w:r>
                </w:p>
              </w:tc>
              <w:tc>
                <w:tcPr>
                  <w:tcW w:w="472" w:type="dxa"/>
                  <w:vAlign w:val="bottom"/>
                </w:tcPr>
                <w:p w14:paraId="43728D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067D36F" w14:textId="77777777" w:rsidTr="00A03DAB">
              <w:trPr>
                <w:trHeight w:val="285"/>
                <w:jc w:val="center"/>
              </w:trPr>
              <w:tc>
                <w:tcPr>
                  <w:tcW w:w="723" w:type="dxa"/>
                  <w:noWrap/>
                  <w:vAlign w:val="bottom"/>
                  <w:hideMark/>
                </w:tcPr>
                <w:p w14:paraId="1BFB820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25</w:t>
                  </w:r>
                </w:p>
              </w:tc>
              <w:tc>
                <w:tcPr>
                  <w:tcW w:w="314" w:type="dxa"/>
                  <w:noWrap/>
                  <w:vAlign w:val="bottom"/>
                </w:tcPr>
                <w:p w14:paraId="1AB7A31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1F8F98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0.948386</w:t>
                  </w:r>
                </w:p>
              </w:tc>
              <w:tc>
                <w:tcPr>
                  <w:tcW w:w="901" w:type="dxa"/>
                  <w:noWrap/>
                  <w:vAlign w:val="bottom"/>
                </w:tcPr>
                <w:p w14:paraId="1788BAA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0.934762</w:t>
                  </w:r>
                </w:p>
              </w:tc>
              <w:tc>
                <w:tcPr>
                  <w:tcW w:w="901" w:type="dxa"/>
                  <w:noWrap/>
                  <w:vAlign w:val="bottom"/>
                </w:tcPr>
                <w:p w14:paraId="736C9A7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0.908802</w:t>
                  </w:r>
                </w:p>
              </w:tc>
              <w:tc>
                <w:tcPr>
                  <w:tcW w:w="901" w:type="dxa"/>
                  <w:noWrap/>
                  <w:vAlign w:val="bottom"/>
                </w:tcPr>
                <w:p w14:paraId="286F8B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0.867296</w:t>
                  </w:r>
                </w:p>
              </w:tc>
              <w:tc>
                <w:tcPr>
                  <w:tcW w:w="921" w:type="dxa"/>
                  <w:noWrap/>
                  <w:vAlign w:val="bottom"/>
                </w:tcPr>
                <w:p w14:paraId="5A50EC3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0.799448</w:t>
                  </w:r>
                </w:p>
              </w:tc>
              <w:tc>
                <w:tcPr>
                  <w:tcW w:w="956" w:type="dxa"/>
                  <w:noWrap/>
                  <w:vAlign w:val="bottom"/>
                </w:tcPr>
                <w:p w14:paraId="6D83AF6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0.751914</w:t>
                  </w:r>
                </w:p>
              </w:tc>
              <w:tc>
                <w:tcPr>
                  <w:tcW w:w="990" w:type="dxa"/>
                  <w:noWrap/>
                  <w:vAlign w:val="bottom"/>
                </w:tcPr>
                <w:p w14:paraId="6FEE15E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0.709581</w:t>
                  </w:r>
                </w:p>
              </w:tc>
              <w:tc>
                <w:tcPr>
                  <w:tcW w:w="1022" w:type="dxa"/>
                  <w:vAlign w:val="bottom"/>
                </w:tcPr>
                <w:p w14:paraId="1BCB445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0.625947</w:t>
                  </w:r>
                </w:p>
              </w:tc>
              <w:tc>
                <w:tcPr>
                  <w:tcW w:w="472" w:type="dxa"/>
                  <w:vAlign w:val="bottom"/>
                </w:tcPr>
                <w:p w14:paraId="600A90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2B4EF5A" w14:textId="77777777" w:rsidTr="00A03DAB">
              <w:trPr>
                <w:trHeight w:val="285"/>
                <w:jc w:val="center"/>
              </w:trPr>
              <w:tc>
                <w:tcPr>
                  <w:tcW w:w="723" w:type="dxa"/>
                  <w:noWrap/>
                  <w:vAlign w:val="bottom"/>
                  <w:hideMark/>
                </w:tcPr>
                <w:p w14:paraId="7A27074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26</w:t>
                  </w:r>
                </w:p>
              </w:tc>
              <w:tc>
                <w:tcPr>
                  <w:tcW w:w="314" w:type="dxa"/>
                  <w:noWrap/>
                  <w:vAlign w:val="bottom"/>
                </w:tcPr>
                <w:p w14:paraId="464F840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3894BA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0.932381</w:t>
                  </w:r>
                </w:p>
              </w:tc>
              <w:tc>
                <w:tcPr>
                  <w:tcW w:w="901" w:type="dxa"/>
                  <w:noWrap/>
                  <w:vAlign w:val="bottom"/>
                </w:tcPr>
                <w:p w14:paraId="7528EFB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0.930048</w:t>
                  </w:r>
                </w:p>
              </w:tc>
              <w:tc>
                <w:tcPr>
                  <w:tcW w:w="901" w:type="dxa"/>
                  <w:noWrap/>
                  <w:vAlign w:val="bottom"/>
                </w:tcPr>
                <w:p w14:paraId="3E81C8A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0.910923</w:t>
                  </w:r>
                </w:p>
              </w:tc>
              <w:tc>
                <w:tcPr>
                  <w:tcW w:w="901" w:type="dxa"/>
                  <w:noWrap/>
                  <w:vAlign w:val="bottom"/>
                </w:tcPr>
                <w:p w14:paraId="13FB81E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0.877014</w:t>
                  </w:r>
                </w:p>
              </w:tc>
              <w:tc>
                <w:tcPr>
                  <w:tcW w:w="921" w:type="dxa"/>
                  <w:noWrap/>
                  <w:vAlign w:val="bottom"/>
                </w:tcPr>
                <w:p w14:paraId="32B3C0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0.820722</w:t>
                  </w:r>
                </w:p>
              </w:tc>
              <w:tc>
                <w:tcPr>
                  <w:tcW w:w="956" w:type="dxa"/>
                  <w:noWrap/>
                  <w:vAlign w:val="bottom"/>
                </w:tcPr>
                <w:p w14:paraId="34E44E9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0.781627</w:t>
                  </w:r>
                </w:p>
              </w:tc>
              <w:tc>
                <w:tcPr>
                  <w:tcW w:w="990" w:type="dxa"/>
                  <w:noWrap/>
                  <w:vAlign w:val="bottom"/>
                </w:tcPr>
                <w:p w14:paraId="35A6E4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0.746175</w:t>
                  </w:r>
                </w:p>
              </w:tc>
              <w:tc>
                <w:tcPr>
                  <w:tcW w:w="1022" w:type="dxa"/>
                  <w:vAlign w:val="bottom"/>
                </w:tcPr>
                <w:p w14:paraId="5E91065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0.679092</w:t>
                  </w:r>
                </w:p>
              </w:tc>
              <w:tc>
                <w:tcPr>
                  <w:tcW w:w="472" w:type="dxa"/>
                  <w:vAlign w:val="bottom"/>
                </w:tcPr>
                <w:p w14:paraId="7CADCD9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DAC6F54" w14:textId="77777777" w:rsidTr="00A03DAB">
              <w:trPr>
                <w:trHeight w:val="285"/>
                <w:jc w:val="center"/>
              </w:trPr>
              <w:tc>
                <w:tcPr>
                  <w:tcW w:w="723" w:type="dxa"/>
                  <w:noWrap/>
                  <w:vAlign w:val="bottom"/>
                  <w:hideMark/>
                </w:tcPr>
                <w:p w14:paraId="624F0CE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27</w:t>
                  </w:r>
                </w:p>
              </w:tc>
              <w:tc>
                <w:tcPr>
                  <w:tcW w:w="314" w:type="dxa"/>
                  <w:noWrap/>
                  <w:vAlign w:val="bottom"/>
                </w:tcPr>
                <w:p w14:paraId="0DAF2FD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4CB4C3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0.917513</w:t>
                  </w:r>
                </w:p>
              </w:tc>
              <w:tc>
                <w:tcPr>
                  <w:tcW w:w="901" w:type="dxa"/>
                  <w:noWrap/>
                  <w:vAlign w:val="bottom"/>
                </w:tcPr>
                <w:p w14:paraId="563765D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0.918937</w:t>
                  </w:r>
                </w:p>
              </w:tc>
              <w:tc>
                <w:tcPr>
                  <w:tcW w:w="901" w:type="dxa"/>
                  <w:noWrap/>
                  <w:vAlign w:val="bottom"/>
                </w:tcPr>
                <w:p w14:paraId="2649F7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0.899985</w:t>
                  </w:r>
                </w:p>
              </w:tc>
              <w:tc>
                <w:tcPr>
                  <w:tcW w:w="901" w:type="dxa"/>
                  <w:noWrap/>
                  <w:vAlign w:val="bottom"/>
                </w:tcPr>
                <w:p w14:paraId="7EAC2E9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0.864462</w:t>
                  </w:r>
                </w:p>
              </w:tc>
              <w:tc>
                <w:tcPr>
                  <w:tcW w:w="921" w:type="dxa"/>
                  <w:noWrap/>
                  <w:vAlign w:val="bottom"/>
                </w:tcPr>
                <w:p w14:paraId="2E83ABA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0.804667</w:t>
                  </w:r>
                </w:p>
              </w:tc>
              <w:tc>
                <w:tcPr>
                  <w:tcW w:w="956" w:type="dxa"/>
                  <w:noWrap/>
                  <w:vAlign w:val="bottom"/>
                </w:tcPr>
                <w:p w14:paraId="0C5BD41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0.76296</w:t>
                  </w:r>
                </w:p>
              </w:tc>
              <w:tc>
                <w:tcPr>
                  <w:tcW w:w="990" w:type="dxa"/>
                  <w:noWrap/>
                  <w:vAlign w:val="bottom"/>
                </w:tcPr>
                <w:p w14:paraId="39E474A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0.724081</w:t>
                  </w:r>
                </w:p>
              </w:tc>
              <w:tc>
                <w:tcPr>
                  <w:tcW w:w="1022" w:type="dxa"/>
                  <w:vAlign w:val="bottom"/>
                </w:tcPr>
                <w:p w14:paraId="0C5D40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0.64944</w:t>
                  </w:r>
                </w:p>
              </w:tc>
              <w:tc>
                <w:tcPr>
                  <w:tcW w:w="472" w:type="dxa"/>
                  <w:vAlign w:val="bottom"/>
                </w:tcPr>
                <w:p w14:paraId="708DDEE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DE6AEAB" w14:textId="77777777" w:rsidTr="00A03DAB">
              <w:trPr>
                <w:trHeight w:val="285"/>
                <w:jc w:val="center"/>
              </w:trPr>
              <w:tc>
                <w:tcPr>
                  <w:tcW w:w="723" w:type="dxa"/>
                  <w:noWrap/>
                  <w:vAlign w:val="bottom"/>
                  <w:hideMark/>
                </w:tcPr>
                <w:p w14:paraId="2B379A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28</w:t>
                  </w:r>
                </w:p>
              </w:tc>
              <w:tc>
                <w:tcPr>
                  <w:tcW w:w="314" w:type="dxa"/>
                  <w:noWrap/>
                  <w:vAlign w:val="bottom"/>
                </w:tcPr>
                <w:p w14:paraId="0F27129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6901723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0.948901</w:t>
                  </w:r>
                </w:p>
              </w:tc>
              <w:tc>
                <w:tcPr>
                  <w:tcW w:w="901" w:type="dxa"/>
                  <w:noWrap/>
                  <w:vAlign w:val="bottom"/>
                </w:tcPr>
                <w:p w14:paraId="7788754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0.951034</w:t>
                  </w:r>
                </w:p>
              </w:tc>
              <w:tc>
                <w:tcPr>
                  <w:tcW w:w="901" w:type="dxa"/>
                  <w:noWrap/>
                  <w:vAlign w:val="bottom"/>
                </w:tcPr>
                <w:p w14:paraId="490762C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0.941125</w:t>
                  </w:r>
                </w:p>
              </w:tc>
              <w:tc>
                <w:tcPr>
                  <w:tcW w:w="901" w:type="dxa"/>
                  <w:noWrap/>
                  <w:vAlign w:val="bottom"/>
                </w:tcPr>
                <w:p w14:paraId="3B656B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0.922328</w:t>
                  </w:r>
                </w:p>
              </w:tc>
              <w:tc>
                <w:tcPr>
                  <w:tcW w:w="921" w:type="dxa"/>
                  <w:noWrap/>
                  <w:vAlign w:val="bottom"/>
                </w:tcPr>
                <w:p w14:paraId="3CDD975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0.891102</w:t>
                  </w:r>
                </w:p>
              </w:tc>
              <w:tc>
                <w:tcPr>
                  <w:tcW w:w="956" w:type="dxa"/>
                  <w:noWrap/>
                  <w:vAlign w:val="bottom"/>
                </w:tcPr>
                <w:p w14:paraId="1C0488E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0.869687</w:t>
                  </w:r>
                </w:p>
              </w:tc>
              <w:tc>
                <w:tcPr>
                  <w:tcW w:w="990" w:type="dxa"/>
                  <w:noWrap/>
                  <w:vAlign w:val="bottom"/>
                </w:tcPr>
                <w:p w14:paraId="7504CFA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0.850549</w:t>
                  </w:r>
                </w:p>
              </w:tc>
              <w:tc>
                <w:tcPr>
                  <w:tcW w:w="1022" w:type="dxa"/>
                  <w:vAlign w:val="bottom"/>
                </w:tcPr>
                <w:p w14:paraId="549EE2F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0.814976</w:t>
                  </w:r>
                </w:p>
              </w:tc>
              <w:tc>
                <w:tcPr>
                  <w:tcW w:w="472" w:type="dxa"/>
                  <w:vAlign w:val="bottom"/>
                </w:tcPr>
                <w:p w14:paraId="6E7587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4D23A6D" w14:textId="77777777" w:rsidTr="00A03DAB">
              <w:trPr>
                <w:trHeight w:val="285"/>
                <w:jc w:val="center"/>
              </w:trPr>
              <w:tc>
                <w:tcPr>
                  <w:tcW w:w="723" w:type="dxa"/>
                  <w:noWrap/>
                  <w:vAlign w:val="bottom"/>
                  <w:hideMark/>
                </w:tcPr>
                <w:p w14:paraId="05C793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29</w:t>
                  </w:r>
                </w:p>
              </w:tc>
              <w:tc>
                <w:tcPr>
                  <w:tcW w:w="314" w:type="dxa"/>
                  <w:noWrap/>
                  <w:vAlign w:val="bottom"/>
                </w:tcPr>
                <w:p w14:paraId="547D72A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6BA4CC2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0.961917</w:t>
                  </w:r>
                </w:p>
              </w:tc>
              <w:tc>
                <w:tcPr>
                  <w:tcW w:w="901" w:type="dxa"/>
                  <w:noWrap/>
                  <w:vAlign w:val="bottom"/>
                </w:tcPr>
                <w:p w14:paraId="2C380F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0.964596</w:t>
                  </w:r>
                </w:p>
              </w:tc>
              <w:tc>
                <w:tcPr>
                  <w:tcW w:w="901" w:type="dxa"/>
                  <w:noWrap/>
                  <w:vAlign w:val="bottom"/>
                </w:tcPr>
                <w:p w14:paraId="7DAA9D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0.958107</w:t>
                  </w:r>
                </w:p>
              </w:tc>
              <w:tc>
                <w:tcPr>
                  <w:tcW w:w="901" w:type="dxa"/>
                  <w:noWrap/>
                  <w:vAlign w:val="bottom"/>
                </w:tcPr>
                <w:p w14:paraId="15743EE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0.945271</w:t>
                  </w:r>
                </w:p>
              </w:tc>
              <w:tc>
                <w:tcPr>
                  <w:tcW w:w="921" w:type="dxa"/>
                  <w:noWrap/>
                  <w:vAlign w:val="bottom"/>
                </w:tcPr>
                <w:p w14:paraId="279EDD5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0.923802</w:t>
                  </w:r>
                </w:p>
              </w:tc>
              <w:tc>
                <w:tcPr>
                  <w:tcW w:w="956" w:type="dxa"/>
                  <w:noWrap/>
                  <w:vAlign w:val="bottom"/>
                </w:tcPr>
                <w:p w14:paraId="149E4B3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0.909081</w:t>
                  </w:r>
                </w:p>
              </w:tc>
              <w:tc>
                <w:tcPr>
                  <w:tcW w:w="990" w:type="dxa"/>
                  <w:noWrap/>
                  <w:vAlign w:val="bottom"/>
                </w:tcPr>
                <w:p w14:paraId="17B94DF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0.895919</w:t>
                  </w:r>
                </w:p>
              </w:tc>
              <w:tc>
                <w:tcPr>
                  <w:tcW w:w="1022" w:type="dxa"/>
                  <w:vAlign w:val="bottom"/>
                </w:tcPr>
                <w:p w14:paraId="3AEF9D7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0.871367</w:t>
                  </w:r>
                </w:p>
              </w:tc>
              <w:tc>
                <w:tcPr>
                  <w:tcW w:w="472" w:type="dxa"/>
                  <w:vAlign w:val="bottom"/>
                </w:tcPr>
                <w:p w14:paraId="1577ED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3790B58" w14:textId="77777777" w:rsidTr="00A03DAB">
              <w:trPr>
                <w:trHeight w:val="285"/>
                <w:jc w:val="center"/>
              </w:trPr>
              <w:tc>
                <w:tcPr>
                  <w:tcW w:w="723" w:type="dxa"/>
                  <w:noWrap/>
                  <w:vAlign w:val="bottom"/>
                  <w:hideMark/>
                </w:tcPr>
                <w:p w14:paraId="00183D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31</w:t>
                  </w:r>
                </w:p>
              </w:tc>
              <w:tc>
                <w:tcPr>
                  <w:tcW w:w="314" w:type="dxa"/>
                  <w:noWrap/>
                  <w:vAlign w:val="bottom"/>
                </w:tcPr>
                <w:p w14:paraId="3CEC7E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57CBA02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39CBE4A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5E10283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CE2E93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21" w:type="dxa"/>
                  <w:noWrap/>
                  <w:vAlign w:val="bottom"/>
                </w:tcPr>
                <w:p w14:paraId="1819E82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56" w:type="dxa"/>
                  <w:noWrap/>
                  <w:vAlign w:val="bottom"/>
                </w:tcPr>
                <w:p w14:paraId="34EB0B3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90" w:type="dxa"/>
                  <w:noWrap/>
                  <w:vAlign w:val="bottom"/>
                </w:tcPr>
                <w:p w14:paraId="3819EC9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0.926495</w:t>
                  </w:r>
                </w:p>
              </w:tc>
              <w:tc>
                <w:tcPr>
                  <w:tcW w:w="1022" w:type="dxa"/>
                  <w:vAlign w:val="bottom"/>
                </w:tcPr>
                <w:p w14:paraId="559510E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0.766595</w:t>
                  </w:r>
                </w:p>
              </w:tc>
              <w:tc>
                <w:tcPr>
                  <w:tcW w:w="472" w:type="dxa"/>
                  <w:vAlign w:val="bottom"/>
                </w:tcPr>
                <w:p w14:paraId="52B6376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bl>
          <w:p w14:paraId="45B4F208" w14:textId="70164C25" w:rsidR="003424D3" w:rsidRPr="006605A3" w:rsidRDefault="003424D3" w:rsidP="001552EC">
            <w:pPr>
              <w:pStyle w:val="Caption"/>
              <w:spacing w:line="240" w:lineRule="auto"/>
              <w:jc w:val="center"/>
            </w:pPr>
            <w:r w:rsidRPr="006605A3">
              <w:br/>
            </w:r>
            <w:bookmarkStart w:id="475" w:name="_Toc233728988"/>
            <w:proofErr w:type="spellStart"/>
            <w:r w:rsidR="0080398A" w:rsidRPr="006605A3">
              <w:t>Apx</w:t>
            </w:r>
            <w:proofErr w:type="spellEnd"/>
            <w:r w:rsidR="0080398A" w:rsidRPr="006605A3">
              <w:t xml:space="preserve"> Table </w:t>
            </w:r>
            <w:fldSimple w:instr=" SEQ Apx_Table \* ARABIC \s 9 ">
              <w:r w:rsidR="0080398A">
                <w:rPr>
                  <w:noProof/>
                </w:rPr>
                <w:t>5</w:t>
              </w:r>
            </w:fldSimple>
            <w:r w:rsidR="0080398A">
              <w:rPr>
                <w:noProof/>
              </w:rPr>
              <w:t xml:space="preserve">: </w:t>
            </w:r>
            <w:r w:rsidRPr="006605A3">
              <w:t>The value of SDVPI of different buses for 26% renewables in IEEE 39 bus system.</w:t>
            </w:r>
            <w:bookmarkEnd w:id="475"/>
          </w:p>
          <w:tbl>
            <w:tblPr>
              <w:tblW w:w="9002" w:type="dxa"/>
              <w:jc w:val="center"/>
              <w:tblLook w:val="04A0" w:firstRow="1" w:lastRow="0" w:firstColumn="1" w:lastColumn="0" w:noHBand="0" w:noVBand="1"/>
            </w:tblPr>
            <w:tblGrid>
              <w:gridCol w:w="723"/>
              <w:gridCol w:w="314"/>
              <w:gridCol w:w="901"/>
              <w:gridCol w:w="901"/>
              <w:gridCol w:w="901"/>
              <w:gridCol w:w="901"/>
              <w:gridCol w:w="921"/>
              <w:gridCol w:w="956"/>
              <w:gridCol w:w="990"/>
              <w:gridCol w:w="958"/>
              <w:gridCol w:w="536"/>
            </w:tblGrid>
            <w:tr w:rsidR="003424D3" w:rsidRPr="006605A3" w14:paraId="483346D7"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49B5E630"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Bus \ Scaling</w:t>
                  </w:r>
                </w:p>
              </w:tc>
              <w:tc>
                <w:tcPr>
                  <w:tcW w:w="314"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624C8BA3"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2D95E201"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0.05</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6A0C0884"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0.11</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6AAFAD15"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0.18</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708FE581"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0.26</w:t>
                  </w:r>
                </w:p>
              </w:tc>
              <w:tc>
                <w:tcPr>
                  <w:tcW w:w="92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5B646EC3"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0.36</w:t>
                  </w:r>
                </w:p>
              </w:tc>
              <w:tc>
                <w:tcPr>
                  <w:tcW w:w="95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36FA1412"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0.41</w:t>
                  </w:r>
                </w:p>
              </w:tc>
              <w:tc>
                <w:tcPr>
                  <w:tcW w:w="990"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32E0B93A"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0.44</w:t>
                  </w:r>
                </w:p>
              </w:tc>
              <w:tc>
                <w:tcPr>
                  <w:tcW w:w="958"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722EB2DE"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0.46</w:t>
                  </w:r>
                </w:p>
              </w:tc>
              <w:tc>
                <w:tcPr>
                  <w:tcW w:w="53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490F5D3"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0.47</w:t>
                  </w:r>
                </w:p>
              </w:tc>
            </w:tr>
            <w:tr w:rsidR="003424D3" w:rsidRPr="006605A3" w14:paraId="4F5D374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72317FD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03</w:t>
                  </w:r>
                </w:p>
              </w:tc>
              <w:tc>
                <w:tcPr>
                  <w:tcW w:w="314" w:type="dxa"/>
                  <w:tcBorders>
                    <w:top w:val="single" w:sz="4" w:space="0" w:color="auto"/>
                    <w:left w:val="single" w:sz="4" w:space="0" w:color="auto"/>
                    <w:bottom w:val="single" w:sz="4" w:space="0" w:color="auto"/>
                    <w:right w:val="single" w:sz="4" w:space="0" w:color="auto"/>
                  </w:tcBorders>
                  <w:noWrap/>
                  <w:vAlign w:val="bottom"/>
                </w:tcPr>
                <w:p w14:paraId="700358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B6F421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0.93358</w:t>
                  </w:r>
                </w:p>
              </w:tc>
              <w:tc>
                <w:tcPr>
                  <w:tcW w:w="901" w:type="dxa"/>
                  <w:tcBorders>
                    <w:top w:val="single" w:sz="4" w:space="0" w:color="auto"/>
                    <w:left w:val="single" w:sz="4" w:space="0" w:color="auto"/>
                    <w:bottom w:val="single" w:sz="4" w:space="0" w:color="auto"/>
                    <w:right w:val="single" w:sz="4" w:space="0" w:color="auto"/>
                  </w:tcBorders>
                  <w:noWrap/>
                  <w:vAlign w:val="bottom"/>
                </w:tcPr>
                <w:p w14:paraId="06465B1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0.93398</w:t>
                  </w:r>
                </w:p>
              </w:tc>
              <w:tc>
                <w:tcPr>
                  <w:tcW w:w="901" w:type="dxa"/>
                  <w:tcBorders>
                    <w:top w:val="single" w:sz="4" w:space="0" w:color="auto"/>
                    <w:left w:val="single" w:sz="4" w:space="0" w:color="auto"/>
                    <w:bottom w:val="single" w:sz="4" w:space="0" w:color="auto"/>
                    <w:right w:val="single" w:sz="4" w:space="0" w:color="auto"/>
                  </w:tcBorders>
                  <w:noWrap/>
                  <w:vAlign w:val="bottom"/>
                </w:tcPr>
                <w:p w14:paraId="542093A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0.910358</w:t>
                  </w:r>
                </w:p>
              </w:tc>
              <w:tc>
                <w:tcPr>
                  <w:tcW w:w="901" w:type="dxa"/>
                  <w:tcBorders>
                    <w:top w:val="single" w:sz="4" w:space="0" w:color="auto"/>
                    <w:left w:val="single" w:sz="4" w:space="0" w:color="auto"/>
                    <w:bottom w:val="single" w:sz="4" w:space="0" w:color="auto"/>
                    <w:right w:val="single" w:sz="4" w:space="0" w:color="auto"/>
                  </w:tcBorders>
                  <w:noWrap/>
                  <w:vAlign w:val="bottom"/>
                </w:tcPr>
                <w:p w14:paraId="00CD973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0.865189</w:t>
                  </w:r>
                </w:p>
              </w:tc>
              <w:tc>
                <w:tcPr>
                  <w:tcW w:w="921" w:type="dxa"/>
                  <w:tcBorders>
                    <w:top w:val="single" w:sz="4" w:space="0" w:color="auto"/>
                    <w:left w:val="single" w:sz="4" w:space="0" w:color="auto"/>
                    <w:bottom w:val="single" w:sz="4" w:space="0" w:color="auto"/>
                    <w:right w:val="single" w:sz="4" w:space="0" w:color="auto"/>
                  </w:tcBorders>
                  <w:noWrap/>
                  <w:vAlign w:val="bottom"/>
                </w:tcPr>
                <w:p w14:paraId="6A2F8E4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0.786204</w:t>
                  </w:r>
                </w:p>
              </w:tc>
              <w:tc>
                <w:tcPr>
                  <w:tcW w:w="956" w:type="dxa"/>
                  <w:tcBorders>
                    <w:top w:val="single" w:sz="4" w:space="0" w:color="auto"/>
                    <w:left w:val="single" w:sz="4" w:space="0" w:color="auto"/>
                    <w:bottom w:val="single" w:sz="4" w:space="0" w:color="auto"/>
                    <w:right w:val="single" w:sz="4" w:space="0" w:color="auto"/>
                  </w:tcBorders>
                  <w:noWrap/>
                  <w:vAlign w:val="bottom"/>
                </w:tcPr>
                <w:p w14:paraId="3D72C79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0.728502</w:t>
                  </w:r>
                </w:p>
              </w:tc>
              <w:tc>
                <w:tcPr>
                  <w:tcW w:w="990" w:type="dxa"/>
                  <w:tcBorders>
                    <w:top w:val="single" w:sz="4" w:space="0" w:color="auto"/>
                    <w:left w:val="single" w:sz="4" w:space="0" w:color="auto"/>
                    <w:bottom w:val="single" w:sz="4" w:space="0" w:color="auto"/>
                    <w:right w:val="single" w:sz="4" w:space="0" w:color="auto"/>
                  </w:tcBorders>
                  <w:noWrap/>
                  <w:vAlign w:val="bottom"/>
                </w:tcPr>
                <w:p w14:paraId="7760945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0.662707</w:t>
                  </w:r>
                </w:p>
              </w:tc>
              <w:tc>
                <w:tcPr>
                  <w:tcW w:w="958" w:type="dxa"/>
                  <w:tcBorders>
                    <w:top w:val="single" w:sz="4" w:space="0" w:color="auto"/>
                    <w:left w:val="single" w:sz="4" w:space="0" w:color="auto"/>
                    <w:bottom w:val="single" w:sz="4" w:space="0" w:color="auto"/>
                    <w:right w:val="single" w:sz="4" w:space="0" w:color="auto"/>
                  </w:tcBorders>
                  <w:vAlign w:val="bottom"/>
                </w:tcPr>
                <w:p w14:paraId="4F27EAA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0.6261</w:t>
                  </w:r>
                </w:p>
              </w:tc>
              <w:tc>
                <w:tcPr>
                  <w:tcW w:w="536" w:type="dxa"/>
                  <w:tcBorders>
                    <w:top w:val="single" w:sz="4" w:space="0" w:color="auto"/>
                    <w:left w:val="single" w:sz="4" w:space="0" w:color="auto"/>
                    <w:bottom w:val="single" w:sz="4" w:space="0" w:color="auto"/>
                    <w:right w:val="single" w:sz="4" w:space="0" w:color="auto"/>
                  </w:tcBorders>
                  <w:vAlign w:val="bottom"/>
                </w:tcPr>
                <w:p w14:paraId="4961FE1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A696E18"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461F96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04</w:t>
                  </w:r>
                </w:p>
              </w:tc>
              <w:tc>
                <w:tcPr>
                  <w:tcW w:w="314" w:type="dxa"/>
                  <w:tcBorders>
                    <w:top w:val="single" w:sz="4" w:space="0" w:color="auto"/>
                    <w:left w:val="single" w:sz="4" w:space="0" w:color="auto"/>
                    <w:bottom w:val="single" w:sz="4" w:space="0" w:color="auto"/>
                    <w:right w:val="single" w:sz="4" w:space="0" w:color="auto"/>
                  </w:tcBorders>
                  <w:noWrap/>
                  <w:vAlign w:val="bottom"/>
                </w:tcPr>
                <w:p w14:paraId="44E582C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3D6209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0.89788</w:t>
                  </w:r>
                </w:p>
              </w:tc>
              <w:tc>
                <w:tcPr>
                  <w:tcW w:w="901" w:type="dxa"/>
                  <w:tcBorders>
                    <w:top w:val="single" w:sz="4" w:space="0" w:color="auto"/>
                    <w:left w:val="single" w:sz="4" w:space="0" w:color="auto"/>
                    <w:bottom w:val="single" w:sz="4" w:space="0" w:color="auto"/>
                    <w:right w:val="single" w:sz="4" w:space="0" w:color="auto"/>
                  </w:tcBorders>
                  <w:noWrap/>
                  <w:vAlign w:val="bottom"/>
                </w:tcPr>
                <w:p w14:paraId="38AE4CE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0.898592</w:t>
                  </w:r>
                </w:p>
              </w:tc>
              <w:tc>
                <w:tcPr>
                  <w:tcW w:w="901" w:type="dxa"/>
                  <w:tcBorders>
                    <w:top w:val="single" w:sz="4" w:space="0" w:color="auto"/>
                    <w:left w:val="single" w:sz="4" w:space="0" w:color="auto"/>
                    <w:bottom w:val="single" w:sz="4" w:space="0" w:color="auto"/>
                    <w:right w:val="single" w:sz="4" w:space="0" w:color="auto"/>
                  </w:tcBorders>
                  <w:noWrap/>
                  <w:vAlign w:val="bottom"/>
                </w:tcPr>
                <w:p w14:paraId="11C9FFC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0.872555</w:t>
                  </w:r>
                </w:p>
              </w:tc>
              <w:tc>
                <w:tcPr>
                  <w:tcW w:w="901" w:type="dxa"/>
                  <w:tcBorders>
                    <w:top w:val="single" w:sz="4" w:space="0" w:color="auto"/>
                    <w:left w:val="single" w:sz="4" w:space="0" w:color="auto"/>
                    <w:bottom w:val="single" w:sz="4" w:space="0" w:color="auto"/>
                    <w:right w:val="single" w:sz="4" w:space="0" w:color="auto"/>
                  </w:tcBorders>
                  <w:noWrap/>
                  <w:vAlign w:val="bottom"/>
                </w:tcPr>
                <w:p w14:paraId="0D6673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0.822053</w:t>
                  </w:r>
                </w:p>
              </w:tc>
              <w:tc>
                <w:tcPr>
                  <w:tcW w:w="921" w:type="dxa"/>
                  <w:tcBorders>
                    <w:top w:val="single" w:sz="4" w:space="0" w:color="auto"/>
                    <w:left w:val="single" w:sz="4" w:space="0" w:color="auto"/>
                    <w:bottom w:val="single" w:sz="4" w:space="0" w:color="auto"/>
                    <w:right w:val="single" w:sz="4" w:space="0" w:color="auto"/>
                  </w:tcBorders>
                  <w:noWrap/>
                  <w:vAlign w:val="bottom"/>
                </w:tcPr>
                <w:p w14:paraId="2E743DC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0.733687</w:t>
                  </w:r>
                </w:p>
              </w:tc>
              <w:tc>
                <w:tcPr>
                  <w:tcW w:w="956" w:type="dxa"/>
                  <w:tcBorders>
                    <w:top w:val="single" w:sz="4" w:space="0" w:color="auto"/>
                    <w:left w:val="single" w:sz="4" w:space="0" w:color="auto"/>
                    <w:bottom w:val="single" w:sz="4" w:space="0" w:color="auto"/>
                    <w:right w:val="single" w:sz="4" w:space="0" w:color="auto"/>
                  </w:tcBorders>
                  <w:noWrap/>
                  <w:vAlign w:val="bottom"/>
                </w:tcPr>
                <w:p w14:paraId="3C730D1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0.66886</w:t>
                  </w:r>
                </w:p>
              </w:tc>
              <w:tc>
                <w:tcPr>
                  <w:tcW w:w="990" w:type="dxa"/>
                  <w:tcBorders>
                    <w:top w:val="single" w:sz="4" w:space="0" w:color="auto"/>
                    <w:left w:val="single" w:sz="4" w:space="0" w:color="auto"/>
                    <w:bottom w:val="single" w:sz="4" w:space="0" w:color="auto"/>
                    <w:right w:val="single" w:sz="4" w:space="0" w:color="auto"/>
                  </w:tcBorders>
                  <w:noWrap/>
                  <w:vAlign w:val="bottom"/>
                </w:tcPr>
                <w:p w14:paraId="24CA8A6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0.581024</w:t>
                  </w:r>
                </w:p>
              </w:tc>
              <w:tc>
                <w:tcPr>
                  <w:tcW w:w="958" w:type="dxa"/>
                  <w:tcBorders>
                    <w:top w:val="single" w:sz="4" w:space="0" w:color="auto"/>
                    <w:left w:val="single" w:sz="4" w:space="0" w:color="auto"/>
                    <w:bottom w:val="single" w:sz="4" w:space="0" w:color="auto"/>
                    <w:right w:val="single" w:sz="4" w:space="0" w:color="auto"/>
                  </w:tcBorders>
                  <w:vAlign w:val="bottom"/>
                </w:tcPr>
                <w:p w14:paraId="092CFAE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0.5263</w:t>
                  </w:r>
                </w:p>
              </w:tc>
              <w:tc>
                <w:tcPr>
                  <w:tcW w:w="536" w:type="dxa"/>
                  <w:tcBorders>
                    <w:top w:val="single" w:sz="4" w:space="0" w:color="auto"/>
                    <w:left w:val="single" w:sz="4" w:space="0" w:color="auto"/>
                    <w:bottom w:val="single" w:sz="4" w:space="0" w:color="auto"/>
                    <w:right w:val="single" w:sz="4" w:space="0" w:color="auto"/>
                  </w:tcBorders>
                  <w:vAlign w:val="bottom"/>
                </w:tcPr>
                <w:p w14:paraId="1DA1FCB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8FE16EA"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69B178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07</w:t>
                  </w:r>
                </w:p>
              </w:tc>
              <w:tc>
                <w:tcPr>
                  <w:tcW w:w="314" w:type="dxa"/>
                  <w:tcBorders>
                    <w:top w:val="single" w:sz="4" w:space="0" w:color="auto"/>
                    <w:left w:val="single" w:sz="4" w:space="0" w:color="auto"/>
                    <w:bottom w:val="single" w:sz="4" w:space="0" w:color="auto"/>
                    <w:right w:val="single" w:sz="4" w:space="0" w:color="auto"/>
                  </w:tcBorders>
                  <w:noWrap/>
                  <w:vAlign w:val="bottom"/>
                </w:tcPr>
                <w:p w14:paraId="586C2B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8DEBCC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0.895524</w:t>
                  </w:r>
                </w:p>
              </w:tc>
              <w:tc>
                <w:tcPr>
                  <w:tcW w:w="901" w:type="dxa"/>
                  <w:tcBorders>
                    <w:top w:val="single" w:sz="4" w:space="0" w:color="auto"/>
                    <w:left w:val="single" w:sz="4" w:space="0" w:color="auto"/>
                    <w:bottom w:val="single" w:sz="4" w:space="0" w:color="auto"/>
                    <w:right w:val="single" w:sz="4" w:space="0" w:color="auto"/>
                  </w:tcBorders>
                  <w:noWrap/>
                  <w:vAlign w:val="bottom"/>
                </w:tcPr>
                <w:p w14:paraId="23FC09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0.895869</w:t>
                  </w:r>
                </w:p>
              </w:tc>
              <w:tc>
                <w:tcPr>
                  <w:tcW w:w="901" w:type="dxa"/>
                  <w:tcBorders>
                    <w:top w:val="single" w:sz="4" w:space="0" w:color="auto"/>
                    <w:left w:val="single" w:sz="4" w:space="0" w:color="auto"/>
                    <w:bottom w:val="single" w:sz="4" w:space="0" w:color="auto"/>
                    <w:right w:val="single" w:sz="4" w:space="0" w:color="auto"/>
                  </w:tcBorders>
                  <w:noWrap/>
                  <w:vAlign w:val="bottom"/>
                </w:tcPr>
                <w:p w14:paraId="17103D6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0.865347</w:t>
                  </w:r>
                </w:p>
              </w:tc>
              <w:tc>
                <w:tcPr>
                  <w:tcW w:w="901" w:type="dxa"/>
                  <w:tcBorders>
                    <w:top w:val="single" w:sz="4" w:space="0" w:color="auto"/>
                    <w:left w:val="single" w:sz="4" w:space="0" w:color="auto"/>
                    <w:bottom w:val="single" w:sz="4" w:space="0" w:color="auto"/>
                    <w:right w:val="single" w:sz="4" w:space="0" w:color="auto"/>
                  </w:tcBorders>
                  <w:noWrap/>
                  <w:vAlign w:val="bottom"/>
                </w:tcPr>
                <w:p w14:paraId="6510B35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0.805184</w:t>
                  </w:r>
                </w:p>
              </w:tc>
              <w:tc>
                <w:tcPr>
                  <w:tcW w:w="921" w:type="dxa"/>
                  <w:tcBorders>
                    <w:top w:val="single" w:sz="4" w:space="0" w:color="auto"/>
                    <w:left w:val="single" w:sz="4" w:space="0" w:color="auto"/>
                    <w:bottom w:val="single" w:sz="4" w:space="0" w:color="auto"/>
                    <w:right w:val="single" w:sz="4" w:space="0" w:color="auto"/>
                  </w:tcBorders>
                  <w:noWrap/>
                  <w:vAlign w:val="bottom"/>
                </w:tcPr>
                <w:p w14:paraId="4CBE0F4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0.69764</w:t>
                  </w:r>
                </w:p>
              </w:tc>
              <w:tc>
                <w:tcPr>
                  <w:tcW w:w="956" w:type="dxa"/>
                  <w:tcBorders>
                    <w:top w:val="single" w:sz="4" w:space="0" w:color="auto"/>
                    <w:left w:val="single" w:sz="4" w:space="0" w:color="auto"/>
                    <w:bottom w:val="single" w:sz="4" w:space="0" w:color="auto"/>
                    <w:right w:val="single" w:sz="4" w:space="0" w:color="auto"/>
                  </w:tcBorders>
                  <w:noWrap/>
                  <w:vAlign w:val="bottom"/>
                </w:tcPr>
                <w:p w14:paraId="325C6FA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0.616748</w:t>
                  </w:r>
                </w:p>
              </w:tc>
              <w:tc>
                <w:tcPr>
                  <w:tcW w:w="990" w:type="dxa"/>
                  <w:tcBorders>
                    <w:top w:val="single" w:sz="4" w:space="0" w:color="auto"/>
                    <w:left w:val="single" w:sz="4" w:space="0" w:color="auto"/>
                    <w:bottom w:val="single" w:sz="4" w:space="0" w:color="auto"/>
                    <w:right w:val="single" w:sz="4" w:space="0" w:color="auto"/>
                  </w:tcBorders>
                  <w:noWrap/>
                  <w:vAlign w:val="bottom"/>
                </w:tcPr>
                <w:p w14:paraId="1F3547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0.502937</w:t>
                  </w:r>
                </w:p>
              </w:tc>
              <w:tc>
                <w:tcPr>
                  <w:tcW w:w="958" w:type="dxa"/>
                  <w:tcBorders>
                    <w:top w:val="single" w:sz="4" w:space="0" w:color="auto"/>
                    <w:left w:val="single" w:sz="4" w:space="0" w:color="auto"/>
                    <w:bottom w:val="single" w:sz="4" w:space="0" w:color="auto"/>
                    <w:right w:val="single" w:sz="4" w:space="0" w:color="auto"/>
                  </w:tcBorders>
                  <w:vAlign w:val="bottom"/>
                </w:tcPr>
                <w:p w14:paraId="59F5383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0.434848</w:t>
                  </w:r>
                </w:p>
              </w:tc>
              <w:tc>
                <w:tcPr>
                  <w:tcW w:w="536" w:type="dxa"/>
                  <w:tcBorders>
                    <w:top w:val="single" w:sz="4" w:space="0" w:color="auto"/>
                    <w:left w:val="single" w:sz="4" w:space="0" w:color="auto"/>
                    <w:bottom w:val="single" w:sz="4" w:space="0" w:color="auto"/>
                    <w:right w:val="single" w:sz="4" w:space="0" w:color="auto"/>
                  </w:tcBorders>
                  <w:vAlign w:val="bottom"/>
                </w:tcPr>
                <w:p w14:paraId="2F7B51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A0E1EB9"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6C1E8F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08</w:t>
                  </w:r>
                </w:p>
              </w:tc>
              <w:tc>
                <w:tcPr>
                  <w:tcW w:w="314" w:type="dxa"/>
                  <w:tcBorders>
                    <w:top w:val="single" w:sz="4" w:space="0" w:color="auto"/>
                    <w:left w:val="single" w:sz="4" w:space="0" w:color="auto"/>
                    <w:bottom w:val="single" w:sz="4" w:space="0" w:color="auto"/>
                    <w:right w:val="single" w:sz="4" w:space="0" w:color="auto"/>
                  </w:tcBorders>
                  <w:noWrap/>
                  <w:vAlign w:val="bottom"/>
                </w:tcPr>
                <w:p w14:paraId="48145E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5070680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0.895185</w:t>
                  </w:r>
                </w:p>
              </w:tc>
              <w:tc>
                <w:tcPr>
                  <w:tcW w:w="901" w:type="dxa"/>
                  <w:tcBorders>
                    <w:top w:val="single" w:sz="4" w:space="0" w:color="auto"/>
                    <w:left w:val="single" w:sz="4" w:space="0" w:color="auto"/>
                    <w:bottom w:val="single" w:sz="4" w:space="0" w:color="auto"/>
                    <w:right w:val="single" w:sz="4" w:space="0" w:color="auto"/>
                  </w:tcBorders>
                  <w:noWrap/>
                  <w:vAlign w:val="bottom"/>
                </w:tcPr>
                <w:p w14:paraId="0353F0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0.894189</w:t>
                  </w:r>
                </w:p>
              </w:tc>
              <w:tc>
                <w:tcPr>
                  <w:tcW w:w="901" w:type="dxa"/>
                  <w:tcBorders>
                    <w:top w:val="single" w:sz="4" w:space="0" w:color="auto"/>
                    <w:left w:val="single" w:sz="4" w:space="0" w:color="auto"/>
                    <w:bottom w:val="single" w:sz="4" w:space="0" w:color="auto"/>
                    <w:right w:val="single" w:sz="4" w:space="0" w:color="auto"/>
                  </w:tcBorders>
                  <w:noWrap/>
                  <w:vAlign w:val="bottom"/>
                </w:tcPr>
                <w:p w14:paraId="463465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0.860859</w:t>
                  </w:r>
                </w:p>
              </w:tc>
              <w:tc>
                <w:tcPr>
                  <w:tcW w:w="901" w:type="dxa"/>
                  <w:tcBorders>
                    <w:top w:val="single" w:sz="4" w:space="0" w:color="auto"/>
                    <w:left w:val="single" w:sz="4" w:space="0" w:color="auto"/>
                    <w:bottom w:val="single" w:sz="4" w:space="0" w:color="auto"/>
                    <w:right w:val="single" w:sz="4" w:space="0" w:color="auto"/>
                  </w:tcBorders>
                  <w:noWrap/>
                  <w:vAlign w:val="bottom"/>
                </w:tcPr>
                <w:p w14:paraId="632A67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0.795909</w:t>
                  </w:r>
                </w:p>
              </w:tc>
              <w:tc>
                <w:tcPr>
                  <w:tcW w:w="921" w:type="dxa"/>
                  <w:tcBorders>
                    <w:top w:val="single" w:sz="4" w:space="0" w:color="auto"/>
                    <w:left w:val="single" w:sz="4" w:space="0" w:color="auto"/>
                    <w:bottom w:val="single" w:sz="4" w:space="0" w:color="auto"/>
                    <w:right w:val="single" w:sz="4" w:space="0" w:color="auto"/>
                  </w:tcBorders>
                  <w:noWrap/>
                  <w:vAlign w:val="bottom"/>
                </w:tcPr>
                <w:p w14:paraId="6CD9AC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0.679608</w:t>
                  </w:r>
                </w:p>
              </w:tc>
              <w:tc>
                <w:tcPr>
                  <w:tcW w:w="956" w:type="dxa"/>
                  <w:tcBorders>
                    <w:top w:val="single" w:sz="4" w:space="0" w:color="auto"/>
                    <w:left w:val="single" w:sz="4" w:space="0" w:color="auto"/>
                    <w:bottom w:val="single" w:sz="4" w:space="0" w:color="auto"/>
                    <w:right w:val="single" w:sz="4" w:space="0" w:color="auto"/>
                  </w:tcBorders>
                  <w:noWrap/>
                  <w:vAlign w:val="bottom"/>
                </w:tcPr>
                <w:p w14:paraId="75C5105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0.591739</w:t>
                  </w:r>
                </w:p>
              </w:tc>
              <w:tc>
                <w:tcPr>
                  <w:tcW w:w="990" w:type="dxa"/>
                  <w:tcBorders>
                    <w:top w:val="single" w:sz="4" w:space="0" w:color="auto"/>
                    <w:left w:val="single" w:sz="4" w:space="0" w:color="auto"/>
                    <w:bottom w:val="single" w:sz="4" w:space="0" w:color="auto"/>
                    <w:right w:val="single" w:sz="4" w:space="0" w:color="auto"/>
                  </w:tcBorders>
                  <w:noWrap/>
                  <w:vAlign w:val="bottom"/>
                </w:tcPr>
                <w:p w14:paraId="2411150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0.472763</w:t>
                  </w:r>
                </w:p>
              </w:tc>
              <w:tc>
                <w:tcPr>
                  <w:tcW w:w="958" w:type="dxa"/>
                  <w:tcBorders>
                    <w:top w:val="single" w:sz="4" w:space="0" w:color="auto"/>
                    <w:left w:val="single" w:sz="4" w:space="0" w:color="auto"/>
                    <w:bottom w:val="single" w:sz="4" w:space="0" w:color="auto"/>
                    <w:right w:val="single" w:sz="4" w:space="0" w:color="auto"/>
                  </w:tcBorders>
                  <w:vAlign w:val="bottom"/>
                </w:tcPr>
                <w:p w14:paraId="3E5F85C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0.403118</w:t>
                  </w:r>
                </w:p>
              </w:tc>
              <w:tc>
                <w:tcPr>
                  <w:tcW w:w="536" w:type="dxa"/>
                  <w:tcBorders>
                    <w:top w:val="single" w:sz="4" w:space="0" w:color="auto"/>
                    <w:left w:val="single" w:sz="4" w:space="0" w:color="auto"/>
                    <w:bottom w:val="single" w:sz="4" w:space="0" w:color="auto"/>
                    <w:right w:val="single" w:sz="4" w:space="0" w:color="auto"/>
                  </w:tcBorders>
                  <w:vAlign w:val="bottom"/>
                </w:tcPr>
                <w:p w14:paraId="719C08E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3E227F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ABD577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12</w:t>
                  </w:r>
                </w:p>
              </w:tc>
              <w:tc>
                <w:tcPr>
                  <w:tcW w:w="314" w:type="dxa"/>
                  <w:tcBorders>
                    <w:top w:val="single" w:sz="4" w:space="0" w:color="auto"/>
                    <w:left w:val="single" w:sz="4" w:space="0" w:color="auto"/>
                    <w:bottom w:val="single" w:sz="4" w:space="0" w:color="auto"/>
                    <w:right w:val="single" w:sz="4" w:space="0" w:color="auto"/>
                  </w:tcBorders>
                  <w:noWrap/>
                  <w:vAlign w:val="bottom"/>
                </w:tcPr>
                <w:p w14:paraId="2CD1CCF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7B124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0.891834</w:t>
                  </w:r>
                </w:p>
              </w:tc>
              <w:tc>
                <w:tcPr>
                  <w:tcW w:w="901" w:type="dxa"/>
                  <w:tcBorders>
                    <w:top w:val="single" w:sz="4" w:space="0" w:color="auto"/>
                    <w:left w:val="single" w:sz="4" w:space="0" w:color="auto"/>
                    <w:bottom w:val="single" w:sz="4" w:space="0" w:color="auto"/>
                    <w:right w:val="single" w:sz="4" w:space="0" w:color="auto"/>
                  </w:tcBorders>
                  <w:noWrap/>
                  <w:vAlign w:val="bottom"/>
                </w:tcPr>
                <w:p w14:paraId="31C99DF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0.892448</w:t>
                  </w:r>
                </w:p>
              </w:tc>
              <w:tc>
                <w:tcPr>
                  <w:tcW w:w="901" w:type="dxa"/>
                  <w:tcBorders>
                    <w:top w:val="single" w:sz="4" w:space="0" w:color="auto"/>
                    <w:left w:val="single" w:sz="4" w:space="0" w:color="auto"/>
                    <w:bottom w:val="single" w:sz="4" w:space="0" w:color="auto"/>
                    <w:right w:val="single" w:sz="4" w:space="0" w:color="auto"/>
                  </w:tcBorders>
                  <w:noWrap/>
                  <w:vAlign w:val="bottom"/>
                </w:tcPr>
                <w:p w14:paraId="1EBF103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0.868872</w:t>
                  </w:r>
                </w:p>
              </w:tc>
              <w:tc>
                <w:tcPr>
                  <w:tcW w:w="901" w:type="dxa"/>
                  <w:tcBorders>
                    <w:top w:val="single" w:sz="4" w:space="0" w:color="auto"/>
                    <w:left w:val="single" w:sz="4" w:space="0" w:color="auto"/>
                    <w:bottom w:val="single" w:sz="4" w:space="0" w:color="auto"/>
                    <w:right w:val="single" w:sz="4" w:space="0" w:color="auto"/>
                  </w:tcBorders>
                  <w:noWrap/>
                  <w:vAlign w:val="bottom"/>
                </w:tcPr>
                <w:p w14:paraId="22DCBF0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0.823416</w:t>
                  </w:r>
                </w:p>
              </w:tc>
              <w:tc>
                <w:tcPr>
                  <w:tcW w:w="921" w:type="dxa"/>
                  <w:tcBorders>
                    <w:top w:val="single" w:sz="4" w:space="0" w:color="auto"/>
                    <w:left w:val="single" w:sz="4" w:space="0" w:color="auto"/>
                    <w:bottom w:val="single" w:sz="4" w:space="0" w:color="auto"/>
                    <w:right w:val="single" w:sz="4" w:space="0" w:color="auto"/>
                  </w:tcBorders>
                  <w:noWrap/>
                  <w:vAlign w:val="bottom"/>
                </w:tcPr>
                <w:p w14:paraId="0999553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0.74467</w:t>
                  </w:r>
                </w:p>
              </w:tc>
              <w:tc>
                <w:tcPr>
                  <w:tcW w:w="956" w:type="dxa"/>
                  <w:tcBorders>
                    <w:top w:val="single" w:sz="4" w:space="0" w:color="auto"/>
                    <w:left w:val="single" w:sz="4" w:space="0" w:color="auto"/>
                    <w:bottom w:val="single" w:sz="4" w:space="0" w:color="auto"/>
                    <w:right w:val="single" w:sz="4" w:space="0" w:color="auto"/>
                  </w:tcBorders>
                  <w:noWrap/>
                  <w:vAlign w:val="bottom"/>
                </w:tcPr>
                <w:p w14:paraId="5A6731D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0.687331</w:t>
                  </w:r>
                </w:p>
              </w:tc>
              <w:tc>
                <w:tcPr>
                  <w:tcW w:w="990" w:type="dxa"/>
                  <w:tcBorders>
                    <w:top w:val="single" w:sz="4" w:space="0" w:color="auto"/>
                    <w:left w:val="single" w:sz="4" w:space="0" w:color="auto"/>
                    <w:bottom w:val="single" w:sz="4" w:space="0" w:color="auto"/>
                    <w:right w:val="single" w:sz="4" w:space="0" w:color="auto"/>
                  </w:tcBorders>
                  <w:noWrap/>
                  <w:vAlign w:val="bottom"/>
                </w:tcPr>
                <w:p w14:paraId="43EFDF8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0.601837</w:t>
                  </w:r>
                </w:p>
              </w:tc>
              <w:tc>
                <w:tcPr>
                  <w:tcW w:w="958" w:type="dxa"/>
                  <w:tcBorders>
                    <w:top w:val="single" w:sz="4" w:space="0" w:color="auto"/>
                    <w:left w:val="single" w:sz="4" w:space="0" w:color="auto"/>
                    <w:bottom w:val="single" w:sz="4" w:space="0" w:color="auto"/>
                    <w:right w:val="single" w:sz="4" w:space="0" w:color="auto"/>
                  </w:tcBorders>
                  <w:vAlign w:val="bottom"/>
                </w:tcPr>
                <w:p w14:paraId="645FBA8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0.539809</w:t>
                  </w:r>
                </w:p>
              </w:tc>
              <w:tc>
                <w:tcPr>
                  <w:tcW w:w="536" w:type="dxa"/>
                  <w:tcBorders>
                    <w:top w:val="single" w:sz="4" w:space="0" w:color="auto"/>
                    <w:left w:val="single" w:sz="4" w:space="0" w:color="auto"/>
                    <w:bottom w:val="single" w:sz="4" w:space="0" w:color="auto"/>
                    <w:right w:val="single" w:sz="4" w:space="0" w:color="auto"/>
                  </w:tcBorders>
                  <w:vAlign w:val="bottom"/>
                </w:tcPr>
                <w:p w14:paraId="4784920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532B49F"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6236B3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15</w:t>
                  </w:r>
                </w:p>
              </w:tc>
              <w:tc>
                <w:tcPr>
                  <w:tcW w:w="314" w:type="dxa"/>
                  <w:tcBorders>
                    <w:top w:val="single" w:sz="4" w:space="0" w:color="auto"/>
                    <w:left w:val="single" w:sz="4" w:space="0" w:color="auto"/>
                    <w:bottom w:val="single" w:sz="4" w:space="0" w:color="auto"/>
                    <w:right w:val="single" w:sz="4" w:space="0" w:color="auto"/>
                  </w:tcBorders>
                  <w:noWrap/>
                  <w:vAlign w:val="bottom"/>
                </w:tcPr>
                <w:p w14:paraId="27D52A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7C46F1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0.901946</w:t>
                  </w:r>
                </w:p>
              </w:tc>
              <w:tc>
                <w:tcPr>
                  <w:tcW w:w="901" w:type="dxa"/>
                  <w:tcBorders>
                    <w:top w:val="single" w:sz="4" w:space="0" w:color="auto"/>
                    <w:left w:val="single" w:sz="4" w:space="0" w:color="auto"/>
                    <w:bottom w:val="single" w:sz="4" w:space="0" w:color="auto"/>
                    <w:right w:val="single" w:sz="4" w:space="0" w:color="auto"/>
                  </w:tcBorders>
                  <w:noWrap/>
                  <w:vAlign w:val="bottom"/>
                </w:tcPr>
                <w:p w14:paraId="05E78CA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0.909673</w:t>
                  </w:r>
                </w:p>
              </w:tc>
              <w:tc>
                <w:tcPr>
                  <w:tcW w:w="901" w:type="dxa"/>
                  <w:tcBorders>
                    <w:top w:val="single" w:sz="4" w:space="0" w:color="auto"/>
                    <w:left w:val="single" w:sz="4" w:space="0" w:color="auto"/>
                    <w:bottom w:val="single" w:sz="4" w:space="0" w:color="auto"/>
                    <w:right w:val="single" w:sz="4" w:space="0" w:color="auto"/>
                  </w:tcBorders>
                  <w:noWrap/>
                  <w:vAlign w:val="bottom"/>
                </w:tcPr>
                <w:p w14:paraId="1F0B590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0.892595</w:t>
                  </w:r>
                </w:p>
              </w:tc>
              <w:tc>
                <w:tcPr>
                  <w:tcW w:w="901" w:type="dxa"/>
                  <w:tcBorders>
                    <w:top w:val="single" w:sz="4" w:space="0" w:color="auto"/>
                    <w:left w:val="single" w:sz="4" w:space="0" w:color="auto"/>
                    <w:bottom w:val="single" w:sz="4" w:space="0" w:color="auto"/>
                    <w:right w:val="single" w:sz="4" w:space="0" w:color="auto"/>
                  </w:tcBorders>
                  <w:noWrap/>
                  <w:vAlign w:val="bottom"/>
                </w:tcPr>
                <w:p w14:paraId="116244A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0.856984</w:t>
                  </w:r>
                </w:p>
              </w:tc>
              <w:tc>
                <w:tcPr>
                  <w:tcW w:w="921" w:type="dxa"/>
                  <w:tcBorders>
                    <w:top w:val="single" w:sz="4" w:space="0" w:color="auto"/>
                    <w:left w:val="single" w:sz="4" w:space="0" w:color="auto"/>
                    <w:bottom w:val="single" w:sz="4" w:space="0" w:color="auto"/>
                    <w:right w:val="single" w:sz="4" w:space="0" w:color="auto"/>
                  </w:tcBorders>
                  <w:noWrap/>
                  <w:vAlign w:val="bottom"/>
                </w:tcPr>
                <w:p w14:paraId="01F03A2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0.795183</w:t>
                  </w:r>
                </w:p>
              </w:tc>
              <w:tc>
                <w:tcPr>
                  <w:tcW w:w="956" w:type="dxa"/>
                  <w:tcBorders>
                    <w:top w:val="single" w:sz="4" w:space="0" w:color="auto"/>
                    <w:left w:val="single" w:sz="4" w:space="0" w:color="auto"/>
                    <w:bottom w:val="single" w:sz="4" w:space="0" w:color="auto"/>
                    <w:right w:val="single" w:sz="4" w:space="0" w:color="auto"/>
                  </w:tcBorders>
                  <w:noWrap/>
                  <w:vAlign w:val="bottom"/>
                </w:tcPr>
                <w:p w14:paraId="77F36CD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0.751108</w:t>
                  </w:r>
                </w:p>
              </w:tc>
              <w:tc>
                <w:tcPr>
                  <w:tcW w:w="990" w:type="dxa"/>
                  <w:tcBorders>
                    <w:top w:val="single" w:sz="4" w:space="0" w:color="auto"/>
                    <w:left w:val="single" w:sz="4" w:space="0" w:color="auto"/>
                    <w:bottom w:val="single" w:sz="4" w:space="0" w:color="auto"/>
                    <w:right w:val="single" w:sz="4" w:space="0" w:color="auto"/>
                  </w:tcBorders>
                  <w:noWrap/>
                  <w:vAlign w:val="bottom"/>
                </w:tcPr>
                <w:p w14:paraId="50A448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0.697475</w:t>
                  </w:r>
                </w:p>
              </w:tc>
              <w:tc>
                <w:tcPr>
                  <w:tcW w:w="958" w:type="dxa"/>
                  <w:tcBorders>
                    <w:top w:val="single" w:sz="4" w:space="0" w:color="auto"/>
                    <w:left w:val="single" w:sz="4" w:space="0" w:color="auto"/>
                    <w:bottom w:val="single" w:sz="4" w:space="0" w:color="auto"/>
                    <w:right w:val="single" w:sz="4" w:space="0" w:color="auto"/>
                  </w:tcBorders>
                  <w:vAlign w:val="bottom"/>
                </w:tcPr>
                <w:p w14:paraId="4989F49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0.664572</w:t>
                  </w:r>
                </w:p>
              </w:tc>
              <w:tc>
                <w:tcPr>
                  <w:tcW w:w="536" w:type="dxa"/>
                  <w:tcBorders>
                    <w:top w:val="single" w:sz="4" w:space="0" w:color="auto"/>
                    <w:left w:val="single" w:sz="4" w:space="0" w:color="auto"/>
                    <w:bottom w:val="single" w:sz="4" w:space="0" w:color="auto"/>
                    <w:right w:val="single" w:sz="4" w:space="0" w:color="auto"/>
                  </w:tcBorders>
                  <w:vAlign w:val="bottom"/>
                </w:tcPr>
                <w:p w14:paraId="4C79BC1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B99000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5481CE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16</w:t>
                  </w:r>
                </w:p>
              </w:tc>
              <w:tc>
                <w:tcPr>
                  <w:tcW w:w="314" w:type="dxa"/>
                  <w:tcBorders>
                    <w:top w:val="single" w:sz="4" w:space="0" w:color="auto"/>
                    <w:left w:val="single" w:sz="4" w:space="0" w:color="auto"/>
                    <w:bottom w:val="single" w:sz="4" w:space="0" w:color="auto"/>
                    <w:right w:val="single" w:sz="4" w:space="0" w:color="auto"/>
                  </w:tcBorders>
                  <w:noWrap/>
                  <w:vAlign w:val="bottom"/>
                </w:tcPr>
                <w:p w14:paraId="2A8A1F3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FDD460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0.919386</w:t>
                  </w:r>
                </w:p>
              </w:tc>
              <w:tc>
                <w:tcPr>
                  <w:tcW w:w="901" w:type="dxa"/>
                  <w:tcBorders>
                    <w:top w:val="single" w:sz="4" w:space="0" w:color="auto"/>
                    <w:left w:val="single" w:sz="4" w:space="0" w:color="auto"/>
                    <w:bottom w:val="single" w:sz="4" w:space="0" w:color="auto"/>
                    <w:right w:val="single" w:sz="4" w:space="0" w:color="auto"/>
                  </w:tcBorders>
                  <w:noWrap/>
                  <w:vAlign w:val="bottom"/>
                </w:tcPr>
                <w:p w14:paraId="36D4060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0.930683</w:t>
                  </w:r>
                </w:p>
              </w:tc>
              <w:tc>
                <w:tcPr>
                  <w:tcW w:w="901" w:type="dxa"/>
                  <w:tcBorders>
                    <w:top w:val="single" w:sz="4" w:space="0" w:color="auto"/>
                    <w:left w:val="single" w:sz="4" w:space="0" w:color="auto"/>
                    <w:bottom w:val="single" w:sz="4" w:space="0" w:color="auto"/>
                    <w:right w:val="single" w:sz="4" w:space="0" w:color="auto"/>
                  </w:tcBorders>
                  <w:noWrap/>
                  <w:vAlign w:val="bottom"/>
                </w:tcPr>
                <w:p w14:paraId="7EF74C8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0.919354</w:t>
                  </w:r>
                </w:p>
              </w:tc>
              <w:tc>
                <w:tcPr>
                  <w:tcW w:w="901" w:type="dxa"/>
                  <w:tcBorders>
                    <w:top w:val="single" w:sz="4" w:space="0" w:color="auto"/>
                    <w:left w:val="single" w:sz="4" w:space="0" w:color="auto"/>
                    <w:bottom w:val="single" w:sz="4" w:space="0" w:color="auto"/>
                    <w:right w:val="single" w:sz="4" w:space="0" w:color="auto"/>
                  </w:tcBorders>
                  <w:noWrap/>
                  <w:vAlign w:val="bottom"/>
                </w:tcPr>
                <w:p w14:paraId="70407E2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0.892896</w:t>
                  </w:r>
                </w:p>
              </w:tc>
              <w:tc>
                <w:tcPr>
                  <w:tcW w:w="921" w:type="dxa"/>
                  <w:tcBorders>
                    <w:top w:val="single" w:sz="4" w:space="0" w:color="auto"/>
                    <w:left w:val="single" w:sz="4" w:space="0" w:color="auto"/>
                    <w:bottom w:val="single" w:sz="4" w:space="0" w:color="auto"/>
                    <w:right w:val="single" w:sz="4" w:space="0" w:color="auto"/>
                  </w:tcBorders>
                  <w:noWrap/>
                  <w:vAlign w:val="bottom"/>
                </w:tcPr>
                <w:p w14:paraId="7535BD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0.84603</w:t>
                  </w:r>
                </w:p>
              </w:tc>
              <w:tc>
                <w:tcPr>
                  <w:tcW w:w="956" w:type="dxa"/>
                  <w:tcBorders>
                    <w:top w:val="single" w:sz="4" w:space="0" w:color="auto"/>
                    <w:left w:val="single" w:sz="4" w:space="0" w:color="auto"/>
                    <w:bottom w:val="single" w:sz="4" w:space="0" w:color="auto"/>
                    <w:right w:val="single" w:sz="4" w:space="0" w:color="auto"/>
                  </w:tcBorders>
                  <w:noWrap/>
                  <w:vAlign w:val="bottom"/>
                </w:tcPr>
                <w:p w14:paraId="29B384A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0.812557</w:t>
                  </w:r>
                </w:p>
              </w:tc>
              <w:tc>
                <w:tcPr>
                  <w:tcW w:w="990" w:type="dxa"/>
                  <w:tcBorders>
                    <w:top w:val="single" w:sz="4" w:space="0" w:color="auto"/>
                    <w:left w:val="single" w:sz="4" w:space="0" w:color="auto"/>
                    <w:bottom w:val="single" w:sz="4" w:space="0" w:color="auto"/>
                    <w:right w:val="single" w:sz="4" w:space="0" w:color="auto"/>
                  </w:tcBorders>
                  <w:noWrap/>
                  <w:vAlign w:val="bottom"/>
                </w:tcPr>
                <w:p w14:paraId="66F5F56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0.773808</w:t>
                  </w:r>
                </w:p>
              </w:tc>
              <w:tc>
                <w:tcPr>
                  <w:tcW w:w="958" w:type="dxa"/>
                  <w:tcBorders>
                    <w:top w:val="single" w:sz="4" w:space="0" w:color="auto"/>
                    <w:left w:val="single" w:sz="4" w:space="0" w:color="auto"/>
                    <w:bottom w:val="single" w:sz="4" w:space="0" w:color="auto"/>
                    <w:right w:val="single" w:sz="4" w:space="0" w:color="auto"/>
                  </w:tcBorders>
                  <w:vAlign w:val="bottom"/>
                </w:tcPr>
                <w:p w14:paraId="04D55E3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0.751203</w:t>
                  </w:r>
                </w:p>
              </w:tc>
              <w:tc>
                <w:tcPr>
                  <w:tcW w:w="536" w:type="dxa"/>
                  <w:tcBorders>
                    <w:top w:val="single" w:sz="4" w:space="0" w:color="auto"/>
                    <w:left w:val="single" w:sz="4" w:space="0" w:color="auto"/>
                    <w:bottom w:val="single" w:sz="4" w:space="0" w:color="auto"/>
                    <w:right w:val="single" w:sz="4" w:space="0" w:color="auto"/>
                  </w:tcBorders>
                  <w:vAlign w:val="bottom"/>
                </w:tcPr>
                <w:p w14:paraId="088C5B5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AB23C7B"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7A219A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18</w:t>
                  </w:r>
                </w:p>
              </w:tc>
              <w:tc>
                <w:tcPr>
                  <w:tcW w:w="314" w:type="dxa"/>
                  <w:tcBorders>
                    <w:top w:val="single" w:sz="4" w:space="0" w:color="auto"/>
                    <w:left w:val="single" w:sz="4" w:space="0" w:color="auto"/>
                    <w:bottom w:val="single" w:sz="4" w:space="0" w:color="auto"/>
                    <w:right w:val="single" w:sz="4" w:space="0" w:color="auto"/>
                  </w:tcBorders>
                  <w:noWrap/>
                  <w:vAlign w:val="bottom"/>
                </w:tcPr>
                <w:p w14:paraId="70BFF0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E7DBC8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0.923815</w:t>
                  </w:r>
                </w:p>
              </w:tc>
              <w:tc>
                <w:tcPr>
                  <w:tcW w:w="901" w:type="dxa"/>
                  <w:tcBorders>
                    <w:top w:val="single" w:sz="4" w:space="0" w:color="auto"/>
                    <w:left w:val="single" w:sz="4" w:space="0" w:color="auto"/>
                    <w:bottom w:val="single" w:sz="4" w:space="0" w:color="auto"/>
                    <w:right w:val="single" w:sz="4" w:space="0" w:color="auto"/>
                  </w:tcBorders>
                  <w:noWrap/>
                  <w:vAlign w:val="bottom"/>
                </w:tcPr>
                <w:p w14:paraId="08B661A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0.927857</w:t>
                  </w:r>
                </w:p>
              </w:tc>
              <w:tc>
                <w:tcPr>
                  <w:tcW w:w="901" w:type="dxa"/>
                  <w:tcBorders>
                    <w:top w:val="single" w:sz="4" w:space="0" w:color="auto"/>
                    <w:left w:val="single" w:sz="4" w:space="0" w:color="auto"/>
                    <w:bottom w:val="single" w:sz="4" w:space="0" w:color="auto"/>
                    <w:right w:val="single" w:sz="4" w:space="0" w:color="auto"/>
                  </w:tcBorders>
                  <w:noWrap/>
                  <w:vAlign w:val="bottom"/>
                </w:tcPr>
                <w:p w14:paraId="57CC4E7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0.907846</w:t>
                  </w:r>
                </w:p>
              </w:tc>
              <w:tc>
                <w:tcPr>
                  <w:tcW w:w="901" w:type="dxa"/>
                  <w:tcBorders>
                    <w:top w:val="single" w:sz="4" w:space="0" w:color="auto"/>
                    <w:left w:val="single" w:sz="4" w:space="0" w:color="auto"/>
                    <w:bottom w:val="single" w:sz="4" w:space="0" w:color="auto"/>
                    <w:right w:val="single" w:sz="4" w:space="0" w:color="auto"/>
                  </w:tcBorders>
                  <w:noWrap/>
                  <w:vAlign w:val="bottom"/>
                </w:tcPr>
                <w:p w14:paraId="53EB9B3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0.868169</w:t>
                  </w:r>
                </w:p>
              </w:tc>
              <w:tc>
                <w:tcPr>
                  <w:tcW w:w="921" w:type="dxa"/>
                  <w:tcBorders>
                    <w:top w:val="single" w:sz="4" w:space="0" w:color="auto"/>
                    <w:left w:val="single" w:sz="4" w:space="0" w:color="auto"/>
                    <w:bottom w:val="single" w:sz="4" w:space="0" w:color="auto"/>
                    <w:right w:val="single" w:sz="4" w:space="0" w:color="auto"/>
                  </w:tcBorders>
                  <w:noWrap/>
                  <w:vAlign w:val="bottom"/>
                </w:tcPr>
                <w:p w14:paraId="10AED20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0.79902</w:t>
                  </w:r>
                </w:p>
              </w:tc>
              <w:tc>
                <w:tcPr>
                  <w:tcW w:w="956" w:type="dxa"/>
                  <w:tcBorders>
                    <w:top w:val="single" w:sz="4" w:space="0" w:color="auto"/>
                    <w:left w:val="single" w:sz="4" w:space="0" w:color="auto"/>
                    <w:bottom w:val="single" w:sz="4" w:space="0" w:color="auto"/>
                    <w:right w:val="single" w:sz="4" w:space="0" w:color="auto"/>
                  </w:tcBorders>
                  <w:noWrap/>
                  <w:vAlign w:val="bottom"/>
                </w:tcPr>
                <w:p w14:paraId="1DBCBEE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0.749122</w:t>
                  </w:r>
                </w:p>
              </w:tc>
              <w:tc>
                <w:tcPr>
                  <w:tcW w:w="990" w:type="dxa"/>
                  <w:tcBorders>
                    <w:top w:val="single" w:sz="4" w:space="0" w:color="auto"/>
                    <w:left w:val="single" w:sz="4" w:space="0" w:color="auto"/>
                    <w:bottom w:val="single" w:sz="4" w:space="0" w:color="auto"/>
                    <w:right w:val="single" w:sz="4" w:space="0" w:color="auto"/>
                  </w:tcBorders>
                  <w:noWrap/>
                  <w:vAlign w:val="bottom"/>
                </w:tcPr>
                <w:p w14:paraId="6CF43B4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0.693341</w:t>
                  </w:r>
                </w:p>
              </w:tc>
              <w:tc>
                <w:tcPr>
                  <w:tcW w:w="958" w:type="dxa"/>
                  <w:tcBorders>
                    <w:top w:val="single" w:sz="4" w:space="0" w:color="auto"/>
                    <w:left w:val="single" w:sz="4" w:space="0" w:color="auto"/>
                    <w:bottom w:val="single" w:sz="4" w:space="0" w:color="auto"/>
                    <w:right w:val="single" w:sz="4" w:space="0" w:color="auto"/>
                  </w:tcBorders>
                  <w:vAlign w:val="bottom"/>
                </w:tcPr>
                <w:p w14:paraId="70939F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0.662475</w:t>
                  </w:r>
                </w:p>
              </w:tc>
              <w:tc>
                <w:tcPr>
                  <w:tcW w:w="536" w:type="dxa"/>
                  <w:tcBorders>
                    <w:top w:val="single" w:sz="4" w:space="0" w:color="auto"/>
                    <w:left w:val="single" w:sz="4" w:space="0" w:color="auto"/>
                    <w:bottom w:val="single" w:sz="4" w:space="0" w:color="auto"/>
                    <w:right w:val="single" w:sz="4" w:space="0" w:color="auto"/>
                  </w:tcBorders>
                  <w:vAlign w:val="bottom"/>
                </w:tcPr>
                <w:p w14:paraId="6A689F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959D0FD"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2C7198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20</w:t>
                  </w:r>
                </w:p>
              </w:tc>
              <w:tc>
                <w:tcPr>
                  <w:tcW w:w="314" w:type="dxa"/>
                  <w:tcBorders>
                    <w:top w:val="single" w:sz="4" w:space="0" w:color="auto"/>
                    <w:left w:val="single" w:sz="4" w:space="0" w:color="auto"/>
                    <w:bottom w:val="single" w:sz="4" w:space="0" w:color="auto"/>
                    <w:right w:val="single" w:sz="4" w:space="0" w:color="auto"/>
                  </w:tcBorders>
                  <w:noWrap/>
                  <w:vAlign w:val="bottom"/>
                </w:tcPr>
                <w:p w14:paraId="1B2BC1B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8B24EC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0.96154</w:t>
                  </w:r>
                </w:p>
              </w:tc>
              <w:tc>
                <w:tcPr>
                  <w:tcW w:w="901" w:type="dxa"/>
                  <w:tcBorders>
                    <w:top w:val="single" w:sz="4" w:space="0" w:color="auto"/>
                    <w:left w:val="single" w:sz="4" w:space="0" w:color="auto"/>
                    <w:bottom w:val="single" w:sz="4" w:space="0" w:color="auto"/>
                    <w:right w:val="single" w:sz="4" w:space="0" w:color="auto"/>
                  </w:tcBorders>
                  <w:noWrap/>
                  <w:vAlign w:val="bottom"/>
                </w:tcPr>
                <w:p w14:paraId="6B844FC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0.964952</w:t>
                  </w:r>
                </w:p>
              </w:tc>
              <w:tc>
                <w:tcPr>
                  <w:tcW w:w="901" w:type="dxa"/>
                  <w:tcBorders>
                    <w:top w:val="single" w:sz="4" w:space="0" w:color="auto"/>
                    <w:left w:val="single" w:sz="4" w:space="0" w:color="auto"/>
                    <w:bottom w:val="single" w:sz="4" w:space="0" w:color="auto"/>
                    <w:right w:val="single" w:sz="4" w:space="0" w:color="auto"/>
                  </w:tcBorders>
                  <w:noWrap/>
                  <w:vAlign w:val="bottom"/>
                </w:tcPr>
                <w:p w14:paraId="4DF657E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0.9609</w:t>
                  </w:r>
                </w:p>
              </w:tc>
              <w:tc>
                <w:tcPr>
                  <w:tcW w:w="901" w:type="dxa"/>
                  <w:tcBorders>
                    <w:top w:val="single" w:sz="4" w:space="0" w:color="auto"/>
                    <w:left w:val="single" w:sz="4" w:space="0" w:color="auto"/>
                    <w:bottom w:val="single" w:sz="4" w:space="0" w:color="auto"/>
                    <w:right w:val="single" w:sz="4" w:space="0" w:color="auto"/>
                  </w:tcBorders>
                  <w:noWrap/>
                  <w:vAlign w:val="bottom"/>
                </w:tcPr>
                <w:p w14:paraId="7E96BFB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0.952388</w:t>
                  </w:r>
                </w:p>
              </w:tc>
              <w:tc>
                <w:tcPr>
                  <w:tcW w:w="921" w:type="dxa"/>
                  <w:tcBorders>
                    <w:top w:val="single" w:sz="4" w:space="0" w:color="auto"/>
                    <w:left w:val="single" w:sz="4" w:space="0" w:color="auto"/>
                    <w:bottom w:val="single" w:sz="4" w:space="0" w:color="auto"/>
                    <w:right w:val="single" w:sz="4" w:space="0" w:color="auto"/>
                  </w:tcBorders>
                  <w:noWrap/>
                  <w:vAlign w:val="bottom"/>
                </w:tcPr>
                <w:p w14:paraId="78467D7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0.938512</w:t>
                  </w:r>
                </w:p>
              </w:tc>
              <w:tc>
                <w:tcPr>
                  <w:tcW w:w="956" w:type="dxa"/>
                  <w:tcBorders>
                    <w:top w:val="single" w:sz="4" w:space="0" w:color="auto"/>
                    <w:left w:val="single" w:sz="4" w:space="0" w:color="auto"/>
                    <w:bottom w:val="single" w:sz="4" w:space="0" w:color="auto"/>
                    <w:right w:val="single" w:sz="4" w:space="0" w:color="auto"/>
                  </w:tcBorders>
                  <w:noWrap/>
                  <w:vAlign w:val="bottom"/>
                </w:tcPr>
                <w:p w14:paraId="4347327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0.929274</w:t>
                  </w:r>
                </w:p>
              </w:tc>
              <w:tc>
                <w:tcPr>
                  <w:tcW w:w="990" w:type="dxa"/>
                  <w:tcBorders>
                    <w:top w:val="single" w:sz="4" w:space="0" w:color="auto"/>
                    <w:left w:val="single" w:sz="4" w:space="0" w:color="auto"/>
                    <w:bottom w:val="single" w:sz="4" w:space="0" w:color="auto"/>
                    <w:right w:val="single" w:sz="4" w:space="0" w:color="auto"/>
                  </w:tcBorders>
                  <w:noWrap/>
                  <w:vAlign w:val="bottom"/>
                </w:tcPr>
                <w:p w14:paraId="1D68C88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0.919655</w:t>
                  </w:r>
                </w:p>
              </w:tc>
              <w:tc>
                <w:tcPr>
                  <w:tcW w:w="958" w:type="dxa"/>
                  <w:tcBorders>
                    <w:top w:val="single" w:sz="4" w:space="0" w:color="auto"/>
                    <w:left w:val="single" w:sz="4" w:space="0" w:color="auto"/>
                    <w:bottom w:val="single" w:sz="4" w:space="0" w:color="auto"/>
                    <w:right w:val="single" w:sz="4" w:space="0" w:color="auto"/>
                  </w:tcBorders>
                  <w:vAlign w:val="bottom"/>
                </w:tcPr>
                <w:p w14:paraId="57E23BE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0.914441</w:t>
                  </w:r>
                </w:p>
              </w:tc>
              <w:tc>
                <w:tcPr>
                  <w:tcW w:w="536" w:type="dxa"/>
                  <w:tcBorders>
                    <w:top w:val="single" w:sz="4" w:space="0" w:color="auto"/>
                    <w:left w:val="single" w:sz="4" w:space="0" w:color="auto"/>
                    <w:bottom w:val="single" w:sz="4" w:space="0" w:color="auto"/>
                    <w:right w:val="single" w:sz="4" w:space="0" w:color="auto"/>
                  </w:tcBorders>
                  <w:vAlign w:val="bottom"/>
                </w:tcPr>
                <w:p w14:paraId="1D20409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C4C225C"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5B383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21</w:t>
                  </w:r>
                </w:p>
              </w:tc>
              <w:tc>
                <w:tcPr>
                  <w:tcW w:w="314" w:type="dxa"/>
                  <w:tcBorders>
                    <w:top w:val="single" w:sz="4" w:space="0" w:color="auto"/>
                    <w:left w:val="single" w:sz="4" w:space="0" w:color="auto"/>
                    <w:bottom w:val="single" w:sz="4" w:space="0" w:color="auto"/>
                    <w:right w:val="single" w:sz="4" w:space="0" w:color="auto"/>
                  </w:tcBorders>
                  <w:noWrap/>
                  <w:vAlign w:val="bottom"/>
                </w:tcPr>
                <w:p w14:paraId="52D06BB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0C1A88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0.919832</w:t>
                  </w:r>
                </w:p>
              </w:tc>
              <w:tc>
                <w:tcPr>
                  <w:tcW w:w="901" w:type="dxa"/>
                  <w:tcBorders>
                    <w:top w:val="single" w:sz="4" w:space="0" w:color="auto"/>
                    <w:left w:val="single" w:sz="4" w:space="0" w:color="auto"/>
                    <w:bottom w:val="single" w:sz="4" w:space="0" w:color="auto"/>
                    <w:right w:val="single" w:sz="4" w:space="0" w:color="auto"/>
                  </w:tcBorders>
                  <w:noWrap/>
                  <w:vAlign w:val="bottom"/>
                </w:tcPr>
                <w:p w14:paraId="406ACA0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0.932659</w:t>
                  </w:r>
                </w:p>
              </w:tc>
              <w:tc>
                <w:tcPr>
                  <w:tcW w:w="901" w:type="dxa"/>
                  <w:tcBorders>
                    <w:top w:val="single" w:sz="4" w:space="0" w:color="auto"/>
                    <w:left w:val="single" w:sz="4" w:space="0" w:color="auto"/>
                    <w:bottom w:val="single" w:sz="4" w:space="0" w:color="auto"/>
                    <w:right w:val="single" w:sz="4" w:space="0" w:color="auto"/>
                  </w:tcBorders>
                  <w:noWrap/>
                  <w:vAlign w:val="bottom"/>
                </w:tcPr>
                <w:p w14:paraId="5BD4AA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0.92515</w:t>
                  </w:r>
                </w:p>
              </w:tc>
              <w:tc>
                <w:tcPr>
                  <w:tcW w:w="901" w:type="dxa"/>
                  <w:tcBorders>
                    <w:top w:val="single" w:sz="4" w:space="0" w:color="auto"/>
                    <w:left w:val="single" w:sz="4" w:space="0" w:color="auto"/>
                    <w:bottom w:val="single" w:sz="4" w:space="0" w:color="auto"/>
                    <w:right w:val="single" w:sz="4" w:space="0" w:color="auto"/>
                  </w:tcBorders>
                  <w:noWrap/>
                  <w:vAlign w:val="bottom"/>
                </w:tcPr>
                <w:p w14:paraId="08A999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0.905483</w:t>
                  </w:r>
                </w:p>
              </w:tc>
              <w:tc>
                <w:tcPr>
                  <w:tcW w:w="921" w:type="dxa"/>
                  <w:tcBorders>
                    <w:top w:val="single" w:sz="4" w:space="0" w:color="auto"/>
                    <w:left w:val="single" w:sz="4" w:space="0" w:color="auto"/>
                    <w:bottom w:val="single" w:sz="4" w:space="0" w:color="auto"/>
                    <w:right w:val="single" w:sz="4" w:space="0" w:color="auto"/>
                  </w:tcBorders>
                  <w:noWrap/>
                  <w:vAlign w:val="bottom"/>
                </w:tcPr>
                <w:p w14:paraId="6D68DBC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0.870481</w:t>
                  </w:r>
                </w:p>
              </w:tc>
              <w:tc>
                <w:tcPr>
                  <w:tcW w:w="956" w:type="dxa"/>
                  <w:tcBorders>
                    <w:top w:val="single" w:sz="4" w:space="0" w:color="auto"/>
                    <w:left w:val="single" w:sz="4" w:space="0" w:color="auto"/>
                    <w:bottom w:val="single" w:sz="4" w:space="0" w:color="auto"/>
                    <w:right w:val="single" w:sz="4" w:space="0" w:color="auto"/>
                  </w:tcBorders>
                  <w:noWrap/>
                  <w:vAlign w:val="bottom"/>
                </w:tcPr>
                <w:p w14:paraId="6AC35B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0.845713</w:t>
                  </w:r>
                </w:p>
              </w:tc>
              <w:tc>
                <w:tcPr>
                  <w:tcW w:w="990" w:type="dxa"/>
                  <w:tcBorders>
                    <w:top w:val="single" w:sz="4" w:space="0" w:color="auto"/>
                    <w:left w:val="single" w:sz="4" w:space="0" w:color="auto"/>
                    <w:bottom w:val="single" w:sz="4" w:space="0" w:color="auto"/>
                    <w:right w:val="single" w:sz="4" w:space="0" w:color="auto"/>
                  </w:tcBorders>
                  <w:noWrap/>
                  <w:vAlign w:val="bottom"/>
                </w:tcPr>
                <w:p w14:paraId="638A9BC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0.817539</w:t>
                  </w:r>
                </w:p>
              </w:tc>
              <w:tc>
                <w:tcPr>
                  <w:tcW w:w="958" w:type="dxa"/>
                  <w:tcBorders>
                    <w:top w:val="single" w:sz="4" w:space="0" w:color="auto"/>
                    <w:left w:val="single" w:sz="4" w:space="0" w:color="auto"/>
                    <w:bottom w:val="single" w:sz="4" w:space="0" w:color="auto"/>
                    <w:right w:val="single" w:sz="4" w:space="0" w:color="auto"/>
                  </w:tcBorders>
                  <w:vAlign w:val="bottom"/>
                </w:tcPr>
                <w:p w14:paraId="57872F5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0.80129</w:t>
                  </w:r>
                </w:p>
              </w:tc>
              <w:tc>
                <w:tcPr>
                  <w:tcW w:w="536" w:type="dxa"/>
                  <w:tcBorders>
                    <w:top w:val="single" w:sz="4" w:space="0" w:color="auto"/>
                    <w:left w:val="single" w:sz="4" w:space="0" w:color="auto"/>
                    <w:bottom w:val="single" w:sz="4" w:space="0" w:color="auto"/>
                    <w:right w:val="single" w:sz="4" w:space="0" w:color="auto"/>
                  </w:tcBorders>
                  <w:vAlign w:val="bottom"/>
                </w:tcPr>
                <w:p w14:paraId="78309EE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82E2687"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FCF10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23</w:t>
                  </w:r>
                </w:p>
              </w:tc>
              <w:tc>
                <w:tcPr>
                  <w:tcW w:w="314" w:type="dxa"/>
                  <w:tcBorders>
                    <w:top w:val="single" w:sz="4" w:space="0" w:color="auto"/>
                    <w:left w:val="single" w:sz="4" w:space="0" w:color="auto"/>
                    <w:bottom w:val="single" w:sz="4" w:space="0" w:color="auto"/>
                    <w:right w:val="single" w:sz="4" w:space="0" w:color="auto"/>
                  </w:tcBorders>
                  <w:noWrap/>
                  <w:vAlign w:val="bottom"/>
                </w:tcPr>
                <w:p w14:paraId="15C2237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53D748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0.942878</w:t>
                  </w:r>
                </w:p>
              </w:tc>
              <w:tc>
                <w:tcPr>
                  <w:tcW w:w="901" w:type="dxa"/>
                  <w:tcBorders>
                    <w:top w:val="single" w:sz="4" w:space="0" w:color="auto"/>
                    <w:left w:val="single" w:sz="4" w:space="0" w:color="auto"/>
                    <w:bottom w:val="single" w:sz="4" w:space="0" w:color="auto"/>
                    <w:right w:val="single" w:sz="4" w:space="0" w:color="auto"/>
                  </w:tcBorders>
                  <w:noWrap/>
                  <w:vAlign w:val="bottom"/>
                </w:tcPr>
                <w:p w14:paraId="0515648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0.9548</w:t>
                  </w:r>
                </w:p>
              </w:tc>
              <w:tc>
                <w:tcPr>
                  <w:tcW w:w="901" w:type="dxa"/>
                  <w:tcBorders>
                    <w:top w:val="single" w:sz="4" w:space="0" w:color="auto"/>
                    <w:left w:val="single" w:sz="4" w:space="0" w:color="auto"/>
                    <w:bottom w:val="single" w:sz="4" w:space="0" w:color="auto"/>
                    <w:right w:val="single" w:sz="4" w:space="0" w:color="auto"/>
                  </w:tcBorders>
                  <w:noWrap/>
                  <w:vAlign w:val="bottom"/>
                </w:tcPr>
                <w:p w14:paraId="20BE138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0.951992</w:t>
                  </w:r>
                </w:p>
              </w:tc>
              <w:tc>
                <w:tcPr>
                  <w:tcW w:w="901" w:type="dxa"/>
                  <w:tcBorders>
                    <w:top w:val="single" w:sz="4" w:space="0" w:color="auto"/>
                    <w:left w:val="single" w:sz="4" w:space="0" w:color="auto"/>
                    <w:bottom w:val="single" w:sz="4" w:space="0" w:color="auto"/>
                    <w:right w:val="single" w:sz="4" w:space="0" w:color="auto"/>
                  </w:tcBorders>
                  <w:noWrap/>
                  <w:vAlign w:val="bottom"/>
                </w:tcPr>
                <w:p w14:paraId="37006B1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0.941541</w:t>
                  </w:r>
                </w:p>
              </w:tc>
              <w:tc>
                <w:tcPr>
                  <w:tcW w:w="921" w:type="dxa"/>
                  <w:tcBorders>
                    <w:top w:val="single" w:sz="4" w:space="0" w:color="auto"/>
                    <w:left w:val="single" w:sz="4" w:space="0" w:color="auto"/>
                    <w:bottom w:val="single" w:sz="4" w:space="0" w:color="auto"/>
                    <w:right w:val="single" w:sz="4" w:space="0" w:color="auto"/>
                  </w:tcBorders>
                  <w:noWrap/>
                  <w:vAlign w:val="bottom"/>
                </w:tcPr>
                <w:p w14:paraId="26189ED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0.922246</w:t>
                  </w:r>
                </w:p>
              </w:tc>
              <w:tc>
                <w:tcPr>
                  <w:tcW w:w="956" w:type="dxa"/>
                  <w:tcBorders>
                    <w:top w:val="single" w:sz="4" w:space="0" w:color="auto"/>
                    <w:left w:val="single" w:sz="4" w:space="0" w:color="auto"/>
                    <w:bottom w:val="single" w:sz="4" w:space="0" w:color="auto"/>
                    <w:right w:val="single" w:sz="4" w:space="0" w:color="auto"/>
                  </w:tcBorders>
                  <w:noWrap/>
                  <w:vAlign w:val="bottom"/>
                </w:tcPr>
                <w:p w14:paraId="1993011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0.90855</w:t>
                  </w:r>
                </w:p>
              </w:tc>
              <w:tc>
                <w:tcPr>
                  <w:tcW w:w="990" w:type="dxa"/>
                  <w:tcBorders>
                    <w:top w:val="single" w:sz="4" w:space="0" w:color="auto"/>
                    <w:left w:val="single" w:sz="4" w:space="0" w:color="auto"/>
                    <w:bottom w:val="single" w:sz="4" w:space="0" w:color="auto"/>
                    <w:right w:val="single" w:sz="4" w:space="0" w:color="auto"/>
                  </w:tcBorders>
                  <w:noWrap/>
                  <w:vAlign w:val="bottom"/>
                </w:tcPr>
                <w:p w14:paraId="379CA3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0.892962</w:t>
                  </w:r>
                </w:p>
              </w:tc>
              <w:tc>
                <w:tcPr>
                  <w:tcW w:w="958" w:type="dxa"/>
                  <w:tcBorders>
                    <w:top w:val="single" w:sz="4" w:space="0" w:color="auto"/>
                    <w:left w:val="single" w:sz="4" w:space="0" w:color="auto"/>
                    <w:bottom w:val="single" w:sz="4" w:space="0" w:color="auto"/>
                    <w:right w:val="single" w:sz="4" w:space="0" w:color="auto"/>
                  </w:tcBorders>
                  <w:vAlign w:val="bottom"/>
                </w:tcPr>
                <w:p w14:paraId="0F4957C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0.88396</w:t>
                  </w:r>
                </w:p>
              </w:tc>
              <w:tc>
                <w:tcPr>
                  <w:tcW w:w="536" w:type="dxa"/>
                  <w:tcBorders>
                    <w:top w:val="single" w:sz="4" w:space="0" w:color="auto"/>
                    <w:left w:val="single" w:sz="4" w:space="0" w:color="auto"/>
                    <w:bottom w:val="single" w:sz="4" w:space="0" w:color="auto"/>
                    <w:right w:val="single" w:sz="4" w:space="0" w:color="auto"/>
                  </w:tcBorders>
                  <w:vAlign w:val="bottom"/>
                </w:tcPr>
                <w:p w14:paraId="0BB9F66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52BBA8F"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D88FED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24</w:t>
                  </w:r>
                </w:p>
              </w:tc>
              <w:tc>
                <w:tcPr>
                  <w:tcW w:w="314" w:type="dxa"/>
                  <w:tcBorders>
                    <w:top w:val="single" w:sz="4" w:space="0" w:color="auto"/>
                    <w:left w:val="single" w:sz="4" w:space="0" w:color="auto"/>
                    <w:bottom w:val="single" w:sz="4" w:space="0" w:color="auto"/>
                    <w:right w:val="single" w:sz="4" w:space="0" w:color="auto"/>
                  </w:tcBorders>
                  <w:noWrap/>
                  <w:vAlign w:val="bottom"/>
                </w:tcPr>
                <w:p w14:paraId="2BA4F98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305D38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0.924239</w:t>
                  </w:r>
                </w:p>
              </w:tc>
              <w:tc>
                <w:tcPr>
                  <w:tcW w:w="901" w:type="dxa"/>
                  <w:tcBorders>
                    <w:top w:val="single" w:sz="4" w:space="0" w:color="auto"/>
                    <w:left w:val="single" w:sz="4" w:space="0" w:color="auto"/>
                    <w:bottom w:val="single" w:sz="4" w:space="0" w:color="auto"/>
                    <w:right w:val="single" w:sz="4" w:space="0" w:color="auto"/>
                  </w:tcBorders>
                  <w:noWrap/>
                  <w:vAlign w:val="bottom"/>
                </w:tcPr>
                <w:p w14:paraId="419115A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0.937804</w:t>
                  </w:r>
                </w:p>
              </w:tc>
              <w:tc>
                <w:tcPr>
                  <w:tcW w:w="901" w:type="dxa"/>
                  <w:tcBorders>
                    <w:top w:val="single" w:sz="4" w:space="0" w:color="auto"/>
                    <w:left w:val="single" w:sz="4" w:space="0" w:color="auto"/>
                    <w:bottom w:val="single" w:sz="4" w:space="0" w:color="auto"/>
                    <w:right w:val="single" w:sz="4" w:space="0" w:color="auto"/>
                  </w:tcBorders>
                  <w:noWrap/>
                  <w:vAlign w:val="bottom"/>
                </w:tcPr>
                <w:p w14:paraId="75F843E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0.928931</w:t>
                  </w:r>
                </w:p>
              </w:tc>
              <w:tc>
                <w:tcPr>
                  <w:tcW w:w="901" w:type="dxa"/>
                  <w:tcBorders>
                    <w:top w:val="single" w:sz="4" w:space="0" w:color="auto"/>
                    <w:left w:val="single" w:sz="4" w:space="0" w:color="auto"/>
                    <w:bottom w:val="single" w:sz="4" w:space="0" w:color="auto"/>
                    <w:right w:val="single" w:sz="4" w:space="0" w:color="auto"/>
                  </w:tcBorders>
                  <w:noWrap/>
                  <w:vAlign w:val="bottom"/>
                </w:tcPr>
                <w:p w14:paraId="5052543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0.905902</w:t>
                  </w:r>
                </w:p>
              </w:tc>
              <w:tc>
                <w:tcPr>
                  <w:tcW w:w="921" w:type="dxa"/>
                  <w:tcBorders>
                    <w:top w:val="single" w:sz="4" w:space="0" w:color="auto"/>
                    <w:left w:val="single" w:sz="4" w:space="0" w:color="auto"/>
                    <w:bottom w:val="single" w:sz="4" w:space="0" w:color="auto"/>
                    <w:right w:val="single" w:sz="4" w:space="0" w:color="auto"/>
                  </w:tcBorders>
                  <w:noWrap/>
                  <w:vAlign w:val="bottom"/>
                </w:tcPr>
                <w:p w14:paraId="017533D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0.864279</w:t>
                  </w:r>
                </w:p>
              </w:tc>
              <w:tc>
                <w:tcPr>
                  <w:tcW w:w="956" w:type="dxa"/>
                  <w:tcBorders>
                    <w:top w:val="single" w:sz="4" w:space="0" w:color="auto"/>
                    <w:left w:val="single" w:sz="4" w:space="0" w:color="auto"/>
                    <w:bottom w:val="single" w:sz="4" w:space="0" w:color="auto"/>
                    <w:right w:val="single" w:sz="4" w:space="0" w:color="auto"/>
                  </w:tcBorders>
                  <w:noWrap/>
                  <w:vAlign w:val="bottom"/>
                </w:tcPr>
                <w:p w14:paraId="0851CC7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0.834368</w:t>
                  </w:r>
                </w:p>
              </w:tc>
              <w:tc>
                <w:tcPr>
                  <w:tcW w:w="990" w:type="dxa"/>
                  <w:tcBorders>
                    <w:top w:val="single" w:sz="4" w:space="0" w:color="auto"/>
                    <w:left w:val="single" w:sz="4" w:space="0" w:color="auto"/>
                    <w:bottom w:val="single" w:sz="4" w:space="0" w:color="auto"/>
                    <w:right w:val="single" w:sz="4" w:space="0" w:color="auto"/>
                  </w:tcBorders>
                  <w:noWrap/>
                  <w:vAlign w:val="bottom"/>
                </w:tcPr>
                <w:p w14:paraId="451DCE8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0.799501</w:t>
                  </w:r>
                </w:p>
              </w:tc>
              <w:tc>
                <w:tcPr>
                  <w:tcW w:w="958" w:type="dxa"/>
                  <w:tcBorders>
                    <w:top w:val="single" w:sz="4" w:space="0" w:color="auto"/>
                    <w:left w:val="single" w:sz="4" w:space="0" w:color="auto"/>
                    <w:bottom w:val="single" w:sz="4" w:space="0" w:color="auto"/>
                    <w:right w:val="single" w:sz="4" w:space="0" w:color="auto"/>
                  </w:tcBorders>
                  <w:vAlign w:val="bottom"/>
                </w:tcPr>
                <w:p w14:paraId="238888C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0.779067</w:t>
                  </w:r>
                </w:p>
              </w:tc>
              <w:tc>
                <w:tcPr>
                  <w:tcW w:w="536" w:type="dxa"/>
                  <w:tcBorders>
                    <w:top w:val="single" w:sz="4" w:space="0" w:color="auto"/>
                    <w:left w:val="single" w:sz="4" w:space="0" w:color="auto"/>
                    <w:bottom w:val="single" w:sz="4" w:space="0" w:color="auto"/>
                    <w:right w:val="single" w:sz="4" w:space="0" w:color="auto"/>
                  </w:tcBorders>
                  <w:vAlign w:val="bottom"/>
                </w:tcPr>
                <w:p w14:paraId="47F38B1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4EAE0AA"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9A0EB8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25</w:t>
                  </w:r>
                </w:p>
              </w:tc>
              <w:tc>
                <w:tcPr>
                  <w:tcW w:w="314" w:type="dxa"/>
                  <w:tcBorders>
                    <w:top w:val="single" w:sz="4" w:space="0" w:color="auto"/>
                    <w:left w:val="single" w:sz="4" w:space="0" w:color="auto"/>
                    <w:bottom w:val="single" w:sz="4" w:space="0" w:color="auto"/>
                    <w:right w:val="single" w:sz="4" w:space="0" w:color="auto"/>
                  </w:tcBorders>
                  <w:noWrap/>
                  <w:vAlign w:val="bottom"/>
                </w:tcPr>
                <w:p w14:paraId="0D792D6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CCFB68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0.946665</w:t>
                  </w:r>
                </w:p>
              </w:tc>
              <w:tc>
                <w:tcPr>
                  <w:tcW w:w="901" w:type="dxa"/>
                  <w:tcBorders>
                    <w:top w:val="single" w:sz="4" w:space="0" w:color="auto"/>
                    <w:left w:val="single" w:sz="4" w:space="0" w:color="auto"/>
                    <w:bottom w:val="single" w:sz="4" w:space="0" w:color="auto"/>
                    <w:right w:val="single" w:sz="4" w:space="0" w:color="auto"/>
                  </w:tcBorders>
                  <w:noWrap/>
                  <w:vAlign w:val="bottom"/>
                </w:tcPr>
                <w:p w14:paraId="479B8C9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0.931481</w:t>
                  </w:r>
                </w:p>
              </w:tc>
              <w:tc>
                <w:tcPr>
                  <w:tcW w:w="901" w:type="dxa"/>
                  <w:tcBorders>
                    <w:top w:val="single" w:sz="4" w:space="0" w:color="auto"/>
                    <w:left w:val="single" w:sz="4" w:space="0" w:color="auto"/>
                    <w:bottom w:val="single" w:sz="4" w:space="0" w:color="auto"/>
                    <w:right w:val="single" w:sz="4" w:space="0" w:color="auto"/>
                  </w:tcBorders>
                  <w:noWrap/>
                  <w:vAlign w:val="bottom"/>
                </w:tcPr>
                <w:p w14:paraId="356DC52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0.904272</w:t>
                  </w:r>
                </w:p>
              </w:tc>
              <w:tc>
                <w:tcPr>
                  <w:tcW w:w="901" w:type="dxa"/>
                  <w:tcBorders>
                    <w:top w:val="single" w:sz="4" w:space="0" w:color="auto"/>
                    <w:left w:val="single" w:sz="4" w:space="0" w:color="auto"/>
                    <w:bottom w:val="single" w:sz="4" w:space="0" w:color="auto"/>
                    <w:right w:val="single" w:sz="4" w:space="0" w:color="auto"/>
                  </w:tcBorders>
                  <w:noWrap/>
                  <w:vAlign w:val="bottom"/>
                </w:tcPr>
                <w:p w14:paraId="4F30BD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0.861096</w:t>
                  </w:r>
                </w:p>
              </w:tc>
              <w:tc>
                <w:tcPr>
                  <w:tcW w:w="921" w:type="dxa"/>
                  <w:tcBorders>
                    <w:top w:val="single" w:sz="4" w:space="0" w:color="auto"/>
                    <w:left w:val="single" w:sz="4" w:space="0" w:color="auto"/>
                    <w:bottom w:val="single" w:sz="4" w:space="0" w:color="auto"/>
                    <w:right w:val="single" w:sz="4" w:space="0" w:color="auto"/>
                  </w:tcBorders>
                  <w:noWrap/>
                  <w:vAlign w:val="bottom"/>
                </w:tcPr>
                <w:p w14:paraId="1BEABB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0.790335</w:t>
                  </w:r>
                </w:p>
              </w:tc>
              <w:tc>
                <w:tcPr>
                  <w:tcW w:w="956" w:type="dxa"/>
                  <w:tcBorders>
                    <w:top w:val="single" w:sz="4" w:space="0" w:color="auto"/>
                    <w:left w:val="single" w:sz="4" w:space="0" w:color="auto"/>
                    <w:bottom w:val="single" w:sz="4" w:space="0" w:color="auto"/>
                    <w:right w:val="single" w:sz="4" w:space="0" w:color="auto"/>
                  </w:tcBorders>
                  <w:noWrap/>
                  <w:vAlign w:val="bottom"/>
                </w:tcPr>
                <w:p w14:paraId="1726C7F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0.74023</w:t>
                  </w:r>
                </w:p>
              </w:tc>
              <w:tc>
                <w:tcPr>
                  <w:tcW w:w="990" w:type="dxa"/>
                  <w:tcBorders>
                    <w:top w:val="single" w:sz="4" w:space="0" w:color="auto"/>
                    <w:left w:val="single" w:sz="4" w:space="0" w:color="auto"/>
                    <w:bottom w:val="single" w:sz="4" w:space="0" w:color="auto"/>
                    <w:right w:val="single" w:sz="4" w:space="0" w:color="auto"/>
                  </w:tcBorders>
                  <w:noWrap/>
                  <w:vAlign w:val="bottom"/>
                </w:tcPr>
                <w:p w14:paraId="45D1C1E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0.691268</w:t>
                  </w:r>
                </w:p>
              </w:tc>
              <w:tc>
                <w:tcPr>
                  <w:tcW w:w="958" w:type="dxa"/>
                  <w:tcBorders>
                    <w:top w:val="single" w:sz="4" w:space="0" w:color="auto"/>
                    <w:left w:val="single" w:sz="4" w:space="0" w:color="auto"/>
                    <w:bottom w:val="single" w:sz="4" w:space="0" w:color="auto"/>
                    <w:right w:val="single" w:sz="4" w:space="0" w:color="auto"/>
                  </w:tcBorders>
                  <w:vAlign w:val="bottom"/>
                </w:tcPr>
                <w:p w14:paraId="1B092BE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0.667426</w:t>
                  </w:r>
                </w:p>
              </w:tc>
              <w:tc>
                <w:tcPr>
                  <w:tcW w:w="536" w:type="dxa"/>
                  <w:tcBorders>
                    <w:top w:val="single" w:sz="4" w:space="0" w:color="auto"/>
                    <w:left w:val="single" w:sz="4" w:space="0" w:color="auto"/>
                    <w:bottom w:val="single" w:sz="4" w:space="0" w:color="auto"/>
                    <w:right w:val="single" w:sz="4" w:space="0" w:color="auto"/>
                  </w:tcBorders>
                  <w:vAlign w:val="bottom"/>
                </w:tcPr>
                <w:p w14:paraId="49E583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2E93EB9"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41B99C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lastRenderedPageBreak/>
                    <w:t>Bus 26</w:t>
                  </w:r>
                </w:p>
              </w:tc>
              <w:tc>
                <w:tcPr>
                  <w:tcW w:w="314" w:type="dxa"/>
                  <w:tcBorders>
                    <w:top w:val="single" w:sz="4" w:space="0" w:color="auto"/>
                    <w:left w:val="single" w:sz="4" w:space="0" w:color="auto"/>
                    <w:bottom w:val="single" w:sz="4" w:space="0" w:color="auto"/>
                    <w:right w:val="single" w:sz="4" w:space="0" w:color="auto"/>
                  </w:tcBorders>
                  <w:noWrap/>
                  <w:vAlign w:val="bottom"/>
                </w:tcPr>
                <w:p w14:paraId="08B0AE5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D1D4AE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0.938297</w:t>
                  </w:r>
                </w:p>
              </w:tc>
              <w:tc>
                <w:tcPr>
                  <w:tcW w:w="901" w:type="dxa"/>
                  <w:tcBorders>
                    <w:top w:val="single" w:sz="4" w:space="0" w:color="auto"/>
                    <w:left w:val="single" w:sz="4" w:space="0" w:color="auto"/>
                    <w:bottom w:val="single" w:sz="4" w:space="0" w:color="auto"/>
                    <w:right w:val="single" w:sz="4" w:space="0" w:color="auto"/>
                  </w:tcBorders>
                  <w:noWrap/>
                  <w:vAlign w:val="bottom"/>
                </w:tcPr>
                <w:p w14:paraId="67CF26B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0.929257</w:t>
                  </w:r>
                </w:p>
              </w:tc>
              <w:tc>
                <w:tcPr>
                  <w:tcW w:w="901" w:type="dxa"/>
                  <w:tcBorders>
                    <w:top w:val="single" w:sz="4" w:space="0" w:color="auto"/>
                    <w:left w:val="single" w:sz="4" w:space="0" w:color="auto"/>
                    <w:bottom w:val="single" w:sz="4" w:space="0" w:color="auto"/>
                    <w:right w:val="single" w:sz="4" w:space="0" w:color="auto"/>
                  </w:tcBorders>
                  <w:noWrap/>
                  <w:vAlign w:val="bottom"/>
                </w:tcPr>
                <w:p w14:paraId="110DB1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0.90646</w:t>
                  </w:r>
                </w:p>
              </w:tc>
              <w:tc>
                <w:tcPr>
                  <w:tcW w:w="901" w:type="dxa"/>
                  <w:tcBorders>
                    <w:top w:val="single" w:sz="4" w:space="0" w:color="auto"/>
                    <w:left w:val="single" w:sz="4" w:space="0" w:color="auto"/>
                    <w:bottom w:val="single" w:sz="4" w:space="0" w:color="auto"/>
                    <w:right w:val="single" w:sz="4" w:space="0" w:color="auto"/>
                  </w:tcBorders>
                  <w:noWrap/>
                  <w:vAlign w:val="bottom"/>
                </w:tcPr>
                <w:p w14:paraId="555A506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0.868844</w:t>
                  </w:r>
                </w:p>
              </w:tc>
              <w:tc>
                <w:tcPr>
                  <w:tcW w:w="921" w:type="dxa"/>
                  <w:tcBorders>
                    <w:top w:val="single" w:sz="4" w:space="0" w:color="auto"/>
                    <w:left w:val="single" w:sz="4" w:space="0" w:color="auto"/>
                    <w:bottom w:val="single" w:sz="4" w:space="0" w:color="auto"/>
                    <w:right w:val="single" w:sz="4" w:space="0" w:color="auto"/>
                  </w:tcBorders>
                  <w:noWrap/>
                  <w:vAlign w:val="bottom"/>
                </w:tcPr>
                <w:p w14:paraId="04CB061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0.807287</w:t>
                  </w:r>
                </w:p>
              </w:tc>
              <w:tc>
                <w:tcPr>
                  <w:tcW w:w="956" w:type="dxa"/>
                  <w:tcBorders>
                    <w:top w:val="single" w:sz="4" w:space="0" w:color="auto"/>
                    <w:left w:val="single" w:sz="4" w:space="0" w:color="auto"/>
                    <w:bottom w:val="single" w:sz="4" w:space="0" w:color="auto"/>
                    <w:right w:val="single" w:sz="4" w:space="0" w:color="auto"/>
                  </w:tcBorders>
                  <w:noWrap/>
                  <w:vAlign w:val="bottom"/>
                </w:tcPr>
                <w:p w14:paraId="7BB55A3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0.764264</w:t>
                  </w:r>
                </w:p>
              </w:tc>
              <w:tc>
                <w:tcPr>
                  <w:tcW w:w="990" w:type="dxa"/>
                  <w:tcBorders>
                    <w:top w:val="single" w:sz="4" w:space="0" w:color="auto"/>
                    <w:left w:val="single" w:sz="4" w:space="0" w:color="auto"/>
                    <w:bottom w:val="single" w:sz="4" w:space="0" w:color="auto"/>
                    <w:right w:val="single" w:sz="4" w:space="0" w:color="auto"/>
                  </w:tcBorders>
                  <w:noWrap/>
                  <w:vAlign w:val="bottom"/>
                </w:tcPr>
                <w:p w14:paraId="7752390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0.720992</w:t>
                  </w:r>
                </w:p>
              </w:tc>
              <w:tc>
                <w:tcPr>
                  <w:tcW w:w="958" w:type="dxa"/>
                  <w:tcBorders>
                    <w:top w:val="single" w:sz="4" w:space="0" w:color="auto"/>
                    <w:left w:val="single" w:sz="4" w:space="0" w:color="auto"/>
                    <w:bottom w:val="single" w:sz="4" w:space="0" w:color="auto"/>
                    <w:right w:val="single" w:sz="4" w:space="0" w:color="auto"/>
                  </w:tcBorders>
                  <w:vAlign w:val="bottom"/>
                </w:tcPr>
                <w:p w14:paraId="2863C8E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0.699111</w:t>
                  </w:r>
                </w:p>
              </w:tc>
              <w:tc>
                <w:tcPr>
                  <w:tcW w:w="536" w:type="dxa"/>
                  <w:tcBorders>
                    <w:top w:val="single" w:sz="4" w:space="0" w:color="auto"/>
                    <w:left w:val="single" w:sz="4" w:space="0" w:color="auto"/>
                    <w:bottom w:val="single" w:sz="4" w:space="0" w:color="auto"/>
                    <w:right w:val="single" w:sz="4" w:space="0" w:color="auto"/>
                  </w:tcBorders>
                  <w:vAlign w:val="bottom"/>
                </w:tcPr>
                <w:p w14:paraId="171EC7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5544075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917EE5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27</w:t>
                  </w:r>
                </w:p>
              </w:tc>
              <w:tc>
                <w:tcPr>
                  <w:tcW w:w="314" w:type="dxa"/>
                  <w:tcBorders>
                    <w:top w:val="single" w:sz="4" w:space="0" w:color="auto"/>
                    <w:left w:val="single" w:sz="4" w:space="0" w:color="auto"/>
                    <w:bottom w:val="single" w:sz="4" w:space="0" w:color="auto"/>
                    <w:right w:val="single" w:sz="4" w:space="0" w:color="auto"/>
                  </w:tcBorders>
                  <w:noWrap/>
                  <w:vAlign w:val="bottom"/>
                </w:tcPr>
                <w:p w14:paraId="461F3C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76A4D9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0.923167</w:t>
                  </w:r>
                </w:p>
              </w:tc>
              <w:tc>
                <w:tcPr>
                  <w:tcW w:w="901" w:type="dxa"/>
                  <w:tcBorders>
                    <w:top w:val="single" w:sz="4" w:space="0" w:color="auto"/>
                    <w:left w:val="single" w:sz="4" w:space="0" w:color="auto"/>
                    <w:bottom w:val="single" w:sz="4" w:space="0" w:color="auto"/>
                    <w:right w:val="single" w:sz="4" w:space="0" w:color="auto"/>
                  </w:tcBorders>
                  <w:noWrap/>
                  <w:vAlign w:val="bottom"/>
                </w:tcPr>
                <w:p w14:paraId="0430854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0.91893</w:t>
                  </w:r>
                </w:p>
              </w:tc>
              <w:tc>
                <w:tcPr>
                  <w:tcW w:w="901" w:type="dxa"/>
                  <w:tcBorders>
                    <w:top w:val="single" w:sz="4" w:space="0" w:color="auto"/>
                    <w:left w:val="single" w:sz="4" w:space="0" w:color="auto"/>
                    <w:bottom w:val="single" w:sz="4" w:space="0" w:color="auto"/>
                    <w:right w:val="single" w:sz="4" w:space="0" w:color="auto"/>
                  </w:tcBorders>
                  <w:noWrap/>
                  <w:vAlign w:val="bottom"/>
                </w:tcPr>
                <w:p w14:paraId="54750D2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0.896888</w:t>
                  </w:r>
                </w:p>
              </w:tc>
              <w:tc>
                <w:tcPr>
                  <w:tcW w:w="901" w:type="dxa"/>
                  <w:tcBorders>
                    <w:top w:val="single" w:sz="4" w:space="0" w:color="auto"/>
                    <w:left w:val="single" w:sz="4" w:space="0" w:color="auto"/>
                    <w:bottom w:val="single" w:sz="4" w:space="0" w:color="auto"/>
                    <w:right w:val="single" w:sz="4" w:space="0" w:color="auto"/>
                  </w:tcBorders>
                  <w:noWrap/>
                  <w:vAlign w:val="bottom"/>
                </w:tcPr>
                <w:p w14:paraId="2986FC7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0.858331</w:t>
                  </w:r>
                </w:p>
              </w:tc>
              <w:tc>
                <w:tcPr>
                  <w:tcW w:w="921" w:type="dxa"/>
                  <w:tcBorders>
                    <w:top w:val="single" w:sz="4" w:space="0" w:color="auto"/>
                    <w:left w:val="single" w:sz="4" w:space="0" w:color="auto"/>
                    <w:bottom w:val="single" w:sz="4" w:space="0" w:color="auto"/>
                    <w:right w:val="single" w:sz="4" w:space="0" w:color="auto"/>
                  </w:tcBorders>
                  <w:noWrap/>
                  <w:vAlign w:val="bottom"/>
                </w:tcPr>
                <w:p w14:paraId="3A8F626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0.794218</w:t>
                  </w:r>
                </w:p>
              </w:tc>
              <w:tc>
                <w:tcPr>
                  <w:tcW w:w="956" w:type="dxa"/>
                  <w:tcBorders>
                    <w:top w:val="single" w:sz="4" w:space="0" w:color="auto"/>
                    <w:left w:val="single" w:sz="4" w:space="0" w:color="auto"/>
                    <w:bottom w:val="single" w:sz="4" w:space="0" w:color="auto"/>
                    <w:right w:val="single" w:sz="4" w:space="0" w:color="auto"/>
                  </w:tcBorders>
                  <w:noWrap/>
                  <w:vAlign w:val="bottom"/>
                </w:tcPr>
                <w:p w14:paraId="29BDE93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0.749162</w:t>
                  </w:r>
                </w:p>
              </w:tc>
              <w:tc>
                <w:tcPr>
                  <w:tcW w:w="990" w:type="dxa"/>
                  <w:tcBorders>
                    <w:top w:val="single" w:sz="4" w:space="0" w:color="auto"/>
                    <w:left w:val="single" w:sz="4" w:space="0" w:color="auto"/>
                    <w:bottom w:val="single" w:sz="4" w:space="0" w:color="auto"/>
                    <w:right w:val="single" w:sz="4" w:space="0" w:color="auto"/>
                  </w:tcBorders>
                  <w:noWrap/>
                  <w:vAlign w:val="bottom"/>
                </w:tcPr>
                <w:p w14:paraId="75A8FC3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0.702051</w:t>
                  </w:r>
                </w:p>
              </w:tc>
              <w:tc>
                <w:tcPr>
                  <w:tcW w:w="958" w:type="dxa"/>
                  <w:tcBorders>
                    <w:top w:val="single" w:sz="4" w:space="0" w:color="auto"/>
                    <w:left w:val="single" w:sz="4" w:space="0" w:color="auto"/>
                    <w:bottom w:val="single" w:sz="4" w:space="0" w:color="auto"/>
                    <w:right w:val="single" w:sz="4" w:space="0" w:color="auto"/>
                  </w:tcBorders>
                  <w:vAlign w:val="bottom"/>
                </w:tcPr>
                <w:p w14:paraId="6EE0688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0.677252</w:t>
                  </w:r>
                </w:p>
              </w:tc>
              <w:tc>
                <w:tcPr>
                  <w:tcW w:w="536" w:type="dxa"/>
                  <w:tcBorders>
                    <w:top w:val="single" w:sz="4" w:space="0" w:color="auto"/>
                    <w:left w:val="single" w:sz="4" w:space="0" w:color="auto"/>
                    <w:bottom w:val="single" w:sz="4" w:space="0" w:color="auto"/>
                    <w:right w:val="single" w:sz="4" w:space="0" w:color="auto"/>
                  </w:tcBorders>
                  <w:vAlign w:val="bottom"/>
                </w:tcPr>
                <w:p w14:paraId="3217C74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5851FED"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DD98E3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28</w:t>
                  </w:r>
                </w:p>
              </w:tc>
              <w:tc>
                <w:tcPr>
                  <w:tcW w:w="314" w:type="dxa"/>
                  <w:tcBorders>
                    <w:top w:val="single" w:sz="4" w:space="0" w:color="auto"/>
                    <w:left w:val="single" w:sz="4" w:space="0" w:color="auto"/>
                    <w:bottom w:val="single" w:sz="4" w:space="0" w:color="auto"/>
                    <w:right w:val="single" w:sz="4" w:space="0" w:color="auto"/>
                  </w:tcBorders>
                  <w:noWrap/>
                  <w:vAlign w:val="bottom"/>
                </w:tcPr>
                <w:p w14:paraId="0E30802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5B16BA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0.95546</w:t>
                  </w:r>
                </w:p>
              </w:tc>
              <w:tc>
                <w:tcPr>
                  <w:tcW w:w="901" w:type="dxa"/>
                  <w:tcBorders>
                    <w:top w:val="single" w:sz="4" w:space="0" w:color="auto"/>
                    <w:left w:val="single" w:sz="4" w:space="0" w:color="auto"/>
                    <w:bottom w:val="single" w:sz="4" w:space="0" w:color="auto"/>
                    <w:right w:val="single" w:sz="4" w:space="0" w:color="auto"/>
                  </w:tcBorders>
                  <w:noWrap/>
                  <w:vAlign w:val="bottom"/>
                </w:tcPr>
                <w:p w14:paraId="327AC4F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0.948959</w:t>
                  </w:r>
                </w:p>
              </w:tc>
              <w:tc>
                <w:tcPr>
                  <w:tcW w:w="901" w:type="dxa"/>
                  <w:tcBorders>
                    <w:top w:val="single" w:sz="4" w:space="0" w:color="auto"/>
                    <w:left w:val="single" w:sz="4" w:space="0" w:color="auto"/>
                    <w:bottom w:val="single" w:sz="4" w:space="0" w:color="auto"/>
                    <w:right w:val="single" w:sz="4" w:space="0" w:color="auto"/>
                  </w:tcBorders>
                  <w:noWrap/>
                  <w:vAlign w:val="bottom"/>
                </w:tcPr>
                <w:p w14:paraId="2AE2607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0.933927</w:t>
                  </w:r>
                </w:p>
              </w:tc>
              <w:tc>
                <w:tcPr>
                  <w:tcW w:w="901" w:type="dxa"/>
                  <w:tcBorders>
                    <w:top w:val="single" w:sz="4" w:space="0" w:color="auto"/>
                    <w:left w:val="single" w:sz="4" w:space="0" w:color="auto"/>
                    <w:bottom w:val="single" w:sz="4" w:space="0" w:color="auto"/>
                    <w:right w:val="single" w:sz="4" w:space="0" w:color="auto"/>
                  </w:tcBorders>
                  <w:noWrap/>
                  <w:vAlign w:val="bottom"/>
                </w:tcPr>
                <w:p w14:paraId="499A917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0.909667</w:t>
                  </w:r>
                </w:p>
              </w:tc>
              <w:tc>
                <w:tcPr>
                  <w:tcW w:w="921" w:type="dxa"/>
                  <w:tcBorders>
                    <w:top w:val="single" w:sz="4" w:space="0" w:color="auto"/>
                    <w:left w:val="single" w:sz="4" w:space="0" w:color="auto"/>
                    <w:bottom w:val="single" w:sz="4" w:space="0" w:color="auto"/>
                    <w:right w:val="single" w:sz="4" w:space="0" w:color="auto"/>
                  </w:tcBorders>
                  <w:noWrap/>
                  <w:vAlign w:val="bottom"/>
                </w:tcPr>
                <w:p w14:paraId="49CA4CF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0.870796</w:t>
                  </w:r>
                </w:p>
              </w:tc>
              <w:tc>
                <w:tcPr>
                  <w:tcW w:w="956" w:type="dxa"/>
                  <w:tcBorders>
                    <w:top w:val="single" w:sz="4" w:space="0" w:color="auto"/>
                    <w:left w:val="single" w:sz="4" w:space="0" w:color="auto"/>
                    <w:bottom w:val="single" w:sz="4" w:space="0" w:color="auto"/>
                    <w:right w:val="single" w:sz="4" w:space="0" w:color="auto"/>
                  </w:tcBorders>
                  <w:noWrap/>
                  <w:vAlign w:val="bottom"/>
                </w:tcPr>
                <w:p w14:paraId="70F8041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0.844127</w:t>
                  </w:r>
                </w:p>
              </w:tc>
              <w:tc>
                <w:tcPr>
                  <w:tcW w:w="990" w:type="dxa"/>
                  <w:tcBorders>
                    <w:top w:val="single" w:sz="4" w:space="0" w:color="auto"/>
                    <w:left w:val="single" w:sz="4" w:space="0" w:color="auto"/>
                    <w:bottom w:val="single" w:sz="4" w:space="0" w:color="auto"/>
                    <w:right w:val="single" w:sz="4" w:space="0" w:color="auto"/>
                  </w:tcBorders>
                  <w:noWrap/>
                  <w:vAlign w:val="bottom"/>
                </w:tcPr>
                <w:p w14:paraId="75C2989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0.817814</w:t>
                  </w:r>
                </w:p>
              </w:tc>
              <w:tc>
                <w:tcPr>
                  <w:tcW w:w="958" w:type="dxa"/>
                  <w:tcBorders>
                    <w:top w:val="single" w:sz="4" w:space="0" w:color="auto"/>
                    <w:left w:val="single" w:sz="4" w:space="0" w:color="auto"/>
                    <w:bottom w:val="single" w:sz="4" w:space="0" w:color="auto"/>
                    <w:right w:val="single" w:sz="4" w:space="0" w:color="auto"/>
                  </w:tcBorders>
                  <w:vAlign w:val="bottom"/>
                </w:tcPr>
                <w:p w14:paraId="45649A6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0.804688</w:t>
                  </w:r>
                </w:p>
              </w:tc>
              <w:tc>
                <w:tcPr>
                  <w:tcW w:w="536" w:type="dxa"/>
                  <w:tcBorders>
                    <w:top w:val="single" w:sz="4" w:space="0" w:color="auto"/>
                    <w:left w:val="single" w:sz="4" w:space="0" w:color="auto"/>
                    <w:bottom w:val="single" w:sz="4" w:space="0" w:color="auto"/>
                    <w:right w:val="single" w:sz="4" w:space="0" w:color="auto"/>
                  </w:tcBorders>
                  <w:vAlign w:val="bottom"/>
                </w:tcPr>
                <w:p w14:paraId="3F84D25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301680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F26B14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29</w:t>
                  </w:r>
                </w:p>
              </w:tc>
              <w:tc>
                <w:tcPr>
                  <w:tcW w:w="314" w:type="dxa"/>
                  <w:tcBorders>
                    <w:top w:val="single" w:sz="4" w:space="0" w:color="auto"/>
                    <w:left w:val="single" w:sz="4" w:space="0" w:color="auto"/>
                    <w:bottom w:val="single" w:sz="4" w:space="0" w:color="auto"/>
                    <w:right w:val="single" w:sz="4" w:space="0" w:color="auto"/>
                  </w:tcBorders>
                  <w:noWrap/>
                  <w:vAlign w:val="bottom"/>
                </w:tcPr>
                <w:p w14:paraId="4A6B8CA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B00457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0.965798</w:t>
                  </w:r>
                </w:p>
              </w:tc>
              <w:tc>
                <w:tcPr>
                  <w:tcW w:w="901" w:type="dxa"/>
                  <w:tcBorders>
                    <w:top w:val="single" w:sz="4" w:space="0" w:color="auto"/>
                    <w:left w:val="single" w:sz="4" w:space="0" w:color="auto"/>
                    <w:bottom w:val="single" w:sz="4" w:space="0" w:color="auto"/>
                    <w:right w:val="single" w:sz="4" w:space="0" w:color="auto"/>
                  </w:tcBorders>
                  <w:noWrap/>
                  <w:vAlign w:val="bottom"/>
                </w:tcPr>
                <w:p w14:paraId="74762C7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0.960844</w:t>
                  </w:r>
                </w:p>
              </w:tc>
              <w:tc>
                <w:tcPr>
                  <w:tcW w:w="901" w:type="dxa"/>
                  <w:tcBorders>
                    <w:top w:val="single" w:sz="4" w:space="0" w:color="auto"/>
                    <w:left w:val="single" w:sz="4" w:space="0" w:color="auto"/>
                    <w:bottom w:val="single" w:sz="4" w:space="0" w:color="auto"/>
                    <w:right w:val="single" w:sz="4" w:space="0" w:color="auto"/>
                  </w:tcBorders>
                  <w:noWrap/>
                  <w:vAlign w:val="bottom"/>
                </w:tcPr>
                <w:p w14:paraId="7495A91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0.949379</w:t>
                  </w:r>
                </w:p>
              </w:tc>
              <w:tc>
                <w:tcPr>
                  <w:tcW w:w="901" w:type="dxa"/>
                  <w:tcBorders>
                    <w:top w:val="single" w:sz="4" w:space="0" w:color="auto"/>
                    <w:left w:val="single" w:sz="4" w:space="0" w:color="auto"/>
                    <w:bottom w:val="single" w:sz="4" w:space="0" w:color="auto"/>
                    <w:right w:val="single" w:sz="4" w:space="0" w:color="auto"/>
                  </w:tcBorders>
                  <w:noWrap/>
                  <w:vAlign w:val="bottom"/>
                </w:tcPr>
                <w:p w14:paraId="2C842CD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0.930909</w:t>
                  </w:r>
                </w:p>
              </w:tc>
              <w:tc>
                <w:tcPr>
                  <w:tcW w:w="921" w:type="dxa"/>
                  <w:tcBorders>
                    <w:top w:val="single" w:sz="4" w:space="0" w:color="auto"/>
                    <w:left w:val="single" w:sz="4" w:space="0" w:color="auto"/>
                    <w:bottom w:val="single" w:sz="4" w:space="0" w:color="auto"/>
                    <w:right w:val="single" w:sz="4" w:space="0" w:color="auto"/>
                  </w:tcBorders>
                  <w:noWrap/>
                  <w:vAlign w:val="bottom"/>
                </w:tcPr>
                <w:p w14:paraId="65BA41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0.901399</w:t>
                  </w:r>
                </w:p>
              </w:tc>
              <w:tc>
                <w:tcPr>
                  <w:tcW w:w="956" w:type="dxa"/>
                  <w:tcBorders>
                    <w:top w:val="single" w:sz="4" w:space="0" w:color="auto"/>
                    <w:left w:val="single" w:sz="4" w:space="0" w:color="auto"/>
                    <w:bottom w:val="single" w:sz="4" w:space="0" w:color="auto"/>
                    <w:right w:val="single" w:sz="4" w:space="0" w:color="auto"/>
                  </w:tcBorders>
                  <w:noWrap/>
                  <w:vAlign w:val="bottom"/>
                </w:tcPr>
                <w:p w14:paraId="3567FC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0.881211</w:t>
                  </w:r>
                </w:p>
              </w:tc>
              <w:tc>
                <w:tcPr>
                  <w:tcW w:w="990" w:type="dxa"/>
                  <w:tcBorders>
                    <w:top w:val="single" w:sz="4" w:space="0" w:color="auto"/>
                    <w:left w:val="single" w:sz="4" w:space="0" w:color="auto"/>
                    <w:bottom w:val="single" w:sz="4" w:space="0" w:color="auto"/>
                    <w:right w:val="single" w:sz="4" w:space="0" w:color="auto"/>
                  </w:tcBorders>
                  <w:noWrap/>
                  <w:vAlign w:val="bottom"/>
                </w:tcPr>
                <w:p w14:paraId="713EE56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0.861299</w:t>
                  </w:r>
                </w:p>
              </w:tc>
              <w:tc>
                <w:tcPr>
                  <w:tcW w:w="958" w:type="dxa"/>
                  <w:tcBorders>
                    <w:top w:val="single" w:sz="4" w:space="0" w:color="auto"/>
                    <w:left w:val="single" w:sz="4" w:space="0" w:color="auto"/>
                    <w:bottom w:val="single" w:sz="4" w:space="0" w:color="auto"/>
                    <w:right w:val="single" w:sz="4" w:space="0" w:color="auto"/>
                  </w:tcBorders>
                  <w:vAlign w:val="bottom"/>
                </w:tcPr>
                <w:p w14:paraId="14F2B11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0.851353</w:t>
                  </w:r>
                </w:p>
              </w:tc>
              <w:tc>
                <w:tcPr>
                  <w:tcW w:w="536" w:type="dxa"/>
                  <w:tcBorders>
                    <w:top w:val="single" w:sz="4" w:space="0" w:color="auto"/>
                    <w:left w:val="single" w:sz="4" w:space="0" w:color="auto"/>
                    <w:bottom w:val="single" w:sz="4" w:space="0" w:color="auto"/>
                    <w:right w:val="single" w:sz="4" w:space="0" w:color="auto"/>
                  </w:tcBorders>
                  <w:vAlign w:val="bottom"/>
                </w:tcPr>
                <w:p w14:paraId="3D80030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7B382A2"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7FFD2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31</w:t>
                  </w:r>
                </w:p>
              </w:tc>
              <w:tc>
                <w:tcPr>
                  <w:tcW w:w="314" w:type="dxa"/>
                  <w:tcBorders>
                    <w:top w:val="single" w:sz="4" w:space="0" w:color="auto"/>
                    <w:left w:val="single" w:sz="4" w:space="0" w:color="auto"/>
                    <w:bottom w:val="single" w:sz="4" w:space="0" w:color="auto"/>
                    <w:right w:val="single" w:sz="4" w:space="0" w:color="auto"/>
                  </w:tcBorders>
                  <w:noWrap/>
                  <w:vAlign w:val="bottom"/>
                </w:tcPr>
                <w:p w14:paraId="4C31734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0216E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DA929A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DB0B8C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FAE59F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21" w:type="dxa"/>
                  <w:tcBorders>
                    <w:top w:val="single" w:sz="4" w:space="0" w:color="auto"/>
                    <w:left w:val="single" w:sz="4" w:space="0" w:color="auto"/>
                    <w:bottom w:val="single" w:sz="4" w:space="0" w:color="auto"/>
                    <w:right w:val="single" w:sz="4" w:space="0" w:color="auto"/>
                  </w:tcBorders>
                  <w:noWrap/>
                  <w:vAlign w:val="bottom"/>
                </w:tcPr>
                <w:p w14:paraId="7EBEACE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56" w:type="dxa"/>
                  <w:tcBorders>
                    <w:top w:val="single" w:sz="4" w:space="0" w:color="auto"/>
                    <w:left w:val="single" w:sz="4" w:space="0" w:color="auto"/>
                    <w:bottom w:val="single" w:sz="4" w:space="0" w:color="auto"/>
                    <w:right w:val="single" w:sz="4" w:space="0" w:color="auto"/>
                  </w:tcBorders>
                  <w:noWrap/>
                  <w:vAlign w:val="bottom"/>
                </w:tcPr>
                <w:p w14:paraId="73FCE98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0.998424</w:t>
                  </w:r>
                </w:p>
              </w:tc>
              <w:tc>
                <w:tcPr>
                  <w:tcW w:w="990" w:type="dxa"/>
                  <w:tcBorders>
                    <w:top w:val="single" w:sz="4" w:space="0" w:color="auto"/>
                    <w:left w:val="single" w:sz="4" w:space="0" w:color="auto"/>
                    <w:bottom w:val="single" w:sz="4" w:space="0" w:color="auto"/>
                    <w:right w:val="single" w:sz="4" w:space="0" w:color="auto"/>
                  </w:tcBorders>
                  <w:noWrap/>
                  <w:vAlign w:val="bottom"/>
                </w:tcPr>
                <w:p w14:paraId="4897830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0.897932</w:t>
                  </w:r>
                </w:p>
              </w:tc>
              <w:tc>
                <w:tcPr>
                  <w:tcW w:w="958" w:type="dxa"/>
                  <w:tcBorders>
                    <w:top w:val="single" w:sz="4" w:space="0" w:color="auto"/>
                    <w:left w:val="single" w:sz="4" w:space="0" w:color="auto"/>
                    <w:bottom w:val="single" w:sz="4" w:space="0" w:color="auto"/>
                    <w:right w:val="single" w:sz="4" w:space="0" w:color="auto"/>
                  </w:tcBorders>
                  <w:vAlign w:val="bottom"/>
                </w:tcPr>
                <w:p w14:paraId="778AC38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0.839586</w:t>
                  </w:r>
                </w:p>
              </w:tc>
              <w:tc>
                <w:tcPr>
                  <w:tcW w:w="536" w:type="dxa"/>
                  <w:tcBorders>
                    <w:top w:val="single" w:sz="4" w:space="0" w:color="auto"/>
                    <w:left w:val="single" w:sz="4" w:space="0" w:color="auto"/>
                    <w:bottom w:val="single" w:sz="4" w:space="0" w:color="auto"/>
                    <w:right w:val="single" w:sz="4" w:space="0" w:color="auto"/>
                  </w:tcBorders>
                  <w:vAlign w:val="bottom"/>
                </w:tcPr>
                <w:p w14:paraId="217B713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bl>
          <w:p w14:paraId="5CA73C0B" w14:textId="77777777" w:rsidR="003424D3" w:rsidRPr="006605A3" w:rsidRDefault="003424D3" w:rsidP="00CD4F3A">
            <w:pPr>
              <w:pStyle w:val="Caption"/>
              <w:spacing w:line="240" w:lineRule="auto"/>
              <w:jc w:val="both"/>
            </w:pPr>
          </w:p>
          <w:p w14:paraId="349AA895" w14:textId="77777777" w:rsidR="001552EC" w:rsidRDefault="001552EC" w:rsidP="00CD4F3A">
            <w:pPr>
              <w:pStyle w:val="Caption"/>
              <w:spacing w:line="240" w:lineRule="auto"/>
              <w:jc w:val="both"/>
            </w:pPr>
          </w:p>
          <w:p w14:paraId="16B75EDF" w14:textId="093796A3" w:rsidR="003424D3" w:rsidRPr="006605A3" w:rsidRDefault="00E678F5" w:rsidP="001552EC">
            <w:pPr>
              <w:pStyle w:val="Caption"/>
              <w:spacing w:line="240" w:lineRule="auto"/>
              <w:jc w:val="center"/>
            </w:pPr>
            <w:bookmarkStart w:id="476" w:name="_Toc233728989"/>
            <w:proofErr w:type="spellStart"/>
            <w:r w:rsidRPr="006605A3">
              <w:t>Apx</w:t>
            </w:r>
            <w:proofErr w:type="spellEnd"/>
            <w:r w:rsidRPr="006605A3">
              <w:t xml:space="preserve"> Table </w:t>
            </w:r>
            <w:fldSimple w:instr=" SEQ Apx_Table \* ARABIC \s 9 ">
              <w:r>
                <w:rPr>
                  <w:noProof/>
                </w:rPr>
                <w:t>6</w:t>
              </w:r>
            </w:fldSimple>
            <w:r>
              <w:rPr>
                <w:noProof/>
              </w:rPr>
              <w:t xml:space="preserve">: </w:t>
            </w:r>
            <w:r w:rsidR="003424D3" w:rsidRPr="006605A3">
              <w:t>The value of SDVPI of different buses for 35% renewables in IEEE 39 bus system.</w:t>
            </w:r>
            <w:bookmarkEnd w:id="476"/>
          </w:p>
          <w:tbl>
            <w:tblPr>
              <w:tblW w:w="8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14"/>
              <w:gridCol w:w="901"/>
              <w:gridCol w:w="901"/>
              <w:gridCol w:w="901"/>
              <w:gridCol w:w="901"/>
              <w:gridCol w:w="921"/>
              <w:gridCol w:w="956"/>
              <w:gridCol w:w="990"/>
              <w:gridCol w:w="547"/>
            </w:tblGrid>
            <w:tr w:rsidR="003424D3" w:rsidRPr="006605A3" w14:paraId="7EC4E3C1" w14:textId="77777777" w:rsidTr="00A03DAB">
              <w:trPr>
                <w:trHeight w:val="285"/>
                <w:jc w:val="center"/>
              </w:trPr>
              <w:tc>
                <w:tcPr>
                  <w:tcW w:w="723" w:type="dxa"/>
                  <w:shd w:val="clear" w:color="auto" w:fill="000000" w:themeFill="text1"/>
                  <w:noWrap/>
                  <w:vAlign w:val="bottom"/>
                  <w:hideMark/>
                </w:tcPr>
                <w:p w14:paraId="13BF4191"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Bus \ Scaling</w:t>
                  </w:r>
                </w:p>
              </w:tc>
              <w:tc>
                <w:tcPr>
                  <w:tcW w:w="314" w:type="dxa"/>
                  <w:shd w:val="clear" w:color="auto" w:fill="000000" w:themeFill="text1"/>
                  <w:noWrap/>
                  <w:vAlign w:val="bottom"/>
                  <w:hideMark/>
                </w:tcPr>
                <w:p w14:paraId="2B432621"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w:t>
                  </w:r>
                </w:p>
              </w:tc>
              <w:tc>
                <w:tcPr>
                  <w:tcW w:w="901" w:type="dxa"/>
                  <w:shd w:val="clear" w:color="auto" w:fill="000000" w:themeFill="text1"/>
                  <w:noWrap/>
                  <w:vAlign w:val="bottom"/>
                  <w:hideMark/>
                </w:tcPr>
                <w:p w14:paraId="4A1A7A48"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0.05</w:t>
                  </w:r>
                </w:p>
              </w:tc>
              <w:tc>
                <w:tcPr>
                  <w:tcW w:w="901" w:type="dxa"/>
                  <w:shd w:val="clear" w:color="auto" w:fill="000000" w:themeFill="text1"/>
                  <w:noWrap/>
                  <w:vAlign w:val="bottom"/>
                  <w:hideMark/>
                </w:tcPr>
                <w:p w14:paraId="74D20221"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0.11</w:t>
                  </w:r>
                </w:p>
              </w:tc>
              <w:tc>
                <w:tcPr>
                  <w:tcW w:w="901" w:type="dxa"/>
                  <w:shd w:val="clear" w:color="auto" w:fill="000000" w:themeFill="text1"/>
                  <w:noWrap/>
                  <w:vAlign w:val="bottom"/>
                  <w:hideMark/>
                </w:tcPr>
                <w:p w14:paraId="37A8B45C"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0.18</w:t>
                  </w:r>
                </w:p>
              </w:tc>
              <w:tc>
                <w:tcPr>
                  <w:tcW w:w="901" w:type="dxa"/>
                  <w:shd w:val="clear" w:color="auto" w:fill="000000" w:themeFill="text1"/>
                  <w:noWrap/>
                  <w:vAlign w:val="bottom"/>
                  <w:hideMark/>
                </w:tcPr>
                <w:p w14:paraId="5E1BF760"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0.26</w:t>
                  </w:r>
                </w:p>
              </w:tc>
              <w:tc>
                <w:tcPr>
                  <w:tcW w:w="921" w:type="dxa"/>
                  <w:shd w:val="clear" w:color="auto" w:fill="000000" w:themeFill="text1"/>
                  <w:noWrap/>
                  <w:vAlign w:val="bottom"/>
                  <w:hideMark/>
                </w:tcPr>
                <w:p w14:paraId="71EE026D"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0.36</w:t>
                  </w:r>
                </w:p>
              </w:tc>
              <w:tc>
                <w:tcPr>
                  <w:tcW w:w="956" w:type="dxa"/>
                  <w:shd w:val="clear" w:color="auto" w:fill="000000" w:themeFill="text1"/>
                  <w:noWrap/>
                  <w:vAlign w:val="bottom"/>
                  <w:hideMark/>
                </w:tcPr>
                <w:p w14:paraId="52E006A8"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0.41</w:t>
                  </w:r>
                </w:p>
              </w:tc>
              <w:tc>
                <w:tcPr>
                  <w:tcW w:w="990" w:type="dxa"/>
                  <w:shd w:val="clear" w:color="auto" w:fill="000000" w:themeFill="text1"/>
                  <w:noWrap/>
                  <w:vAlign w:val="bottom"/>
                  <w:hideMark/>
                </w:tcPr>
                <w:p w14:paraId="776C4CFE"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0.45</w:t>
                  </w:r>
                </w:p>
              </w:tc>
              <w:tc>
                <w:tcPr>
                  <w:tcW w:w="547" w:type="dxa"/>
                  <w:shd w:val="clear" w:color="auto" w:fill="000000" w:themeFill="text1"/>
                  <w:vAlign w:val="bottom"/>
                </w:tcPr>
                <w:p w14:paraId="10D2B70B"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0.46</w:t>
                  </w:r>
                </w:p>
              </w:tc>
            </w:tr>
            <w:tr w:rsidR="003424D3" w:rsidRPr="006605A3" w14:paraId="4398CF82" w14:textId="77777777" w:rsidTr="00A03DAB">
              <w:trPr>
                <w:trHeight w:val="285"/>
                <w:jc w:val="center"/>
              </w:trPr>
              <w:tc>
                <w:tcPr>
                  <w:tcW w:w="723" w:type="dxa"/>
                  <w:noWrap/>
                  <w:vAlign w:val="bottom"/>
                  <w:hideMark/>
                </w:tcPr>
                <w:p w14:paraId="62625D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03</w:t>
                  </w:r>
                </w:p>
              </w:tc>
              <w:tc>
                <w:tcPr>
                  <w:tcW w:w="314" w:type="dxa"/>
                  <w:noWrap/>
                  <w:vAlign w:val="bottom"/>
                </w:tcPr>
                <w:p w14:paraId="72A016B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294931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0.939751</w:t>
                  </w:r>
                </w:p>
              </w:tc>
              <w:tc>
                <w:tcPr>
                  <w:tcW w:w="901" w:type="dxa"/>
                  <w:noWrap/>
                  <w:vAlign w:val="bottom"/>
                </w:tcPr>
                <w:p w14:paraId="18DAE7B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0.934364</w:t>
                  </w:r>
                </w:p>
              </w:tc>
              <w:tc>
                <w:tcPr>
                  <w:tcW w:w="901" w:type="dxa"/>
                  <w:noWrap/>
                  <w:vAlign w:val="bottom"/>
                </w:tcPr>
                <w:p w14:paraId="20F7361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0.907584</w:t>
                  </w:r>
                </w:p>
              </w:tc>
              <w:tc>
                <w:tcPr>
                  <w:tcW w:w="901" w:type="dxa"/>
                  <w:noWrap/>
                  <w:vAlign w:val="bottom"/>
                </w:tcPr>
                <w:p w14:paraId="46E2D1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0.859619</w:t>
                  </w:r>
                </w:p>
              </w:tc>
              <w:tc>
                <w:tcPr>
                  <w:tcW w:w="921" w:type="dxa"/>
                  <w:noWrap/>
                  <w:vAlign w:val="bottom"/>
                </w:tcPr>
                <w:p w14:paraId="067C5D2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0.776501</w:t>
                  </w:r>
                </w:p>
              </w:tc>
              <w:tc>
                <w:tcPr>
                  <w:tcW w:w="956" w:type="dxa"/>
                  <w:noWrap/>
                  <w:vAlign w:val="bottom"/>
                </w:tcPr>
                <w:p w14:paraId="6C0EC6C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0.711593</w:t>
                  </w:r>
                </w:p>
              </w:tc>
              <w:tc>
                <w:tcPr>
                  <w:tcW w:w="990" w:type="dxa"/>
                  <w:noWrap/>
                  <w:vAlign w:val="bottom"/>
                </w:tcPr>
                <w:p w14:paraId="0DEBEAA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0.614899</w:t>
                  </w:r>
                </w:p>
              </w:tc>
              <w:tc>
                <w:tcPr>
                  <w:tcW w:w="547" w:type="dxa"/>
                  <w:vAlign w:val="bottom"/>
                </w:tcPr>
                <w:p w14:paraId="2E95CAF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AAA7C21" w14:textId="77777777" w:rsidTr="00A03DAB">
              <w:trPr>
                <w:trHeight w:val="285"/>
                <w:jc w:val="center"/>
              </w:trPr>
              <w:tc>
                <w:tcPr>
                  <w:tcW w:w="723" w:type="dxa"/>
                  <w:noWrap/>
                  <w:vAlign w:val="bottom"/>
                  <w:hideMark/>
                </w:tcPr>
                <w:p w14:paraId="585D7D4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04</w:t>
                  </w:r>
                </w:p>
              </w:tc>
              <w:tc>
                <w:tcPr>
                  <w:tcW w:w="314" w:type="dxa"/>
                  <w:noWrap/>
                  <w:vAlign w:val="bottom"/>
                </w:tcPr>
                <w:p w14:paraId="159BD8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6CC5EF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0.902134</w:t>
                  </w:r>
                </w:p>
              </w:tc>
              <w:tc>
                <w:tcPr>
                  <w:tcW w:w="901" w:type="dxa"/>
                  <w:noWrap/>
                  <w:vAlign w:val="bottom"/>
                </w:tcPr>
                <w:p w14:paraId="39640EB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0.898923</w:t>
                  </w:r>
                </w:p>
              </w:tc>
              <w:tc>
                <w:tcPr>
                  <w:tcW w:w="901" w:type="dxa"/>
                  <w:noWrap/>
                  <w:vAlign w:val="bottom"/>
                </w:tcPr>
                <w:p w14:paraId="4E96167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0.869767</w:t>
                  </w:r>
                </w:p>
              </w:tc>
              <w:tc>
                <w:tcPr>
                  <w:tcW w:w="901" w:type="dxa"/>
                  <w:noWrap/>
                  <w:vAlign w:val="bottom"/>
                </w:tcPr>
                <w:p w14:paraId="6EE7C63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0.81642</w:t>
                  </w:r>
                </w:p>
              </w:tc>
              <w:tc>
                <w:tcPr>
                  <w:tcW w:w="921" w:type="dxa"/>
                  <w:noWrap/>
                  <w:vAlign w:val="bottom"/>
                </w:tcPr>
                <w:p w14:paraId="4CAC0BA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0.723696</w:t>
                  </w:r>
                </w:p>
              </w:tc>
              <w:tc>
                <w:tcPr>
                  <w:tcW w:w="956" w:type="dxa"/>
                  <w:noWrap/>
                  <w:vAlign w:val="bottom"/>
                </w:tcPr>
                <w:p w14:paraId="7F4850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0.648339</w:t>
                  </w:r>
                </w:p>
              </w:tc>
              <w:tc>
                <w:tcPr>
                  <w:tcW w:w="990" w:type="dxa"/>
                  <w:noWrap/>
                  <w:vAlign w:val="bottom"/>
                </w:tcPr>
                <w:p w14:paraId="14564C1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0.513192</w:t>
                  </w:r>
                </w:p>
              </w:tc>
              <w:tc>
                <w:tcPr>
                  <w:tcW w:w="547" w:type="dxa"/>
                  <w:vAlign w:val="bottom"/>
                </w:tcPr>
                <w:p w14:paraId="4DB2426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6146C9A" w14:textId="77777777" w:rsidTr="00A03DAB">
              <w:trPr>
                <w:trHeight w:val="285"/>
                <w:jc w:val="center"/>
              </w:trPr>
              <w:tc>
                <w:tcPr>
                  <w:tcW w:w="723" w:type="dxa"/>
                  <w:noWrap/>
                  <w:vAlign w:val="bottom"/>
                  <w:hideMark/>
                </w:tcPr>
                <w:p w14:paraId="0968CA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07</w:t>
                  </w:r>
                </w:p>
              </w:tc>
              <w:tc>
                <w:tcPr>
                  <w:tcW w:w="314" w:type="dxa"/>
                  <w:noWrap/>
                  <w:vAlign w:val="bottom"/>
                </w:tcPr>
                <w:p w14:paraId="142D08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EB3E5C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0.898125</w:t>
                  </w:r>
                </w:p>
              </w:tc>
              <w:tc>
                <w:tcPr>
                  <w:tcW w:w="901" w:type="dxa"/>
                  <w:noWrap/>
                  <w:vAlign w:val="bottom"/>
                </w:tcPr>
                <w:p w14:paraId="76834EA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0.89559</w:t>
                  </w:r>
                </w:p>
              </w:tc>
              <w:tc>
                <w:tcPr>
                  <w:tcW w:w="901" w:type="dxa"/>
                  <w:noWrap/>
                  <w:vAlign w:val="bottom"/>
                </w:tcPr>
                <w:p w14:paraId="266D0F1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0.861808</w:t>
                  </w:r>
                </w:p>
              </w:tc>
              <w:tc>
                <w:tcPr>
                  <w:tcW w:w="901" w:type="dxa"/>
                  <w:noWrap/>
                  <w:vAlign w:val="bottom"/>
                </w:tcPr>
                <w:p w14:paraId="40E8EF0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0.798565</w:t>
                  </w:r>
                </w:p>
              </w:tc>
              <w:tc>
                <w:tcPr>
                  <w:tcW w:w="921" w:type="dxa"/>
                  <w:noWrap/>
                  <w:vAlign w:val="bottom"/>
                </w:tcPr>
                <w:p w14:paraId="4325A05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0.685977</w:t>
                  </w:r>
                </w:p>
              </w:tc>
              <w:tc>
                <w:tcPr>
                  <w:tcW w:w="956" w:type="dxa"/>
                  <w:noWrap/>
                  <w:vAlign w:val="bottom"/>
                </w:tcPr>
                <w:p w14:paraId="15847B6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0.591176</w:t>
                  </w:r>
                </w:p>
              </w:tc>
              <w:tc>
                <w:tcPr>
                  <w:tcW w:w="990" w:type="dxa"/>
                  <w:noWrap/>
                  <w:vAlign w:val="bottom"/>
                </w:tcPr>
                <w:p w14:paraId="167DE8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0.420873</w:t>
                  </w:r>
                </w:p>
              </w:tc>
              <w:tc>
                <w:tcPr>
                  <w:tcW w:w="547" w:type="dxa"/>
                  <w:vAlign w:val="bottom"/>
                </w:tcPr>
                <w:p w14:paraId="775E41E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5E997337" w14:textId="77777777" w:rsidTr="00A03DAB">
              <w:trPr>
                <w:trHeight w:val="285"/>
                <w:jc w:val="center"/>
              </w:trPr>
              <w:tc>
                <w:tcPr>
                  <w:tcW w:w="723" w:type="dxa"/>
                  <w:noWrap/>
                  <w:vAlign w:val="bottom"/>
                  <w:hideMark/>
                </w:tcPr>
                <w:p w14:paraId="089736A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08</w:t>
                  </w:r>
                </w:p>
              </w:tc>
              <w:tc>
                <w:tcPr>
                  <w:tcW w:w="314" w:type="dxa"/>
                  <w:noWrap/>
                  <w:vAlign w:val="bottom"/>
                </w:tcPr>
                <w:p w14:paraId="2C193F8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5FA6C5C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0.897802</w:t>
                  </w:r>
                </w:p>
              </w:tc>
              <w:tc>
                <w:tcPr>
                  <w:tcW w:w="901" w:type="dxa"/>
                  <w:noWrap/>
                  <w:vAlign w:val="bottom"/>
                </w:tcPr>
                <w:p w14:paraId="1BFD61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0.893622</w:t>
                  </w:r>
                </w:p>
              </w:tc>
              <w:tc>
                <w:tcPr>
                  <w:tcW w:w="901" w:type="dxa"/>
                  <w:noWrap/>
                  <w:vAlign w:val="bottom"/>
                </w:tcPr>
                <w:p w14:paraId="628A4E7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0.856896</w:t>
                  </w:r>
                </w:p>
              </w:tc>
              <w:tc>
                <w:tcPr>
                  <w:tcW w:w="901" w:type="dxa"/>
                  <w:noWrap/>
                  <w:vAlign w:val="bottom"/>
                </w:tcPr>
                <w:p w14:paraId="6EF10B5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0.788695</w:t>
                  </w:r>
                </w:p>
              </w:tc>
              <w:tc>
                <w:tcPr>
                  <w:tcW w:w="921" w:type="dxa"/>
                  <w:noWrap/>
                  <w:vAlign w:val="bottom"/>
                </w:tcPr>
                <w:p w14:paraId="304DCA5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0.666966</w:t>
                  </w:r>
                </w:p>
              </w:tc>
              <w:tc>
                <w:tcPr>
                  <w:tcW w:w="956" w:type="dxa"/>
                  <w:noWrap/>
                  <w:vAlign w:val="bottom"/>
                </w:tcPr>
                <w:p w14:paraId="335890F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0.564968</w:t>
                  </w:r>
                </w:p>
              </w:tc>
              <w:tc>
                <w:tcPr>
                  <w:tcW w:w="990" w:type="dxa"/>
                  <w:noWrap/>
                  <w:vAlign w:val="bottom"/>
                </w:tcPr>
                <w:p w14:paraId="67BE75B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0.389048</w:t>
                  </w:r>
                </w:p>
              </w:tc>
              <w:tc>
                <w:tcPr>
                  <w:tcW w:w="547" w:type="dxa"/>
                  <w:vAlign w:val="bottom"/>
                </w:tcPr>
                <w:p w14:paraId="10B72F2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BAF865D" w14:textId="77777777" w:rsidTr="00A03DAB">
              <w:trPr>
                <w:trHeight w:val="285"/>
                <w:jc w:val="center"/>
              </w:trPr>
              <w:tc>
                <w:tcPr>
                  <w:tcW w:w="723" w:type="dxa"/>
                  <w:noWrap/>
                  <w:vAlign w:val="bottom"/>
                  <w:hideMark/>
                </w:tcPr>
                <w:p w14:paraId="3FE5E2B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12</w:t>
                  </w:r>
                </w:p>
              </w:tc>
              <w:tc>
                <w:tcPr>
                  <w:tcW w:w="314" w:type="dxa"/>
                  <w:noWrap/>
                  <w:vAlign w:val="bottom"/>
                </w:tcPr>
                <w:p w14:paraId="7137693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5CD0C1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0.894936</w:t>
                  </w:r>
                </w:p>
              </w:tc>
              <w:tc>
                <w:tcPr>
                  <w:tcW w:w="901" w:type="dxa"/>
                  <w:noWrap/>
                  <w:vAlign w:val="bottom"/>
                </w:tcPr>
                <w:p w14:paraId="5654F05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0.892768</w:t>
                  </w:r>
                </w:p>
              </w:tc>
              <w:tc>
                <w:tcPr>
                  <w:tcW w:w="901" w:type="dxa"/>
                  <w:noWrap/>
                  <w:vAlign w:val="bottom"/>
                </w:tcPr>
                <w:p w14:paraId="139455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0.866578</w:t>
                  </w:r>
                </w:p>
              </w:tc>
              <w:tc>
                <w:tcPr>
                  <w:tcW w:w="901" w:type="dxa"/>
                  <w:noWrap/>
                  <w:vAlign w:val="bottom"/>
                </w:tcPr>
                <w:p w14:paraId="3C98565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0.818714</w:t>
                  </w:r>
                </w:p>
              </w:tc>
              <w:tc>
                <w:tcPr>
                  <w:tcW w:w="921" w:type="dxa"/>
                  <w:noWrap/>
                  <w:vAlign w:val="bottom"/>
                </w:tcPr>
                <w:p w14:paraId="3B342CE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0.736257</w:t>
                  </w:r>
                </w:p>
              </w:tc>
              <w:tc>
                <w:tcPr>
                  <w:tcW w:w="956" w:type="dxa"/>
                  <w:noWrap/>
                  <w:vAlign w:val="bottom"/>
                </w:tcPr>
                <w:p w14:paraId="5BAA8A3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0.668711</w:t>
                  </w:r>
                </w:p>
              </w:tc>
              <w:tc>
                <w:tcPr>
                  <w:tcW w:w="990" w:type="dxa"/>
                  <w:noWrap/>
                  <w:vAlign w:val="bottom"/>
                </w:tcPr>
                <w:p w14:paraId="3884DE4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0.526126</w:t>
                  </w:r>
                </w:p>
              </w:tc>
              <w:tc>
                <w:tcPr>
                  <w:tcW w:w="547" w:type="dxa"/>
                  <w:vAlign w:val="bottom"/>
                </w:tcPr>
                <w:p w14:paraId="5C4F5CF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117C5D0" w14:textId="77777777" w:rsidTr="00A03DAB">
              <w:trPr>
                <w:trHeight w:val="285"/>
                <w:jc w:val="center"/>
              </w:trPr>
              <w:tc>
                <w:tcPr>
                  <w:tcW w:w="723" w:type="dxa"/>
                  <w:noWrap/>
                  <w:vAlign w:val="bottom"/>
                  <w:hideMark/>
                </w:tcPr>
                <w:p w14:paraId="47C294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15</w:t>
                  </w:r>
                </w:p>
              </w:tc>
              <w:tc>
                <w:tcPr>
                  <w:tcW w:w="314" w:type="dxa"/>
                  <w:noWrap/>
                  <w:vAlign w:val="bottom"/>
                </w:tcPr>
                <w:p w14:paraId="0ED7F46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DC714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0.911751</w:t>
                  </w:r>
                </w:p>
              </w:tc>
              <w:tc>
                <w:tcPr>
                  <w:tcW w:w="901" w:type="dxa"/>
                  <w:noWrap/>
                  <w:vAlign w:val="bottom"/>
                </w:tcPr>
                <w:p w14:paraId="2969E4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0.912465</w:t>
                  </w:r>
                </w:p>
              </w:tc>
              <w:tc>
                <w:tcPr>
                  <w:tcW w:w="901" w:type="dxa"/>
                  <w:noWrap/>
                  <w:vAlign w:val="bottom"/>
                </w:tcPr>
                <w:p w14:paraId="5E7AEA0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0.89173</w:t>
                  </w:r>
                </w:p>
              </w:tc>
              <w:tc>
                <w:tcPr>
                  <w:tcW w:w="901" w:type="dxa"/>
                  <w:noWrap/>
                  <w:vAlign w:val="bottom"/>
                </w:tcPr>
                <w:p w14:paraId="2C70134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0.853139</w:t>
                  </w:r>
                </w:p>
              </w:tc>
              <w:tc>
                <w:tcPr>
                  <w:tcW w:w="921" w:type="dxa"/>
                  <w:noWrap/>
                  <w:vAlign w:val="bottom"/>
                </w:tcPr>
                <w:p w14:paraId="62A0B91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0.787442</w:t>
                  </w:r>
                </w:p>
              </w:tc>
              <w:tc>
                <w:tcPr>
                  <w:tcW w:w="956" w:type="dxa"/>
                  <w:noWrap/>
                  <w:vAlign w:val="bottom"/>
                </w:tcPr>
                <w:p w14:paraId="4AE8FA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0.736888</w:t>
                  </w:r>
                </w:p>
              </w:tc>
              <w:tc>
                <w:tcPr>
                  <w:tcW w:w="990" w:type="dxa"/>
                  <w:noWrap/>
                  <w:vAlign w:val="bottom"/>
                </w:tcPr>
                <w:p w14:paraId="66E954D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0.654184</w:t>
                  </w:r>
                </w:p>
              </w:tc>
              <w:tc>
                <w:tcPr>
                  <w:tcW w:w="547" w:type="dxa"/>
                  <w:vAlign w:val="bottom"/>
                </w:tcPr>
                <w:p w14:paraId="2068D74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D12F68F" w14:textId="77777777" w:rsidTr="00A03DAB">
              <w:trPr>
                <w:trHeight w:val="285"/>
                <w:jc w:val="center"/>
              </w:trPr>
              <w:tc>
                <w:tcPr>
                  <w:tcW w:w="723" w:type="dxa"/>
                  <w:noWrap/>
                  <w:vAlign w:val="bottom"/>
                  <w:hideMark/>
                </w:tcPr>
                <w:p w14:paraId="380CA28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16</w:t>
                  </w:r>
                </w:p>
              </w:tc>
              <w:tc>
                <w:tcPr>
                  <w:tcW w:w="314" w:type="dxa"/>
                  <w:noWrap/>
                  <w:vAlign w:val="bottom"/>
                </w:tcPr>
                <w:p w14:paraId="57C46A3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52B90E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0.930518</w:t>
                  </w:r>
                </w:p>
              </w:tc>
              <w:tc>
                <w:tcPr>
                  <w:tcW w:w="901" w:type="dxa"/>
                  <w:noWrap/>
                  <w:vAlign w:val="bottom"/>
                </w:tcPr>
                <w:p w14:paraId="1362CE5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0.934282</w:t>
                  </w:r>
                </w:p>
              </w:tc>
              <w:tc>
                <w:tcPr>
                  <w:tcW w:w="901" w:type="dxa"/>
                  <w:noWrap/>
                  <w:vAlign w:val="bottom"/>
                </w:tcPr>
                <w:p w14:paraId="509323C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0.919349</w:t>
                  </w:r>
                </w:p>
              </w:tc>
              <w:tc>
                <w:tcPr>
                  <w:tcW w:w="901" w:type="dxa"/>
                  <w:noWrap/>
                  <w:vAlign w:val="bottom"/>
                </w:tcPr>
                <w:p w14:paraId="37D0049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0.890076</w:t>
                  </w:r>
                </w:p>
              </w:tc>
              <w:tc>
                <w:tcPr>
                  <w:tcW w:w="921" w:type="dxa"/>
                  <w:noWrap/>
                  <w:vAlign w:val="bottom"/>
                </w:tcPr>
                <w:p w14:paraId="424C443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0.839746</w:t>
                  </w:r>
                </w:p>
              </w:tc>
              <w:tc>
                <w:tcPr>
                  <w:tcW w:w="956" w:type="dxa"/>
                  <w:noWrap/>
                  <w:vAlign w:val="bottom"/>
                </w:tcPr>
                <w:p w14:paraId="02E27A8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0.801403</w:t>
                  </w:r>
                </w:p>
              </w:tc>
              <w:tc>
                <w:tcPr>
                  <w:tcW w:w="990" w:type="dxa"/>
                  <w:noWrap/>
                  <w:vAlign w:val="bottom"/>
                </w:tcPr>
                <w:p w14:paraId="45845B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0.742649</w:t>
                  </w:r>
                </w:p>
              </w:tc>
              <w:tc>
                <w:tcPr>
                  <w:tcW w:w="547" w:type="dxa"/>
                  <w:vAlign w:val="bottom"/>
                </w:tcPr>
                <w:p w14:paraId="01B237C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C206256" w14:textId="77777777" w:rsidTr="00A03DAB">
              <w:trPr>
                <w:trHeight w:val="285"/>
                <w:jc w:val="center"/>
              </w:trPr>
              <w:tc>
                <w:tcPr>
                  <w:tcW w:w="723" w:type="dxa"/>
                  <w:noWrap/>
                  <w:vAlign w:val="bottom"/>
                  <w:hideMark/>
                </w:tcPr>
                <w:p w14:paraId="4B898BF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18</w:t>
                  </w:r>
                </w:p>
              </w:tc>
              <w:tc>
                <w:tcPr>
                  <w:tcW w:w="314" w:type="dxa"/>
                  <w:noWrap/>
                  <w:vAlign w:val="bottom"/>
                </w:tcPr>
                <w:p w14:paraId="76CA6BA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4E919E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0.93215</w:t>
                  </w:r>
                </w:p>
              </w:tc>
              <w:tc>
                <w:tcPr>
                  <w:tcW w:w="901" w:type="dxa"/>
                  <w:noWrap/>
                  <w:vAlign w:val="bottom"/>
                </w:tcPr>
                <w:p w14:paraId="437A2F1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0.929444</w:t>
                  </w:r>
                </w:p>
              </w:tc>
              <w:tc>
                <w:tcPr>
                  <w:tcW w:w="901" w:type="dxa"/>
                  <w:noWrap/>
                  <w:vAlign w:val="bottom"/>
                </w:tcPr>
                <w:p w14:paraId="416DBE6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0.905993</w:t>
                  </w:r>
                </w:p>
              </w:tc>
              <w:tc>
                <w:tcPr>
                  <w:tcW w:w="901" w:type="dxa"/>
                  <w:noWrap/>
                  <w:vAlign w:val="bottom"/>
                </w:tcPr>
                <w:p w14:paraId="2A2F4E7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0.863421</w:t>
                  </w:r>
                </w:p>
              </w:tc>
              <w:tc>
                <w:tcPr>
                  <w:tcW w:w="921" w:type="dxa"/>
                  <w:noWrap/>
                  <w:vAlign w:val="bottom"/>
                </w:tcPr>
                <w:p w14:paraId="73E1F02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0.790281</w:t>
                  </w:r>
                </w:p>
              </w:tc>
              <w:tc>
                <w:tcPr>
                  <w:tcW w:w="956" w:type="dxa"/>
                  <w:noWrap/>
                  <w:vAlign w:val="bottom"/>
                </w:tcPr>
                <w:p w14:paraId="3DC7594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0.734122</w:t>
                  </w:r>
                </w:p>
              </w:tc>
              <w:tc>
                <w:tcPr>
                  <w:tcW w:w="990" w:type="dxa"/>
                  <w:noWrap/>
                  <w:vAlign w:val="bottom"/>
                </w:tcPr>
                <w:p w14:paraId="23B96A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0.652214</w:t>
                  </w:r>
                </w:p>
              </w:tc>
              <w:tc>
                <w:tcPr>
                  <w:tcW w:w="547" w:type="dxa"/>
                  <w:vAlign w:val="bottom"/>
                </w:tcPr>
                <w:p w14:paraId="1B3ADC4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CA4D0C4" w14:textId="77777777" w:rsidTr="00A03DAB">
              <w:trPr>
                <w:trHeight w:val="285"/>
                <w:jc w:val="center"/>
              </w:trPr>
              <w:tc>
                <w:tcPr>
                  <w:tcW w:w="723" w:type="dxa"/>
                  <w:noWrap/>
                  <w:vAlign w:val="bottom"/>
                  <w:hideMark/>
                </w:tcPr>
                <w:p w14:paraId="416943F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20</w:t>
                  </w:r>
                </w:p>
              </w:tc>
              <w:tc>
                <w:tcPr>
                  <w:tcW w:w="314" w:type="dxa"/>
                  <w:noWrap/>
                  <w:vAlign w:val="bottom"/>
                </w:tcPr>
                <w:p w14:paraId="7E61934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05BF3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0.964235</w:t>
                  </w:r>
                </w:p>
              </w:tc>
              <w:tc>
                <w:tcPr>
                  <w:tcW w:w="901" w:type="dxa"/>
                  <w:noWrap/>
                  <w:vAlign w:val="bottom"/>
                </w:tcPr>
                <w:p w14:paraId="628F737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0.965847</w:t>
                  </w:r>
                </w:p>
              </w:tc>
              <w:tc>
                <w:tcPr>
                  <w:tcW w:w="901" w:type="dxa"/>
                  <w:noWrap/>
                  <w:vAlign w:val="bottom"/>
                </w:tcPr>
                <w:p w14:paraId="344D127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0.960976</w:t>
                  </w:r>
                </w:p>
              </w:tc>
              <w:tc>
                <w:tcPr>
                  <w:tcW w:w="901" w:type="dxa"/>
                  <w:noWrap/>
                  <w:vAlign w:val="bottom"/>
                </w:tcPr>
                <w:p w14:paraId="0BCB3C7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0.951837</w:t>
                  </w:r>
                </w:p>
              </w:tc>
              <w:tc>
                <w:tcPr>
                  <w:tcW w:w="921" w:type="dxa"/>
                  <w:noWrap/>
                  <w:vAlign w:val="bottom"/>
                </w:tcPr>
                <w:p w14:paraId="0EDBB97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0.937203</w:t>
                  </w:r>
                </w:p>
              </w:tc>
              <w:tc>
                <w:tcPr>
                  <w:tcW w:w="956" w:type="dxa"/>
                  <w:noWrap/>
                  <w:vAlign w:val="bottom"/>
                </w:tcPr>
                <w:p w14:paraId="1E67A77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0.926911</w:t>
                  </w:r>
                </w:p>
              </w:tc>
              <w:tc>
                <w:tcPr>
                  <w:tcW w:w="990" w:type="dxa"/>
                  <w:noWrap/>
                  <w:vAlign w:val="bottom"/>
                </w:tcPr>
                <w:p w14:paraId="099106E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0.912946</w:t>
                  </w:r>
                </w:p>
              </w:tc>
              <w:tc>
                <w:tcPr>
                  <w:tcW w:w="547" w:type="dxa"/>
                  <w:vAlign w:val="bottom"/>
                </w:tcPr>
                <w:p w14:paraId="1BC3AB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628860F" w14:textId="77777777" w:rsidTr="00A03DAB">
              <w:trPr>
                <w:trHeight w:val="285"/>
                <w:jc w:val="center"/>
              </w:trPr>
              <w:tc>
                <w:tcPr>
                  <w:tcW w:w="723" w:type="dxa"/>
                  <w:noWrap/>
                  <w:vAlign w:val="bottom"/>
                  <w:hideMark/>
                </w:tcPr>
                <w:p w14:paraId="19E9D1B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21</w:t>
                  </w:r>
                </w:p>
              </w:tc>
              <w:tc>
                <w:tcPr>
                  <w:tcW w:w="314" w:type="dxa"/>
                  <w:noWrap/>
                  <w:vAlign w:val="bottom"/>
                </w:tcPr>
                <w:p w14:paraId="3A1FEDA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5ED80D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0.933586</w:t>
                  </w:r>
                </w:p>
              </w:tc>
              <w:tc>
                <w:tcPr>
                  <w:tcW w:w="901" w:type="dxa"/>
                  <w:noWrap/>
                  <w:vAlign w:val="bottom"/>
                </w:tcPr>
                <w:p w14:paraId="3374185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0.937818</w:t>
                  </w:r>
                </w:p>
              </w:tc>
              <w:tc>
                <w:tcPr>
                  <w:tcW w:w="901" w:type="dxa"/>
                  <w:noWrap/>
                  <w:vAlign w:val="bottom"/>
                </w:tcPr>
                <w:p w14:paraId="07D6747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0.926445</w:t>
                  </w:r>
                </w:p>
              </w:tc>
              <w:tc>
                <w:tcPr>
                  <w:tcW w:w="901" w:type="dxa"/>
                  <w:noWrap/>
                  <w:vAlign w:val="bottom"/>
                </w:tcPr>
                <w:p w14:paraId="493F795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0.903891</w:t>
                  </w:r>
                </w:p>
              </w:tc>
              <w:tc>
                <w:tcPr>
                  <w:tcW w:w="921" w:type="dxa"/>
                  <w:noWrap/>
                  <w:vAlign w:val="bottom"/>
                </w:tcPr>
                <w:p w14:paraId="231EAC3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0.865571</w:t>
                  </w:r>
                </w:p>
              </w:tc>
              <w:tc>
                <w:tcPr>
                  <w:tcW w:w="956" w:type="dxa"/>
                  <w:noWrap/>
                  <w:vAlign w:val="bottom"/>
                </w:tcPr>
                <w:p w14:paraId="6AC26B6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0.836845</w:t>
                  </w:r>
                </w:p>
              </w:tc>
              <w:tc>
                <w:tcPr>
                  <w:tcW w:w="990" w:type="dxa"/>
                  <w:noWrap/>
                  <w:vAlign w:val="bottom"/>
                </w:tcPr>
                <w:p w14:paraId="3F9E9CE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0.793803</w:t>
                  </w:r>
                </w:p>
              </w:tc>
              <w:tc>
                <w:tcPr>
                  <w:tcW w:w="547" w:type="dxa"/>
                  <w:vAlign w:val="bottom"/>
                </w:tcPr>
                <w:p w14:paraId="42F5AE3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BF530DD" w14:textId="77777777" w:rsidTr="00A03DAB">
              <w:trPr>
                <w:trHeight w:val="285"/>
                <w:jc w:val="center"/>
              </w:trPr>
              <w:tc>
                <w:tcPr>
                  <w:tcW w:w="723" w:type="dxa"/>
                  <w:noWrap/>
                  <w:vAlign w:val="bottom"/>
                  <w:hideMark/>
                </w:tcPr>
                <w:p w14:paraId="3BABDB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23</w:t>
                  </w:r>
                </w:p>
              </w:tc>
              <w:tc>
                <w:tcPr>
                  <w:tcW w:w="314" w:type="dxa"/>
                  <w:noWrap/>
                  <w:vAlign w:val="bottom"/>
                </w:tcPr>
                <w:p w14:paraId="4B19F0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3D22942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0.955167</w:t>
                  </w:r>
                </w:p>
              </w:tc>
              <w:tc>
                <w:tcPr>
                  <w:tcW w:w="901" w:type="dxa"/>
                  <w:noWrap/>
                  <w:vAlign w:val="bottom"/>
                </w:tcPr>
                <w:p w14:paraId="7299776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0.958686</w:t>
                  </w:r>
                </w:p>
              </w:tc>
              <w:tc>
                <w:tcPr>
                  <w:tcW w:w="901" w:type="dxa"/>
                  <w:noWrap/>
                  <w:vAlign w:val="bottom"/>
                </w:tcPr>
                <w:p w14:paraId="048673D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0.951946</w:t>
                  </w:r>
                </w:p>
              </w:tc>
              <w:tc>
                <w:tcPr>
                  <w:tcW w:w="901" w:type="dxa"/>
                  <w:noWrap/>
                  <w:vAlign w:val="bottom"/>
                </w:tcPr>
                <w:p w14:paraId="351725F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0.938265</w:t>
                  </w:r>
                </w:p>
              </w:tc>
              <w:tc>
                <w:tcPr>
                  <w:tcW w:w="921" w:type="dxa"/>
                  <w:noWrap/>
                  <w:vAlign w:val="bottom"/>
                </w:tcPr>
                <w:p w14:paraId="541888A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0.9151</w:t>
                  </w:r>
                </w:p>
              </w:tc>
              <w:tc>
                <w:tcPr>
                  <w:tcW w:w="956" w:type="dxa"/>
                  <w:noWrap/>
                  <w:vAlign w:val="bottom"/>
                </w:tcPr>
                <w:p w14:paraId="4C3EC47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0.897857</w:t>
                  </w:r>
                </w:p>
              </w:tc>
              <w:tc>
                <w:tcPr>
                  <w:tcW w:w="990" w:type="dxa"/>
                  <w:noWrap/>
                  <w:vAlign w:val="bottom"/>
                </w:tcPr>
                <w:p w14:paraId="1F0498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0.872125</w:t>
                  </w:r>
                </w:p>
              </w:tc>
              <w:tc>
                <w:tcPr>
                  <w:tcW w:w="547" w:type="dxa"/>
                  <w:vAlign w:val="bottom"/>
                </w:tcPr>
                <w:p w14:paraId="0E65A1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DABE5E8" w14:textId="77777777" w:rsidTr="00A03DAB">
              <w:trPr>
                <w:trHeight w:val="285"/>
                <w:jc w:val="center"/>
              </w:trPr>
              <w:tc>
                <w:tcPr>
                  <w:tcW w:w="723" w:type="dxa"/>
                  <w:noWrap/>
                  <w:vAlign w:val="bottom"/>
                  <w:hideMark/>
                </w:tcPr>
                <w:p w14:paraId="386076A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24</w:t>
                  </w:r>
                </w:p>
              </w:tc>
              <w:tc>
                <w:tcPr>
                  <w:tcW w:w="314" w:type="dxa"/>
                  <w:noWrap/>
                  <w:vAlign w:val="bottom"/>
                </w:tcPr>
                <w:p w14:paraId="67B50C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7A50CA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0.937546</w:t>
                  </w:r>
                </w:p>
              </w:tc>
              <w:tc>
                <w:tcPr>
                  <w:tcW w:w="901" w:type="dxa"/>
                  <w:noWrap/>
                  <w:vAlign w:val="bottom"/>
                </w:tcPr>
                <w:p w14:paraId="01E3757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0.942476</w:t>
                  </w:r>
                </w:p>
              </w:tc>
              <w:tc>
                <w:tcPr>
                  <w:tcW w:w="901" w:type="dxa"/>
                  <w:noWrap/>
                  <w:vAlign w:val="bottom"/>
                </w:tcPr>
                <w:p w14:paraId="0E1DB69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0.929601</w:t>
                  </w:r>
                </w:p>
              </w:tc>
              <w:tc>
                <w:tcPr>
                  <w:tcW w:w="901" w:type="dxa"/>
                  <w:noWrap/>
                  <w:vAlign w:val="bottom"/>
                </w:tcPr>
                <w:p w14:paraId="24F365D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0.903523</w:t>
                  </w:r>
                </w:p>
              </w:tc>
              <w:tc>
                <w:tcPr>
                  <w:tcW w:w="921" w:type="dxa"/>
                  <w:noWrap/>
                  <w:vAlign w:val="bottom"/>
                </w:tcPr>
                <w:p w14:paraId="28972B3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0.858287</w:t>
                  </w:r>
                </w:p>
              </w:tc>
              <w:tc>
                <w:tcPr>
                  <w:tcW w:w="956" w:type="dxa"/>
                  <w:noWrap/>
                  <w:vAlign w:val="bottom"/>
                </w:tcPr>
                <w:p w14:paraId="4A62DB9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0.823688</w:t>
                  </w:r>
                </w:p>
              </w:tc>
              <w:tc>
                <w:tcPr>
                  <w:tcW w:w="990" w:type="dxa"/>
                  <w:noWrap/>
                  <w:vAlign w:val="bottom"/>
                </w:tcPr>
                <w:p w14:paraId="4D8E0EA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0.770327</w:t>
                  </w:r>
                </w:p>
              </w:tc>
              <w:tc>
                <w:tcPr>
                  <w:tcW w:w="547" w:type="dxa"/>
                  <w:vAlign w:val="bottom"/>
                </w:tcPr>
                <w:p w14:paraId="5DD6349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DAFA15B" w14:textId="77777777" w:rsidTr="00A03DAB">
              <w:trPr>
                <w:trHeight w:val="285"/>
                <w:jc w:val="center"/>
              </w:trPr>
              <w:tc>
                <w:tcPr>
                  <w:tcW w:w="723" w:type="dxa"/>
                  <w:noWrap/>
                  <w:vAlign w:val="bottom"/>
                  <w:hideMark/>
                </w:tcPr>
                <w:p w14:paraId="469FF4C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25</w:t>
                  </w:r>
                </w:p>
              </w:tc>
              <w:tc>
                <w:tcPr>
                  <w:tcW w:w="314" w:type="dxa"/>
                  <w:noWrap/>
                  <w:vAlign w:val="bottom"/>
                </w:tcPr>
                <w:p w14:paraId="017F890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4B8DDF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0.946236</w:t>
                  </w:r>
                </w:p>
              </w:tc>
              <w:tc>
                <w:tcPr>
                  <w:tcW w:w="901" w:type="dxa"/>
                  <w:noWrap/>
                  <w:vAlign w:val="bottom"/>
                </w:tcPr>
                <w:p w14:paraId="1327E8F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0.928792</w:t>
                  </w:r>
                </w:p>
              </w:tc>
              <w:tc>
                <w:tcPr>
                  <w:tcW w:w="901" w:type="dxa"/>
                  <w:noWrap/>
                  <w:vAlign w:val="bottom"/>
                </w:tcPr>
                <w:p w14:paraId="7D21B68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0.900262</w:t>
                  </w:r>
                </w:p>
              </w:tc>
              <w:tc>
                <w:tcPr>
                  <w:tcW w:w="901" w:type="dxa"/>
                  <w:noWrap/>
                  <w:vAlign w:val="bottom"/>
                </w:tcPr>
                <w:p w14:paraId="1163D98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0.855487</w:t>
                  </w:r>
                </w:p>
              </w:tc>
              <w:tc>
                <w:tcPr>
                  <w:tcW w:w="921" w:type="dxa"/>
                  <w:noWrap/>
                  <w:vAlign w:val="bottom"/>
                </w:tcPr>
                <w:p w14:paraId="3E9D041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0.781828</w:t>
                  </w:r>
                </w:p>
              </w:tc>
              <w:tc>
                <w:tcPr>
                  <w:tcW w:w="956" w:type="dxa"/>
                  <w:noWrap/>
                  <w:vAlign w:val="bottom"/>
                </w:tcPr>
                <w:p w14:paraId="28B3678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0.727281</w:t>
                  </w:r>
                </w:p>
              </w:tc>
              <w:tc>
                <w:tcPr>
                  <w:tcW w:w="990" w:type="dxa"/>
                  <w:noWrap/>
                  <w:vAlign w:val="bottom"/>
                </w:tcPr>
                <w:p w14:paraId="0596CF0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0.659372</w:t>
                  </w:r>
                </w:p>
              </w:tc>
              <w:tc>
                <w:tcPr>
                  <w:tcW w:w="547" w:type="dxa"/>
                  <w:vAlign w:val="bottom"/>
                </w:tcPr>
                <w:p w14:paraId="059203F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C5125AF" w14:textId="77777777" w:rsidTr="00A03DAB">
              <w:trPr>
                <w:trHeight w:val="285"/>
                <w:jc w:val="center"/>
              </w:trPr>
              <w:tc>
                <w:tcPr>
                  <w:tcW w:w="723" w:type="dxa"/>
                  <w:noWrap/>
                  <w:vAlign w:val="bottom"/>
                  <w:hideMark/>
                </w:tcPr>
                <w:p w14:paraId="65CDEC7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26</w:t>
                  </w:r>
                </w:p>
              </w:tc>
              <w:tc>
                <w:tcPr>
                  <w:tcW w:w="314" w:type="dxa"/>
                  <w:noWrap/>
                  <w:vAlign w:val="bottom"/>
                </w:tcPr>
                <w:p w14:paraId="27F6356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2B6A860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0.94066</w:t>
                  </w:r>
                </w:p>
              </w:tc>
              <w:tc>
                <w:tcPr>
                  <w:tcW w:w="901" w:type="dxa"/>
                  <w:noWrap/>
                  <w:vAlign w:val="bottom"/>
                </w:tcPr>
                <w:p w14:paraId="30A4B8C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0.928152</w:t>
                  </w:r>
                </w:p>
              </w:tc>
              <w:tc>
                <w:tcPr>
                  <w:tcW w:w="901" w:type="dxa"/>
                  <w:noWrap/>
                  <w:vAlign w:val="bottom"/>
                </w:tcPr>
                <w:p w14:paraId="3A52466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0.903572</w:t>
                  </w:r>
                </w:p>
              </w:tc>
              <w:tc>
                <w:tcPr>
                  <w:tcW w:w="901" w:type="dxa"/>
                  <w:noWrap/>
                  <w:vAlign w:val="bottom"/>
                </w:tcPr>
                <w:p w14:paraId="01646EB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0.864169</w:t>
                  </w:r>
                </w:p>
              </w:tc>
              <w:tc>
                <w:tcPr>
                  <w:tcW w:w="921" w:type="dxa"/>
                  <w:noWrap/>
                  <w:vAlign w:val="bottom"/>
                </w:tcPr>
                <w:p w14:paraId="04F6F41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0.79979</w:t>
                  </w:r>
                </w:p>
              </w:tc>
              <w:tc>
                <w:tcPr>
                  <w:tcW w:w="956" w:type="dxa"/>
                  <w:noWrap/>
                  <w:vAlign w:val="bottom"/>
                </w:tcPr>
                <w:p w14:paraId="10FDBE0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0.75253</w:t>
                  </w:r>
                </w:p>
              </w:tc>
              <w:tc>
                <w:tcPr>
                  <w:tcW w:w="990" w:type="dxa"/>
                  <w:noWrap/>
                  <w:vAlign w:val="bottom"/>
                </w:tcPr>
                <w:p w14:paraId="71705BC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0.691727</w:t>
                  </w:r>
                </w:p>
              </w:tc>
              <w:tc>
                <w:tcPr>
                  <w:tcW w:w="547" w:type="dxa"/>
                  <w:vAlign w:val="bottom"/>
                </w:tcPr>
                <w:p w14:paraId="7E7CFF0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C7778EB" w14:textId="77777777" w:rsidTr="00A03DAB">
              <w:trPr>
                <w:trHeight w:val="285"/>
                <w:jc w:val="center"/>
              </w:trPr>
              <w:tc>
                <w:tcPr>
                  <w:tcW w:w="723" w:type="dxa"/>
                  <w:noWrap/>
                  <w:vAlign w:val="bottom"/>
                  <w:hideMark/>
                </w:tcPr>
                <w:p w14:paraId="701F789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27</w:t>
                  </w:r>
                </w:p>
              </w:tc>
              <w:tc>
                <w:tcPr>
                  <w:tcW w:w="314" w:type="dxa"/>
                  <w:noWrap/>
                  <w:vAlign w:val="bottom"/>
                </w:tcPr>
                <w:p w14:paraId="02617C9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0F66B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0.928291</w:t>
                  </w:r>
                </w:p>
              </w:tc>
              <w:tc>
                <w:tcPr>
                  <w:tcW w:w="901" w:type="dxa"/>
                  <w:noWrap/>
                  <w:vAlign w:val="bottom"/>
                </w:tcPr>
                <w:p w14:paraId="388221A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0.919079</w:t>
                  </w:r>
                </w:p>
              </w:tc>
              <w:tc>
                <w:tcPr>
                  <w:tcW w:w="901" w:type="dxa"/>
                  <w:noWrap/>
                  <w:vAlign w:val="bottom"/>
                </w:tcPr>
                <w:p w14:paraId="73513A0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0.89455</w:t>
                  </w:r>
                </w:p>
              </w:tc>
              <w:tc>
                <w:tcPr>
                  <w:tcW w:w="901" w:type="dxa"/>
                  <w:noWrap/>
                  <w:vAlign w:val="bottom"/>
                </w:tcPr>
                <w:p w14:paraId="0E2B701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0.853732</w:t>
                  </w:r>
                </w:p>
              </w:tc>
              <w:tc>
                <w:tcPr>
                  <w:tcW w:w="921" w:type="dxa"/>
                  <w:noWrap/>
                  <w:vAlign w:val="bottom"/>
                </w:tcPr>
                <w:p w14:paraId="3377E48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0.786318</w:t>
                  </w:r>
                </w:p>
              </w:tc>
              <w:tc>
                <w:tcPr>
                  <w:tcW w:w="956" w:type="dxa"/>
                  <w:noWrap/>
                  <w:vAlign w:val="bottom"/>
                </w:tcPr>
                <w:p w14:paraId="198684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0.73632</w:t>
                  </w:r>
                </w:p>
              </w:tc>
              <w:tc>
                <w:tcPr>
                  <w:tcW w:w="990" w:type="dxa"/>
                  <w:noWrap/>
                  <w:vAlign w:val="bottom"/>
                </w:tcPr>
                <w:p w14:paraId="589DC4A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0.668818</w:t>
                  </w:r>
                </w:p>
              </w:tc>
              <w:tc>
                <w:tcPr>
                  <w:tcW w:w="547" w:type="dxa"/>
                  <w:vAlign w:val="bottom"/>
                </w:tcPr>
                <w:p w14:paraId="378F388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3835EE1" w14:textId="77777777" w:rsidTr="00A03DAB">
              <w:trPr>
                <w:trHeight w:val="285"/>
                <w:jc w:val="center"/>
              </w:trPr>
              <w:tc>
                <w:tcPr>
                  <w:tcW w:w="723" w:type="dxa"/>
                  <w:noWrap/>
                  <w:vAlign w:val="bottom"/>
                  <w:hideMark/>
                </w:tcPr>
                <w:p w14:paraId="5E6690D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28</w:t>
                  </w:r>
                </w:p>
              </w:tc>
              <w:tc>
                <w:tcPr>
                  <w:tcW w:w="314" w:type="dxa"/>
                  <w:noWrap/>
                  <w:vAlign w:val="bottom"/>
                </w:tcPr>
                <w:p w14:paraId="1FD0185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D41D7C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0.956887</w:t>
                  </w:r>
                </w:p>
              </w:tc>
              <w:tc>
                <w:tcPr>
                  <w:tcW w:w="901" w:type="dxa"/>
                  <w:noWrap/>
                  <w:vAlign w:val="bottom"/>
                </w:tcPr>
                <w:p w14:paraId="3200E7C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0.948303</w:t>
                  </w:r>
                </w:p>
              </w:tc>
              <w:tc>
                <w:tcPr>
                  <w:tcW w:w="901" w:type="dxa"/>
                  <w:noWrap/>
                  <w:vAlign w:val="bottom"/>
                </w:tcPr>
                <w:p w14:paraId="67C7C2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0.932202</w:t>
                  </w:r>
                </w:p>
              </w:tc>
              <w:tc>
                <w:tcPr>
                  <w:tcW w:w="901" w:type="dxa"/>
                  <w:noWrap/>
                  <w:vAlign w:val="bottom"/>
                </w:tcPr>
                <w:p w14:paraId="758B536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0.906874</w:t>
                  </w:r>
                </w:p>
              </w:tc>
              <w:tc>
                <w:tcPr>
                  <w:tcW w:w="921" w:type="dxa"/>
                  <w:noWrap/>
                  <w:vAlign w:val="bottom"/>
                </w:tcPr>
                <w:p w14:paraId="7D0B7C5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0.866328</w:t>
                  </w:r>
                </w:p>
              </w:tc>
              <w:tc>
                <w:tcPr>
                  <w:tcW w:w="956" w:type="dxa"/>
                  <w:noWrap/>
                  <w:vAlign w:val="bottom"/>
                </w:tcPr>
                <w:p w14:paraId="3CAD30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0.837153</w:t>
                  </w:r>
                </w:p>
              </w:tc>
              <w:tc>
                <w:tcPr>
                  <w:tcW w:w="990" w:type="dxa"/>
                  <w:noWrap/>
                  <w:vAlign w:val="bottom"/>
                </w:tcPr>
                <w:p w14:paraId="5B37032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0.800451</w:t>
                  </w:r>
                </w:p>
              </w:tc>
              <w:tc>
                <w:tcPr>
                  <w:tcW w:w="547" w:type="dxa"/>
                  <w:vAlign w:val="bottom"/>
                </w:tcPr>
                <w:p w14:paraId="68814D6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3BBD0416" w14:textId="77777777" w:rsidTr="00A03DAB">
              <w:trPr>
                <w:trHeight w:val="285"/>
                <w:jc w:val="center"/>
              </w:trPr>
              <w:tc>
                <w:tcPr>
                  <w:tcW w:w="723" w:type="dxa"/>
                  <w:noWrap/>
                  <w:vAlign w:val="bottom"/>
                  <w:hideMark/>
                </w:tcPr>
                <w:p w14:paraId="21DBBE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29</w:t>
                  </w:r>
                </w:p>
              </w:tc>
              <w:tc>
                <w:tcPr>
                  <w:tcW w:w="314" w:type="dxa"/>
                  <w:noWrap/>
                  <w:vAlign w:val="bottom"/>
                </w:tcPr>
                <w:p w14:paraId="061E4EE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53C6C45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0.966895</w:t>
                  </w:r>
                </w:p>
              </w:tc>
              <w:tc>
                <w:tcPr>
                  <w:tcW w:w="901" w:type="dxa"/>
                  <w:noWrap/>
                  <w:vAlign w:val="bottom"/>
                </w:tcPr>
                <w:p w14:paraId="0B67538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0.960346</w:t>
                  </w:r>
                </w:p>
              </w:tc>
              <w:tc>
                <w:tcPr>
                  <w:tcW w:w="901" w:type="dxa"/>
                  <w:noWrap/>
                  <w:vAlign w:val="bottom"/>
                </w:tcPr>
                <w:p w14:paraId="15FC9A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0.948064</w:t>
                  </w:r>
                </w:p>
              </w:tc>
              <w:tc>
                <w:tcPr>
                  <w:tcW w:w="901" w:type="dxa"/>
                  <w:noWrap/>
                  <w:vAlign w:val="bottom"/>
                </w:tcPr>
                <w:p w14:paraId="16BADBB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0.928779</w:t>
                  </w:r>
                </w:p>
              </w:tc>
              <w:tc>
                <w:tcPr>
                  <w:tcW w:w="921" w:type="dxa"/>
                  <w:noWrap/>
                  <w:vAlign w:val="bottom"/>
                </w:tcPr>
                <w:p w14:paraId="198B037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0.898</w:t>
                  </w:r>
                </w:p>
              </w:tc>
              <w:tc>
                <w:tcPr>
                  <w:tcW w:w="956" w:type="dxa"/>
                  <w:noWrap/>
                  <w:vAlign w:val="bottom"/>
                </w:tcPr>
                <w:p w14:paraId="051006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0.875912</w:t>
                  </w:r>
                </w:p>
              </w:tc>
              <w:tc>
                <w:tcPr>
                  <w:tcW w:w="990" w:type="dxa"/>
                  <w:noWrap/>
                  <w:vAlign w:val="bottom"/>
                </w:tcPr>
                <w:p w14:paraId="52DDFC8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0.848108</w:t>
                  </w:r>
                </w:p>
              </w:tc>
              <w:tc>
                <w:tcPr>
                  <w:tcW w:w="547" w:type="dxa"/>
                  <w:vAlign w:val="bottom"/>
                </w:tcPr>
                <w:p w14:paraId="292CEE4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0CE91326" w14:textId="77777777" w:rsidTr="00A03DAB">
              <w:trPr>
                <w:trHeight w:val="285"/>
                <w:jc w:val="center"/>
              </w:trPr>
              <w:tc>
                <w:tcPr>
                  <w:tcW w:w="723" w:type="dxa"/>
                  <w:noWrap/>
                  <w:vAlign w:val="bottom"/>
                  <w:hideMark/>
                </w:tcPr>
                <w:p w14:paraId="5D529CF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31</w:t>
                  </w:r>
                </w:p>
              </w:tc>
              <w:tc>
                <w:tcPr>
                  <w:tcW w:w="314" w:type="dxa"/>
                  <w:noWrap/>
                  <w:vAlign w:val="bottom"/>
                </w:tcPr>
                <w:p w14:paraId="455D0C9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1DB9F58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020CCD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402BEE1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noWrap/>
                  <w:vAlign w:val="bottom"/>
                </w:tcPr>
                <w:p w14:paraId="7059C54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21" w:type="dxa"/>
                  <w:noWrap/>
                  <w:vAlign w:val="bottom"/>
                </w:tcPr>
                <w:p w14:paraId="3EF1BB8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56" w:type="dxa"/>
                  <w:noWrap/>
                  <w:vAlign w:val="bottom"/>
                </w:tcPr>
                <w:p w14:paraId="5AB45E1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0.97543</w:t>
                  </w:r>
                </w:p>
              </w:tc>
              <w:tc>
                <w:tcPr>
                  <w:tcW w:w="990" w:type="dxa"/>
                  <w:noWrap/>
                  <w:vAlign w:val="bottom"/>
                </w:tcPr>
                <w:p w14:paraId="548AAB1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0.827219</w:t>
                  </w:r>
                </w:p>
              </w:tc>
              <w:tc>
                <w:tcPr>
                  <w:tcW w:w="547" w:type="dxa"/>
                  <w:vAlign w:val="bottom"/>
                </w:tcPr>
                <w:p w14:paraId="66D177A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bl>
          <w:p w14:paraId="726F7224" w14:textId="77777777" w:rsidR="0071349C" w:rsidRDefault="0071349C" w:rsidP="00CD4F3A">
            <w:pPr>
              <w:pStyle w:val="Caption"/>
              <w:spacing w:line="240" w:lineRule="auto"/>
              <w:jc w:val="both"/>
            </w:pPr>
            <w:bookmarkStart w:id="477" w:name="_Toc233728990"/>
          </w:p>
          <w:p w14:paraId="64905079" w14:textId="3153AF0E" w:rsidR="003424D3" w:rsidRPr="006605A3" w:rsidRDefault="00E678F5" w:rsidP="00CD4F3A">
            <w:pPr>
              <w:pStyle w:val="Caption"/>
              <w:spacing w:line="240" w:lineRule="auto"/>
              <w:jc w:val="both"/>
            </w:pPr>
            <w:proofErr w:type="spellStart"/>
            <w:r w:rsidRPr="006605A3">
              <w:t>Apx</w:t>
            </w:r>
            <w:proofErr w:type="spellEnd"/>
            <w:r w:rsidRPr="006605A3">
              <w:t xml:space="preserve"> Table </w:t>
            </w:r>
            <w:fldSimple w:instr=" SEQ Apx_Table \* ARABIC \s 9 ">
              <w:r>
                <w:rPr>
                  <w:noProof/>
                </w:rPr>
                <w:t>7</w:t>
              </w:r>
            </w:fldSimple>
            <w:r>
              <w:rPr>
                <w:noProof/>
              </w:rPr>
              <w:t xml:space="preserve">: </w:t>
            </w:r>
            <w:r w:rsidR="003424D3" w:rsidRPr="006605A3">
              <w:t>The value of SDVPI of different buses for 44% renewables in IEEE 39 bus system.</w:t>
            </w:r>
            <w:bookmarkEnd w:id="477"/>
          </w:p>
          <w:tbl>
            <w:tblPr>
              <w:tblW w:w="6945" w:type="dxa"/>
              <w:jc w:val="center"/>
              <w:tblLook w:val="04A0" w:firstRow="1" w:lastRow="0" w:firstColumn="1" w:lastColumn="0" w:noHBand="0" w:noVBand="1"/>
            </w:tblPr>
            <w:tblGrid>
              <w:gridCol w:w="723"/>
              <w:gridCol w:w="314"/>
              <w:gridCol w:w="901"/>
              <w:gridCol w:w="901"/>
              <w:gridCol w:w="901"/>
              <w:gridCol w:w="901"/>
              <w:gridCol w:w="921"/>
              <w:gridCol w:w="956"/>
              <w:gridCol w:w="500"/>
            </w:tblGrid>
            <w:tr w:rsidR="003424D3" w:rsidRPr="006605A3" w14:paraId="254DAFF5"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0F6C3097" w14:textId="77777777" w:rsidR="003424D3" w:rsidRPr="006605A3" w:rsidRDefault="003424D3" w:rsidP="00CD4F3A">
                  <w:pPr>
                    <w:pStyle w:val="TableText"/>
                    <w:jc w:val="both"/>
                    <w:rPr>
                      <w:color w:val="FFFFFF" w:themeColor="background1"/>
                      <w:sz w:val="16"/>
                      <w:szCs w:val="20"/>
                    </w:rPr>
                  </w:pPr>
                  <w:r w:rsidRPr="006605A3">
                    <w:rPr>
                      <w:color w:val="FFFFFF" w:themeColor="background1"/>
                      <w:sz w:val="16"/>
                      <w:szCs w:val="20"/>
                    </w:rPr>
                    <w:t>Bus \ Scaling</w:t>
                  </w:r>
                </w:p>
              </w:tc>
              <w:tc>
                <w:tcPr>
                  <w:tcW w:w="314"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4490C348"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00A0845E"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0.05</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2902AA25"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0.11</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6646166C"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0.18</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29D70F6E"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0.26</w:t>
                  </w:r>
                </w:p>
              </w:tc>
              <w:tc>
                <w:tcPr>
                  <w:tcW w:w="92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3A77B731"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0.36</w:t>
                  </w:r>
                </w:p>
              </w:tc>
              <w:tc>
                <w:tcPr>
                  <w:tcW w:w="95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1DBBB08A"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0.41</w:t>
                  </w:r>
                </w:p>
              </w:tc>
              <w:tc>
                <w:tcPr>
                  <w:tcW w:w="427"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44705A86" w14:textId="77777777" w:rsidR="003424D3" w:rsidRPr="006605A3" w:rsidRDefault="003424D3" w:rsidP="00CD4F3A">
                  <w:pPr>
                    <w:pStyle w:val="TableText"/>
                    <w:jc w:val="both"/>
                    <w:rPr>
                      <w:rFonts w:asciiTheme="minorHAnsi" w:hAnsiTheme="minorHAnsi" w:cstheme="minorHAnsi"/>
                      <w:color w:val="FFFFFF" w:themeColor="background1"/>
                      <w:sz w:val="16"/>
                      <w:szCs w:val="20"/>
                    </w:rPr>
                  </w:pPr>
                  <w:r w:rsidRPr="006605A3">
                    <w:rPr>
                      <w:rFonts w:asciiTheme="minorHAnsi" w:hAnsiTheme="minorHAnsi" w:cstheme="minorHAnsi"/>
                      <w:color w:val="FFFFFF" w:themeColor="background1"/>
                      <w:sz w:val="16"/>
                      <w:szCs w:val="20"/>
                    </w:rPr>
                    <w:t>0.45</w:t>
                  </w:r>
                </w:p>
              </w:tc>
            </w:tr>
            <w:tr w:rsidR="003424D3" w:rsidRPr="006605A3" w14:paraId="4621FFA7"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064055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03</w:t>
                  </w:r>
                </w:p>
              </w:tc>
              <w:tc>
                <w:tcPr>
                  <w:tcW w:w="314" w:type="dxa"/>
                  <w:tcBorders>
                    <w:top w:val="single" w:sz="4" w:space="0" w:color="auto"/>
                    <w:left w:val="single" w:sz="4" w:space="0" w:color="auto"/>
                    <w:bottom w:val="single" w:sz="4" w:space="0" w:color="auto"/>
                    <w:right w:val="single" w:sz="4" w:space="0" w:color="auto"/>
                  </w:tcBorders>
                  <w:noWrap/>
                  <w:vAlign w:val="bottom"/>
                </w:tcPr>
                <w:p w14:paraId="082DFBC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c>
                <w:tcPr>
                  <w:tcW w:w="901" w:type="dxa"/>
                  <w:tcBorders>
                    <w:top w:val="single" w:sz="4" w:space="0" w:color="auto"/>
                    <w:left w:val="single" w:sz="4" w:space="0" w:color="auto"/>
                    <w:bottom w:val="single" w:sz="4" w:space="0" w:color="auto"/>
                    <w:right w:val="single" w:sz="4" w:space="0" w:color="auto"/>
                  </w:tcBorders>
                  <w:noWrap/>
                  <w:vAlign w:val="bottom"/>
                </w:tcPr>
                <w:p w14:paraId="6720CFF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0.05</w:t>
                  </w:r>
                </w:p>
              </w:tc>
              <w:tc>
                <w:tcPr>
                  <w:tcW w:w="901" w:type="dxa"/>
                  <w:tcBorders>
                    <w:top w:val="single" w:sz="4" w:space="0" w:color="auto"/>
                    <w:left w:val="single" w:sz="4" w:space="0" w:color="auto"/>
                    <w:bottom w:val="single" w:sz="4" w:space="0" w:color="auto"/>
                    <w:right w:val="single" w:sz="4" w:space="0" w:color="auto"/>
                  </w:tcBorders>
                  <w:noWrap/>
                  <w:vAlign w:val="bottom"/>
                </w:tcPr>
                <w:p w14:paraId="70D72C4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0.11</w:t>
                  </w:r>
                </w:p>
              </w:tc>
              <w:tc>
                <w:tcPr>
                  <w:tcW w:w="901" w:type="dxa"/>
                  <w:tcBorders>
                    <w:top w:val="single" w:sz="4" w:space="0" w:color="auto"/>
                    <w:left w:val="single" w:sz="4" w:space="0" w:color="auto"/>
                    <w:bottom w:val="single" w:sz="4" w:space="0" w:color="auto"/>
                    <w:right w:val="single" w:sz="4" w:space="0" w:color="auto"/>
                  </w:tcBorders>
                  <w:noWrap/>
                  <w:vAlign w:val="bottom"/>
                </w:tcPr>
                <w:p w14:paraId="09CB12D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0.18</w:t>
                  </w:r>
                </w:p>
              </w:tc>
              <w:tc>
                <w:tcPr>
                  <w:tcW w:w="901" w:type="dxa"/>
                  <w:tcBorders>
                    <w:top w:val="single" w:sz="4" w:space="0" w:color="auto"/>
                    <w:left w:val="single" w:sz="4" w:space="0" w:color="auto"/>
                    <w:bottom w:val="single" w:sz="4" w:space="0" w:color="auto"/>
                    <w:right w:val="single" w:sz="4" w:space="0" w:color="auto"/>
                  </w:tcBorders>
                  <w:noWrap/>
                  <w:vAlign w:val="bottom"/>
                </w:tcPr>
                <w:p w14:paraId="4E9F650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0.26</w:t>
                  </w:r>
                </w:p>
              </w:tc>
              <w:tc>
                <w:tcPr>
                  <w:tcW w:w="921" w:type="dxa"/>
                  <w:tcBorders>
                    <w:top w:val="single" w:sz="4" w:space="0" w:color="auto"/>
                    <w:left w:val="single" w:sz="4" w:space="0" w:color="auto"/>
                    <w:bottom w:val="single" w:sz="4" w:space="0" w:color="auto"/>
                    <w:right w:val="single" w:sz="4" w:space="0" w:color="auto"/>
                  </w:tcBorders>
                  <w:noWrap/>
                  <w:vAlign w:val="bottom"/>
                </w:tcPr>
                <w:p w14:paraId="53F489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0.36</w:t>
                  </w:r>
                </w:p>
              </w:tc>
              <w:tc>
                <w:tcPr>
                  <w:tcW w:w="956" w:type="dxa"/>
                  <w:tcBorders>
                    <w:top w:val="single" w:sz="4" w:space="0" w:color="auto"/>
                    <w:left w:val="single" w:sz="4" w:space="0" w:color="auto"/>
                    <w:bottom w:val="single" w:sz="4" w:space="0" w:color="auto"/>
                    <w:right w:val="single" w:sz="4" w:space="0" w:color="auto"/>
                  </w:tcBorders>
                  <w:noWrap/>
                  <w:vAlign w:val="bottom"/>
                </w:tcPr>
                <w:p w14:paraId="674ADA6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0.39</w:t>
                  </w:r>
                </w:p>
              </w:tc>
              <w:tc>
                <w:tcPr>
                  <w:tcW w:w="427" w:type="dxa"/>
                  <w:tcBorders>
                    <w:top w:val="single" w:sz="4" w:space="0" w:color="auto"/>
                    <w:left w:val="single" w:sz="4" w:space="0" w:color="auto"/>
                    <w:bottom w:val="single" w:sz="4" w:space="0" w:color="auto"/>
                    <w:right w:val="single" w:sz="4" w:space="0" w:color="auto"/>
                  </w:tcBorders>
                  <w:noWrap/>
                  <w:vAlign w:val="bottom"/>
                </w:tcPr>
                <w:p w14:paraId="3DAA378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w:t>
                  </w:r>
                </w:p>
              </w:tc>
            </w:tr>
            <w:tr w:rsidR="003424D3" w:rsidRPr="006605A3" w14:paraId="52F6E434"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15984E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04</w:t>
                  </w:r>
                </w:p>
              </w:tc>
              <w:tc>
                <w:tcPr>
                  <w:tcW w:w="314" w:type="dxa"/>
                  <w:tcBorders>
                    <w:top w:val="single" w:sz="4" w:space="0" w:color="auto"/>
                    <w:left w:val="single" w:sz="4" w:space="0" w:color="auto"/>
                    <w:bottom w:val="single" w:sz="4" w:space="0" w:color="auto"/>
                    <w:right w:val="single" w:sz="4" w:space="0" w:color="auto"/>
                  </w:tcBorders>
                  <w:noWrap/>
                  <w:vAlign w:val="bottom"/>
                </w:tcPr>
                <w:p w14:paraId="024D817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26BA3D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0.935905</w:t>
                  </w:r>
                </w:p>
              </w:tc>
              <w:tc>
                <w:tcPr>
                  <w:tcW w:w="901" w:type="dxa"/>
                  <w:tcBorders>
                    <w:top w:val="single" w:sz="4" w:space="0" w:color="auto"/>
                    <w:left w:val="single" w:sz="4" w:space="0" w:color="auto"/>
                    <w:bottom w:val="single" w:sz="4" w:space="0" w:color="auto"/>
                    <w:right w:val="single" w:sz="4" w:space="0" w:color="auto"/>
                  </w:tcBorders>
                  <w:noWrap/>
                  <w:vAlign w:val="bottom"/>
                </w:tcPr>
                <w:p w14:paraId="267A50F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0.910083</w:t>
                  </w:r>
                </w:p>
              </w:tc>
              <w:tc>
                <w:tcPr>
                  <w:tcW w:w="901" w:type="dxa"/>
                  <w:tcBorders>
                    <w:top w:val="single" w:sz="4" w:space="0" w:color="auto"/>
                    <w:left w:val="single" w:sz="4" w:space="0" w:color="auto"/>
                    <w:bottom w:val="single" w:sz="4" w:space="0" w:color="auto"/>
                    <w:right w:val="single" w:sz="4" w:space="0" w:color="auto"/>
                  </w:tcBorders>
                  <w:noWrap/>
                  <w:vAlign w:val="bottom"/>
                </w:tcPr>
                <w:p w14:paraId="3D820CD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0.870565</w:t>
                  </w:r>
                </w:p>
              </w:tc>
              <w:tc>
                <w:tcPr>
                  <w:tcW w:w="901" w:type="dxa"/>
                  <w:tcBorders>
                    <w:top w:val="single" w:sz="4" w:space="0" w:color="auto"/>
                    <w:left w:val="single" w:sz="4" w:space="0" w:color="auto"/>
                    <w:bottom w:val="single" w:sz="4" w:space="0" w:color="auto"/>
                    <w:right w:val="single" w:sz="4" w:space="0" w:color="auto"/>
                  </w:tcBorders>
                  <w:noWrap/>
                  <w:vAlign w:val="bottom"/>
                </w:tcPr>
                <w:p w14:paraId="41339BE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0.805799</w:t>
                  </w:r>
                </w:p>
              </w:tc>
              <w:tc>
                <w:tcPr>
                  <w:tcW w:w="921" w:type="dxa"/>
                  <w:tcBorders>
                    <w:top w:val="single" w:sz="4" w:space="0" w:color="auto"/>
                    <w:left w:val="single" w:sz="4" w:space="0" w:color="auto"/>
                    <w:bottom w:val="single" w:sz="4" w:space="0" w:color="auto"/>
                    <w:right w:val="single" w:sz="4" w:space="0" w:color="auto"/>
                  </w:tcBorders>
                  <w:noWrap/>
                  <w:vAlign w:val="bottom"/>
                </w:tcPr>
                <w:p w14:paraId="73EFBF4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0.686423</w:t>
                  </w:r>
                </w:p>
              </w:tc>
              <w:tc>
                <w:tcPr>
                  <w:tcW w:w="956" w:type="dxa"/>
                  <w:tcBorders>
                    <w:top w:val="single" w:sz="4" w:space="0" w:color="auto"/>
                    <w:left w:val="single" w:sz="4" w:space="0" w:color="auto"/>
                    <w:bottom w:val="single" w:sz="4" w:space="0" w:color="auto"/>
                    <w:right w:val="single" w:sz="4" w:space="0" w:color="auto"/>
                  </w:tcBorders>
                  <w:noWrap/>
                  <w:vAlign w:val="bottom"/>
                </w:tcPr>
                <w:p w14:paraId="4F8B18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0.609235</w:t>
                  </w:r>
                </w:p>
              </w:tc>
              <w:tc>
                <w:tcPr>
                  <w:tcW w:w="427" w:type="dxa"/>
                  <w:tcBorders>
                    <w:top w:val="single" w:sz="4" w:space="0" w:color="auto"/>
                    <w:left w:val="single" w:sz="4" w:space="0" w:color="auto"/>
                    <w:bottom w:val="single" w:sz="4" w:space="0" w:color="auto"/>
                    <w:right w:val="single" w:sz="4" w:space="0" w:color="auto"/>
                  </w:tcBorders>
                  <w:noWrap/>
                  <w:vAlign w:val="bottom"/>
                </w:tcPr>
                <w:p w14:paraId="26457D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945F28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649D7F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07</w:t>
                  </w:r>
                </w:p>
              </w:tc>
              <w:tc>
                <w:tcPr>
                  <w:tcW w:w="314" w:type="dxa"/>
                  <w:tcBorders>
                    <w:top w:val="single" w:sz="4" w:space="0" w:color="auto"/>
                    <w:left w:val="single" w:sz="4" w:space="0" w:color="auto"/>
                    <w:bottom w:val="single" w:sz="4" w:space="0" w:color="auto"/>
                    <w:right w:val="single" w:sz="4" w:space="0" w:color="auto"/>
                  </w:tcBorders>
                  <w:noWrap/>
                  <w:vAlign w:val="bottom"/>
                </w:tcPr>
                <w:p w14:paraId="093023F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6E0A0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0.908155</w:t>
                  </w:r>
                </w:p>
              </w:tc>
              <w:tc>
                <w:tcPr>
                  <w:tcW w:w="901" w:type="dxa"/>
                  <w:tcBorders>
                    <w:top w:val="single" w:sz="4" w:space="0" w:color="auto"/>
                    <w:left w:val="single" w:sz="4" w:space="0" w:color="auto"/>
                    <w:bottom w:val="single" w:sz="4" w:space="0" w:color="auto"/>
                    <w:right w:val="single" w:sz="4" w:space="0" w:color="auto"/>
                  </w:tcBorders>
                  <w:noWrap/>
                  <w:vAlign w:val="bottom"/>
                </w:tcPr>
                <w:p w14:paraId="4287E18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0.880251</w:t>
                  </w:r>
                </w:p>
              </w:tc>
              <w:tc>
                <w:tcPr>
                  <w:tcW w:w="901" w:type="dxa"/>
                  <w:tcBorders>
                    <w:top w:val="single" w:sz="4" w:space="0" w:color="auto"/>
                    <w:left w:val="single" w:sz="4" w:space="0" w:color="auto"/>
                    <w:bottom w:val="single" w:sz="4" w:space="0" w:color="auto"/>
                    <w:right w:val="single" w:sz="4" w:space="0" w:color="auto"/>
                  </w:tcBorders>
                  <w:noWrap/>
                  <w:vAlign w:val="bottom"/>
                </w:tcPr>
                <w:p w14:paraId="71E2D39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0.836456</w:t>
                  </w:r>
                </w:p>
              </w:tc>
              <w:tc>
                <w:tcPr>
                  <w:tcW w:w="901" w:type="dxa"/>
                  <w:tcBorders>
                    <w:top w:val="single" w:sz="4" w:space="0" w:color="auto"/>
                    <w:left w:val="single" w:sz="4" w:space="0" w:color="auto"/>
                    <w:bottom w:val="single" w:sz="4" w:space="0" w:color="auto"/>
                    <w:right w:val="single" w:sz="4" w:space="0" w:color="auto"/>
                  </w:tcBorders>
                  <w:noWrap/>
                  <w:vAlign w:val="bottom"/>
                </w:tcPr>
                <w:p w14:paraId="25DB93B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0.764925</w:t>
                  </w:r>
                </w:p>
              </w:tc>
              <w:tc>
                <w:tcPr>
                  <w:tcW w:w="921" w:type="dxa"/>
                  <w:tcBorders>
                    <w:top w:val="single" w:sz="4" w:space="0" w:color="auto"/>
                    <w:left w:val="single" w:sz="4" w:space="0" w:color="auto"/>
                    <w:bottom w:val="single" w:sz="4" w:space="0" w:color="auto"/>
                    <w:right w:val="single" w:sz="4" w:space="0" w:color="auto"/>
                  </w:tcBorders>
                  <w:noWrap/>
                  <w:vAlign w:val="bottom"/>
                </w:tcPr>
                <w:p w14:paraId="73BE506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0.630197</w:t>
                  </w:r>
                </w:p>
              </w:tc>
              <w:tc>
                <w:tcPr>
                  <w:tcW w:w="956" w:type="dxa"/>
                  <w:tcBorders>
                    <w:top w:val="single" w:sz="4" w:space="0" w:color="auto"/>
                    <w:left w:val="single" w:sz="4" w:space="0" w:color="auto"/>
                    <w:bottom w:val="single" w:sz="4" w:space="0" w:color="auto"/>
                    <w:right w:val="single" w:sz="4" w:space="0" w:color="auto"/>
                  </w:tcBorders>
                  <w:noWrap/>
                  <w:vAlign w:val="bottom"/>
                </w:tcPr>
                <w:p w14:paraId="671F94D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0.523596</w:t>
                  </w:r>
                </w:p>
              </w:tc>
              <w:tc>
                <w:tcPr>
                  <w:tcW w:w="427" w:type="dxa"/>
                  <w:tcBorders>
                    <w:top w:val="single" w:sz="4" w:space="0" w:color="auto"/>
                    <w:left w:val="single" w:sz="4" w:space="0" w:color="auto"/>
                    <w:bottom w:val="single" w:sz="4" w:space="0" w:color="auto"/>
                    <w:right w:val="single" w:sz="4" w:space="0" w:color="auto"/>
                  </w:tcBorders>
                  <w:noWrap/>
                  <w:vAlign w:val="bottom"/>
                </w:tcPr>
                <w:p w14:paraId="419D43F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FB50B9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B756ED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08</w:t>
                  </w:r>
                </w:p>
              </w:tc>
              <w:tc>
                <w:tcPr>
                  <w:tcW w:w="314" w:type="dxa"/>
                  <w:tcBorders>
                    <w:top w:val="single" w:sz="4" w:space="0" w:color="auto"/>
                    <w:left w:val="single" w:sz="4" w:space="0" w:color="auto"/>
                    <w:bottom w:val="single" w:sz="4" w:space="0" w:color="auto"/>
                    <w:right w:val="single" w:sz="4" w:space="0" w:color="auto"/>
                  </w:tcBorders>
                  <w:noWrap/>
                  <w:vAlign w:val="bottom"/>
                </w:tcPr>
                <w:p w14:paraId="032B2E5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A9D847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0.90763</w:t>
                  </w:r>
                </w:p>
              </w:tc>
              <w:tc>
                <w:tcPr>
                  <w:tcW w:w="901" w:type="dxa"/>
                  <w:tcBorders>
                    <w:top w:val="single" w:sz="4" w:space="0" w:color="auto"/>
                    <w:left w:val="single" w:sz="4" w:space="0" w:color="auto"/>
                    <w:bottom w:val="single" w:sz="4" w:space="0" w:color="auto"/>
                    <w:right w:val="single" w:sz="4" w:space="0" w:color="auto"/>
                  </w:tcBorders>
                  <w:noWrap/>
                  <w:vAlign w:val="bottom"/>
                </w:tcPr>
                <w:p w14:paraId="77EFA0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0.876091</w:t>
                  </w:r>
                </w:p>
              </w:tc>
              <w:tc>
                <w:tcPr>
                  <w:tcW w:w="901" w:type="dxa"/>
                  <w:tcBorders>
                    <w:top w:val="single" w:sz="4" w:space="0" w:color="auto"/>
                    <w:left w:val="single" w:sz="4" w:space="0" w:color="auto"/>
                    <w:bottom w:val="single" w:sz="4" w:space="0" w:color="auto"/>
                    <w:right w:val="single" w:sz="4" w:space="0" w:color="auto"/>
                  </w:tcBorders>
                  <w:noWrap/>
                  <w:vAlign w:val="bottom"/>
                </w:tcPr>
                <w:p w14:paraId="3EE5770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0.825403</w:t>
                  </w:r>
                </w:p>
              </w:tc>
              <w:tc>
                <w:tcPr>
                  <w:tcW w:w="901" w:type="dxa"/>
                  <w:tcBorders>
                    <w:top w:val="single" w:sz="4" w:space="0" w:color="auto"/>
                    <w:left w:val="single" w:sz="4" w:space="0" w:color="auto"/>
                    <w:bottom w:val="single" w:sz="4" w:space="0" w:color="auto"/>
                    <w:right w:val="single" w:sz="4" w:space="0" w:color="auto"/>
                  </w:tcBorders>
                  <w:noWrap/>
                  <w:vAlign w:val="bottom"/>
                </w:tcPr>
                <w:p w14:paraId="04130A5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0.741584</w:t>
                  </w:r>
                </w:p>
              </w:tc>
              <w:tc>
                <w:tcPr>
                  <w:tcW w:w="921" w:type="dxa"/>
                  <w:tcBorders>
                    <w:top w:val="single" w:sz="4" w:space="0" w:color="auto"/>
                    <w:left w:val="single" w:sz="4" w:space="0" w:color="auto"/>
                    <w:bottom w:val="single" w:sz="4" w:space="0" w:color="auto"/>
                    <w:right w:val="single" w:sz="4" w:space="0" w:color="auto"/>
                  </w:tcBorders>
                  <w:noWrap/>
                  <w:vAlign w:val="bottom"/>
                </w:tcPr>
                <w:p w14:paraId="6980DFE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0.577496</w:t>
                  </w:r>
                </w:p>
              </w:tc>
              <w:tc>
                <w:tcPr>
                  <w:tcW w:w="956" w:type="dxa"/>
                  <w:tcBorders>
                    <w:top w:val="single" w:sz="4" w:space="0" w:color="auto"/>
                    <w:left w:val="single" w:sz="4" w:space="0" w:color="auto"/>
                    <w:bottom w:val="single" w:sz="4" w:space="0" w:color="auto"/>
                    <w:right w:val="single" w:sz="4" w:space="0" w:color="auto"/>
                  </w:tcBorders>
                  <w:noWrap/>
                  <w:vAlign w:val="bottom"/>
                </w:tcPr>
                <w:p w14:paraId="1019BBF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0.4442</w:t>
                  </w:r>
                </w:p>
              </w:tc>
              <w:tc>
                <w:tcPr>
                  <w:tcW w:w="427" w:type="dxa"/>
                  <w:tcBorders>
                    <w:top w:val="single" w:sz="4" w:space="0" w:color="auto"/>
                    <w:left w:val="single" w:sz="4" w:space="0" w:color="auto"/>
                    <w:bottom w:val="single" w:sz="4" w:space="0" w:color="auto"/>
                    <w:right w:val="single" w:sz="4" w:space="0" w:color="auto"/>
                  </w:tcBorders>
                  <w:noWrap/>
                  <w:vAlign w:val="bottom"/>
                </w:tcPr>
                <w:p w14:paraId="464DBF6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2992D7B9"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4F898D2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12</w:t>
                  </w:r>
                </w:p>
              </w:tc>
              <w:tc>
                <w:tcPr>
                  <w:tcW w:w="314" w:type="dxa"/>
                  <w:tcBorders>
                    <w:top w:val="single" w:sz="4" w:space="0" w:color="auto"/>
                    <w:left w:val="single" w:sz="4" w:space="0" w:color="auto"/>
                    <w:bottom w:val="single" w:sz="4" w:space="0" w:color="auto"/>
                    <w:right w:val="single" w:sz="4" w:space="0" w:color="auto"/>
                  </w:tcBorders>
                  <w:noWrap/>
                  <w:vAlign w:val="bottom"/>
                </w:tcPr>
                <w:p w14:paraId="6AF8AB9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60DCAA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0.905257</w:t>
                  </w:r>
                </w:p>
              </w:tc>
              <w:tc>
                <w:tcPr>
                  <w:tcW w:w="901" w:type="dxa"/>
                  <w:tcBorders>
                    <w:top w:val="single" w:sz="4" w:space="0" w:color="auto"/>
                    <w:left w:val="single" w:sz="4" w:space="0" w:color="auto"/>
                    <w:bottom w:val="single" w:sz="4" w:space="0" w:color="auto"/>
                    <w:right w:val="single" w:sz="4" w:space="0" w:color="auto"/>
                  </w:tcBorders>
                  <w:noWrap/>
                  <w:vAlign w:val="bottom"/>
                </w:tcPr>
                <w:p w14:paraId="0C919BF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0.871331</w:t>
                  </w:r>
                </w:p>
              </w:tc>
              <w:tc>
                <w:tcPr>
                  <w:tcW w:w="901" w:type="dxa"/>
                  <w:tcBorders>
                    <w:top w:val="single" w:sz="4" w:space="0" w:color="auto"/>
                    <w:left w:val="single" w:sz="4" w:space="0" w:color="auto"/>
                    <w:bottom w:val="single" w:sz="4" w:space="0" w:color="auto"/>
                    <w:right w:val="single" w:sz="4" w:space="0" w:color="auto"/>
                  </w:tcBorders>
                  <w:noWrap/>
                  <w:vAlign w:val="bottom"/>
                </w:tcPr>
                <w:p w14:paraId="4918571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0.817034</w:t>
                  </w:r>
                </w:p>
              </w:tc>
              <w:tc>
                <w:tcPr>
                  <w:tcW w:w="901" w:type="dxa"/>
                  <w:tcBorders>
                    <w:top w:val="single" w:sz="4" w:space="0" w:color="auto"/>
                    <w:left w:val="single" w:sz="4" w:space="0" w:color="auto"/>
                    <w:bottom w:val="single" w:sz="4" w:space="0" w:color="auto"/>
                    <w:right w:val="single" w:sz="4" w:space="0" w:color="auto"/>
                  </w:tcBorders>
                  <w:noWrap/>
                  <w:vAlign w:val="bottom"/>
                </w:tcPr>
                <w:p w14:paraId="45D23F2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0.727058</w:t>
                  </w:r>
                </w:p>
              </w:tc>
              <w:tc>
                <w:tcPr>
                  <w:tcW w:w="921" w:type="dxa"/>
                  <w:tcBorders>
                    <w:top w:val="single" w:sz="4" w:space="0" w:color="auto"/>
                    <w:left w:val="single" w:sz="4" w:space="0" w:color="auto"/>
                    <w:bottom w:val="single" w:sz="4" w:space="0" w:color="auto"/>
                    <w:right w:val="single" w:sz="4" w:space="0" w:color="auto"/>
                  </w:tcBorders>
                  <w:noWrap/>
                  <w:vAlign w:val="bottom"/>
                </w:tcPr>
                <w:p w14:paraId="2DCDE30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0.550613</w:t>
                  </w:r>
                </w:p>
              </w:tc>
              <w:tc>
                <w:tcPr>
                  <w:tcW w:w="956" w:type="dxa"/>
                  <w:tcBorders>
                    <w:top w:val="single" w:sz="4" w:space="0" w:color="auto"/>
                    <w:left w:val="single" w:sz="4" w:space="0" w:color="auto"/>
                    <w:bottom w:val="single" w:sz="4" w:space="0" w:color="auto"/>
                    <w:right w:val="single" w:sz="4" w:space="0" w:color="auto"/>
                  </w:tcBorders>
                  <w:noWrap/>
                  <w:vAlign w:val="bottom"/>
                </w:tcPr>
                <w:p w14:paraId="4E8A98C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0.413026</w:t>
                  </w:r>
                </w:p>
              </w:tc>
              <w:tc>
                <w:tcPr>
                  <w:tcW w:w="427" w:type="dxa"/>
                  <w:tcBorders>
                    <w:top w:val="single" w:sz="4" w:space="0" w:color="auto"/>
                    <w:left w:val="single" w:sz="4" w:space="0" w:color="auto"/>
                    <w:bottom w:val="single" w:sz="4" w:space="0" w:color="auto"/>
                    <w:right w:val="single" w:sz="4" w:space="0" w:color="auto"/>
                  </w:tcBorders>
                  <w:noWrap/>
                  <w:vAlign w:val="bottom"/>
                </w:tcPr>
                <w:p w14:paraId="36139DA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7B7A280"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16A8A7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15</w:t>
                  </w:r>
                </w:p>
              </w:tc>
              <w:tc>
                <w:tcPr>
                  <w:tcW w:w="314" w:type="dxa"/>
                  <w:tcBorders>
                    <w:top w:val="single" w:sz="4" w:space="0" w:color="auto"/>
                    <w:left w:val="single" w:sz="4" w:space="0" w:color="auto"/>
                    <w:bottom w:val="single" w:sz="4" w:space="0" w:color="auto"/>
                    <w:right w:val="single" w:sz="4" w:space="0" w:color="auto"/>
                  </w:tcBorders>
                  <w:noWrap/>
                  <w:vAlign w:val="bottom"/>
                </w:tcPr>
                <w:p w14:paraId="6F4E717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F63963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0.905186</w:t>
                  </w:r>
                </w:p>
              </w:tc>
              <w:tc>
                <w:tcPr>
                  <w:tcW w:w="901" w:type="dxa"/>
                  <w:tcBorders>
                    <w:top w:val="single" w:sz="4" w:space="0" w:color="auto"/>
                    <w:left w:val="single" w:sz="4" w:space="0" w:color="auto"/>
                    <w:bottom w:val="single" w:sz="4" w:space="0" w:color="auto"/>
                    <w:right w:val="single" w:sz="4" w:space="0" w:color="auto"/>
                  </w:tcBorders>
                  <w:noWrap/>
                  <w:vAlign w:val="bottom"/>
                </w:tcPr>
                <w:p w14:paraId="1A873D1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0.880009</w:t>
                  </w:r>
                </w:p>
              </w:tc>
              <w:tc>
                <w:tcPr>
                  <w:tcW w:w="901" w:type="dxa"/>
                  <w:tcBorders>
                    <w:top w:val="single" w:sz="4" w:space="0" w:color="auto"/>
                    <w:left w:val="single" w:sz="4" w:space="0" w:color="auto"/>
                    <w:bottom w:val="single" w:sz="4" w:space="0" w:color="auto"/>
                    <w:right w:val="single" w:sz="4" w:space="0" w:color="auto"/>
                  </w:tcBorders>
                  <w:noWrap/>
                  <w:vAlign w:val="bottom"/>
                </w:tcPr>
                <w:p w14:paraId="513E4A4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0.840578</w:t>
                  </w:r>
                </w:p>
              </w:tc>
              <w:tc>
                <w:tcPr>
                  <w:tcW w:w="901" w:type="dxa"/>
                  <w:tcBorders>
                    <w:top w:val="single" w:sz="4" w:space="0" w:color="auto"/>
                    <w:left w:val="single" w:sz="4" w:space="0" w:color="auto"/>
                    <w:bottom w:val="single" w:sz="4" w:space="0" w:color="auto"/>
                    <w:right w:val="single" w:sz="4" w:space="0" w:color="auto"/>
                  </w:tcBorders>
                  <w:noWrap/>
                  <w:vAlign w:val="bottom"/>
                </w:tcPr>
                <w:p w14:paraId="5DB574B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0.776822</w:t>
                  </w:r>
                </w:p>
              </w:tc>
              <w:tc>
                <w:tcPr>
                  <w:tcW w:w="921" w:type="dxa"/>
                  <w:tcBorders>
                    <w:top w:val="single" w:sz="4" w:space="0" w:color="auto"/>
                    <w:left w:val="single" w:sz="4" w:space="0" w:color="auto"/>
                    <w:bottom w:val="single" w:sz="4" w:space="0" w:color="auto"/>
                    <w:right w:val="single" w:sz="4" w:space="0" w:color="auto"/>
                  </w:tcBorders>
                  <w:noWrap/>
                  <w:vAlign w:val="bottom"/>
                </w:tcPr>
                <w:p w14:paraId="154B7D4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0.657</w:t>
                  </w:r>
                </w:p>
              </w:tc>
              <w:tc>
                <w:tcPr>
                  <w:tcW w:w="956" w:type="dxa"/>
                  <w:tcBorders>
                    <w:top w:val="single" w:sz="4" w:space="0" w:color="auto"/>
                    <w:left w:val="single" w:sz="4" w:space="0" w:color="auto"/>
                    <w:bottom w:val="single" w:sz="4" w:space="0" w:color="auto"/>
                    <w:right w:val="single" w:sz="4" w:space="0" w:color="auto"/>
                  </w:tcBorders>
                  <w:noWrap/>
                  <w:vAlign w:val="bottom"/>
                </w:tcPr>
                <w:p w14:paraId="0C11DCB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0.546238</w:t>
                  </w:r>
                </w:p>
              </w:tc>
              <w:tc>
                <w:tcPr>
                  <w:tcW w:w="427" w:type="dxa"/>
                  <w:tcBorders>
                    <w:top w:val="single" w:sz="4" w:space="0" w:color="auto"/>
                    <w:left w:val="single" w:sz="4" w:space="0" w:color="auto"/>
                    <w:bottom w:val="single" w:sz="4" w:space="0" w:color="auto"/>
                    <w:right w:val="single" w:sz="4" w:space="0" w:color="auto"/>
                  </w:tcBorders>
                  <w:noWrap/>
                  <w:vAlign w:val="bottom"/>
                </w:tcPr>
                <w:p w14:paraId="244E37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088C0B8"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AE1F20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16</w:t>
                  </w:r>
                </w:p>
              </w:tc>
              <w:tc>
                <w:tcPr>
                  <w:tcW w:w="314" w:type="dxa"/>
                  <w:tcBorders>
                    <w:top w:val="single" w:sz="4" w:space="0" w:color="auto"/>
                    <w:left w:val="single" w:sz="4" w:space="0" w:color="auto"/>
                    <w:bottom w:val="single" w:sz="4" w:space="0" w:color="auto"/>
                    <w:right w:val="single" w:sz="4" w:space="0" w:color="auto"/>
                  </w:tcBorders>
                  <w:noWrap/>
                  <w:vAlign w:val="bottom"/>
                </w:tcPr>
                <w:p w14:paraId="190DBA4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EAEF15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0.919225</w:t>
                  </w:r>
                </w:p>
              </w:tc>
              <w:tc>
                <w:tcPr>
                  <w:tcW w:w="901" w:type="dxa"/>
                  <w:tcBorders>
                    <w:top w:val="single" w:sz="4" w:space="0" w:color="auto"/>
                    <w:left w:val="single" w:sz="4" w:space="0" w:color="auto"/>
                    <w:bottom w:val="single" w:sz="4" w:space="0" w:color="auto"/>
                    <w:right w:val="single" w:sz="4" w:space="0" w:color="auto"/>
                  </w:tcBorders>
                  <w:noWrap/>
                  <w:vAlign w:val="bottom"/>
                </w:tcPr>
                <w:p w14:paraId="586D19A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0.896823</w:t>
                  </w:r>
                </w:p>
              </w:tc>
              <w:tc>
                <w:tcPr>
                  <w:tcW w:w="901" w:type="dxa"/>
                  <w:tcBorders>
                    <w:top w:val="single" w:sz="4" w:space="0" w:color="auto"/>
                    <w:left w:val="single" w:sz="4" w:space="0" w:color="auto"/>
                    <w:bottom w:val="single" w:sz="4" w:space="0" w:color="auto"/>
                    <w:right w:val="single" w:sz="4" w:space="0" w:color="auto"/>
                  </w:tcBorders>
                  <w:noWrap/>
                  <w:vAlign w:val="bottom"/>
                </w:tcPr>
                <w:p w14:paraId="6C7EECD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0.862787</w:t>
                  </w:r>
                </w:p>
              </w:tc>
              <w:tc>
                <w:tcPr>
                  <w:tcW w:w="901" w:type="dxa"/>
                  <w:tcBorders>
                    <w:top w:val="single" w:sz="4" w:space="0" w:color="auto"/>
                    <w:left w:val="single" w:sz="4" w:space="0" w:color="auto"/>
                    <w:bottom w:val="single" w:sz="4" w:space="0" w:color="auto"/>
                    <w:right w:val="single" w:sz="4" w:space="0" w:color="auto"/>
                  </w:tcBorders>
                  <w:noWrap/>
                  <w:vAlign w:val="bottom"/>
                </w:tcPr>
                <w:p w14:paraId="5C5102F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0.807235</w:t>
                  </w:r>
                </w:p>
              </w:tc>
              <w:tc>
                <w:tcPr>
                  <w:tcW w:w="921" w:type="dxa"/>
                  <w:tcBorders>
                    <w:top w:val="single" w:sz="4" w:space="0" w:color="auto"/>
                    <w:left w:val="single" w:sz="4" w:space="0" w:color="auto"/>
                    <w:bottom w:val="single" w:sz="4" w:space="0" w:color="auto"/>
                    <w:right w:val="single" w:sz="4" w:space="0" w:color="auto"/>
                  </w:tcBorders>
                  <w:noWrap/>
                  <w:vAlign w:val="bottom"/>
                </w:tcPr>
                <w:p w14:paraId="2AECB31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0.709265</w:t>
                  </w:r>
                </w:p>
              </w:tc>
              <w:tc>
                <w:tcPr>
                  <w:tcW w:w="956" w:type="dxa"/>
                  <w:tcBorders>
                    <w:top w:val="single" w:sz="4" w:space="0" w:color="auto"/>
                    <w:left w:val="single" w:sz="4" w:space="0" w:color="auto"/>
                    <w:bottom w:val="single" w:sz="4" w:space="0" w:color="auto"/>
                    <w:right w:val="single" w:sz="4" w:space="0" w:color="auto"/>
                  </w:tcBorders>
                  <w:noWrap/>
                  <w:vAlign w:val="bottom"/>
                </w:tcPr>
                <w:p w14:paraId="559FA45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0.641001</w:t>
                  </w:r>
                </w:p>
              </w:tc>
              <w:tc>
                <w:tcPr>
                  <w:tcW w:w="427" w:type="dxa"/>
                  <w:tcBorders>
                    <w:top w:val="single" w:sz="4" w:space="0" w:color="auto"/>
                    <w:left w:val="single" w:sz="4" w:space="0" w:color="auto"/>
                    <w:bottom w:val="single" w:sz="4" w:space="0" w:color="auto"/>
                    <w:right w:val="single" w:sz="4" w:space="0" w:color="auto"/>
                  </w:tcBorders>
                  <w:noWrap/>
                  <w:vAlign w:val="bottom"/>
                </w:tcPr>
                <w:p w14:paraId="68708AC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9B2E0A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956372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18</w:t>
                  </w:r>
                </w:p>
              </w:tc>
              <w:tc>
                <w:tcPr>
                  <w:tcW w:w="314" w:type="dxa"/>
                  <w:tcBorders>
                    <w:top w:val="single" w:sz="4" w:space="0" w:color="auto"/>
                    <w:left w:val="single" w:sz="4" w:space="0" w:color="auto"/>
                    <w:bottom w:val="single" w:sz="4" w:space="0" w:color="auto"/>
                    <w:right w:val="single" w:sz="4" w:space="0" w:color="auto"/>
                  </w:tcBorders>
                  <w:noWrap/>
                  <w:vAlign w:val="bottom"/>
                </w:tcPr>
                <w:p w14:paraId="5B8F752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98DBDF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0.939551</w:t>
                  </w:r>
                </w:p>
              </w:tc>
              <w:tc>
                <w:tcPr>
                  <w:tcW w:w="901" w:type="dxa"/>
                  <w:tcBorders>
                    <w:top w:val="single" w:sz="4" w:space="0" w:color="auto"/>
                    <w:left w:val="single" w:sz="4" w:space="0" w:color="auto"/>
                    <w:bottom w:val="single" w:sz="4" w:space="0" w:color="auto"/>
                    <w:right w:val="single" w:sz="4" w:space="0" w:color="auto"/>
                  </w:tcBorders>
                  <w:noWrap/>
                  <w:vAlign w:val="bottom"/>
                </w:tcPr>
                <w:p w14:paraId="3DBDAF6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0.92176</w:t>
                  </w:r>
                </w:p>
              </w:tc>
              <w:tc>
                <w:tcPr>
                  <w:tcW w:w="901" w:type="dxa"/>
                  <w:tcBorders>
                    <w:top w:val="single" w:sz="4" w:space="0" w:color="auto"/>
                    <w:left w:val="single" w:sz="4" w:space="0" w:color="auto"/>
                    <w:bottom w:val="single" w:sz="4" w:space="0" w:color="auto"/>
                    <w:right w:val="single" w:sz="4" w:space="0" w:color="auto"/>
                  </w:tcBorders>
                  <w:noWrap/>
                  <w:vAlign w:val="bottom"/>
                </w:tcPr>
                <w:p w14:paraId="30FEFA3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0.89479</w:t>
                  </w:r>
                </w:p>
              </w:tc>
              <w:tc>
                <w:tcPr>
                  <w:tcW w:w="901" w:type="dxa"/>
                  <w:tcBorders>
                    <w:top w:val="single" w:sz="4" w:space="0" w:color="auto"/>
                    <w:left w:val="single" w:sz="4" w:space="0" w:color="auto"/>
                    <w:bottom w:val="single" w:sz="4" w:space="0" w:color="auto"/>
                    <w:right w:val="single" w:sz="4" w:space="0" w:color="auto"/>
                  </w:tcBorders>
                  <w:noWrap/>
                  <w:vAlign w:val="bottom"/>
                </w:tcPr>
                <w:p w14:paraId="40D26DE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0.850033</w:t>
                  </w:r>
                </w:p>
              </w:tc>
              <w:tc>
                <w:tcPr>
                  <w:tcW w:w="921" w:type="dxa"/>
                  <w:tcBorders>
                    <w:top w:val="single" w:sz="4" w:space="0" w:color="auto"/>
                    <w:left w:val="single" w:sz="4" w:space="0" w:color="auto"/>
                    <w:bottom w:val="single" w:sz="4" w:space="0" w:color="auto"/>
                    <w:right w:val="single" w:sz="4" w:space="0" w:color="auto"/>
                  </w:tcBorders>
                  <w:noWrap/>
                  <w:vAlign w:val="bottom"/>
                </w:tcPr>
                <w:p w14:paraId="63CFAAF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0.77263</w:t>
                  </w:r>
                </w:p>
              </w:tc>
              <w:tc>
                <w:tcPr>
                  <w:tcW w:w="956" w:type="dxa"/>
                  <w:tcBorders>
                    <w:top w:val="single" w:sz="4" w:space="0" w:color="auto"/>
                    <w:left w:val="single" w:sz="4" w:space="0" w:color="auto"/>
                    <w:bottom w:val="single" w:sz="4" w:space="0" w:color="auto"/>
                    <w:right w:val="single" w:sz="4" w:space="0" w:color="auto"/>
                  </w:tcBorders>
                  <w:noWrap/>
                  <w:vAlign w:val="bottom"/>
                </w:tcPr>
                <w:p w14:paraId="30DE69F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0.722556</w:t>
                  </w:r>
                </w:p>
              </w:tc>
              <w:tc>
                <w:tcPr>
                  <w:tcW w:w="427" w:type="dxa"/>
                  <w:tcBorders>
                    <w:top w:val="single" w:sz="4" w:space="0" w:color="auto"/>
                    <w:left w:val="single" w:sz="4" w:space="0" w:color="auto"/>
                    <w:bottom w:val="single" w:sz="4" w:space="0" w:color="auto"/>
                    <w:right w:val="single" w:sz="4" w:space="0" w:color="auto"/>
                  </w:tcBorders>
                  <w:noWrap/>
                  <w:vAlign w:val="bottom"/>
                </w:tcPr>
                <w:p w14:paraId="5F95322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97A15DC"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E62687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20</w:t>
                  </w:r>
                </w:p>
              </w:tc>
              <w:tc>
                <w:tcPr>
                  <w:tcW w:w="314" w:type="dxa"/>
                  <w:tcBorders>
                    <w:top w:val="single" w:sz="4" w:space="0" w:color="auto"/>
                    <w:left w:val="single" w:sz="4" w:space="0" w:color="auto"/>
                    <w:bottom w:val="single" w:sz="4" w:space="0" w:color="auto"/>
                    <w:right w:val="single" w:sz="4" w:space="0" w:color="auto"/>
                  </w:tcBorders>
                  <w:noWrap/>
                  <w:vAlign w:val="bottom"/>
                </w:tcPr>
                <w:p w14:paraId="004ECE2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6A46E8E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0.932057</w:t>
                  </w:r>
                </w:p>
              </w:tc>
              <w:tc>
                <w:tcPr>
                  <w:tcW w:w="901" w:type="dxa"/>
                  <w:tcBorders>
                    <w:top w:val="single" w:sz="4" w:space="0" w:color="auto"/>
                    <w:left w:val="single" w:sz="4" w:space="0" w:color="auto"/>
                    <w:bottom w:val="single" w:sz="4" w:space="0" w:color="auto"/>
                    <w:right w:val="single" w:sz="4" w:space="0" w:color="auto"/>
                  </w:tcBorders>
                  <w:noWrap/>
                  <w:vAlign w:val="bottom"/>
                </w:tcPr>
                <w:p w14:paraId="3D62F8F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0.908172</w:t>
                  </w:r>
                </w:p>
              </w:tc>
              <w:tc>
                <w:tcPr>
                  <w:tcW w:w="901" w:type="dxa"/>
                  <w:tcBorders>
                    <w:top w:val="single" w:sz="4" w:space="0" w:color="auto"/>
                    <w:left w:val="single" w:sz="4" w:space="0" w:color="auto"/>
                    <w:bottom w:val="single" w:sz="4" w:space="0" w:color="auto"/>
                    <w:right w:val="single" w:sz="4" w:space="0" w:color="auto"/>
                  </w:tcBorders>
                  <w:noWrap/>
                  <w:vAlign w:val="bottom"/>
                </w:tcPr>
                <w:p w14:paraId="18F5B8F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0.871937</w:t>
                  </w:r>
                </w:p>
              </w:tc>
              <w:tc>
                <w:tcPr>
                  <w:tcW w:w="901" w:type="dxa"/>
                  <w:tcBorders>
                    <w:top w:val="single" w:sz="4" w:space="0" w:color="auto"/>
                    <w:left w:val="single" w:sz="4" w:space="0" w:color="auto"/>
                    <w:bottom w:val="single" w:sz="4" w:space="0" w:color="auto"/>
                    <w:right w:val="single" w:sz="4" w:space="0" w:color="auto"/>
                  </w:tcBorders>
                  <w:noWrap/>
                  <w:vAlign w:val="bottom"/>
                </w:tcPr>
                <w:p w14:paraId="25C53C5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0.812658</w:t>
                  </w:r>
                </w:p>
              </w:tc>
              <w:tc>
                <w:tcPr>
                  <w:tcW w:w="921" w:type="dxa"/>
                  <w:tcBorders>
                    <w:top w:val="single" w:sz="4" w:space="0" w:color="auto"/>
                    <w:left w:val="single" w:sz="4" w:space="0" w:color="auto"/>
                    <w:bottom w:val="single" w:sz="4" w:space="0" w:color="auto"/>
                    <w:right w:val="single" w:sz="4" w:space="0" w:color="auto"/>
                  </w:tcBorders>
                  <w:noWrap/>
                  <w:vAlign w:val="bottom"/>
                </w:tcPr>
                <w:p w14:paraId="1AA884F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0.706178</w:t>
                  </w:r>
                </w:p>
              </w:tc>
              <w:tc>
                <w:tcPr>
                  <w:tcW w:w="956" w:type="dxa"/>
                  <w:tcBorders>
                    <w:top w:val="single" w:sz="4" w:space="0" w:color="auto"/>
                    <w:left w:val="single" w:sz="4" w:space="0" w:color="auto"/>
                    <w:bottom w:val="single" w:sz="4" w:space="0" w:color="auto"/>
                    <w:right w:val="single" w:sz="4" w:space="0" w:color="auto"/>
                  </w:tcBorders>
                  <w:noWrap/>
                  <w:vAlign w:val="bottom"/>
                </w:tcPr>
                <w:p w14:paraId="4E01A36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0.639274</w:t>
                  </w:r>
                </w:p>
              </w:tc>
              <w:tc>
                <w:tcPr>
                  <w:tcW w:w="427" w:type="dxa"/>
                  <w:tcBorders>
                    <w:top w:val="single" w:sz="4" w:space="0" w:color="auto"/>
                    <w:left w:val="single" w:sz="4" w:space="0" w:color="auto"/>
                    <w:bottom w:val="single" w:sz="4" w:space="0" w:color="auto"/>
                    <w:right w:val="single" w:sz="4" w:space="0" w:color="auto"/>
                  </w:tcBorders>
                  <w:noWrap/>
                  <w:vAlign w:val="bottom"/>
                </w:tcPr>
                <w:p w14:paraId="2FE6EF6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A0F0B36"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6BA5668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21</w:t>
                  </w:r>
                </w:p>
              </w:tc>
              <w:tc>
                <w:tcPr>
                  <w:tcW w:w="314" w:type="dxa"/>
                  <w:tcBorders>
                    <w:top w:val="single" w:sz="4" w:space="0" w:color="auto"/>
                    <w:left w:val="single" w:sz="4" w:space="0" w:color="auto"/>
                    <w:bottom w:val="single" w:sz="4" w:space="0" w:color="auto"/>
                    <w:right w:val="single" w:sz="4" w:space="0" w:color="auto"/>
                  </w:tcBorders>
                  <w:noWrap/>
                  <w:vAlign w:val="bottom"/>
                </w:tcPr>
                <w:p w14:paraId="435BE99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81D32E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0.953368</w:t>
                  </w:r>
                </w:p>
              </w:tc>
              <w:tc>
                <w:tcPr>
                  <w:tcW w:w="901" w:type="dxa"/>
                  <w:tcBorders>
                    <w:top w:val="single" w:sz="4" w:space="0" w:color="auto"/>
                    <w:left w:val="single" w:sz="4" w:space="0" w:color="auto"/>
                    <w:bottom w:val="single" w:sz="4" w:space="0" w:color="auto"/>
                    <w:right w:val="single" w:sz="4" w:space="0" w:color="auto"/>
                  </w:tcBorders>
                  <w:noWrap/>
                  <w:vAlign w:val="bottom"/>
                </w:tcPr>
                <w:p w14:paraId="5335A03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0.944061</w:t>
                  </w:r>
                </w:p>
              </w:tc>
              <w:tc>
                <w:tcPr>
                  <w:tcW w:w="901" w:type="dxa"/>
                  <w:tcBorders>
                    <w:top w:val="single" w:sz="4" w:space="0" w:color="auto"/>
                    <w:left w:val="single" w:sz="4" w:space="0" w:color="auto"/>
                    <w:bottom w:val="single" w:sz="4" w:space="0" w:color="auto"/>
                    <w:right w:val="single" w:sz="4" w:space="0" w:color="auto"/>
                  </w:tcBorders>
                  <w:noWrap/>
                  <w:vAlign w:val="bottom"/>
                </w:tcPr>
                <w:p w14:paraId="4B50BDA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0.928419</w:t>
                  </w:r>
                </w:p>
              </w:tc>
              <w:tc>
                <w:tcPr>
                  <w:tcW w:w="901" w:type="dxa"/>
                  <w:tcBorders>
                    <w:top w:val="single" w:sz="4" w:space="0" w:color="auto"/>
                    <w:left w:val="single" w:sz="4" w:space="0" w:color="auto"/>
                    <w:bottom w:val="single" w:sz="4" w:space="0" w:color="auto"/>
                    <w:right w:val="single" w:sz="4" w:space="0" w:color="auto"/>
                  </w:tcBorders>
                  <w:noWrap/>
                  <w:vAlign w:val="bottom"/>
                </w:tcPr>
                <w:p w14:paraId="73881DF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0.889051</w:t>
                  </w:r>
                </w:p>
              </w:tc>
              <w:tc>
                <w:tcPr>
                  <w:tcW w:w="921" w:type="dxa"/>
                  <w:tcBorders>
                    <w:top w:val="single" w:sz="4" w:space="0" w:color="auto"/>
                    <w:left w:val="single" w:sz="4" w:space="0" w:color="auto"/>
                    <w:bottom w:val="single" w:sz="4" w:space="0" w:color="auto"/>
                    <w:right w:val="single" w:sz="4" w:space="0" w:color="auto"/>
                  </w:tcBorders>
                  <w:noWrap/>
                  <w:vAlign w:val="bottom"/>
                </w:tcPr>
                <w:p w14:paraId="47F32B7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0.834487</w:t>
                  </w:r>
                </w:p>
              </w:tc>
              <w:tc>
                <w:tcPr>
                  <w:tcW w:w="956" w:type="dxa"/>
                  <w:tcBorders>
                    <w:top w:val="single" w:sz="4" w:space="0" w:color="auto"/>
                    <w:left w:val="single" w:sz="4" w:space="0" w:color="auto"/>
                    <w:bottom w:val="single" w:sz="4" w:space="0" w:color="auto"/>
                    <w:right w:val="single" w:sz="4" w:space="0" w:color="auto"/>
                  </w:tcBorders>
                  <w:noWrap/>
                  <w:vAlign w:val="bottom"/>
                </w:tcPr>
                <w:p w14:paraId="56D7ECE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0.805819</w:t>
                  </w:r>
                </w:p>
              </w:tc>
              <w:tc>
                <w:tcPr>
                  <w:tcW w:w="427" w:type="dxa"/>
                  <w:tcBorders>
                    <w:top w:val="single" w:sz="4" w:space="0" w:color="auto"/>
                    <w:left w:val="single" w:sz="4" w:space="0" w:color="auto"/>
                    <w:bottom w:val="single" w:sz="4" w:space="0" w:color="auto"/>
                    <w:right w:val="single" w:sz="4" w:space="0" w:color="auto"/>
                  </w:tcBorders>
                  <w:noWrap/>
                  <w:vAlign w:val="bottom"/>
                </w:tcPr>
                <w:p w14:paraId="34A8C80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45684377"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E2DFFD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lastRenderedPageBreak/>
                    <w:t>Bus 23</w:t>
                  </w:r>
                </w:p>
              </w:tc>
              <w:tc>
                <w:tcPr>
                  <w:tcW w:w="314" w:type="dxa"/>
                  <w:tcBorders>
                    <w:top w:val="single" w:sz="4" w:space="0" w:color="auto"/>
                    <w:left w:val="single" w:sz="4" w:space="0" w:color="auto"/>
                    <w:bottom w:val="single" w:sz="4" w:space="0" w:color="auto"/>
                    <w:right w:val="single" w:sz="4" w:space="0" w:color="auto"/>
                  </w:tcBorders>
                  <w:noWrap/>
                  <w:vAlign w:val="bottom"/>
                </w:tcPr>
                <w:p w14:paraId="05BBCFA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11A855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0.945854</w:t>
                  </w:r>
                </w:p>
              </w:tc>
              <w:tc>
                <w:tcPr>
                  <w:tcW w:w="901" w:type="dxa"/>
                  <w:tcBorders>
                    <w:top w:val="single" w:sz="4" w:space="0" w:color="auto"/>
                    <w:left w:val="single" w:sz="4" w:space="0" w:color="auto"/>
                    <w:bottom w:val="single" w:sz="4" w:space="0" w:color="auto"/>
                    <w:right w:val="single" w:sz="4" w:space="0" w:color="auto"/>
                  </w:tcBorders>
                  <w:noWrap/>
                  <w:vAlign w:val="bottom"/>
                </w:tcPr>
                <w:p w14:paraId="41798F7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0.931742</w:t>
                  </w:r>
                </w:p>
              </w:tc>
              <w:tc>
                <w:tcPr>
                  <w:tcW w:w="901" w:type="dxa"/>
                  <w:tcBorders>
                    <w:top w:val="single" w:sz="4" w:space="0" w:color="auto"/>
                    <w:left w:val="single" w:sz="4" w:space="0" w:color="auto"/>
                    <w:bottom w:val="single" w:sz="4" w:space="0" w:color="auto"/>
                    <w:right w:val="single" w:sz="4" w:space="0" w:color="auto"/>
                  </w:tcBorders>
                  <w:noWrap/>
                  <w:vAlign w:val="bottom"/>
                </w:tcPr>
                <w:p w14:paraId="6F8127D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0.910696</w:t>
                  </w:r>
                </w:p>
              </w:tc>
              <w:tc>
                <w:tcPr>
                  <w:tcW w:w="901" w:type="dxa"/>
                  <w:tcBorders>
                    <w:top w:val="single" w:sz="4" w:space="0" w:color="auto"/>
                    <w:left w:val="single" w:sz="4" w:space="0" w:color="auto"/>
                    <w:bottom w:val="single" w:sz="4" w:space="0" w:color="auto"/>
                    <w:right w:val="single" w:sz="4" w:space="0" w:color="auto"/>
                  </w:tcBorders>
                  <w:noWrap/>
                  <w:vAlign w:val="bottom"/>
                </w:tcPr>
                <w:p w14:paraId="48E3112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0.876408</w:t>
                  </w:r>
                </w:p>
              </w:tc>
              <w:tc>
                <w:tcPr>
                  <w:tcW w:w="921" w:type="dxa"/>
                  <w:tcBorders>
                    <w:top w:val="single" w:sz="4" w:space="0" w:color="auto"/>
                    <w:left w:val="single" w:sz="4" w:space="0" w:color="auto"/>
                    <w:bottom w:val="single" w:sz="4" w:space="0" w:color="auto"/>
                    <w:right w:val="single" w:sz="4" w:space="0" w:color="auto"/>
                  </w:tcBorders>
                  <w:noWrap/>
                  <w:vAlign w:val="bottom"/>
                </w:tcPr>
                <w:p w14:paraId="4A15736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0.818187</w:t>
                  </w:r>
                </w:p>
              </w:tc>
              <w:tc>
                <w:tcPr>
                  <w:tcW w:w="956" w:type="dxa"/>
                  <w:tcBorders>
                    <w:top w:val="single" w:sz="4" w:space="0" w:color="auto"/>
                    <w:left w:val="single" w:sz="4" w:space="0" w:color="auto"/>
                    <w:bottom w:val="single" w:sz="4" w:space="0" w:color="auto"/>
                    <w:right w:val="single" w:sz="4" w:space="0" w:color="auto"/>
                  </w:tcBorders>
                  <w:noWrap/>
                  <w:vAlign w:val="bottom"/>
                </w:tcPr>
                <w:p w14:paraId="33F95B1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0.781375</w:t>
                  </w:r>
                </w:p>
              </w:tc>
              <w:tc>
                <w:tcPr>
                  <w:tcW w:w="427" w:type="dxa"/>
                  <w:tcBorders>
                    <w:top w:val="single" w:sz="4" w:space="0" w:color="auto"/>
                    <w:left w:val="single" w:sz="4" w:space="0" w:color="auto"/>
                    <w:bottom w:val="single" w:sz="4" w:space="0" w:color="auto"/>
                    <w:right w:val="single" w:sz="4" w:space="0" w:color="auto"/>
                  </w:tcBorders>
                  <w:noWrap/>
                  <w:vAlign w:val="bottom"/>
                </w:tcPr>
                <w:p w14:paraId="0029247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0A16318"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4BF1177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24</w:t>
                  </w:r>
                </w:p>
              </w:tc>
              <w:tc>
                <w:tcPr>
                  <w:tcW w:w="314" w:type="dxa"/>
                  <w:tcBorders>
                    <w:top w:val="single" w:sz="4" w:space="0" w:color="auto"/>
                    <w:left w:val="single" w:sz="4" w:space="0" w:color="auto"/>
                    <w:bottom w:val="single" w:sz="4" w:space="0" w:color="auto"/>
                    <w:right w:val="single" w:sz="4" w:space="0" w:color="auto"/>
                  </w:tcBorders>
                  <w:noWrap/>
                  <w:vAlign w:val="bottom"/>
                </w:tcPr>
                <w:p w14:paraId="7B1DA2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AF378D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0.964912</w:t>
                  </w:r>
                </w:p>
              </w:tc>
              <w:tc>
                <w:tcPr>
                  <w:tcW w:w="901" w:type="dxa"/>
                  <w:tcBorders>
                    <w:top w:val="single" w:sz="4" w:space="0" w:color="auto"/>
                    <w:left w:val="single" w:sz="4" w:space="0" w:color="auto"/>
                    <w:bottom w:val="single" w:sz="4" w:space="0" w:color="auto"/>
                    <w:right w:val="single" w:sz="4" w:space="0" w:color="auto"/>
                  </w:tcBorders>
                  <w:noWrap/>
                  <w:vAlign w:val="bottom"/>
                </w:tcPr>
                <w:p w14:paraId="296E841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0.956155</w:t>
                  </w:r>
                </w:p>
              </w:tc>
              <w:tc>
                <w:tcPr>
                  <w:tcW w:w="901" w:type="dxa"/>
                  <w:tcBorders>
                    <w:top w:val="single" w:sz="4" w:space="0" w:color="auto"/>
                    <w:left w:val="single" w:sz="4" w:space="0" w:color="auto"/>
                    <w:bottom w:val="single" w:sz="4" w:space="0" w:color="auto"/>
                    <w:right w:val="single" w:sz="4" w:space="0" w:color="auto"/>
                  </w:tcBorders>
                  <w:noWrap/>
                  <w:vAlign w:val="bottom"/>
                </w:tcPr>
                <w:p w14:paraId="0FCDB5C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0.943191</w:t>
                  </w:r>
                </w:p>
              </w:tc>
              <w:tc>
                <w:tcPr>
                  <w:tcW w:w="901" w:type="dxa"/>
                  <w:tcBorders>
                    <w:top w:val="single" w:sz="4" w:space="0" w:color="auto"/>
                    <w:left w:val="single" w:sz="4" w:space="0" w:color="auto"/>
                    <w:bottom w:val="single" w:sz="4" w:space="0" w:color="auto"/>
                    <w:right w:val="single" w:sz="4" w:space="0" w:color="auto"/>
                  </w:tcBorders>
                  <w:noWrap/>
                  <w:vAlign w:val="bottom"/>
                </w:tcPr>
                <w:p w14:paraId="61C45EB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0.922253</w:t>
                  </w:r>
                </w:p>
              </w:tc>
              <w:tc>
                <w:tcPr>
                  <w:tcW w:w="921" w:type="dxa"/>
                  <w:tcBorders>
                    <w:top w:val="single" w:sz="4" w:space="0" w:color="auto"/>
                    <w:left w:val="single" w:sz="4" w:space="0" w:color="auto"/>
                    <w:bottom w:val="single" w:sz="4" w:space="0" w:color="auto"/>
                    <w:right w:val="single" w:sz="4" w:space="0" w:color="auto"/>
                  </w:tcBorders>
                  <w:noWrap/>
                  <w:vAlign w:val="bottom"/>
                </w:tcPr>
                <w:p w14:paraId="4571E21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0.887078</w:t>
                  </w:r>
                </w:p>
              </w:tc>
              <w:tc>
                <w:tcPr>
                  <w:tcW w:w="956" w:type="dxa"/>
                  <w:tcBorders>
                    <w:top w:val="single" w:sz="4" w:space="0" w:color="auto"/>
                    <w:left w:val="single" w:sz="4" w:space="0" w:color="auto"/>
                    <w:bottom w:val="single" w:sz="4" w:space="0" w:color="auto"/>
                    <w:right w:val="single" w:sz="4" w:space="0" w:color="auto"/>
                  </w:tcBorders>
                  <w:noWrap/>
                  <w:vAlign w:val="bottom"/>
                </w:tcPr>
                <w:p w14:paraId="3CFAE61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0.864946</w:t>
                  </w:r>
                </w:p>
              </w:tc>
              <w:tc>
                <w:tcPr>
                  <w:tcW w:w="427" w:type="dxa"/>
                  <w:tcBorders>
                    <w:top w:val="single" w:sz="4" w:space="0" w:color="auto"/>
                    <w:left w:val="single" w:sz="4" w:space="0" w:color="auto"/>
                    <w:bottom w:val="single" w:sz="4" w:space="0" w:color="auto"/>
                    <w:right w:val="single" w:sz="4" w:space="0" w:color="auto"/>
                  </w:tcBorders>
                  <w:noWrap/>
                  <w:vAlign w:val="bottom"/>
                </w:tcPr>
                <w:p w14:paraId="0058FAF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1FD57B64"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7A638FD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25</w:t>
                  </w:r>
                </w:p>
              </w:tc>
              <w:tc>
                <w:tcPr>
                  <w:tcW w:w="314" w:type="dxa"/>
                  <w:tcBorders>
                    <w:top w:val="single" w:sz="4" w:space="0" w:color="auto"/>
                    <w:left w:val="single" w:sz="4" w:space="0" w:color="auto"/>
                    <w:bottom w:val="single" w:sz="4" w:space="0" w:color="auto"/>
                    <w:right w:val="single" w:sz="4" w:space="0" w:color="auto"/>
                  </w:tcBorders>
                  <w:noWrap/>
                  <w:vAlign w:val="bottom"/>
                </w:tcPr>
                <w:p w14:paraId="589250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037468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0.947936</w:t>
                  </w:r>
                </w:p>
              </w:tc>
              <w:tc>
                <w:tcPr>
                  <w:tcW w:w="901" w:type="dxa"/>
                  <w:tcBorders>
                    <w:top w:val="single" w:sz="4" w:space="0" w:color="auto"/>
                    <w:left w:val="single" w:sz="4" w:space="0" w:color="auto"/>
                    <w:bottom w:val="single" w:sz="4" w:space="0" w:color="auto"/>
                    <w:right w:val="single" w:sz="4" w:space="0" w:color="auto"/>
                  </w:tcBorders>
                  <w:noWrap/>
                  <w:vAlign w:val="bottom"/>
                </w:tcPr>
                <w:p w14:paraId="639965E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0.931975</w:t>
                  </w:r>
                </w:p>
              </w:tc>
              <w:tc>
                <w:tcPr>
                  <w:tcW w:w="901" w:type="dxa"/>
                  <w:tcBorders>
                    <w:top w:val="single" w:sz="4" w:space="0" w:color="auto"/>
                    <w:left w:val="single" w:sz="4" w:space="0" w:color="auto"/>
                    <w:bottom w:val="single" w:sz="4" w:space="0" w:color="auto"/>
                    <w:right w:val="single" w:sz="4" w:space="0" w:color="auto"/>
                  </w:tcBorders>
                  <w:noWrap/>
                  <w:vAlign w:val="bottom"/>
                </w:tcPr>
                <w:p w14:paraId="0EE67BD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0.90769</w:t>
                  </w:r>
                </w:p>
              </w:tc>
              <w:tc>
                <w:tcPr>
                  <w:tcW w:w="901" w:type="dxa"/>
                  <w:tcBorders>
                    <w:top w:val="single" w:sz="4" w:space="0" w:color="auto"/>
                    <w:left w:val="single" w:sz="4" w:space="0" w:color="auto"/>
                    <w:bottom w:val="single" w:sz="4" w:space="0" w:color="auto"/>
                    <w:right w:val="single" w:sz="4" w:space="0" w:color="auto"/>
                  </w:tcBorders>
                  <w:noWrap/>
                  <w:vAlign w:val="bottom"/>
                </w:tcPr>
                <w:p w14:paraId="3B29250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0.86725</w:t>
                  </w:r>
                </w:p>
              </w:tc>
              <w:tc>
                <w:tcPr>
                  <w:tcW w:w="921" w:type="dxa"/>
                  <w:tcBorders>
                    <w:top w:val="single" w:sz="4" w:space="0" w:color="auto"/>
                    <w:left w:val="single" w:sz="4" w:space="0" w:color="auto"/>
                    <w:bottom w:val="single" w:sz="4" w:space="0" w:color="auto"/>
                    <w:right w:val="single" w:sz="4" w:space="0" w:color="auto"/>
                  </w:tcBorders>
                  <w:noWrap/>
                  <w:vAlign w:val="bottom"/>
                </w:tcPr>
                <w:p w14:paraId="347E02B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0.797222</w:t>
                  </w:r>
                </w:p>
              </w:tc>
              <w:tc>
                <w:tcPr>
                  <w:tcW w:w="956" w:type="dxa"/>
                  <w:tcBorders>
                    <w:top w:val="single" w:sz="4" w:space="0" w:color="auto"/>
                    <w:left w:val="single" w:sz="4" w:space="0" w:color="auto"/>
                    <w:bottom w:val="single" w:sz="4" w:space="0" w:color="auto"/>
                    <w:right w:val="single" w:sz="4" w:space="0" w:color="auto"/>
                  </w:tcBorders>
                  <w:noWrap/>
                  <w:vAlign w:val="bottom"/>
                </w:tcPr>
                <w:p w14:paraId="613AEE6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0.751661</w:t>
                  </w:r>
                </w:p>
              </w:tc>
              <w:tc>
                <w:tcPr>
                  <w:tcW w:w="427" w:type="dxa"/>
                  <w:tcBorders>
                    <w:top w:val="single" w:sz="4" w:space="0" w:color="auto"/>
                    <w:left w:val="single" w:sz="4" w:space="0" w:color="auto"/>
                    <w:bottom w:val="single" w:sz="4" w:space="0" w:color="auto"/>
                    <w:right w:val="single" w:sz="4" w:space="0" w:color="auto"/>
                  </w:tcBorders>
                  <w:noWrap/>
                  <w:vAlign w:val="bottom"/>
                </w:tcPr>
                <w:p w14:paraId="2CD91A5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4773FF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BEB6CB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26</w:t>
                  </w:r>
                </w:p>
              </w:tc>
              <w:tc>
                <w:tcPr>
                  <w:tcW w:w="314" w:type="dxa"/>
                  <w:tcBorders>
                    <w:top w:val="single" w:sz="4" w:space="0" w:color="auto"/>
                    <w:left w:val="single" w:sz="4" w:space="0" w:color="auto"/>
                    <w:bottom w:val="single" w:sz="4" w:space="0" w:color="auto"/>
                    <w:right w:val="single" w:sz="4" w:space="0" w:color="auto"/>
                  </w:tcBorders>
                  <w:noWrap/>
                  <w:vAlign w:val="bottom"/>
                </w:tcPr>
                <w:p w14:paraId="71B77E7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77B02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0.926718</w:t>
                  </w:r>
                </w:p>
              </w:tc>
              <w:tc>
                <w:tcPr>
                  <w:tcW w:w="901" w:type="dxa"/>
                  <w:tcBorders>
                    <w:top w:val="single" w:sz="4" w:space="0" w:color="auto"/>
                    <w:left w:val="single" w:sz="4" w:space="0" w:color="auto"/>
                    <w:bottom w:val="single" w:sz="4" w:space="0" w:color="auto"/>
                    <w:right w:val="single" w:sz="4" w:space="0" w:color="auto"/>
                  </w:tcBorders>
                  <w:noWrap/>
                  <w:vAlign w:val="bottom"/>
                </w:tcPr>
                <w:p w14:paraId="35134B6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0.902603</w:t>
                  </w:r>
                </w:p>
              </w:tc>
              <w:tc>
                <w:tcPr>
                  <w:tcW w:w="901" w:type="dxa"/>
                  <w:tcBorders>
                    <w:top w:val="single" w:sz="4" w:space="0" w:color="auto"/>
                    <w:left w:val="single" w:sz="4" w:space="0" w:color="auto"/>
                    <w:bottom w:val="single" w:sz="4" w:space="0" w:color="auto"/>
                    <w:right w:val="single" w:sz="4" w:space="0" w:color="auto"/>
                  </w:tcBorders>
                  <w:noWrap/>
                  <w:vAlign w:val="bottom"/>
                </w:tcPr>
                <w:p w14:paraId="4040F16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0.867342</w:t>
                  </w:r>
                </w:p>
              </w:tc>
              <w:tc>
                <w:tcPr>
                  <w:tcW w:w="901" w:type="dxa"/>
                  <w:tcBorders>
                    <w:top w:val="single" w:sz="4" w:space="0" w:color="auto"/>
                    <w:left w:val="single" w:sz="4" w:space="0" w:color="auto"/>
                    <w:bottom w:val="single" w:sz="4" w:space="0" w:color="auto"/>
                    <w:right w:val="single" w:sz="4" w:space="0" w:color="auto"/>
                  </w:tcBorders>
                  <w:noWrap/>
                  <w:vAlign w:val="bottom"/>
                </w:tcPr>
                <w:p w14:paraId="1679083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0.811266</w:t>
                  </w:r>
                </w:p>
              </w:tc>
              <w:tc>
                <w:tcPr>
                  <w:tcW w:w="921" w:type="dxa"/>
                  <w:tcBorders>
                    <w:top w:val="single" w:sz="4" w:space="0" w:color="auto"/>
                    <w:left w:val="single" w:sz="4" w:space="0" w:color="auto"/>
                    <w:bottom w:val="single" w:sz="4" w:space="0" w:color="auto"/>
                    <w:right w:val="single" w:sz="4" w:space="0" w:color="auto"/>
                  </w:tcBorders>
                  <w:noWrap/>
                  <w:vAlign w:val="bottom"/>
                </w:tcPr>
                <w:p w14:paraId="3C3C974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0.711304</w:t>
                  </w:r>
                </w:p>
              </w:tc>
              <w:tc>
                <w:tcPr>
                  <w:tcW w:w="956" w:type="dxa"/>
                  <w:tcBorders>
                    <w:top w:val="single" w:sz="4" w:space="0" w:color="auto"/>
                    <w:left w:val="single" w:sz="4" w:space="0" w:color="auto"/>
                    <w:bottom w:val="single" w:sz="4" w:space="0" w:color="auto"/>
                    <w:right w:val="single" w:sz="4" w:space="0" w:color="auto"/>
                  </w:tcBorders>
                  <w:noWrap/>
                  <w:vAlign w:val="bottom"/>
                </w:tcPr>
                <w:p w14:paraId="7B85015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0.657672</w:t>
                  </w:r>
                </w:p>
              </w:tc>
              <w:tc>
                <w:tcPr>
                  <w:tcW w:w="427" w:type="dxa"/>
                  <w:tcBorders>
                    <w:top w:val="single" w:sz="4" w:space="0" w:color="auto"/>
                    <w:left w:val="single" w:sz="4" w:space="0" w:color="auto"/>
                    <w:bottom w:val="single" w:sz="4" w:space="0" w:color="auto"/>
                    <w:right w:val="single" w:sz="4" w:space="0" w:color="auto"/>
                  </w:tcBorders>
                  <w:noWrap/>
                  <w:vAlign w:val="bottom"/>
                </w:tcPr>
                <w:p w14:paraId="38926D4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5274DEA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4DDECF2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27</w:t>
                  </w:r>
                </w:p>
              </w:tc>
              <w:tc>
                <w:tcPr>
                  <w:tcW w:w="314" w:type="dxa"/>
                  <w:tcBorders>
                    <w:top w:val="single" w:sz="4" w:space="0" w:color="auto"/>
                    <w:left w:val="single" w:sz="4" w:space="0" w:color="auto"/>
                    <w:bottom w:val="single" w:sz="4" w:space="0" w:color="auto"/>
                    <w:right w:val="single" w:sz="4" w:space="0" w:color="auto"/>
                  </w:tcBorders>
                  <w:noWrap/>
                  <w:vAlign w:val="bottom"/>
                </w:tcPr>
                <w:p w14:paraId="77BD3FB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2422CB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0.928107</w:t>
                  </w:r>
                </w:p>
              </w:tc>
              <w:tc>
                <w:tcPr>
                  <w:tcW w:w="901" w:type="dxa"/>
                  <w:tcBorders>
                    <w:top w:val="single" w:sz="4" w:space="0" w:color="auto"/>
                    <w:left w:val="single" w:sz="4" w:space="0" w:color="auto"/>
                    <w:bottom w:val="single" w:sz="4" w:space="0" w:color="auto"/>
                    <w:right w:val="single" w:sz="4" w:space="0" w:color="auto"/>
                  </w:tcBorders>
                  <w:noWrap/>
                  <w:vAlign w:val="bottom"/>
                </w:tcPr>
                <w:p w14:paraId="2FB95AA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0.906163</w:t>
                  </w:r>
                </w:p>
              </w:tc>
              <w:tc>
                <w:tcPr>
                  <w:tcW w:w="901" w:type="dxa"/>
                  <w:tcBorders>
                    <w:top w:val="single" w:sz="4" w:space="0" w:color="auto"/>
                    <w:left w:val="single" w:sz="4" w:space="0" w:color="auto"/>
                    <w:bottom w:val="single" w:sz="4" w:space="0" w:color="auto"/>
                    <w:right w:val="single" w:sz="4" w:space="0" w:color="auto"/>
                  </w:tcBorders>
                  <w:noWrap/>
                  <w:vAlign w:val="bottom"/>
                </w:tcPr>
                <w:p w14:paraId="74D7255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0.874125</w:t>
                  </w:r>
                </w:p>
              </w:tc>
              <w:tc>
                <w:tcPr>
                  <w:tcW w:w="901" w:type="dxa"/>
                  <w:tcBorders>
                    <w:top w:val="single" w:sz="4" w:space="0" w:color="auto"/>
                    <w:left w:val="single" w:sz="4" w:space="0" w:color="auto"/>
                    <w:bottom w:val="single" w:sz="4" w:space="0" w:color="auto"/>
                    <w:right w:val="single" w:sz="4" w:space="0" w:color="auto"/>
                  </w:tcBorders>
                  <w:noWrap/>
                  <w:vAlign w:val="bottom"/>
                </w:tcPr>
                <w:p w14:paraId="7CC0335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0.823212</w:t>
                  </w:r>
                </w:p>
              </w:tc>
              <w:tc>
                <w:tcPr>
                  <w:tcW w:w="921" w:type="dxa"/>
                  <w:tcBorders>
                    <w:top w:val="single" w:sz="4" w:space="0" w:color="auto"/>
                    <w:left w:val="single" w:sz="4" w:space="0" w:color="auto"/>
                    <w:bottom w:val="single" w:sz="4" w:space="0" w:color="auto"/>
                    <w:right w:val="single" w:sz="4" w:space="0" w:color="auto"/>
                  </w:tcBorders>
                  <w:noWrap/>
                  <w:vAlign w:val="bottom"/>
                </w:tcPr>
                <w:p w14:paraId="747DE45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0.734343</w:t>
                  </w:r>
                </w:p>
              </w:tc>
              <w:tc>
                <w:tcPr>
                  <w:tcW w:w="956" w:type="dxa"/>
                  <w:tcBorders>
                    <w:top w:val="single" w:sz="4" w:space="0" w:color="auto"/>
                    <w:left w:val="single" w:sz="4" w:space="0" w:color="auto"/>
                    <w:bottom w:val="single" w:sz="4" w:space="0" w:color="auto"/>
                    <w:right w:val="single" w:sz="4" w:space="0" w:color="auto"/>
                  </w:tcBorders>
                  <w:noWrap/>
                  <w:vAlign w:val="bottom"/>
                </w:tcPr>
                <w:p w14:paraId="1CAD10A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0.684904</w:t>
                  </w:r>
                </w:p>
              </w:tc>
              <w:tc>
                <w:tcPr>
                  <w:tcW w:w="427" w:type="dxa"/>
                  <w:tcBorders>
                    <w:top w:val="single" w:sz="4" w:space="0" w:color="auto"/>
                    <w:left w:val="single" w:sz="4" w:space="0" w:color="auto"/>
                    <w:bottom w:val="single" w:sz="4" w:space="0" w:color="auto"/>
                    <w:right w:val="single" w:sz="4" w:space="0" w:color="auto"/>
                  </w:tcBorders>
                  <w:noWrap/>
                  <w:vAlign w:val="bottom"/>
                </w:tcPr>
                <w:p w14:paraId="3664C20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304B06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688DE75B"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28</w:t>
                  </w:r>
                </w:p>
              </w:tc>
              <w:tc>
                <w:tcPr>
                  <w:tcW w:w="314" w:type="dxa"/>
                  <w:tcBorders>
                    <w:top w:val="single" w:sz="4" w:space="0" w:color="auto"/>
                    <w:left w:val="single" w:sz="4" w:space="0" w:color="auto"/>
                    <w:bottom w:val="single" w:sz="4" w:space="0" w:color="auto"/>
                    <w:right w:val="single" w:sz="4" w:space="0" w:color="auto"/>
                  </w:tcBorders>
                  <w:noWrap/>
                  <w:vAlign w:val="bottom"/>
                </w:tcPr>
                <w:p w14:paraId="26F18D9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BD1932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0.920995</w:t>
                  </w:r>
                </w:p>
              </w:tc>
              <w:tc>
                <w:tcPr>
                  <w:tcW w:w="901" w:type="dxa"/>
                  <w:tcBorders>
                    <w:top w:val="single" w:sz="4" w:space="0" w:color="auto"/>
                    <w:left w:val="single" w:sz="4" w:space="0" w:color="auto"/>
                    <w:bottom w:val="single" w:sz="4" w:space="0" w:color="auto"/>
                    <w:right w:val="single" w:sz="4" w:space="0" w:color="auto"/>
                  </w:tcBorders>
                  <w:noWrap/>
                  <w:vAlign w:val="bottom"/>
                </w:tcPr>
                <w:p w14:paraId="5207FD7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0.897825</w:t>
                  </w:r>
                </w:p>
              </w:tc>
              <w:tc>
                <w:tcPr>
                  <w:tcW w:w="901" w:type="dxa"/>
                  <w:tcBorders>
                    <w:top w:val="single" w:sz="4" w:space="0" w:color="auto"/>
                    <w:left w:val="single" w:sz="4" w:space="0" w:color="auto"/>
                    <w:bottom w:val="single" w:sz="4" w:space="0" w:color="auto"/>
                    <w:right w:val="single" w:sz="4" w:space="0" w:color="auto"/>
                  </w:tcBorders>
                  <w:noWrap/>
                  <w:vAlign w:val="bottom"/>
                </w:tcPr>
                <w:p w14:paraId="1793891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0.863752</w:t>
                  </w:r>
                </w:p>
              </w:tc>
              <w:tc>
                <w:tcPr>
                  <w:tcW w:w="901" w:type="dxa"/>
                  <w:tcBorders>
                    <w:top w:val="single" w:sz="4" w:space="0" w:color="auto"/>
                    <w:left w:val="single" w:sz="4" w:space="0" w:color="auto"/>
                    <w:bottom w:val="single" w:sz="4" w:space="0" w:color="auto"/>
                    <w:right w:val="single" w:sz="4" w:space="0" w:color="auto"/>
                  </w:tcBorders>
                  <w:noWrap/>
                  <w:vAlign w:val="bottom"/>
                </w:tcPr>
                <w:p w14:paraId="11FED614"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0.809192</w:t>
                  </w:r>
                </w:p>
              </w:tc>
              <w:tc>
                <w:tcPr>
                  <w:tcW w:w="921" w:type="dxa"/>
                  <w:tcBorders>
                    <w:top w:val="single" w:sz="4" w:space="0" w:color="auto"/>
                    <w:left w:val="single" w:sz="4" w:space="0" w:color="auto"/>
                    <w:bottom w:val="single" w:sz="4" w:space="0" w:color="auto"/>
                    <w:right w:val="single" w:sz="4" w:space="0" w:color="auto"/>
                  </w:tcBorders>
                  <w:noWrap/>
                  <w:vAlign w:val="bottom"/>
                </w:tcPr>
                <w:p w14:paraId="786782D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0.713903</w:t>
                  </w:r>
                </w:p>
              </w:tc>
              <w:tc>
                <w:tcPr>
                  <w:tcW w:w="956" w:type="dxa"/>
                  <w:tcBorders>
                    <w:top w:val="single" w:sz="4" w:space="0" w:color="auto"/>
                    <w:left w:val="single" w:sz="4" w:space="0" w:color="auto"/>
                    <w:bottom w:val="single" w:sz="4" w:space="0" w:color="auto"/>
                    <w:right w:val="single" w:sz="4" w:space="0" w:color="auto"/>
                  </w:tcBorders>
                  <w:noWrap/>
                  <w:vAlign w:val="bottom"/>
                </w:tcPr>
                <w:p w14:paraId="36149B6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0.658453</w:t>
                  </w:r>
                </w:p>
              </w:tc>
              <w:tc>
                <w:tcPr>
                  <w:tcW w:w="427" w:type="dxa"/>
                  <w:tcBorders>
                    <w:top w:val="single" w:sz="4" w:space="0" w:color="auto"/>
                    <w:left w:val="single" w:sz="4" w:space="0" w:color="auto"/>
                    <w:bottom w:val="single" w:sz="4" w:space="0" w:color="auto"/>
                    <w:right w:val="single" w:sz="4" w:space="0" w:color="auto"/>
                  </w:tcBorders>
                  <w:noWrap/>
                  <w:vAlign w:val="bottom"/>
                </w:tcPr>
                <w:p w14:paraId="4F9A7198"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64439920"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5EF631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29</w:t>
                  </w:r>
                </w:p>
              </w:tc>
              <w:tc>
                <w:tcPr>
                  <w:tcW w:w="314" w:type="dxa"/>
                  <w:tcBorders>
                    <w:top w:val="single" w:sz="4" w:space="0" w:color="auto"/>
                    <w:left w:val="single" w:sz="4" w:space="0" w:color="auto"/>
                    <w:bottom w:val="single" w:sz="4" w:space="0" w:color="auto"/>
                    <w:right w:val="single" w:sz="4" w:space="0" w:color="auto"/>
                  </w:tcBorders>
                  <w:noWrap/>
                  <w:vAlign w:val="bottom"/>
                </w:tcPr>
                <w:p w14:paraId="1BBA1C57"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DDDF00D"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0.949333</w:t>
                  </w:r>
                </w:p>
              </w:tc>
              <w:tc>
                <w:tcPr>
                  <w:tcW w:w="901" w:type="dxa"/>
                  <w:tcBorders>
                    <w:top w:val="single" w:sz="4" w:space="0" w:color="auto"/>
                    <w:left w:val="single" w:sz="4" w:space="0" w:color="auto"/>
                    <w:bottom w:val="single" w:sz="4" w:space="0" w:color="auto"/>
                    <w:right w:val="single" w:sz="4" w:space="0" w:color="auto"/>
                  </w:tcBorders>
                  <w:noWrap/>
                  <w:vAlign w:val="bottom"/>
                </w:tcPr>
                <w:p w14:paraId="564EF046"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0.935056</w:t>
                  </w:r>
                </w:p>
              </w:tc>
              <w:tc>
                <w:tcPr>
                  <w:tcW w:w="901" w:type="dxa"/>
                  <w:tcBorders>
                    <w:top w:val="single" w:sz="4" w:space="0" w:color="auto"/>
                    <w:left w:val="single" w:sz="4" w:space="0" w:color="auto"/>
                    <w:bottom w:val="single" w:sz="4" w:space="0" w:color="auto"/>
                    <w:right w:val="single" w:sz="4" w:space="0" w:color="auto"/>
                  </w:tcBorders>
                  <w:noWrap/>
                  <w:vAlign w:val="bottom"/>
                </w:tcPr>
                <w:p w14:paraId="2D64873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0.914441</w:t>
                  </w:r>
                </w:p>
              </w:tc>
              <w:tc>
                <w:tcPr>
                  <w:tcW w:w="901" w:type="dxa"/>
                  <w:tcBorders>
                    <w:top w:val="single" w:sz="4" w:space="0" w:color="auto"/>
                    <w:left w:val="single" w:sz="4" w:space="0" w:color="auto"/>
                    <w:bottom w:val="single" w:sz="4" w:space="0" w:color="auto"/>
                    <w:right w:val="single" w:sz="4" w:space="0" w:color="auto"/>
                  </w:tcBorders>
                  <w:noWrap/>
                  <w:vAlign w:val="bottom"/>
                </w:tcPr>
                <w:p w14:paraId="04A353DF"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0.882184</w:t>
                  </w:r>
                </w:p>
              </w:tc>
              <w:tc>
                <w:tcPr>
                  <w:tcW w:w="921" w:type="dxa"/>
                  <w:tcBorders>
                    <w:top w:val="single" w:sz="4" w:space="0" w:color="auto"/>
                    <w:left w:val="single" w:sz="4" w:space="0" w:color="auto"/>
                    <w:bottom w:val="single" w:sz="4" w:space="0" w:color="auto"/>
                    <w:right w:val="single" w:sz="4" w:space="0" w:color="auto"/>
                  </w:tcBorders>
                  <w:noWrap/>
                  <w:vAlign w:val="bottom"/>
                </w:tcPr>
                <w:p w14:paraId="08D5492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0.827074</w:t>
                  </w:r>
                </w:p>
              </w:tc>
              <w:tc>
                <w:tcPr>
                  <w:tcW w:w="956" w:type="dxa"/>
                  <w:tcBorders>
                    <w:top w:val="single" w:sz="4" w:space="0" w:color="auto"/>
                    <w:left w:val="single" w:sz="4" w:space="0" w:color="auto"/>
                    <w:bottom w:val="single" w:sz="4" w:space="0" w:color="auto"/>
                    <w:right w:val="single" w:sz="4" w:space="0" w:color="auto"/>
                  </w:tcBorders>
                  <w:noWrap/>
                  <w:vAlign w:val="bottom"/>
                </w:tcPr>
                <w:p w14:paraId="796477B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0.797095</w:t>
                  </w:r>
                </w:p>
              </w:tc>
              <w:tc>
                <w:tcPr>
                  <w:tcW w:w="427" w:type="dxa"/>
                  <w:tcBorders>
                    <w:top w:val="single" w:sz="4" w:space="0" w:color="auto"/>
                    <w:left w:val="single" w:sz="4" w:space="0" w:color="auto"/>
                    <w:bottom w:val="single" w:sz="4" w:space="0" w:color="auto"/>
                    <w:right w:val="single" w:sz="4" w:space="0" w:color="auto"/>
                  </w:tcBorders>
                  <w:noWrap/>
                  <w:vAlign w:val="bottom"/>
                </w:tcPr>
                <w:p w14:paraId="1E52A9AA"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r w:rsidR="003424D3" w:rsidRPr="006605A3" w14:paraId="71898636"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0564D93"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Bus 31</w:t>
                  </w:r>
                </w:p>
              </w:tc>
              <w:tc>
                <w:tcPr>
                  <w:tcW w:w="314" w:type="dxa"/>
                  <w:tcBorders>
                    <w:top w:val="single" w:sz="4" w:space="0" w:color="auto"/>
                    <w:left w:val="single" w:sz="4" w:space="0" w:color="auto"/>
                    <w:bottom w:val="single" w:sz="4" w:space="0" w:color="auto"/>
                    <w:right w:val="single" w:sz="4" w:space="0" w:color="auto"/>
                  </w:tcBorders>
                  <w:noWrap/>
                  <w:vAlign w:val="bottom"/>
                </w:tcPr>
                <w:p w14:paraId="59EAB7EC"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C9EC96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0.9611</w:t>
                  </w:r>
                </w:p>
              </w:tc>
              <w:tc>
                <w:tcPr>
                  <w:tcW w:w="901" w:type="dxa"/>
                  <w:tcBorders>
                    <w:top w:val="single" w:sz="4" w:space="0" w:color="auto"/>
                    <w:left w:val="single" w:sz="4" w:space="0" w:color="auto"/>
                    <w:bottom w:val="single" w:sz="4" w:space="0" w:color="auto"/>
                    <w:right w:val="single" w:sz="4" w:space="0" w:color="auto"/>
                  </w:tcBorders>
                  <w:noWrap/>
                  <w:vAlign w:val="bottom"/>
                </w:tcPr>
                <w:p w14:paraId="12A23BA2"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0.950185</w:t>
                  </w:r>
                </w:p>
              </w:tc>
              <w:tc>
                <w:tcPr>
                  <w:tcW w:w="901" w:type="dxa"/>
                  <w:tcBorders>
                    <w:top w:val="single" w:sz="4" w:space="0" w:color="auto"/>
                    <w:left w:val="single" w:sz="4" w:space="0" w:color="auto"/>
                    <w:bottom w:val="single" w:sz="4" w:space="0" w:color="auto"/>
                    <w:right w:val="single" w:sz="4" w:space="0" w:color="auto"/>
                  </w:tcBorders>
                  <w:noWrap/>
                  <w:vAlign w:val="bottom"/>
                </w:tcPr>
                <w:p w14:paraId="74D671F1"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0.934447</w:t>
                  </w:r>
                </w:p>
              </w:tc>
              <w:tc>
                <w:tcPr>
                  <w:tcW w:w="901" w:type="dxa"/>
                  <w:tcBorders>
                    <w:top w:val="single" w:sz="4" w:space="0" w:color="auto"/>
                    <w:left w:val="single" w:sz="4" w:space="0" w:color="auto"/>
                    <w:bottom w:val="single" w:sz="4" w:space="0" w:color="auto"/>
                    <w:right w:val="single" w:sz="4" w:space="0" w:color="auto"/>
                  </w:tcBorders>
                  <w:noWrap/>
                  <w:vAlign w:val="bottom"/>
                </w:tcPr>
                <w:p w14:paraId="61DE1E50"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0.909874</w:t>
                  </w:r>
                </w:p>
              </w:tc>
              <w:tc>
                <w:tcPr>
                  <w:tcW w:w="921" w:type="dxa"/>
                  <w:tcBorders>
                    <w:top w:val="single" w:sz="4" w:space="0" w:color="auto"/>
                    <w:left w:val="single" w:sz="4" w:space="0" w:color="auto"/>
                    <w:bottom w:val="single" w:sz="4" w:space="0" w:color="auto"/>
                    <w:right w:val="single" w:sz="4" w:space="0" w:color="auto"/>
                  </w:tcBorders>
                  <w:noWrap/>
                  <w:vAlign w:val="bottom"/>
                </w:tcPr>
                <w:p w14:paraId="213DD555"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0.868029</w:t>
                  </w:r>
                </w:p>
              </w:tc>
              <w:tc>
                <w:tcPr>
                  <w:tcW w:w="956" w:type="dxa"/>
                  <w:tcBorders>
                    <w:top w:val="single" w:sz="4" w:space="0" w:color="auto"/>
                    <w:left w:val="single" w:sz="4" w:space="0" w:color="auto"/>
                    <w:bottom w:val="single" w:sz="4" w:space="0" w:color="auto"/>
                    <w:right w:val="single" w:sz="4" w:space="0" w:color="auto"/>
                  </w:tcBorders>
                  <w:noWrap/>
                  <w:vAlign w:val="bottom"/>
                </w:tcPr>
                <w:p w14:paraId="5C2DD16E"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0.845254</w:t>
                  </w:r>
                </w:p>
              </w:tc>
              <w:tc>
                <w:tcPr>
                  <w:tcW w:w="427" w:type="dxa"/>
                  <w:tcBorders>
                    <w:top w:val="single" w:sz="4" w:space="0" w:color="auto"/>
                    <w:left w:val="single" w:sz="4" w:space="0" w:color="auto"/>
                    <w:bottom w:val="single" w:sz="4" w:space="0" w:color="auto"/>
                    <w:right w:val="single" w:sz="4" w:space="0" w:color="auto"/>
                  </w:tcBorders>
                  <w:noWrap/>
                  <w:vAlign w:val="bottom"/>
                </w:tcPr>
                <w:p w14:paraId="64C84199" w14:textId="77777777" w:rsidR="003424D3" w:rsidRPr="006605A3" w:rsidRDefault="003424D3" w:rsidP="00CD4F3A">
                  <w:pPr>
                    <w:pStyle w:val="TableText"/>
                    <w:jc w:val="both"/>
                    <w:rPr>
                      <w:rFonts w:asciiTheme="minorHAnsi" w:hAnsiTheme="minorHAnsi" w:cstheme="minorHAnsi"/>
                      <w:sz w:val="16"/>
                      <w:szCs w:val="20"/>
                    </w:rPr>
                  </w:pPr>
                  <w:r w:rsidRPr="006605A3">
                    <w:rPr>
                      <w:rFonts w:asciiTheme="minorHAnsi" w:hAnsiTheme="minorHAnsi" w:cstheme="minorHAnsi"/>
                      <w:sz w:val="16"/>
                      <w:szCs w:val="20"/>
                    </w:rPr>
                    <w:t>0</w:t>
                  </w:r>
                </w:p>
              </w:tc>
            </w:tr>
          </w:tbl>
          <w:p w14:paraId="43EEBA95" w14:textId="77777777" w:rsidR="003424D3" w:rsidRPr="006605A3" w:rsidRDefault="003424D3" w:rsidP="00CD4F3A">
            <w:pPr>
              <w:pStyle w:val="Caption"/>
              <w:spacing w:line="240" w:lineRule="auto"/>
              <w:jc w:val="both"/>
            </w:pPr>
          </w:p>
          <w:p w14:paraId="3878AE6F" w14:textId="77777777" w:rsidR="003424D3" w:rsidRPr="006605A3" w:rsidRDefault="003424D3" w:rsidP="00CD4F3A">
            <w:pPr>
              <w:pStyle w:val="Caption"/>
              <w:spacing w:line="240" w:lineRule="auto"/>
              <w:jc w:val="both"/>
            </w:pPr>
          </w:p>
          <w:p w14:paraId="04EA77D6" w14:textId="77777777" w:rsidR="001552EC" w:rsidRDefault="001552EC" w:rsidP="00CD4F3A">
            <w:pPr>
              <w:pStyle w:val="Caption"/>
              <w:spacing w:line="240" w:lineRule="auto"/>
              <w:jc w:val="both"/>
            </w:pPr>
          </w:p>
          <w:p w14:paraId="08C8BD08" w14:textId="4EE0109F" w:rsidR="003424D3" w:rsidRPr="006605A3" w:rsidRDefault="00480588" w:rsidP="001552EC">
            <w:pPr>
              <w:pStyle w:val="Caption"/>
              <w:spacing w:line="240" w:lineRule="auto"/>
              <w:jc w:val="center"/>
            </w:pPr>
            <w:bookmarkStart w:id="478" w:name="_Toc233728991"/>
            <w:proofErr w:type="spellStart"/>
            <w:r w:rsidRPr="006605A3">
              <w:t>Apx</w:t>
            </w:r>
            <w:proofErr w:type="spellEnd"/>
            <w:r w:rsidRPr="006605A3">
              <w:t xml:space="preserve"> Table </w:t>
            </w:r>
            <w:fldSimple w:instr=" SEQ Apx_Table \* ARABIC \s 9 ">
              <w:r>
                <w:rPr>
                  <w:noProof/>
                </w:rPr>
                <w:t>8</w:t>
              </w:r>
            </w:fldSimple>
            <w:r>
              <w:rPr>
                <w:noProof/>
              </w:rPr>
              <w:t xml:space="preserve">: </w:t>
            </w:r>
            <w:r w:rsidR="003424D3" w:rsidRPr="006605A3">
              <w:t>The value of SDVPI of different buses for 52% renewables in IEEE 39 bus system.</w:t>
            </w:r>
            <w:bookmarkEnd w:id="478"/>
          </w:p>
          <w:tbl>
            <w:tblPr>
              <w:tblW w:w="7035" w:type="dxa"/>
              <w:jc w:val="center"/>
              <w:tblLook w:val="04A0" w:firstRow="1" w:lastRow="0" w:firstColumn="1" w:lastColumn="0" w:noHBand="0" w:noVBand="1"/>
            </w:tblPr>
            <w:tblGrid>
              <w:gridCol w:w="723"/>
              <w:gridCol w:w="314"/>
              <w:gridCol w:w="901"/>
              <w:gridCol w:w="901"/>
              <w:gridCol w:w="901"/>
              <w:gridCol w:w="901"/>
              <w:gridCol w:w="921"/>
              <w:gridCol w:w="956"/>
              <w:gridCol w:w="517"/>
            </w:tblGrid>
            <w:tr w:rsidR="003424D3" w:rsidRPr="006605A3" w14:paraId="7B17A5F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1808942E"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Bus \ Scaling</w:t>
                  </w:r>
                </w:p>
              </w:tc>
              <w:tc>
                <w:tcPr>
                  <w:tcW w:w="314"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1C296C00"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7C20F3D1"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0.05</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1736A57E"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0.11</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2677A353"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0.18</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56C164BE"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0.26</w:t>
                  </w:r>
                </w:p>
              </w:tc>
              <w:tc>
                <w:tcPr>
                  <w:tcW w:w="92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5442B2B3"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0.36</w:t>
                  </w:r>
                </w:p>
              </w:tc>
              <w:tc>
                <w:tcPr>
                  <w:tcW w:w="95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1DCE6987"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0.38</w:t>
                  </w:r>
                </w:p>
              </w:tc>
              <w:tc>
                <w:tcPr>
                  <w:tcW w:w="517"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12B3141F"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0.39</w:t>
                  </w:r>
                </w:p>
              </w:tc>
            </w:tr>
            <w:tr w:rsidR="003424D3" w:rsidRPr="006605A3" w14:paraId="5FA6F51C"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546606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03</w:t>
                  </w:r>
                </w:p>
              </w:tc>
              <w:tc>
                <w:tcPr>
                  <w:tcW w:w="314" w:type="dxa"/>
                  <w:tcBorders>
                    <w:top w:val="single" w:sz="4" w:space="0" w:color="auto"/>
                    <w:left w:val="single" w:sz="4" w:space="0" w:color="auto"/>
                    <w:bottom w:val="single" w:sz="4" w:space="0" w:color="auto"/>
                    <w:right w:val="single" w:sz="4" w:space="0" w:color="auto"/>
                  </w:tcBorders>
                  <w:noWrap/>
                  <w:vAlign w:val="bottom"/>
                </w:tcPr>
                <w:p w14:paraId="07EE06E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518B5C1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0.928736</w:t>
                  </w:r>
                </w:p>
              </w:tc>
              <w:tc>
                <w:tcPr>
                  <w:tcW w:w="901" w:type="dxa"/>
                  <w:tcBorders>
                    <w:top w:val="single" w:sz="4" w:space="0" w:color="auto"/>
                    <w:left w:val="single" w:sz="4" w:space="0" w:color="auto"/>
                    <w:bottom w:val="single" w:sz="4" w:space="0" w:color="auto"/>
                    <w:right w:val="single" w:sz="4" w:space="0" w:color="auto"/>
                  </w:tcBorders>
                  <w:noWrap/>
                  <w:vAlign w:val="bottom"/>
                </w:tcPr>
                <w:p w14:paraId="6A59344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0.899365</w:t>
                  </w:r>
                </w:p>
              </w:tc>
              <w:tc>
                <w:tcPr>
                  <w:tcW w:w="901" w:type="dxa"/>
                  <w:tcBorders>
                    <w:top w:val="single" w:sz="4" w:space="0" w:color="auto"/>
                    <w:left w:val="single" w:sz="4" w:space="0" w:color="auto"/>
                    <w:bottom w:val="single" w:sz="4" w:space="0" w:color="auto"/>
                    <w:right w:val="single" w:sz="4" w:space="0" w:color="auto"/>
                  </w:tcBorders>
                  <w:noWrap/>
                  <w:vAlign w:val="bottom"/>
                </w:tcPr>
                <w:p w14:paraId="7B3751A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0.856145</w:t>
                  </w:r>
                </w:p>
              </w:tc>
              <w:tc>
                <w:tcPr>
                  <w:tcW w:w="901" w:type="dxa"/>
                  <w:tcBorders>
                    <w:top w:val="single" w:sz="4" w:space="0" w:color="auto"/>
                    <w:left w:val="single" w:sz="4" w:space="0" w:color="auto"/>
                    <w:bottom w:val="single" w:sz="4" w:space="0" w:color="auto"/>
                    <w:right w:val="single" w:sz="4" w:space="0" w:color="auto"/>
                  </w:tcBorders>
                  <w:noWrap/>
                  <w:vAlign w:val="bottom"/>
                </w:tcPr>
                <w:p w14:paraId="1445111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0.786937</w:t>
                  </w:r>
                </w:p>
              </w:tc>
              <w:tc>
                <w:tcPr>
                  <w:tcW w:w="921" w:type="dxa"/>
                  <w:tcBorders>
                    <w:top w:val="single" w:sz="4" w:space="0" w:color="auto"/>
                    <w:left w:val="single" w:sz="4" w:space="0" w:color="auto"/>
                    <w:bottom w:val="single" w:sz="4" w:space="0" w:color="auto"/>
                    <w:right w:val="single" w:sz="4" w:space="0" w:color="auto"/>
                  </w:tcBorders>
                  <w:noWrap/>
                  <w:vAlign w:val="bottom"/>
                </w:tcPr>
                <w:p w14:paraId="38ACB46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0.647767</w:t>
                  </w:r>
                </w:p>
              </w:tc>
              <w:tc>
                <w:tcPr>
                  <w:tcW w:w="956" w:type="dxa"/>
                  <w:tcBorders>
                    <w:top w:val="single" w:sz="4" w:space="0" w:color="auto"/>
                    <w:left w:val="single" w:sz="4" w:space="0" w:color="auto"/>
                    <w:bottom w:val="single" w:sz="4" w:space="0" w:color="auto"/>
                    <w:right w:val="single" w:sz="4" w:space="0" w:color="auto"/>
                  </w:tcBorders>
                  <w:noWrap/>
                  <w:vAlign w:val="bottom"/>
                </w:tcPr>
                <w:p w14:paraId="5492D87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0.399635</w:t>
                  </w:r>
                </w:p>
              </w:tc>
              <w:tc>
                <w:tcPr>
                  <w:tcW w:w="517" w:type="dxa"/>
                  <w:tcBorders>
                    <w:top w:val="single" w:sz="4" w:space="0" w:color="auto"/>
                    <w:left w:val="single" w:sz="4" w:space="0" w:color="auto"/>
                    <w:bottom w:val="single" w:sz="4" w:space="0" w:color="auto"/>
                    <w:right w:val="single" w:sz="4" w:space="0" w:color="auto"/>
                  </w:tcBorders>
                  <w:noWrap/>
                  <w:vAlign w:val="bottom"/>
                </w:tcPr>
                <w:p w14:paraId="20866A4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ABABD4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316278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04</w:t>
                  </w:r>
                </w:p>
              </w:tc>
              <w:tc>
                <w:tcPr>
                  <w:tcW w:w="314" w:type="dxa"/>
                  <w:tcBorders>
                    <w:top w:val="single" w:sz="4" w:space="0" w:color="auto"/>
                    <w:left w:val="single" w:sz="4" w:space="0" w:color="auto"/>
                    <w:bottom w:val="single" w:sz="4" w:space="0" w:color="auto"/>
                    <w:right w:val="single" w:sz="4" w:space="0" w:color="auto"/>
                  </w:tcBorders>
                  <w:noWrap/>
                  <w:vAlign w:val="bottom"/>
                </w:tcPr>
                <w:p w14:paraId="23F78FF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6B5B688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0.903502</w:t>
                  </w:r>
                </w:p>
              </w:tc>
              <w:tc>
                <w:tcPr>
                  <w:tcW w:w="901" w:type="dxa"/>
                  <w:tcBorders>
                    <w:top w:val="single" w:sz="4" w:space="0" w:color="auto"/>
                    <w:left w:val="single" w:sz="4" w:space="0" w:color="auto"/>
                    <w:bottom w:val="single" w:sz="4" w:space="0" w:color="auto"/>
                    <w:right w:val="single" w:sz="4" w:space="0" w:color="auto"/>
                  </w:tcBorders>
                  <w:noWrap/>
                  <w:vAlign w:val="bottom"/>
                </w:tcPr>
                <w:p w14:paraId="2CC5BC7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0.871109</w:t>
                  </w:r>
                </w:p>
              </w:tc>
              <w:tc>
                <w:tcPr>
                  <w:tcW w:w="901" w:type="dxa"/>
                  <w:tcBorders>
                    <w:top w:val="single" w:sz="4" w:space="0" w:color="auto"/>
                    <w:left w:val="single" w:sz="4" w:space="0" w:color="auto"/>
                    <w:bottom w:val="single" w:sz="4" w:space="0" w:color="auto"/>
                    <w:right w:val="single" w:sz="4" w:space="0" w:color="auto"/>
                  </w:tcBorders>
                  <w:noWrap/>
                  <w:vAlign w:val="bottom"/>
                </w:tcPr>
                <w:p w14:paraId="38DAF3E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0.823338</w:t>
                  </w:r>
                </w:p>
              </w:tc>
              <w:tc>
                <w:tcPr>
                  <w:tcW w:w="901" w:type="dxa"/>
                  <w:tcBorders>
                    <w:top w:val="single" w:sz="4" w:space="0" w:color="auto"/>
                    <w:left w:val="single" w:sz="4" w:space="0" w:color="auto"/>
                    <w:bottom w:val="single" w:sz="4" w:space="0" w:color="auto"/>
                    <w:right w:val="single" w:sz="4" w:space="0" w:color="auto"/>
                  </w:tcBorders>
                  <w:noWrap/>
                  <w:vAlign w:val="bottom"/>
                </w:tcPr>
                <w:p w14:paraId="42CC796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0.747016</w:t>
                  </w:r>
                </w:p>
              </w:tc>
              <w:tc>
                <w:tcPr>
                  <w:tcW w:w="921" w:type="dxa"/>
                  <w:tcBorders>
                    <w:top w:val="single" w:sz="4" w:space="0" w:color="auto"/>
                    <w:left w:val="single" w:sz="4" w:space="0" w:color="auto"/>
                    <w:bottom w:val="single" w:sz="4" w:space="0" w:color="auto"/>
                    <w:right w:val="single" w:sz="4" w:space="0" w:color="auto"/>
                  </w:tcBorders>
                  <w:noWrap/>
                  <w:vAlign w:val="bottom"/>
                </w:tcPr>
                <w:p w14:paraId="395A480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0.585555</w:t>
                  </w:r>
                </w:p>
              </w:tc>
              <w:tc>
                <w:tcPr>
                  <w:tcW w:w="956" w:type="dxa"/>
                  <w:tcBorders>
                    <w:top w:val="single" w:sz="4" w:space="0" w:color="auto"/>
                    <w:left w:val="single" w:sz="4" w:space="0" w:color="auto"/>
                    <w:bottom w:val="single" w:sz="4" w:space="0" w:color="auto"/>
                    <w:right w:val="single" w:sz="4" w:space="0" w:color="auto"/>
                  </w:tcBorders>
                  <w:noWrap/>
                  <w:vAlign w:val="bottom"/>
                </w:tcPr>
                <w:p w14:paraId="5788EAD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0.277651</w:t>
                  </w:r>
                </w:p>
              </w:tc>
              <w:tc>
                <w:tcPr>
                  <w:tcW w:w="517" w:type="dxa"/>
                  <w:tcBorders>
                    <w:top w:val="single" w:sz="4" w:space="0" w:color="auto"/>
                    <w:left w:val="single" w:sz="4" w:space="0" w:color="auto"/>
                    <w:bottom w:val="single" w:sz="4" w:space="0" w:color="auto"/>
                    <w:right w:val="single" w:sz="4" w:space="0" w:color="auto"/>
                  </w:tcBorders>
                  <w:noWrap/>
                  <w:vAlign w:val="bottom"/>
                </w:tcPr>
                <w:p w14:paraId="3AA5EE7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53BB8B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8FB0E8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07</w:t>
                  </w:r>
                </w:p>
              </w:tc>
              <w:tc>
                <w:tcPr>
                  <w:tcW w:w="314" w:type="dxa"/>
                  <w:tcBorders>
                    <w:top w:val="single" w:sz="4" w:space="0" w:color="auto"/>
                    <w:left w:val="single" w:sz="4" w:space="0" w:color="auto"/>
                    <w:bottom w:val="single" w:sz="4" w:space="0" w:color="auto"/>
                    <w:right w:val="single" w:sz="4" w:space="0" w:color="auto"/>
                  </w:tcBorders>
                  <w:noWrap/>
                  <w:vAlign w:val="bottom"/>
                </w:tcPr>
                <w:p w14:paraId="126A09F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90C50C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0.903913</w:t>
                  </w:r>
                </w:p>
              </w:tc>
              <w:tc>
                <w:tcPr>
                  <w:tcW w:w="901" w:type="dxa"/>
                  <w:tcBorders>
                    <w:top w:val="single" w:sz="4" w:space="0" w:color="auto"/>
                    <w:left w:val="single" w:sz="4" w:space="0" w:color="auto"/>
                    <w:bottom w:val="single" w:sz="4" w:space="0" w:color="auto"/>
                    <w:right w:val="single" w:sz="4" w:space="0" w:color="auto"/>
                  </w:tcBorders>
                  <w:noWrap/>
                  <w:vAlign w:val="bottom"/>
                </w:tcPr>
                <w:p w14:paraId="388376D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0.867621</w:t>
                  </w:r>
                </w:p>
              </w:tc>
              <w:tc>
                <w:tcPr>
                  <w:tcW w:w="901" w:type="dxa"/>
                  <w:tcBorders>
                    <w:top w:val="single" w:sz="4" w:space="0" w:color="auto"/>
                    <w:left w:val="single" w:sz="4" w:space="0" w:color="auto"/>
                    <w:bottom w:val="single" w:sz="4" w:space="0" w:color="auto"/>
                    <w:right w:val="single" w:sz="4" w:space="0" w:color="auto"/>
                  </w:tcBorders>
                  <w:noWrap/>
                  <w:vAlign w:val="bottom"/>
                </w:tcPr>
                <w:p w14:paraId="26724DA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0.813037</w:t>
                  </w:r>
                </w:p>
              </w:tc>
              <w:tc>
                <w:tcPr>
                  <w:tcW w:w="901" w:type="dxa"/>
                  <w:tcBorders>
                    <w:top w:val="single" w:sz="4" w:space="0" w:color="auto"/>
                    <w:left w:val="single" w:sz="4" w:space="0" w:color="auto"/>
                    <w:bottom w:val="single" w:sz="4" w:space="0" w:color="auto"/>
                    <w:right w:val="single" w:sz="4" w:space="0" w:color="auto"/>
                  </w:tcBorders>
                  <w:noWrap/>
                  <w:vAlign w:val="bottom"/>
                </w:tcPr>
                <w:p w14:paraId="0A19C0B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0.724012</w:t>
                  </w:r>
                </w:p>
              </w:tc>
              <w:tc>
                <w:tcPr>
                  <w:tcW w:w="921" w:type="dxa"/>
                  <w:tcBorders>
                    <w:top w:val="single" w:sz="4" w:space="0" w:color="auto"/>
                    <w:left w:val="single" w:sz="4" w:space="0" w:color="auto"/>
                    <w:bottom w:val="single" w:sz="4" w:space="0" w:color="auto"/>
                    <w:right w:val="single" w:sz="4" w:space="0" w:color="auto"/>
                  </w:tcBorders>
                  <w:noWrap/>
                  <w:vAlign w:val="bottom"/>
                </w:tcPr>
                <w:p w14:paraId="1902ACB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0.526426</w:t>
                  </w:r>
                </w:p>
              </w:tc>
              <w:tc>
                <w:tcPr>
                  <w:tcW w:w="956" w:type="dxa"/>
                  <w:tcBorders>
                    <w:top w:val="single" w:sz="4" w:space="0" w:color="auto"/>
                    <w:left w:val="single" w:sz="4" w:space="0" w:color="auto"/>
                    <w:bottom w:val="single" w:sz="4" w:space="0" w:color="auto"/>
                    <w:right w:val="single" w:sz="4" w:space="0" w:color="auto"/>
                  </w:tcBorders>
                  <w:noWrap/>
                  <w:vAlign w:val="bottom"/>
                </w:tcPr>
                <w:p w14:paraId="16A8642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0.182205</w:t>
                  </w:r>
                </w:p>
              </w:tc>
              <w:tc>
                <w:tcPr>
                  <w:tcW w:w="517" w:type="dxa"/>
                  <w:tcBorders>
                    <w:top w:val="single" w:sz="4" w:space="0" w:color="auto"/>
                    <w:left w:val="single" w:sz="4" w:space="0" w:color="auto"/>
                    <w:bottom w:val="single" w:sz="4" w:space="0" w:color="auto"/>
                    <w:right w:val="single" w:sz="4" w:space="0" w:color="auto"/>
                  </w:tcBorders>
                  <w:noWrap/>
                  <w:vAlign w:val="bottom"/>
                </w:tcPr>
                <w:p w14:paraId="5516580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554D628"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6F29485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08</w:t>
                  </w:r>
                </w:p>
              </w:tc>
              <w:tc>
                <w:tcPr>
                  <w:tcW w:w="314" w:type="dxa"/>
                  <w:tcBorders>
                    <w:top w:val="single" w:sz="4" w:space="0" w:color="auto"/>
                    <w:left w:val="single" w:sz="4" w:space="0" w:color="auto"/>
                    <w:bottom w:val="single" w:sz="4" w:space="0" w:color="auto"/>
                    <w:right w:val="single" w:sz="4" w:space="0" w:color="auto"/>
                  </w:tcBorders>
                  <w:noWrap/>
                  <w:vAlign w:val="bottom"/>
                </w:tcPr>
                <w:p w14:paraId="1DC872D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DE98DA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0.900865</w:t>
                  </w:r>
                </w:p>
              </w:tc>
              <w:tc>
                <w:tcPr>
                  <w:tcW w:w="901" w:type="dxa"/>
                  <w:tcBorders>
                    <w:top w:val="single" w:sz="4" w:space="0" w:color="auto"/>
                    <w:left w:val="single" w:sz="4" w:space="0" w:color="auto"/>
                    <w:bottom w:val="single" w:sz="4" w:space="0" w:color="auto"/>
                    <w:right w:val="single" w:sz="4" w:space="0" w:color="auto"/>
                  </w:tcBorders>
                  <w:noWrap/>
                  <w:vAlign w:val="bottom"/>
                </w:tcPr>
                <w:p w14:paraId="73ECDFD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0.8622</w:t>
                  </w:r>
                </w:p>
              </w:tc>
              <w:tc>
                <w:tcPr>
                  <w:tcW w:w="901" w:type="dxa"/>
                  <w:tcBorders>
                    <w:top w:val="single" w:sz="4" w:space="0" w:color="auto"/>
                    <w:left w:val="single" w:sz="4" w:space="0" w:color="auto"/>
                    <w:bottom w:val="single" w:sz="4" w:space="0" w:color="auto"/>
                    <w:right w:val="single" w:sz="4" w:space="0" w:color="auto"/>
                  </w:tcBorders>
                  <w:noWrap/>
                  <w:vAlign w:val="bottom"/>
                </w:tcPr>
                <w:p w14:paraId="61542B9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0.803911</w:t>
                  </w:r>
                </w:p>
              </w:tc>
              <w:tc>
                <w:tcPr>
                  <w:tcW w:w="901" w:type="dxa"/>
                  <w:tcBorders>
                    <w:top w:val="single" w:sz="4" w:space="0" w:color="auto"/>
                    <w:left w:val="single" w:sz="4" w:space="0" w:color="auto"/>
                    <w:bottom w:val="single" w:sz="4" w:space="0" w:color="auto"/>
                    <w:right w:val="single" w:sz="4" w:space="0" w:color="auto"/>
                  </w:tcBorders>
                  <w:noWrap/>
                  <w:vAlign w:val="bottom"/>
                </w:tcPr>
                <w:p w14:paraId="7518729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0.708422</w:t>
                  </w:r>
                </w:p>
              </w:tc>
              <w:tc>
                <w:tcPr>
                  <w:tcW w:w="921" w:type="dxa"/>
                  <w:tcBorders>
                    <w:top w:val="single" w:sz="4" w:space="0" w:color="auto"/>
                    <w:left w:val="single" w:sz="4" w:space="0" w:color="auto"/>
                    <w:bottom w:val="single" w:sz="4" w:space="0" w:color="auto"/>
                    <w:right w:val="single" w:sz="4" w:space="0" w:color="auto"/>
                  </w:tcBorders>
                  <w:noWrap/>
                  <w:vAlign w:val="bottom"/>
                </w:tcPr>
                <w:p w14:paraId="45F173B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0.497748</w:t>
                  </w:r>
                </w:p>
              </w:tc>
              <w:tc>
                <w:tcPr>
                  <w:tcW w:w="956" w:type="dxa"/>
                  <w:tcBorders>
                    <w:top w:val="single" w:sz="4" w:space="0" w:color="auto"/>
                    <w:left w:val="single" w:sz="4" w:space="0" w:color="auto"/>
                    <w:bottom w:val="single" w:sz="4" w:space="0" w:color="auto"/>
                    <w:right w:val="single" w:sz="4" w:space="0" w:color="auto"/>
                  </w:tcBorders>
                  <w:noWrap/>
                  <w:vAlign w:val="bottom"/>
                </w:tcPr>
                <w:p w14:paraId="5AF1BB7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0.149981</w:t>
                  </w:r>
                </w:p>
              </w:tc>
              <w:tc>
                <w:tcPr>
                  <w:tcW w:w="517" w:type="dxa"/>
                  <w:tcBorders>
                    <w:top w:val="single" w:sz="4" w:space="0" w:color="auto"/>
                    <w:left w:val="single" w:sz="4" w:space="0" w:color="auto"/>
                    <w:bottom w:val="single" w:sz="4" w:space="0" w:color="auto"/>
                    <w:right w:val="single" w:sz="4" w:space="0" w:color="auto"/>
                  </w:tcBorders>
                  <w:noWrap/>
                  <w:vAlign w:val="bottom"/>
                </w:tcPr>
                <w:p w14:paraId="06B127E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FA0B4A0"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2A8A56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12</w:t>
                  </w:r>
                </w:p>
              </w:tc>
              <w:tc>
                <w:tcPr>
                  <w:tcW w:w="314" w:type="dxa"/>
                  <w:tcBorders>
                    <w:top w:val="single" w:sz="4" w:space="0" w:color="auto"/>
                    <w:left w:val="single" w:sz="4" w:space="0" w:color="auto"/>
                    <w:bottom w:val="single" w:sz="4" w:space="0" w:color="auto"/>
                    <w:right w:val="single" w:sz="4" w:space="0" w:color="auto"/>
                  </w:tcBorders>
                  <w:noWrap/>
                  <w:vAlign w:val="bottom"/>
                </w:tcPr>
                <w:p w14:paraId="0ADF523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3460E47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0.902045</w:t>
                  </w:r>
                </w:p>
              </w:tc>
              <w:tc>
                <w:tcPr>
                  <w:tcW w:w="901" w:type="dxa"/>
                  <w:tcBorders>
                    <w:top w:val="single" w:sz="4" w:space="0" w:color="auto"/>
                    <w:left w:val="single" w:sz="4" w:space="0" w:color="auto"/>
                    <w:bottom w:val="single" w:sz="4" w:space="0" w:color="auto"/>
                    <w:right w:val="single" w:sz="4" w:space="0" w:color="auto"/>
                  </w:tcBorders>
                  <w:noWrap/>
                  <w:vAlign w:val="bottom"/>
                </w:tcPr>
                <w:p w14:paraId="042A5C3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0.872823</w:t>
                  </w:r>
                </w:p>
              </w:tc>
              <w:tc>
                <w:tcPr>
                  <w:tcW w:w="901" w:type="dxa"/>
                  <w:tcBorders>
                    <w:top w:val="single" w:sz="4" w:space="0" w:color="auto"/>
                    <w:left w:val="single" w:sz="4" w:space="0" w:color="auto"/>
                    <w:bottom w:val="single" w:sz="4" w:space="0" w:color="auto"/>
                    <w:right w:val="single" w:sz="4" w:space="0" w:color="auto"/>
                  </w:tcBorders>
                  <w:noWrap/>
                  <w:vAlign w:val="bottom"/>
                </w:tcPr>
                <w:p w14:paraId="6820646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0.829963</w:t>
                  </w:r>
                </w:p>
              </w:tc>
              <w:tc>
                <w:tcPr>
                  <w:tcW w:w="901" w:type="dxa"/>
                  <w:tcBorders>
                    <w:top w:val="single" w:sz="4" w:space="0" w:color="auto"/>
                    <w:left w:val="single" w:sz="4" w:space="0" w:color="auto"/>
                    <w:bottom w:val="single" w:sz="4" w:space="0" w:color="auto"/>
                    <w:right w:val="single" w:sz="4" w:space="0" w:color="auto"/>
                  </w:tcBorders>
                  <w:noWrap/>
                  <w:vAlign w:val="bottom"/>
                </w:tcPr>
                <w:p w14:paraId="3DB9772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0.762085</w:t>
                  </w:r>
                </w:p>
              </w:tc>
              <w:tc>
                <w:tcPr>
                  <w:tcW w:w="921" w:type="dxa"/>
                  <w:tcBorders>
                    <w:top w:val="single" w:sz="4" w:space="0" w:color="auto"/>
                    <w:left w:val="single" w:sz="4" w:space="0" w:color="auto"/>
                    <w:bottom w:val="single" w:sz="4" w:space="0" w:color="auto"/>
                    <w:right w:val="single" w:sz="4" w:space="0" w:color="auto"/>
                  </w:tcBorders>
                  <w:noWrap/>
                  <w:vAlign w:val="bottom"/>
                </w:tcPr>
                <w:p w14:paraId="0F1CC69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0.617005</w:t>
                  </w:r>
                </w:p>
              </w:tc>
              <w:tc>
                <w:tcPr>
                  <w:tcW w:w="956" w:type="dxa"/>
                  <w:tcBorders>
                    <w:top w:val="single" w:sz="4" w:space="0" w:color="auto"/>
                    <w:left w:val="single" w:sz="4" w:space="0" w:color="auto"/>
                    <w:bottom w:val="single" w:sz="4" w:space="0" w:color="auto"/>
                    <w:right w:val="single" w:sz="4" w:space="0" w:color="auto"/>
                  </w:tcBorders>
                  <w:noWrap/>
                  <w:vAlign w:val="bottom"/>
                </w:tcPr>
                <w:p w14:paraId="5DFA99B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0.285987</w:t>
                  </w:r>
                </w:p>
              </w:tc>
              <w:tc>
                <w:tcPr>
                  <w:tcW w:w="517" w:type="dxa"/>
                  <w:tcBorders>
                    <w:top w:val="single" w:sz="4" w:space="0" w:color="auto"/>
                    <w:left w:val="single" w:sz="4" w:space="0" w:color="auto"/>
                    <w:bottom w:val="single" w:sz="4" w:space="0" w:color="auto"/>
                    <w:right w:val="single" w:sz="4" w:space="0" w:color="auto"/>
                  </w:tcBorders>
                  <w:noWrap/>
                  <w:vAlign w:val="bottom"/>
                </w:tcPr>
                <w:p w14:paraId="71E8EB8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76B61A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33E071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15</w:t>
                  </w:r>
                </w:p>
              </w:tc>
              <w:tc>
                <w:tcPr>
                  <w:tcW w:w="314" w:type="dxa"/>
                  <w:tcBorders>
                    <w:top w:val="single" w:sz="4" w:space="0" w:color="auto"/>
                    <w:left w:val="single" w:sz="4" w:space="0" w:color="auto"/>
                    <w:bottom w:val="single" w:sz="4" w:space="0" w:color="auto"/>
                    <w:right w:val="single" w:sz="4" w:space="0" w:color="auto"/>
                  </w:tcBorders>
                  <w:noWrap/>
                  <w:vAlign w:val="bottom"/>
                </w:tcPr>
                <w:p w14:paraId="1DA3A4B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9F3281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0.912338</w:t>
                  </w:r>
                </w:p>
              </w:tc>
              <w:tc>
                <w:tcPr>
                  <w:tcW w:w="901" w:type="dxa"/>
                  <w:tcBorders>
                    <w:top w:val="single" w:sz="4" w:space="0" w:color="auto"/>
                    <w:left w:val="single" w:sz="4" w:space="0" w:color="auto"/>
                    <w:bottom w:val="single" w:sz="4" w:space="0" w:color="auto"/>
                    <w:right w:val="single" w:sz="4" w:space="0" w:color="auto"/>
                  </w:tcBorders>
                  <w:noWrap/>
                  <w:vAlign w:val="bottom"/>
                </w:tcPr>
                <w:p w14:paraId="7056073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0.88452</w:t>
                  </w:r>
                </w:p>
              </w:tc>
              <w:tc>
                <w:tcPr>
                  <w:tcW w:w="901" w:type="dxa"/>
                  <w:tcBorders>
                    <w:top w:val="single" w:sz="4" w:space="0" w:color="auto"/>
                    <w:left w:val="single" w:sz="4" w:space="0" w:color="auto"/>
                    <w:bottom w:val="single" w:sz="4" w:space="0" w:color="auto"/>
                    <w:right w:val="single" w:sz="4" w:space="0" w:color="auto"/>
                  </w:tcBorders>
                  <w:noWrap/>
                  <w:vAlign w:val="bottom"/>
                </w:tcPr>
                <w:p w14:paraId="2F5FDBC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0.845272</w:t>
                  </w:r>
                </w:p>
              </w:tc>
              <w:tc>
                <w:tcPr>
                  <w:tcW w:w="901" w:type="dxa"/>
                  <w:tcBorders>
                    <w:top w:val="single" w:sz="4" w:space="0" w:color="auto"/>
                    <w:left w:val="single" w:sz="4" w:space="0" w:color="auto"/>
                    <w:bottom w:val="single" w:sz="4" w:space="0" w:color="auto"/>
                    <w:right w:val="single" w:sz="4" w:space="0" w:color="auto"/>
                  </w:tcBorders>
                  <w:noWrap/>
                  <w:vAlign w:val="bottom"/>
                </w:tcPr>
                <w:p w14:paraId="0B7EC1C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0.784892</w:t>
                  </w:r>
                </w:p>
              </w:tc>
              <w:tc>
                <w:tcPr>
                  <w:tcW w:w="921" w:type="dxa"/>
                  <w:tcBorders>
                    <w:top w:val="single" w:sz="4" w:space="0" w:color="auto"/>
                    <w:left w:val="single" w:sz="4" w:space="0" w:color="auto"/>
                    <w:bottom w:val="single" w:sz="4" w:space="0" w:color="auto"/>
                    <w:right w:val="single" w:sz="4" w:space="0" w:color="auto"/>
                  </w:tcBorders>
                  <w:noWrap/>
                  <w:vAlign w:val="bottom"/>
                </w:tcPr>
                <w:p w14:paraId="18DBAA8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0.667348</w:t>
                  </w:r>
                </w:p>
              </w:tc>
              <w:tc>
                <w:tcPr>
                  <w:tcW w:w="956" w:type="dxa"/>
                  <w:tcBorders>
                    <w:top w:val="single" w:sz="4" w:space="0" w:color="auto"/>
                    <w:left w:val="single" w:sz="4" w:space="0" w:color="auto"/>
                    <w:bottom w:val="single" w:sz="4" w:space="0" w:color="auto"/>
                    <w:right w:val="single" w:sz="4" w:space="0" w:color="auto"/>
                  </w:tcBorders>
                  <w:noWrap/>
                  <w:vAlign w:val="bottom"/>
                </w:tcPr>
                <w:p w14:paraId="3E29FDB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0.446403</w:t>
                  </w:r>
                </w:p>
              </w:tc>
              <w:tc>
                <w:tcPr>
                  <w:tcW w:w="517" w:type="dxa"/>
                  <w:tcBorders>
                    <w:top w:val="single" w:sz="4" w:space="0" w:color="auto"/>
                    <w:left w:val="single" w:sz="4" w:space="0" w:color="auto"/>
                    <w:bottom w:val="single" w:sz="4" w:space="0" w:color="auto"/>
                    <w:right w:val="single" w:sz="4" w:space="0" w:color="auto"/>
                  </w:tcBorders>
                  <w:noWrap/>
                  <w:vAlign w:val="bottom"/>
                </w:tcPr>
                <w:p w14:paraId="6BF66AC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C3978AB"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D8F472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16</w:t>
                  </w:r>
                </w:p>
              </w:tc>
              <w:tc>
                <w:tcPr>
                  <w:tcW w:w="314" w:type="dxa"/>
                  <w:tcBorders>
                    <w:top w:val="single" w:sz="4" w:space="0" w:color="auto"/>
                    <w:left w:val="single" w:sz="4" w:space="0" w:color="auto"/>
                    <w:bottom w:val="single" w:sz="4" w:space="0" w:color="auto"/>
                    <w:right w:val="single" w:sz="4" w:space="0" w:color="auto"/>
                  </w:tcBorders>
                  <w:noWrap/>
                  <w:vAlign w:val="bottom"/>
                </w:tcPr>
                <w:p w14:paraId="1CA8543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0B3A7A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0.932416</w:t>
                  </w:r>
                </w:p>
              </w:tc>
              <w:tc>
                <w:tcPr>
                  <w:tcW w:w="901" w:type="dxa"/>
                  <w:tcBorders>
                    <w:top w:val="single" w:sz="4" w:space="0" w:color="auto"/>
                    <w:left w:val="single" w:sz="4" w:space="0" w:color="auto"/>
                    <w:bottom w:val="single" w:sz="4" w:space="0" w:color="auto"/>
                    <w:right w:val="single" w:sz="4" w:space="0" w:color="auto"/>
                  </w:tcBorders>
                  <w:noWrap/>
                  <w:vAlign w:val="bottom"/>
                </w:tcPr>
                <w:p w14:paraId="0733C48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0.908981</w:t>
                  </w:r>
                </w:p>
              </w:tc>
              <w:tc>
                <w:tcPr>
                  <w:tcW w:w="901" w:type="dxa"/>
                  <w:tcBorders>
                    <w:top w:val="single" w:sz="4" w:space="0" w:color="auto"/>
                    <w:left w:val="single" w:sz="4" w:space="0" w:color="auto"/>
                    <w:bottom w:val="single" w:sz="4" w:space="0" w:color="auto"/>
                    <w:right w:val="single" w:sz="4" w:space="0" w:color="auto"/>
                  </w:tcBorders>
                  <w:noWrap/>
                  <w:vAlign w:val="bottom"/>
                </w:tcPr>
                <w:p w14:paraId="6807497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0.876567</w:t>
                  </w:r>
                </w:p>
              </w:tc>
              <w:tc>
                <w:tcPr>
                  <w:tcW w:w="901" w:type="dxa"/>
                  <w:tcBorders>
                    <w:top w:val="single" w:sz="4" w:space="0" w:color="auto"/>
                    <w:left w:val="single" w:sz="4" w:space="0" w:color="auto"/>
                    <w:bottom w:val="single" w:sz="4" w:space="0" w:color="auto"/>
                    <w:right w:val="single" w:sz="4" w:space="0" w:color="auto"/>
                  </w:tcBorders>
                  <w:noWrap/>
                  <w:vAlign w:val="bottom"/>
                </w:tcPr>
                <w:p w14:paraId="7A9AE23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0.82735</w:t>
                  </w:r>
                </w:p>
              </w:tc>
              <w:tc>
                <w:tcPr>
                  <w:tcW w:w="921" w:type="dxa"/>
                  <w:tcBorders>
                    <w:top w:val="single" w:sz="4" w:space="0" w:color="auto"/>
                    <w:left w:val="single" w:sz="4" w:space="0" w:color="auto"/>
                    <w:bottom w:val="single" w:sz="4" w:space="0" w:color="auto"/>
                    <w:right w:val="single" w:sz="4" w:space="0" w:color="auto"/>
                  </w:tcBorders>
                  <w:noWrap/>
                  <w:vAlign w:val="bottom"/>
                </w:tcPr>
                <w:p w14:paraId="22E62B8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0.733778</w:t>
                  </w:r>
                </w:p>
              </w:tc>
              <w:tc>
                <w:tcPr>
                  <w:tcW w:w="956" w:type="dxa"/>
                  <w:tcBorders>
                    <w:top w:val="single" w:sz="4" w:space="0" w:color="auto"/>
                    <w:left w:val="single" w:sz="4" w:space="0" w:color="auto"/>
                    <w:bottom w:val="single" w:sz="4" w:space="0" w:color="auto"/>
                    <w:right w:val="single" w:sz="4" w:space="0" w:color="auto"/>
                  </w:tcBorders>
                  <w:noWrap/>
                  <w:vAlign w:val="bottom"/>
                </w:tcPr>
                <w:p w14:paraId="7321C7E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0.556689</w:t>
                  </w:r>
                </w:p>
              </w:tc>
              <w:tc>
                <w:tcPr>
                  <w:tcW w:w="517" w:type="dxa"/>
                  <w:tcBorders>
                    <w:top w:val="single" w:sz="4" w:space="0" w:color="auto"/>
                    <w:left w:val="single" w:sz="4" w:space="0" w:color="auto"/>
                    <w:bottom w:val="single" w:sz="4" w:space="0" w:color="auto"/>
                    <w:right w:val="single" w:sz="4" w:space="0" w:color="auto"/>
                  </w:tcBorders>
                  <w:noWrap/>
                  <w:vAlign w:val="bottom"/>
                </w:tcPr>
                <w:p w14:paraId="71FF5A5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DDC2F3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73D739D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18</w:t>
                  </w:r>
                </w:p>
              </w:tc>
              <w:tc>
                <w:tcPr>
                  <w:tcW w:w="314" w:type="dxa"/>
                  <w:tcBorders>
                    <w:top w:val="single" w:sz="4" w:space="0" w:color="auto"/>
                    <w:left w:val="single" w:sz="4" w:space="0" w:color="auto"/>
                    <w:bottom w:val="single" w:sz="4" w:space="0" w:color="auto"/>
                    <w:right w:val="single" w:sz="4" w:space="0" w:color="auto"/>
                  </w:tcBorders>
                  <w:noWrap/>
                  <w:vAlign w:val="bottom"/>
                </w:tcPr>
                <w:p w14:paraId="22D2175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0D532C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0.924539</w:t>
                  </w:r>
                </w:p>
              </w:tc>
              <w:tc>
                <w:tcPr>
                  <w:tcW w:w="901" w:type="dxa"/>
                  <w:tcBorders>
                    <w:top w:val="single" w:sz="4" w:space="0" w:color="auto"/>
                    <w:left w:val="single" w:sz="4" w:space="0" w:color="auto"/>
                    <w:bottom w:val="single" w:sz="4" w:space="0" w:color="auto"/>
                    <w:right w:val="single" w:sz="4" w:space="0" w:color="auto"/>
                  </w:tcBorders>
                  <w:noWrap/>
                  <w:vAlign w:val="bottom"/>
                </w:tcPr>
                <w:p w14:paraId="3E0ABB0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0.896377</w:t>
                  </w:r>
                </w:p>
              </w:tc>
              <w:tc>
                <w:tcPr>
                  <w:tcW w:w="901" w:type="dxa"/>
                  <w:tcBorders>
                    <w:top w:val="single" w:sz="4" w:space="0" w:color="auto"/>
                    <w:left w:val="single" w:sz="4" w:space="0" w:color="auto"/>
                    <w:bottom w:val="single" w:sz="4" w:space="0" w:color="auto"/>
                    <w:right w:val="single" w:sz="4" w:space="0" w:color="auto"/>
                  </w:tcBorders>
                  <w:noWrap/>
                  <w:vAlign w:val="bottom"/>
                </w:tcPr>
                <w:p w14:paraId="3CB63D1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0.855773</w:t>
                  </w:r>
                </w:p>
              </w:tc>
              <w:tc>
                <w:tcPr>
                  <w:tcW w:w="901" w:type="dxa"/>
                  <w:tcBorders>
                    <w:top w:val="single" w:sz="4" w:space="0" w:color="auto"/>
                    <w:left w:val="single" w:sz="4" w:space="0" w:color="auto"/>
                    <w:bottom w:val="single" w:sz="4" w:space="0" w:color="auto"/>
                    <w:right w:val="single" w:sz="4" w:space="0" w:color="auto"/>
                  </w:tcBorders>
                  <w:noWrap/>
                  <w:vAlign w:val="bottom"/>
                </w:tcPr>
                <w:p w14:paraId="36522F4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0.791936</w:t>
                  </w:r>
                </w:p>
              </w:tc>
              <w:tc>
                <w:tcPr>
                  <w:tcW w:w="921" w:type="dxa"/>
                  <w:tcBorders>
                    <w:top w:val="single" w:sz="4" w:space="0" w:color="auto"/>
                    <w:left w:val="single" w:sz="4" w:space="0" w:color="auto"/>
                    <w:bottom w:val="single" w:sz="4" w:space="0" w:color="auto"/>
                    <w:right w:val="single" w:sz="4" w:space="0" w:color="auto"/>
                  </w:tcBorders>
                  <w:noWrap/>
                  <w:vAlign w:val="bottom"/>
                </w:tcPr>
                <w:p w14:paraId="09ECE98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0.667029</w:t>
                  </w:r>
                </w:p>
              </w:tc>
              <w:tc>
                <w:tcPr>
                  <w:tcW w:w="956" w:type="dxa"/>
                  <w:tcBorders>
                    <w:top w:val="single" w:sz="4" w:space="0" w:color="auto"/>
                    <w:left w:val="single" w:sz="4" w:space="0" w:color="auto"/>
                    <w:bottom w:val="single" w:sz="4" w:space="0" w:color="auto"/>
                    <w:right w:val="single" w:sz="4" w:space="0" w:color="auto"/>
                  </w:tcBorders>
                  <w:noWrap/>
                  <w:vAlign w:val="bottom"/>
                </w:tcPr>
                <w:p w14:paraId="60C68F2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0.447664</w:t>
                  </w:r>
                </w:p>
              </w:tc>
              <w:tc>
                <w:tcPr>
                  <w:tcW w:w="517" w:type="dxa"/>
                  <w:tcBorders>
                    <w:top w:val="single" w:sz="4" w:space="0" w:color="auto"/>
                    <w:left w:val="single" w:sz="4" w:space="0" w:color="auto"/>
                    <w:bottom w:val="single" w:sz="4" w:space="0" w:color="auto"/>
                    <w:right w:val="single" w:sz="4" w:space="0" w:color="auto"/>
                  </w:tcBorders>
                  <w:noWrap/>
                  <w:vAlign w:val="bottom"/>
                </w:tcPr>
                <w:p w14:paraId="3C6E48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966FC4B"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30D549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20</w:t>
                  </w:r>
                </w:p>
              </w:tc>
              <w:tc>
                <w:tcPr>
                  <w:tcW w:w="314" w:type="dxa"/>
                  <w:tcBorders>
                    <w:top w:val="single" w:sz="4" w:space="0" w:color="auto"/>
                    <w:left w:val="single" w:sz="4" w:space="0" w:color="auto"/>
                    <w:bottom w:val="single" w:sz="4" w:space="0" w:color="auto"/>
                    <w:right w:val="single" w:sz="4" w:space="0" w:color="auto"/>
                  </w:tcBorders>
                  <w:noWrap/>
                  <w:vAlign w:val="bottom"/>
                </w:tcPr>
                <w:p w14:paraId="2172CA1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BBFDF1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0.94562</w:t>
                  </w:r>
                </w:p>
              </w:tc>
              <w:tc>
                <w:tcPr>
                  <w:tcW w:w="901" w:type="dxa"/>
                  <w:tcBorders>
                    <w:top w:val="single" w:sz="4" w:space="0" w:color="auto"/>
                    <w:left w:val="single" w:sz="4" w:space="0" w:color="auto"/>
                    <w:bottom w:val="single" w:sz="4" w:space="0" w:color="auto"/>
                    <w:right w:val="single" w:sz="4" w:space="0" w:color="auto"/>
                  </w:tcBorders>
                  <w:noWrap/>
                  <w:vAlign w:val="bottom"/>
                </w:tcPr>
                <w:p w14:paraId="1ADF916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0.915067</w:t>
                  </w:r>
                </w:p>
              </w:tc>
              <w:tc>
                <w:tcPr>
                  <w:tcW w:w="901" w:type="dxa"/>
                  <w:tcBorders>
                    <w:top w:val="single" w:sz="4" w:space="0" w:color="auto"/>
                    <w:left w:val="single" w:sz="4" w:space="0" w:color="auto"/>
                    <w:bottom w:val="single" w:sz="4" w:space="0" w:color="auto"/>
                    <w:right w:val="single" w:sz="4" w:space="0" w:color="auto"/>
                  </w:tcBorders>
                  <w:noWrap/>
                  <w:vAlign w:val="bottom"/>
                </w:tcPr>
                <w:p w14:paraId="0DD956B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0.881519</w:t>
                  </w:r>
                </w:p>
              </w:tc>
              <w:tc>
                <w:tcPr>
                  <w:tcW w:w="901" w:type="dxa"/>
                  <w:tcBorders>
                    <w:top w:val="single" w:sz="4" w:space="0" w:color="auto"/>
                    <w:left w:val="single" w:sz="4" w:space="0" w:color="auto"/>
                    <w:bottom w:val="single" w:sz="4" w:space="0" w:color="auto"/>
                    <w:right w:val="single" w:sz="4" w:space="0" w:color="auto"/>
                  </w:tcBorders>
                  <w:noWrap/>
                  <w:vAlign w:val="bottom"/>
                </w:tcPr>
                <w:p w14:paraId="65E146F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0.838684</w:t>
                  </w:r>
                </w:p>
              </w:tc>
              <w:tc>
                <w:tcPr>
                  <w:tcW w:w="921" w:type="dxa"/>
                  <w:tcBorders>
                    <w:top w:val="single" w:sz="4" w:space="0" w:color="auto"/>
                    <w:left w:val="single" w:sz="4" w:space="0" w:color="auto"/>
                    <w:bottom w:val="single" w:sz="4" w:space="0" w:color="auto"/>
                    <w:right w:val="single" w:sz="4" w:space="0" w:color="auto"/>
                  </w:tcBorders>
                  <w:noWrap/>
                  <w:vAlign w:val="bottom"/>
                </w:tcPr>
                <w:p w14:paraId="0E6CFF7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0.767374</w:t>
                  </w:r>
                </w:p>
              </w:tc>
              <w:tc>
                <w:tcPr>
                  <w:tcW w:w="956" w:type="dxa"/>
                  <w:tcBorders>
                    <w:top w:val="single" w:sz="4" w:space="0" w:color="auto"/>
                    <w:left w:val="single" w:sz="4" w:space="0" w:color="auto"/>
                    <w:bottom w:val="single" w:sz="4" w:space="0" w:color="auto"/>
                    <w:right w:val="single" w:sz="4" w:space="0" w:color="auto"/>
                  </w:tcBorders>
                  <w:noWrap/>
                  <w:vAlign w:val="bottom"/>
                </w:tcPr>
                <w:p w14:paraId="06919B3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0.571838</w:t>
                  </w:r>
                </w:p>
              </w:tc>
              <w:tc>
                <w:tcPr>
                  <w:tcW w:w="517" w:type="dxa"/>
                  <w:tcBorders>
                    <w:top w:val="single" w:sz="4" w:space="0" w:color="auto"/>
                    <w:left w:val="single" w:sz="4" w:space="0" w:color="auto"/>
                    <w:bottom w:val="single" w:sz="4" w:space="0" w:color="auto"/>
                    <w:right w:val="single" w:sz="4" w:space="0" w:color="auto"/>
                  </w:tcBorders>
                  <w:noWrap/>
                  <w:vAlign w:val="bottom"/>
                </w:tcPr>
                <w:p w14:paraId="1AFBCFF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AF159E9"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0EE9ABD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21</w:t>
                  </w:r>
                </w:p>
              </w:tc>
              <w:tc>
                <w:tcPr>
                  <w:tcW w:w="314" w:type="dxa"/>
                  <w:tcBorders>
                    <w:top w:val="single" w:sz="4" w:space="0" w:color="auto"/>
                    <w:left w:val="single" w:sz="4" w:space="0" w:color="auto"/>
                    <w:bottom w:val="single" w:sz="4" w:space="0" w:color="auto"/>
                    <w:right w:val="single" w:sz="4" w:space="0" w:color="auto"/>
                  </w:tcBorders>
                  <w:noWrap/>
                  <w:vAlign w:val="bottom"/>
                </w:tcPr>
                <w:p w14:paraId="3572A58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A453C5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0.9407</w:t>
                  </w:r>
                </w:p>
              </w:tc>
              <w:tc>
                <w:tcPr>
                  <w:tcW w:w="901" w:type="dxa"/>
                  <w:tcBorders>
                    <w:top w:val="single" w:sz="4" w:space="0" w:color="auto"/>
                    <w:left w:val="single" w:sz="4" w:space="0" w:color="auto"/>
                    <w:bottom w:val="single" w:sz="4" w:space="0" w:color="auto"/>
                    <w:right w:val="single" w:sz="4" w:space="0" w:color="auto"/>
                  </w:tcBorders>
                  <w:noWrap/>
                  <w:vAlign w:val="bottom"/>
                </w:tcPr>
                <w:p w14:paraId="1D2942C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0.922484</w:t>
                  </w:r>
                </w:p>
              </w:tc>
              <w:tc>
                <w:tcPr>
                  <w:tcW w:w="901" w:type="dxa"/>
                  <w:tcBorders>
                    <w:top w:val="single" w:sz="4" w:space="0" w:color="auto"/>
                    <w:left w:val="single" w:sz="4" w:space="0" w:color="auto"/>
                    <w:bottom w:val="single" w:sz="4" w:space="0" w:color="auto"/>
                    <w:right w:val="single" w:sz="4" w:space="0" w:color="auto"/>
                  </w:tcBorders>
                  <w:noWrap/>
                  <w:vAlign w:val="bottom"/>
                </w:tcPr>
                <w:p w14:paraId="52F2BBD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0.897464</w:t>
                  </w:r>
                </w:p>
              </w:tc>
              <w:tc>
                <w:tcPr>
                  <w:tcW w:w="901" w:type="dxa"/>
                  <w:tcBorders>
                    <w:top w:val="single" w:sz="4" w:space="0" w:color="auto"/>
                    <w:left w:val="single" w:sz="4" w:space="0" w:color="auto"/>
                    <w:bottom w:val="single" w:sz="4" w:space="0" w:color="auto"/>
                    <w:right w:val="single" w:sz="4" w:space="0" w:color="auto"/>
                  </w:tcBorders>
                  <w:noWrap/>
                  <w:vAlign w:val="bottom"/>
                </w:tcPr>
                <w:p w14:paraId="451CAC6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0.859925</w:t>
                  </w:r>
                </w:p>
              </w:tc>
              <w:tc>
                <w:tcPr>
                  <w:tcW w:w="921" w:type="dxa"/>
                  <w:tcBorders>
                    <w:top w:val="single" w:sz="4" w:space="0" w:color="auto"/>
                    <w:left w:val="single" w:sz="4" w:space="0" w:color="auto"/>
                    <w:bottom w:val="single" w:sz="4" w:space="0" w:color="auto"/>
                    <w:right w:val="single" w:sz="4" w:space="0" w:color="auto"/>
                  </w:tcBorders>
                  <w:noWrap/>
                  <w:vAlign w:val="bottom"/>
                </w:tcPr>
                <w:p w14:paraId="780FA77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0.790004</w:t>
                  </w:r>
                </w:p>
              </w:tc>
              <w:tc>
                <w:tcPr>
                  <w:tcW w:w="956" w:type="dxa"/>
                  <w:tcBorders>
                    <w:top w:val="single" w:sz="4" w:space="0" w:color="auto"/>
                    <w:left w:val="single" w:sz="4" w:space="0" w:color="auto"/>
                    <w:bottom w:val="single" w:sz="4" w:space="0" w:color="auto"/>
                    <w:right w:val="single" w:sz="4" w:space="0" w:color="auto"/>
                  </w:tcBorders>
                  <w:noWrap/>
                  <w:vAlign w:val="bottom"/>
                </w:tcPr>
                <w:p w14:paraId="0B98603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0.671045</w:t>
                  </w:r>
                </w:p>
              </w:tc>
              <w:tc>
                <w:tcPr>
                  <w:tcW w:w="517" w:type="dxa"/>
                  <w:tcBorders>
                    <w:top w:val="single" w:sz="4" w:space="0" w:color="auto"/>
                    <w:left w:val="single" w:sz="4" w:space="0" w:color="auto"/>
                    <w:bottom w:val="single" w:sz="4" w:space="0" w:color="auto"/>
                    <w:right w:val="single" w:sz="4" w:space="0" w:color="auto"/>
                  </w:tcBorders>
                  <w:noWrap/>
                  <w:vAlign w:val="bottom"/>
                </w:tcPr>
                <w:p w14:paraId="6FAFEBA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D4B5BBB"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813287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23</w:t>
                  </w:r>
                </w:p>
              </w:tc>
              <w:tc>
                <w:tcPr>
                  <w:tcW w:w="314" w:type="dxa"/>
                  <w:tcBorders>
                    <w:top w:val="single" w:sz="4" w:space="0" w:color="auto"/>
                    <w:left w:val="single" w:sz="4" w:space="0" w:color="auto"/>
                    <w:bottom w:val="single" w:sz="4" w:space="0" w:color="auto"/>
                    <w:right w:val="single" w:sz="4" w:space="0" w:color="auto"/>
                  </w:tcBorders>
                  <w:noWrap/>
                  <w:vAlign w:val="bottom"/>
                </w:tcPr>
                <w:p w14:paraId="020461D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D2AD55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0.961797</w:t>
                  </w:r>
                </w:p>
              </w:tc>
              <w:tc>
                <w:tcPr>
                  <w:tcW w:w="901" w:type="dxa"/>
                  <w:tcBorders>
                    <w:top w:val="single" w:sz="4" w:space="0" w:color="auto"/>
                    <w:left w:val="single" w:sz="4" w:space="0" w:color="auto"/>
                    <w:bottom w:val="single" w:sz="4" w:space="0" w:color="auto"/>
                    <w:right w:val="single" w:sz="4" w:space="0" w:color="auto"/>
                  </w:tcBorders>
                  <w:noWrap/>
                  <w:vAlign w:val="bottom"/>
                </w:tcPr>
                <w:p w14:paraId="6F48439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0.950543</w:t>
                  </w:r>
                </w:p>
              </w:tc>
              <w:tc>
                <w:tcPr>
                  <w:tcW w:w="901" w:type="dxa"/>
                  <w:tcBorders>
                    <w:top w:val="single" w:sz="4" w:space="0" w:color="auto"/>
                    <w:left w:val="single" w:sz="4" w:space="0" w:color="auto"/>
                    <w:bottom w:val="single" w:sz="4" w:space="0" w:color="auto"/>
                    <w:right w:val="single" w:sz="4" w:space="0" w:color="auto"/>
                  </w:tcBorders>
                  <w:noWrap/>
                  <w:vAlign w:val="bottom"/>
                </w:tcPr>
                <w:p w14:paraId="425559C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0.93517</w:t>
                  </w:r>
                </w:p>
              </w:tc>
              <w:tc>
                <w:tcPr>
                  <w:tcW w:w="901" w:type="dxa"/>
                  <w:tcBorders>
                    <w:top w:val="single" w:sz="4" w:space="0" w:color="auto"/>
                    <w:left w:val="single" w:sz="4" w:space="0" w:color="auto"/>
                    <w:bottom w:val="single" w:sz="4" w:space="0" w:color="auto"/>
                    <w:right w:val="single" w:sz="4" w:space="0" w:color="auto"/>
                  </w:tcBorders>
                  <w:noWrap/>
                  <w:vAlign w:val="bottom"/>
                </w:tcPr>
                <w:p w14:paraId="5F633A5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0.912292</w:t>
                  </w:r>
                </w:p>
              </w:tc>
              <w:tc>
                <w:tcPr>
                  <w:tcW w:w="921" w:type="dxa"/>
                  <w:tcBorders>
                    <w:top w:val="single" w:sz="4" w:space="0" w:color="auto"/>
                    <w:left w:val="single" w:sz="4" w:space="0" w:color="auto"/>
                    <w:bottom w:val="single" w:sz="4" w:space="0" w:color="auto"/>
                    <w:right w:val="single" w:sz="4" w:space="0" w:color="auto"/>
                  </w:tcBorders>
                  <w:noWrap/>
                  <w:vAlign w:val="bottom"/>
                </w:tcPr>
                <w:p w14:paraId="7CC1AA7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0.870131</w:t>
                  </w:r>
                </w:p>
              </w:tc>
              <w:tc>
                <w:tcPr>
                  <w:tcW w:w="956" w:type="dxa"/>
                  <w:tcBorders>
                    <w:top w:val="single" w:sz="4" w:space="0" w:color="auto"/>
                    <w:left w:val="single" w:sz="4" w:space="0" w:color="auto"/>
                    <w:bottom w:val="single" w:sz="4" w:space="0" w:color="auto"/>
                    <w:right w:val="single" w:sz="4" w:space="0" w:color="auto"/>
                  </w:tcBorders>
                  <w:noWrap/>
                  <w:vAlign w:val="bottom"/>
                </w:tcPr>
                <w:p w14:paraId="2CB4898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0.825431</w:t>
                  </w:r>
                </w:p>
              </w:tc>
              <w:tc>
                <w:tcPr>
                  <w:tcW w:w="517" w:type="dxa"/>
                  <w:tcBorders>
                    <w:top w:val="single" w:sz="4" w:space="0" w:color="auto"/>
                    <w:left w:val="single" w:sz="4" w:space="0" w:color="auto"/>
                    <w:bottom w:val="single" w:sz="4" w:space="0" w:color="auto"/>
                    <w:right w:val="single" w:sz="4" w:space="0" w:color="auto"/>
                  </w:tcBorders>
                  <w:noWrap/>
                  <w:vAlign w:val="bottom"/>
                </w:tcPr>
                <w:p w14:paraId="250D60E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36BD9CE3"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F0AD84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24</w:t>
                  </w:r>
                </w:p>
              </w:tc>
              <w:tc>
                <w:tcPr>
                  <w:tcW w:w="314" w:type="dxa"/>
                  <w:tcBorders>
                    <w:top w:val="single" w:sz="4" w:space="0" w:color="auto"/>
                    <w:left w:val="single" w:sz="4" w:space="0" w:color="auto"/>
                    <w:bottom w:val="single" w:sz="4" w:space="0" w:color="auto"/>
                    <w:right w:val="single" w:sz="4" w:space="0" w:color="auto"/>
                  </w:tcBorders>
                  <w:noWrap/>
                  <w:vAlign w:val="bottom"/>
                </w:tcPr>
                <w:p w14:paraId="7E189A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0E81D2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0.94137</w:t>
                  </w:r>
                </w:p>
              </w:tc>
              <w:tc>
                <w:tcPr>
                  <w:tcW w:w="901" w:type="dxa"/>
                  <w:tcBorders>
                    <w:top w:val="single" w:sz="4" w:space="0" w:color="auto"/>
                    <w:left w:val="single" w:sz="4" w:space="0" w:color="auto"/>
                    <w:bottom w:val="single" w:sz="4" w:space="0" w:color="auto"/>
                    <w:right w:val="single" w:sz="4" w:space="0" w:color="auto"/>
                  </w:tcBorders>
                  <w:noWrap/>
                  <w:vAlign w:val="bottom"/>
                </w:tcPr>
                <w:p w14:paraId="33B298B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0.920205</w:t>
                  </w:r>
                </w:p>
              </w:tc>
              <w:tc>
                <w:tcPr>
                  <w:tcW w:w="901" w:type="dxa"/>
                  <w:tcBorders>
                    <w:top w:val="single" w:sz="4" w:space="0" w:color="auto"/>
                    <w:left w:val="single" w:sz="4" w:space="0" w:color="auto"/>
                    <w:bottom w:val="single" w:sz="4" w:space="0" w:color="auto"/>
                    <w:right w:val="single" w:sz="4" w:space="0" w:color="auto"/>
                  </w:tcBorders>
                  <w:noWrap/>
                  <w:vAlign w:val="bottom"/>
                </w:tcPr>
                <w:p w14:paraId="6599658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0.890921</w:t>
                  </w:r>
                </w:p>
              </w:tc>
              <w:tc>
                <w:tcPr>
                  <w:tcW w:w="901" w:type="dxa"/>
                  <w:tcBorders>
                    <w:top w:val="single" w:sz="4" w:space="0" w:color="auto"/>
                    <w:left w:val="single" w:sz="4" w:space="0" w:color="auto"/>
                    <w:bottom w:val="single" w:sz="4" w:space="0" w:color="auto"/>
                    <w:right w:val="single" w:sz="4" w:space="0" w:color="auto"/>
                  </w:tcBorders>
                  <w:noWrap/>
                  <w:vAlign w:val="bottom"/>
                </w:tcPr>
                <w:p w14:paraId="48D86C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0.846428</w:t>
                  </w:r>
                </w:p>
              </w:tc>
              <w:tc>
                <w:tcPr>
                  <w:tcW w:w="921" w:type="dxa"/>
                  <w:tcBorders>
                    <w:top w:val="single" w:sz="4" w:space="0" w:color="auto"/>
                    <w:left w:val="single" w:sz="4" w:space="0" w:color="auto"/>
                    <w:bottom w:val="single" w:sz="4" w:space="0" w:color="auto"/>
                    <w:right w:val="single" w:sz="4" w:space="0" w:color="auto"/>
                  </w:tcBorders>
                  <w:noWrap/>
                  <w:vAlign w:val="bottom"/>
                </w:tcPr>
                <w:p w14:paraId="31BE5B7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0.761682</w:t>
                  </w:r>
                </w:p>
              </w:tc>
              <w:tc>
                <w:tcPr>
                  <w:tcW w:w="956" w:type="dxa"/>
                  <w:tcBorders>
                    <w:top w:val="single" w:sz="4" w:space="0" w:color="auto"/>
                    <w:left w:val="single" w:sz="4" w:space="0" w:color="auto"/>
                    <w:bottom w:val="single" w:sz="4" w:space="0" w:color="auto"/>
                    <w:right w:val="single" w:sz="4" w:space="0" w:color="auto"/>
                  </w:tcBorders>
                  <w:noWrap/>
                  <w:vAlign w:val="bottom"/>
                </w:tcPr>
                <w:p w14:paraId="6EC7101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0.604473</w:t>
                  </w:r>
                </w:p>
              </w:tc>
              <w:tc>
                <w:tcPr>
                  <w:tcW w:w="517" w:type="dxa"/>
                  <w:tcBorders>
                    <w:top w:val="single" w:sz="4" w:space="0" w:color="auto"/>
                    <w:left w:val="single" w:sz="4" w:space="0" w:color="auto"/>
                    <w:bottom w:val="single" w:sz="4" w:space="0" w:color="auto"/>
                    <w:right w:val="single" w:sz="4" w:space="0" w:color="auto"/>
                  </w:tcBorders>
                  <w:noWrap/>
                  <w:vAlign w:val="bottom"/>
                </w:tcPr>
                <w:p w14:paraId="65C0F68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1465A4BB"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23388B2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25</w:t>
                  </w:r>
                </w:p>
              </w:tc>
              <w:tc>
                <w:tcPr>
                  <w:tcW w:w="314" w:type="dxa"/>
                  <w:tcBorders>
                    <w:top w:val="single" w:sz="4" w:space="0" w:color="auto"/>
                    <w:left w:val="single" w:sz="4" w:space="0" w:color="auto"/>
                    <w:bottom w:val="single" w:sz="4" w:space="0" w:color="auto"/>
                    <w:right w:val="single" w:sz="4" w:space="0" w:color="auto"/>
                  </w:tcBorders>
                  <w:noWrap/>
                  <w:vAlign w:val="bottom"/>
                </w:tcPr>
                <w:p w14:paraId="4B3E429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2E8D46E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0.920555</w:t>
                  </w:r>
                </w:p>
              </w:tc>
              <w:tc>
                <w:tcPr>
                  <w:tcW w:w="901" w:type="dxa"/>
                  <w:tcBorders>
                    <w:top w:val="single" w:sz="4" w:space="0" w:color="auto"/>
                    <w:left w:val="single" w:sz="4" w:space="0" w:color="auto"/>
                    <w:bottom w:val="single" w:sz="4" w:space="0" w:color="auto"/>
                    <w:right w:val="single" w:sz="4" w:space="0" w:color="auto"/>
                  </w:tcBorders>
                  <w:noWrap/>
                  <w:vAlign w:val="bottom"/>
                </w:tcPr>
                <w:p w14:paraId="7CE6515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0.894827</w:t>
                  </w:r>
                </w:p>
              </w:tc>
              <w:tc>
                <w:tcPr>
                  <w:tcW w:w="901" w:type="dxa"/>
                  <w:tcBorders>
                    <w:top w:val="single" w:sz="4" w:space="0" w:color="auto"/>
                    <w:left w:val="single" w:sz="4" w:space="0" w:color="auto"/>
                    <w:bottom w:val="single" w:sz="4" w:space="0" w:color="auto"/>
                    <w:right w:val="single" w:sz="4" w:space="0" w:color="auto"/>
                  </w:tcBorders>
                  <w:noWrap/>
                  <w:vAlign w:val="bottom"/>
                </w:tcPr>
                <w:p w14:paraId="2ACBDB7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0.857326</w:t>
                  </w:r>
                </w:p>
              </w:tc>
              <w:tc>
                <w:tcPr>
                  <w:tcW w:w="901" w:type="dxa"/>
                  <w:tcBorders>
                    <w:top w:val="single" w:sz="4" w:space="0" w:color="auto"/>
                    <w:left w:val="single" w:sz="4" w:space="0" w:color="auto"/>
                    <w:bottom w:val="single" w:sz="4" w:space="0" w:color="auto"/>
                    <w:right w:val="single" w:sz="4" w:space="0" w:color="auto"/>
                  </w:tcBorders>
                  <w:noWrap/>
                  <w:vAlign w:val="bottom"/>
                </w:tcPr>
                <w:p w14:paraId="69AE275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0.798055</w:t>
                  </w:r>
                </w:p>
              </w:tc>
              <w:tc>
                <w:tcPr>
                  <w:tcW w:w="921" w:type="dxa"/>
                  <w:tcBorders>
                    <w:top w:val="single" w:sz="4" w:space="0" w:color="auto"/>
                    <w:left w:val="single" w:sz="4" w:space="0" w:color="auto"/>
                    <w:bottom w:val="single" w:sz="4" w:space="0" w:color="auto"/>
                    <w:right w:val="single" w:sz="4" w:space="0" w:color="auto"/>
                  </w:tcBorders>
                  <w:noWrap/>
                  <w:vAlign w:val="bottom"/>
                </w:tcPr>
                <w:p w14:paraId="5927EB4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0.685404</w:t>
                  </w:r>
                </w:p>
              </w:tc>
              <w:tc>
                <w:tcPr>
                  <w:tcW w:w="956" w:type="dxa"/>
                  <w:tcBorders>
                    <w:top w:val="single" w:sz="4" w:space="0" w:color="auto"/>
                    <w:left w:val="single" w:sz="4" w:space="0" w:color="auto"/>
                    <w:bottom w:val="single" w:sz="4" w:space="0" w:color="auto"/>
                    <w:right w:val="single" w:sz="4" w:space="0" w:color="auto"/>
                  </w:tcBorders>
                  <w:noWrap/>
                  <w:vAlign w:val="bottom"/>
                </w:tcPr>
                <w:p w14:paraId="6B7AD9B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0.473338</w:t>
                  </w:r>
                </w:p>
              </w:tc>
              <w:tc>
                <w:tcPr>
                  <w:tcW w:w="517" w:type="dxa"/>
                  <w:tcBorders>
                    <w:top w:val="single" w:sz="4" w:space="0" w:color="auto"/>
                    <w:left w:val="single" w:sz="4" w:space="0" w:color="auto"/>
                    <w:bottom w:val="single" w:sz="4" w:space="0" w:color="auto"/>
                    <w:right w:val="single" w:sz="4" w:space="0" w:color="auto"/>
                  </w:tcBorders>
                  <w:noWrap/>
                  <w:vAlign w:val="bottom"/>
                </w:tcPr>
                <w:p w14:paraId="63000FA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9A1D2C1"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A6D67B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26</w:t>
                  </w:r>
                </w:p>
              </w:tc>
              <w:tc>
                <w:tcPr>
                  <w:tcW w:w="314" w:type="dxa"/>
                  <w:tcBorders>
                    <w:top w:val="single" w:sz="4" w:space="0" w:color="auto"/>
                    <w:left w:val="single" w:sz="4" w:space="0" w:color="auto"/>
                    <w:bottom w:val="single" w:sz="4" w:space="0" w:color="auto"/>
                    <w:right w:val="single" w:sz="4" w:space="0" w:color="auto"/>
                  </w:tcBorders>
                  <w:noWrap/>
                  <w:vAlign w:val="bottom"/>
                </w:tcPr>
                <w:p w14:paraId="7230796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8AF08F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0.921923</w:t>
                  </w:r>
                </w:p>
              </w:tc>
              <w:tc>
                <w:tcPr>
                  <w:tcW w:w="901" w:type="dxa"/>
                  <w:tcBorders>
                    <w:top w:val="single" w:sz="4" w:space="0" w:color="auto"/>
                    <w:left w:val="single" w:sz="4" w:space="0" w:color="auto"/>
                    <w:bottom w:val="single" w:sz="4" w:space="0" w:color="auto"/>
                    <w:right w:val="single" w:sz="4" w:space="0" w:color="auto"/>
                  </w:tcBorders>
                  <w:noWrap/>
                  <w:vAlign w:val="bottom"/>
                </w:tcPr>
                <w:p w14:paraId="7DF6BDD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0.897545</w:t>
                  </w:r>
                </w:p>
              </w:tc>
              <w:tc>
                <w:tcPr>
                  <w:tcW w:w="901" w:type="dxa"/>
                  <w:tcBorders>
                    <w:top w:val="single" w:sz="4" w:space="0" w:color="auto"/>
                    <w:left w:val="single" w:sz="4" w:space="0" w:color="auto"/>
                    <w:bottom w:val="single" w:sz="4" w:space="0" w:color="auto"/>
                    <w:right w:val="single" w:sz="4" w:space="0" w:color="auto"/>
                  </w:tcBorders>
                  <w:noWrap/>
                  <w:vAlign w:val="bottom"/>
                </w:tcPr>
                <w:p w14:paraId="7DDD0AE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0.862624</w:t>
                  </w:r>
                </w:p>
              </w:tc>
              <w:tc>
                <w:tcPr>
                  <w:tcW w:w="901" w:type="dxa"/>
                  <w:tcBorders>
                    <w:top w:val="single" w:sz="4" w:space="0" w:color="auto"/>
                    <w:left w:val="single" w:sz="4" w:space="0" w:color="auto"/>
                    <w:bottom w:val="single" w:sz="4" w:space="0" w:color="auto"/>
                    <w:right w:val="single" w:sz="4" w:space="0" w:color="auto"/>
                  </w:tcBorders>
                  <w:noWrap/>
                  <w:vAlign w:val="bottom"/>
                </w:tcPr>
                <w:p w14:paraId="23F9778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0.808377</w:t>
                  </w:r>
                </w:p>
              </w:tc>
              <w:tc>
                <w:tcPr>
                  <w:tcW w:w="921" w:type="dxa"/>
                  <w:tcBorders>
                    <w:top w:val="single" w:sz="4" w:space="0" w:color="auto"/>
                    <w:left w:val="single" w:sz="4" w:space="0" w:color="auto"/>
                    <w:bottom w:val="single" w:sz="4" w:space="0" w:color="auto"/>
                    <w:right w:val="single" w:sz="4" w:space="0" w:color="auto"/>
                  </w:tcBorders>
                  <w:noWrap/>
                  <w:vAlign w:val="bottom"/>
                </w:tcPr>
                <w:p w14:paraId="346B1D8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0.706708</w:t>
                  </w:r>
                </w:p>
              </w:tc>
              <w:tc>
                <w:tcPr>
                  <w:tcW w:w="956" w:type="dxa"/>
                  <w:tcBorders>
                    <w:top w:val="single" w:sz="4" w:space="0" w:color="auto"/>
                    <w:left w:val="single" w:sz="4" w:space="0" w:color="auto"/>
                    <w:bottom w:val="single" w:sz="4" w:space="0" w:color="auto"/>
                    <w:right w:val="single" w:sz="4" w:space="0" w:color="auto"/>
                  </w:tcBorders>
                  <w:noWrap/>
                  <w:vAlign w:val="bottom"/>
                </w:tcPr>
                <w:p w14:paraId="0C58B9A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0.533731</w:t>
                  </w:r>
                </w:p>
              </w:tc>
              <w:tc>
                <w:tcPr>
                  <w:tcW w:w="517" w:type="dxa"/>
                  <w:tcBorders>
                    <w:top w:val="single" w:sz="4" w:space="0" w:color="auto"/>
                    <w:left w:val="single" w:sz="4" w:space="0" w:color="auto"/>
                    <w:bottom w:val="single" w:sz="4" w:space="0" w:color="auto"/>
                    <w:right w:val="single" w:sz="4" w:space="0" w:color="auto"/>
                  </w:tcBorders>
                  <w:noWrap/>
                  <w:vAlign w:val="bottom"/>
                </w:tcPr>
                <w:p w14:paraId="42D828C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12D0257E"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01F1C3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27</w:t>
                  </w:r>
                </w:p>
              </w:tc>
              <w:tc>
                <w:tcPr>
                  <w:tcW w:w="314" w:type="dxa"/>
                  <w:tcBorders>
                    <w:top w:val="single" w:sz="4" w:space="0" w:color="auto"/>
                    <w:left w:val="single" w:sz="4" w:space="0" w:color="auto"/>
                    <w:bottom w:val="single" w:sz="4" w:space="0" w:color="auto"/>
                    <w:right w:val="single" w:sz="4" w:space="0" w:color="auto"/>
                  </w:tcBorders>
                  <w:noWrap/>
                  <w:vAlign w:val="bottom"/>
                </w:tcPr>
                <w:p w14:paraId="548B402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D29ED6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0.914071</w:t>
                  </w:r>
                </w:p>
              </w:tc>
              <w:tc>
                <w:tcPr>
                  <w:tcW w:w="901" w:type="dxa"/>
                  <w:tcBorders>
                    <w:top w:val="single" w:sz="4" w:space="0" w:color="auto"/>
                    <w:left w:val="single" w:sz="4" w:space="0" w:color="auto"/>
                    <w:bottom w:val="single" w:sz="4" w:space="0" w:color="auto"/>
                    <w:right w:val="single" w:sz="4" w:space="0" w:color="auto"/>
                  </w:tcBorders>
                  <w:noWrap/>
                  <w:vAlign w:val="bottom"/>
                </w:tcPr>
                <w:p w14:paraId="4C84F68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0.887474</w:t>
                  </w:r>
                </w:p>
              </w:tc>
              <w:tc>
                <w:tcPr>
                  <w:tcW w:w="901" w:type="dxa"/>
                  <w:tcBorders>
                    <w:top w:val="single" w:sz="4" w:space="0" w:color="auto"/>
                    <w:left w:val="single" w:sz="4" w:space="0" w:color="auto"/>
                    <w:bottom w:val="single" w:sz="4" w:space="0" w:color="auto"/>
                    <w:right w:val="single" w:sz="4" w:space="0" w:color="auto"/>
                  </w:tcBorders>
                  <w:noWrap/>
                  <w:vAlign w:val="bottom"/>
                </w:tcPr>
                <w:p w14:paraId="23F1C9B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0.849638</w:t>
                  </w:r>
                </w:p>
              </w:tc>
              <w:tc>
                <w:tcPr>
                  <w:tcW w:w="901" w:type="dxa"/>
                  <w:tcBorders>
                    <w:top w:val="single" w:sz="4" w:space="0" w:color="auto"/>
                    <w:left w:val="single" w:sz="4" w:space="0" w:color="auto"/>
                    <w:bottom w:val="single" w:sz="4" w:space="0" w:color="auto"/>
                    <w:right w:val="single" w:sz="4" w:space="0" w:color="auto"/>
                  </w:tcBorders>
                  <w:noWrap/>
                  <w:vAlign w:val="bottom"/>
                </w:tcPr>
                <w:p w14:paraId="0DD37DC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0.791104</w:t>
                  </w:r>
                </w:p>
              </w:tc>
              <w:tc>
                <w:tcPr>
                  <w:tcW w:w="921" w:type="dxa"/>
                  <w:tcBorders>
                    <w:top w:val="single" w:sz="4" w:space="0" w:color="auto"/>
                    <w:left w:val="single" w:sz="4" w:space="0" w:color="auto"/>
                    <w:bottom w:val="single" w:sz="4" w:space="0" w:color="auto"/>
                    <w:right w:val="single" w:sz="4" w:space="0" w:color="auto"/>
                  </w:tcBorders>
                  <w:noWrap/>
                  <w:vAlign w:val="bottom"/>
                </w:tcPr>
                <w:p w14:paraId="058D9D3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0.680629</w:t>
                  </w:r>
                </w:p>
              </w:tc>
              <w:tc>
                <w:tcPr>
                  <w:tcW w:w="956" w:type="dxa"/>
                  <w:tcBorders>
                    <w:top w:val="single" w:sz="4" w:space="0" w:color="auto"/>
                    <w:left w:val="single" w:sz="4" w:space="0" w:color="auto"/>
                    <w:bottom w:val="single" w:sz="4" w:space="0" w:color="auto"/>
                    <w:right w:val="single" w:sz="4" w:space="0" w:color="auto"/>
                  </w:tcBorders>
                  <w:noWrap/>
                  <w:vAlign w:val="bottom"/>
                </w:tcPr>
                <w:p w14:paraId="24D4A02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0.49171</w:t>
                  </w:r>
                </w:p>
              </w:tc>
              <w:tc>
                <w:tcPr>
                  <w:tcW w:w="517" w:type="dxa"/>
                  <w:tcBorders>
                    <w:top w:val="single" w:sz="4" w:space="0" w:color="auto"/>
                    <w:left w:val="single" w:sz="4" w:space="0" w:color="auto"/>
                    <w:bottom w:val="single" w:sz="4" w:space="0" w:color="auto"/>
                    <w:right w:val="single" w:sz="4" w:space="0" w:color="auto"/>
                  </w:tcBorders>
                  <w:noWrap/>
                  <w:vAlign w:val="bottom"/>
                </w:tcPr>
                <w:p w14:paraId="0C11680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E7DA0E2"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563B038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28</w:t>
                  </w:r>
                </w:p>
              </w:tc>
              <w:tc>
                <w:tcPr>
                  <w:tcW w:w="314" w:type="dxa"/>
                  <w:tcBorders>
                    <w:top w:val="single" w:sz="4" w:space="0" w:color="auto"/>
                    <w:left w:val="single" w:sz="4" w:space="0" w:color="auto"/>
                    <w:bottom w:val="single" w:sz="4" w:space="0" w:color="auto"/>
                    <w:right w:val="single" w:sz="4" w:space="0" w:color="auto"/>
                  </w:tcBorders>
                  <w:noWrap/>
                  <w:vAlign w:val="bottom"/>
                </w:tcPr>
                <w:p w14:paraId="31041B9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5A2D11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0.945601</w:t>
                  </w:r>
                </w:p>
              </w:tc>
              <w:tc>
                <w:tcPr>
                  <w:tcW w:w="901" w:type="dxa"/>
                  <w:tcBorders>
                    <w:top w:val="single" w:sz="4" w:space="0" w:color="auto"/>
                    <w:left w:val="single" w:sz="4" w:space="0" w:color="auto"/>
                    <w:bottom w:val="single" w:sz="4" w:space="0" w:color="auto"/>
                    <w:right w:val="single" w:sz="4" w:space="0" w:color="auto"/>
                  </w:tcBorders>
                  <w:noWrap/>
                  <w:vAlign w:val="bottom"/>
                </w:tcPr>
                <w:p w14:paraId="523B138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0.929842</w:t>
                  </w:r>
                </w:p>
              </w:tc>
              <w:tc>
                <w:tcPr>
                  <w:tcW w:w="901" w:type="dxa"/>
                  <w:tcBorders>
                    <w:top w:val="single" w:sz="4" w:space="0" w:color="auto"/>
                    <w:left w:val="single" w:sz="4" w:space="0" w:color="auto"/>
                    <w:bottom w:val="single" w:sz="4" w:space="0" w:color="auto"/>
                    <w:right w:val="single" w:sz="4" w:space="0" w:color="auto"/>
                  </w:tcBorders>
                  <w:noWrap/>
                  <w:vAlign w:val="bottom"/>
                </w:tcPr>
                <w:p w14:paraId="3F69DFA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0.907478</w:t>
                  </w:r>
                </w:p>
              </w:tc>
              <w:tc>
                <w:tcPr>
                  <w:tcW w:w="901" w:type="dxa"/>
                  <w:tcBorders>
                    <w:top w:val="single" w:sz="4" w:space="0" w:color="auto"/>
                    <w:left w:val="single" w:sz="4" w:space="0" w:color="auto"/>
                    <w:bottom w:val="single" w:sz="4" w:space="0" w:color="auto"/>
                    <w:right w:val="single" w:sz="4" w:space="0" w:color="auto"/>
                  </w:tcBorders>
                  <w:noWrap/>
                  <w:vAlign w:val="bottom"/>
                </w:tcPr>
                <w:p w14:paraId="5BB6559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0.873225</w:t>
                  </w:r>
                </w:p>
              </w:tc>
              <w:tc>
                <w:tcPr>
                  <w:tcW w:w="921" w:type="dxa"/>
                  <w:tcBorders>
                    <w:top w:val="single" w:sz="4" w:space="0" w:color="auto"/>
                    <w:left w:val="single" w:sz="4" w:space="0" w:color="auto"/>
                    <w:bottom w:val="single" w:sz="4" w:space="0" w:color="auto"/>
                    <w:right w:val="single" w:sz="4" w:space="0" w:color="auto"/>
                  </w:tcBorders>
                  <w:noWrap/>
                  <w:vAlign w:val="bottom"/>
                </w:tcPr>
                <w:p w14:paraId="7CFF9EE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0.810504</w:t>
                  </w:r>
                </w:p>
              </w:tc>
              <w:tc>
                <w:tcPr>
                  <w:tcW w:w="956" w:type="dxa"/>
                  <w:tcBorders>
                    <w:top w:val="single" w:sz="4" w:space="0" w:color="auto"/>
                    <w:left w:val="single" w:sz="4" w:space="0" w:color="auto"/>
                    <w:bottom w:val="single" w:sz="4" w:space="0" w:color="auto"/>
                    <w:right w:val="single" w:sz="4" w:space="0" w:color="auto"/>
                  </w:tcBorders>
                  <w:noWrap/>
                  <w:vAlign w:val="bottom"/>
                </w:tcPr>
                <w:p w14:paraId="75811F6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0.706459</w:t>
                  </w:r>
                </w:p>
              </w:tc>
              <w:tc>
                <w:tcPr>
                  <w:tcW w:w="517" w:type="dxa"/>
                  <w:tcBorders>
                    <w:top w:val="single" w:sz="4" w:space="0" w:color="auto"/>
                    <w:left w:val="single" w:sz="4" w:space="0" w:color="auto"/>
                    <w:bottom w:val="single" w:sz="4" w:space="0" w:color="auto"/>
                    <w:right w:val="single" w:sz="4" w:space="0" w:color="auto"/>
                  </w:tcBorders>
                  <w:noWrap/>
                  <w:vAlign w:val="bottom"/>
                </w:tcPr>
                <w:p w14:paraId="759F61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280D2739"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3491F6D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29</w:t>
                  </w:r>
                </w:p>
              </w:tc>
              <w:tc>
                <w:tcPr>
                  <w:tcW w:w="314" w:type="dxa"/>
                  <w:tcBorders>
                    <w:top w:val="single" w:sz="4" w:space="0" w:color="auto"/>
                    <w:left w:val="single" w:sz="4" w:space="0" w:color="auto"/>
                    <w:bottom w:val="single" w:sz="4" w:space="0" w:color="auto"/>
                    <w:right w:val="single" w:sz="4" w:space="0" w:color="auto"/>
                  </w:tcBorders>
                  <w:noWrap/>
                  <w:vAlign w:val="bottom"/>
                </w:tcPr>
                <w:p w14:paraId="5EB6550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13E850E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0.958236</w:t>
                  </w:r>
                </w:p>
              </w:tc>
              <w:tc>
                <w:tcPr>
                  <w:tcW w:w="901" w:type="dxa"/>
                  <w:tcBorders>
                    <w:top w:val="single" w:sz="4" w:space="0" w:color="auto"/>
                    <w:left w:val="single" w:sz="4" w:space="0" w:color="auto"/>
                    <w:bottom w:val="single" w:sz="4" w:space="0" w:color="auto"/>
                    <w:right w:val="single" w:sz="4" w:space="0" w:color="auto"/>
                  </w:tcBorders>
                  <w:noWrap/>
                  <w:vAlign w:val="bottom"/>
                </w:tcPr>
                <w:p w14:paraId="527538B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0.946182</w:t>
                  </w:r>
                </w:p>
              </w:tc>
              <w:tc>
                <w:tcPr>
                  <w:tcW w:w="901" w:type="dxa"/>
                  <w:tcBorders>
                    <w:top w:val="single" w:sz="4" w:space="0" w:color="auto"/>
                    <w:left w:val="single" w:sz="4" w:space="0" w:color="auto"/>
                    <w:bottom w:val="single" w:sz="4" w:space="0" w:color="auto"/>
                    <w:right w:val="single" w:sz="4" w:space="0" w:color="auto"/>
                  </w:tcBorders>
                  <w:noWrap/>
                  <w:vAlign w:val="bottom"/>
                </w:tcPr>
                <w:p w14:paraId="760E7DA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0.929105</w:t>
                  </w:r>
                </w:p>
              </w:tc>
              <w:tc>
                <w:tcPr>
                  <w:tcW w:w="901" w:type="dxa"/>
                  <w:tcBorders>
                    <w:top w:val="single" w:sz="4" w:space="0" w:color="auto"/>
                    <w:left w:val="single" w:sz="4" w:space="0" w:color="auto"/>
                    <w:bottom w:val="single" w:sz="4" w:space="0" w:color="auto"/>
                    <w:right w:val="single" w:sz="4" w:space="0" w:color="auto"/>
                  </w:tcBorders>
                  <w:noWrap/>
                  <w:vAlign w:val="bottom"/>
                </w:tcPr>
                <w:p w14:paraId="24F85FF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0.903012</w:t>
                  </w:r>
                </w:p>
              </w:tc>
              <w:tc>
                <w:tcPr>
                  <w:tcW w:w="921" w:type="dxa"/>
                  <w:tcBorders>
                    <w:top w:val="single" w:sz="4" w:space="0" w:color="auto"/>
                    <w:left w:val="single" w:sz="4" w:space="0" w:color="auto"/>
                    <w:bottom w:val="single" w:sz="4" w:space="0" w:color="auto"/>
                    <w:right w:val="single" w:sz="4" w:space="0" w:color="auto"/>
                  </w:tcBorders>
                  <w:noWrap/>
                  <w:vAlign w:val="bottom"/>
                </w:tcPr>
                <w:p w14:paraId="678571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0.855379</w:t>
                  </w:r>
                </w:p>
              </w:tc>
              <w:tc>
                <w:tcPr>
                  <w:tcW w:w="956" w:type="dxa"/>
                  <w:tcBorders>
                    <w:top w:val="single" w:sz="4" w:space="0" w:color="auto"/>
                    <w:left w:val="single" w:sz="4" w:space="0" w:color="auto"/>
                    <w:bottom w:val="single" w:sz="4" w:space="0" w:color="auto"/>
                    <w:right w:val="single" w:sz="4" w:space="0" w:color="auto"/>
                  </w:tcBorders>
                  <w:noWrap/>
                  <w:vAlign w:val="bottom"/>
                </w:tcPr>
                <w:p w14:paraId="055C2F8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0.775808</w:t>
                  </w:r>
                </w:p>
              </w:tc>
              <w:tc>
                <w:tcPr>
                  <w:tcW w:w="517" w:type="dxa"/>
                  <w:tcBorders>
                    <w:top w:val="single" w:sz="4" w:space="0" w:color="auto"/>
                    <w:left w:val="single" w:sz="4" w:space="0" w:color="auto"/>
                    <w:bottom w:val="single" w:sz="4" w:space="0" w:color="auto"/>
                    <w:right w:val="single" w:sz="4" w:space="0" w:color="auto"/>
                  </w:tcBorders>
                  <w:noWrap/>
                  <w:vAlign w:val="bottom"/>
                </w:tcPr>
                <w:p w14:paraId="3C97D68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B6C305A" w14:textId="77777777" w:rsidTr="00A03DAB">
              <w:trPr>
                <w:trHeight w:val="285"/>
                <w:jc w:val="center"/>
              </w:trPr>
              <w:tc>
                <w:tcPr>
                  <w:tcW w:w="723" w:type="dxa"/>
                  <w:tcBorders>
                    <w:top w:val="single" w:sz="4" w:space="0" w:color="auto"/>
                    <w:left w:val="single" w:sz="4" w:space="0" w:color="auto"/>
                    <w:bottom w:val="single" w:sz="4" w:space="0" w:color="auto"/>
                    <w:right w:val="single" w:sz="4" w:space="0" w:color="auto"/>
                  </w:tcBorders>
                  <w:noWrap/>
                  <w:vAlign w:val="bottom"/>
                  <w:hideMark/>
                </w:tcPr>
                <w:p w14:paraId="1BA6821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31</w:t>
                  </w:r>
                </w:p>
              </w:tc>
              <w:tc>
                <w:tcPr>
                  <w:tcW w:w="314" w:type="dxa"/>
                  <w:tcBorders>
                    <w:top w:val="single" w:sz="4" w:space="0" w:color="auto"/>
                    <w:left w:val="single" w:sz="4" w:space="0" w:color="auto"/>
                    <w:bottom w:val="single" w:sz="4" w:space="0" w:color="auto"/>
                    <w:right w:val="single" w:sz="4" w:space="0" w:color="auto"/>
                  </w:tcBorders>
                  <w:noWrap/>
                  <w:vAlign w:val="bottom"/>
                </w:tcPr>
                <w:p w14:paraId="5DD856C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4F87297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F4F04D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6579659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7D3A9E7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21" w:type="dxa"/>
                  <w:tcBorders>
                    <w:top w:val="single" w:sz="4" w:space="0" w:color="auto"/>
                    <w:left w:val="single" w:sz="4" w:space="0" w:color="auto"/>
                    <w:bottom w:val="single" w:sz="4" w:space="0" w:color="auto"/>
                    <w:right w:val="single" w:sz="4" w:space="0" w:color="auto"/>
                  </w:tcBorders>
                  <w:noWrap/>
                  <w:vAlign w:val="bottom"/>
                </w:tcPr>
                <w:p w14:paraId="4CDDB11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0.927349</w:t>
                  </w:r>
                </w:p>
              </w:tc>
              <w:tc>
                <w:tcPr>
                  <w:tcW w:w="956" w:type="dxa"/>
                  <w:tcBorders>
                    <w:top w:val="single" w:sz="4" w:space="0" w:color="auto"/>
                    <w:left w:val="single" w:sz="4" w:space="0" w:color="auto"/>
                    <w:bottom w:val="single" w:sz="4" w:space="0" w:color="auto"/>
                    <w:right w:val="single" w:sz="4" w:space="0" w:color="auto"/>
                  </w:tcBorders>
                  <w:noWrap/>
                  <w:vAlign w:val="bottom"/>
                </w:tcPr>
                <w:p w14:paraId="6FE091C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0.624459</w:t>
                  </w:r>
                </w:p>
              </w:tc>
              <w:tc>
                <w:tcPr>
                  <w:tcW w:w="517" w:type="dxa"/>
                  <w:tcBorders>
                    <w:top w:val="single" w:sz="4" w:space="0" w:color="auto"/>
                    <w:left w:val="single" w:sz="4" w:space="0" w:color="auto"/>
                    <w:bottom w:val="single" w:sz="4" w:space="0" w:color="auto"/>
                    <w:right w:val="single" w:sz="4" w:space="0" w:color="auto"/>
                  </w:tcBorders>
                  <w:noWrap/>
                  <w:vAlign w:val="bottom"/>
                </w:tcPr>
                <w:p w14:paraId="154677B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bl>
          <w:p w14:paraId="1087CA5C" w14:textId="77777777" w:rsidR="003424D3" w:rsidRPr="006605A3" w:rsidRDefault="003424D3" w:rsidP="00CD4F3A">
            <w:pPr>
              <w:pStyle w:val="Caption"/>
              <w:spacing w:line="240" w:lineRule="auto"/>
              <w:jc w:val="both"/>
            </w:pPr>
          </w:p>
          <w:p w14:paraId="446AE0D9" w14:textId="3FB7C36B" w:rsidR="003424D3" w:rsidRPr="006605A3" w:rsidRDefault="00B23AC2" w:rsidP="001552EC">
            <w:pPr>
              <w:pStyle w:val="Caption"/>
              <w:spacing w:line="240" w:lineRule="auto"/>
              <w:jc w:val="center"/>
            </w:pPr>
            <w:bookmarkStart w:id="479" w:name="_Toc233728992"/>
            <w:proofErr w:type="spellStart"/>
            <w:r w:rsidRPr="006605A3">
              <w:t>Apx</w:t>
            </w:r>
            <w:proofErr w:type="spellEnd"/>
            <w:r w:rsidRPr="006605A3">
              <w:t xml:space="preserve"> Table </w:t>
            </w:r>
            <w:fldSimple w:instr=" SEQ Apx_Table \* ARABIC \s 9 ">
              <w:r>
                <w:rPr>
                  <w:noProof/>
                </w:rPr>
                <w:t>9</w:t>
              </w:r>
            </w:fldSimple>
            <w:r>
              <w:rPr>
                <w:noProof/>
              </w:rPr>
              <w:t xml:space="preserve">: </w:t>
            </w:r>
            <w:r w:rsidR="003424D3" w:rsidRPr="006605A3">
              <w:t>The value of SDVPI of different buses for 63% renewables in IEEE 39 bus system.</w:t>
            </w:r>
            <w:bookmarkEnd w:id="479"/>
          </w:p>
          <w:tbl>
            <w:tblPr>
              <w:tblW w:w="8620" w:type="dxa"/>
              <w:jc w:val="center"/>
              <w:tblLook w:val="04A0" w:firstRow="1" w:lastRow="0" w:firstColumn="1" w:lastColumn="0" w:noHBand="0" w:noVBand="1"/>
            </w:tblPr>
            <w:tblGrid>
              <w:gridCol w:w="1113"/>
              <w:gridCol w:w="476"/>
              <w:gridCol w:w="907"/>
              <w:gridCol w:w="901"/>
              <w:gridCol w:w="991"/>
              <w:gridCol w:w="901"/>
              <w:gridCol w:w="901"/>
              <w:gridCol w:w="901"/>
              <w:gridCol w:w="989"/>
              <w:gridCol w:w="540"/>
            </w:tblGrid>
            <w:tr w:rsidR="003424D3" w:rsidRPr="006605A3" w14:paraId="506C5E95"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5340ABDD"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Bus \ Scaling</w:t>
                  </w:r>
                </w:p>
              </w:tc>
              <w:tc>
                <w:tcPr>
                  <w:tcW w:w="47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730E1E9D"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w:t>
                  </w:r>
                </w:p>
              </w:tc>
              <w:tc>
                <w:tcPr>
                  <w:tcW w:w="907"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7FB96B5C"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0.05</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0758B238"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0.11</w:t>
                  </w:r>
                </w:p>
              </w:tc>
              <w:tc>
                <w:tcPr>
                  <w:tcW w:w="99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70B9C351"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0.18</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2186E460"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0.26</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4EF40AB8"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0.31</w:t>
                  </w:r>
                </w:p>
              </w:tc>
              <w:tc>
                <w:tcPr>
                  <w:tcW w:w="9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034C1881"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0.33</w:t>
                  </w:r>
                </w:p>
              </w:tc>
              <w:tc>
                <w:tcPr>
                  <w:tcW w:w="989"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1954B04F"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0.34</w:t>
                  </w:r>
                </w:p>
              </w:tc>
              <w:tc>
                <w:tcPr>
                  <w:tcW w:w="540"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60FC76F4"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0.35</w:t>
                  </w:r>
                </w:p>
              </w:tc>
            </w:tr>
            <w:tr w:rsidR="003424D3" w:rsidRPr="006605A3" w14:paraId="19E2DFA6"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tcPr>
                <w:p w14:paraId="6875623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03</w:t>
                  </w:r>
                </w:p>
              </w:tc>
              <w:tc>
                <w:tcPr>
                  <w:tcW w:w="476" w:type="dxa"/>
                  <w:tcBorders>
                    <w:top w:val="single" w:sz="4" w:space="0" w:color="auto"/>
                    <w:left w:val="single" w:sz="4" w:space="0" w:color="auto"/>
                    <w:bottom w:val="single" w:sz="4" w:space="0" w:color="auto"/>
                    <w:right w:val="single" w:sz="4" w:space="0" w:color="auto"/>
                  </w:tcBorders>
                  <w:noWrap/>
                  <w:vAlign w:val="bottom"/>
                </w:tcPr>
                <w:p w14:paraId="7A454A3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4F3C29D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0.922987</w:t>
                  </w:r>
                </w:p>
              </w:tc>
              <w:tc>
                <w:tcPr>
                  <w:tcW w:w="901" w:type="dxa"/>
                  <w:tcBorders>
                    <w:top w:val="single" w:sz="4" w:space="0" w:color="auto"/>
                    <w:left w:val="single" w:sz="4" w:space="0" w:color="auto"/>
                    <w:bottom w:val="single" w:sz="4" w:space="0" w:color="auto"/>
                    <w:right w:val="single" w:sz="4" w:space="0" w:color="auto"/>
                  </w:tcBorders>
                  <w:noWrap/>
                  <w:vAlign w:val="bottom"/>
                </w:tcPr>
                <w:p w14:paraId="521D260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0.891453</w:t>
                  </w:r>
                </w:p>
              </w:tc>
              <w:tc>
                <w:tcPr>
                  <w:tcW w:w="991" w:type="dxa"/>
                  <w:tcBorders>
                    <w:top w:val="single" w:sz="4" w:space="0" w:color="auto"/>
                    <w:left w:val="single" w:sz="4" w:space="0" w:color="auto"/>
                    <w:bottom w:val="single" w:sz="4" w:space="0" w:color="auto"/>
                    <w:right w:val="single" w:sz="4" w:space="0" w:color="auto"/>
                  </w:tcBorders>
                  <w:noWrap/>
                  <w:vAlign w:val="bottom"/>
                </w:tcPr>
                <w:p w14:paraId="43495C2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0.845656</w:t>
                  </w:r>
                </w:p>
              </w:tc>
              <w:tc>
                <w:tcPr>
                  <w:tcW w:w="901" w:type="dxa"/>
                  <w:tcBorders>
                    <w:top w:val="single" w:sz="4" w:space="0" w:color="auto"/>
                    <w:left w:val="single" w:sz="4" w:space="0" w:color="auto"/>
                    <w:bottom w:val="single" w:sz="4" w:space="0" w:color="auto"/>
                    <w:right w:val="single" w:sz="4" w:space="0" w:color="auto"/>
                  </w:tcBorders>
                  <w:noWrap/>
                  <w:vAlign w:val="bottom"/>
                </w:tcPr>
                <w:p w14:paraId="7060E3B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0.771346</w:t>
                  </w:r>
                </w:p>
              </w:tc>
              <w:tc>
                <w:tcPr>
                  <w:tcW w:w="901" w:type="dxa"/>
                  <w:tcBorders>
                    <w:top w:val="single" w:sz="4" w:space="0" w:color="auto"/>
                    <w:left w:val="single" w:sz="4" w:space="0" w:color="auto"/>
                    <w:bottom w:val="single" w:sz="4" w:space="0" w:color="auto"/>
                    <w:right w:val="single" w:sz="4" w:space="0" w:color="auto"/>
                  </w:tcBorders>
                  <w:noWrap/>
                  <w:vAlign w:val="bottom"/>
                </w:tcPr>
                <w:p w14:paraId="500CA90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0.678541</w:t>
                  </w:r>
                </w:p>
              </w:tc>
              <w:tc>
                <w:tcPr>
                  <w:tcW w:w="901" w:type="dxa"/>
                  <w:tcBorders>
                    <w:top w:val="single" w:sz="4" w:space="0" w:color="auto"/>
                    <w:left w:val="single" w:sz="4" w:space="0" w:color="auto"/>
                    <w:bottom w:val="single" w:sz="4" w:space="0" w:color="auto"/>
                    <w:right w:val="single" w:sz="4" w:space="0" w:color="auto"/>
                  </w:tcBorders>
                  <w:noWrap/>
                  <w:vAlign w:val="bottom"/>
                </w:tcPr>
                <w:p w14:paraId="10BCC78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0.624307</w:t>
                  </w:r>
                </w:p>
              </w:tc>
              <w:tc>
                <w:tcPr>
                  <w:tcW w:w="989" w:type="dxa"/>
                  <w:tcBorders>
                    <w:top w:val="single" w:sz="4" w:space="0" w:color="auto"/>
                    <w:left w:val="single" w:sz="4" w:space="0" w:color="auto"/>
                    <w:bottom w:val="single" w:sz="4" w:space="0" w:color="auto"/>
                    <w:right w:val="single" w:sz="4" w:space="0" w:color="auto"/>
                  </w:tcBorders>
                  <w:vAlign w:val="bottom"/>
                </w:tcPr>
                <w:p w14:paraId="353EA3E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0.582256</w:t>
                  </w:r>
                </w:p>
              </w:tc>
              <w:tc>
                <w:tcPr>
                  <w:tcW w:w="540" w:type="dxa"/>
                  <w:tcBorders>
                    <w:top w:val="single" w:sz="4" w:space="0" w:color="auto"/>
                    <w:left w:val="single" w:sz="4" w:space="0" w:color="auto"/>
                    <w:bottom w:val="single" w:sz="4" w:space="0" w:color="auto"/>
                    <w:right w:val="single" w:sz="4" w:space="0" w:color="auto"/>
                  </w:tcBorders>
                  <w:vAlign w:val="bottom"/>
                </w:tcPr>
                <w:p w14:paraId="3F22174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DF00263"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FAA9E4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04</w:t>
                  </w:r>
                </w:p>
              </w:tc>
              <w:tc>
                <w:tcPr>
                  <w:tcW w:w="476" w:type="dxa"/>
                  <w:tcBorders>
                    <w:top w:val="single" w:sz="4" w:space="0" w:color="auto"/>
                    <w:left w:val="single" w:sz="4" w:space="0" w:color="auto"/>
                    <w:bottom w:val="single" w:sz="4" w:space="0" w:color="auto"/>
                    <w:right w:val="single" w:sz="4" w:space="0" w:color="auto"/>
                  </w:tcBorders>
                  <w:noWrap/>
                  <w:vAlign w:val="bottom"/>
                </w:tcPr>
                <w:p w14:paraId="3F86BB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2ECFF4F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0.895542</w:t>
                  </w:r>
                </w:p>
              </w:tc>
              <w:tc>
                <w:tcPr>
                  <w:tcW w:w="901" w:type="dxa"/>
                  <w:tcBorders>
                    <w:top w:val="single" w:sz="4" w:space="0" w:color="auto"/>
                    <w:left w:val="single" w:sz="4" w:space="0" w:color="auto"/>
                    <w:bottom w:val="single" w:sz="4" w:space="0" w:color="auto"/>
                    <w:right w:val="single" w:sz="4" w:space="0" w:color="auto"/>
                  </w:tcBorders>
                  <w:noWrap/>
                  <w:vAlign w:val="bottom"/>
                </w:tcPr>
                <w:p w14:paraId="7AF5C1C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0.859925</w:t>
                  </w:r>
                </w:p>
              </w:tc>
              <w:tc>
                <w:tcPr>
                  <w:tcW w:w="991" w:type="dxa"/>
                  <w:tcBorders>
                    <w:top w:val="single" w:sz="4" w:space="0" w:color="auto"/>
                    <w:left w:val="single" w:sz="4" w:space="0" w:color="auto"/>
                    <w:bottom w:val="single" w:sz="4" w:space="0" w:color="auto"/>
                    <w:right w:val="single" w:sz="4" w:space="0" w:color="auto"/>
                  </w:tcBorders>
                  <w:noWrap/>
                  <w:vAlign w:val="bottom"/>
                </w:tcPr>
                <w:p w14:paraId="411800E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0.808111</w:t>
                  </w:r>
                </w:p>
              </w:tc>
              <w:tc>
                <w:tcPr>
                  <w:tcW w:w="901" w:type="dxa"/>
                  <w:tcBorders>
                    <w:top w:val="single" w:sz="4" w:space="0" w:color="auto"/>
                    <w:left w:val="single" w:sz="4" w:space="0" w:color="auto"/>
                    <w:bottom w:val="single" w:sz="4" w:space="0" w:color="auto"/>
                    <w:right w:val="single" w:sz="4" w:space="0" w:color="auto"/>
                  </w:tcBorders>
                  <w:noWrap/>
                  <w:vAlign w:val="bottom"/>
                </w:tcPr>
                <w:p w14:paraId="50E68EE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0.724235</w:t>
                  </w:r>
                </w:p>
              </w:tc>
              <w:tc>
                <w:tcPr>
                  <w:tcW w:w="901" w:type="dxa"/>
                  <w:tcBorders>
                    <w:top w:val="single" w:sz="4" w:space="0" w:color="auto"/>
                    <w:left w:val="single" w:sz="4" w:space="0" w:color="auto"/>
                    <w:bottom w:val="single" w:sz="4" w:space="0" w:color="auto"/>
                    <w:right w:val="single" w:sz="4" w:space="0" w:color="auto"/>
                  </w:tcBorders>
                  <w:noWrap/>
                  <w:vAlign w:val="bottom"/>
                </w:tcPr>
                <w:p w14:paraId="3804311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0.597671</w:t>
                  </w:r>
                </w:p>
              </w:tc>
              <w:tc>
                <w:tcPr>
                  <w:tcW w:w="901" w:type="dxa"/>
                  <w:tcBorders>
                    <w:top w:val="single" w:sz="4" w:space="0" w:color="auto"/>
                    <w:left w:val="single" w:sz="4" w:space="0" w:color="auto"/>
                    <w:bottom w:val="single" w:sz="4" w:space="0" w:color="auto"/>
                    <w:right w:val="single" w:sz="4" w:space="0" w:color="auto"/>
                  </w:tcBorders>
                  <w:noWrap/>
                  <w:vAlign w:val="bottom"/>
                </w:tcPr>
                <w:p w14:paraId="13DC3A0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0.51624</w:t>
                  </w:r>
                </w:p>
              </w:tc>
              <w:tc>
                <w:tcPr>
                  <w:tcW w:w="989" w:type="dxa"/>
                  <w:tcBorders>
                    <w:top w:val="single" w:sz="4" w:space="0" w:color="auto"/>
                    <w:left w:val="single" w:sz="4" w:space="0" w:color="auto"/>
                    <w:bottom w:val="single" w:sz="4" w:space="0" w:color="auto"/>
                    <w:right w:val="single" w:sz="4" w:space="0" w:color="auto"/>
                  </w:tcBorders>
                  <w:vAlign w:val="bottom"/>
                </w:tcPr>
                <w:p w14:paraId="02AA6C3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0.454594</w:t>
                  </w:r>
                </w:p>
              </w:tc>
              <w:tc>
                <w:tcPr>
                  <w:tcW w:w="540" w:type="dxa"/>
                  <w:tcBorders>
                    <w:top w:val="single" w:sz="4" w:space="0" w:color="auto"/>
                    <w:left w:val="single" w:sz="4" w:space="0" w:color="auto"/>
                    <w:bottom w:val="single" w:sz="4" w:space="0" w:color="auto"/>
                    <w:right w:val="single" w:sz="4" w:space="0" w:color="auto"/>
                  </w:tcBorders>
                  <w:vAlign w:val="bottom"/>
                </w:tcPr>
                <w:p w14:paraId="5F056B3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332C28D"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B98912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07</w:t>
                  </w:r>
                </w:p>
              </w:tc>
              <w:tc>
                <w:tcPr>
                  <w:tcW w:w="476" w:type="dxa"/>
                  <w:tcBorders>
                    <w:top w:val="single" w:sz="4" w:space="0" w:color="auto"/>
                    <w:left w:val="single" w:sz="4" w:space="0" w:color="auto"/>
                    <w:bottom w:val="single" w:sz="4" w:space="0" w:color="auto"/>
                    <w:right w:val="single" w:sz="4" w:space="0" w:color="auto"/>
                  </w:tcBorders>
                  <w:noWrap/>
                  <w:vAlign w:val="bottom"/>
                </w:tcPr>
                <w:p w14:paraId="1704F19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33B5DE3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0.894501</w:t>
                  </w:r>
                </w:p>
              </w:tc>
              <w:tc>
                <w:tcPr>
                  <w:tcW w:w="901" w:type="dxa"/>
                  <w:tcBorders>
                    <w:top w:val="single" w:sz="4" w:space="0" w:color="auto"/>
                    <w:left w:val="single" w:sz="4" w:space="0" w:color="auto"/>
                    <w:bottom w:val="single" w:sz="4" w:space="0" w:color="auto"/>
                    <w:right w:val="single" w:sz="4" w:space="0" w:color="auto"/>
                  </w:tcBorders>
                  <w:noWrap/>
                  <w:vAlign w:val="bottom"/>
                </w:tcPr>
                <w:p w14:paraId="631AB71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0.85474</w:t>
                  </w:r>
                </w:p>
              </w:tc>
              <w:tc>
                <w:tcPr>
                  <w:tcW w:w="991" w:type="dxa"/>
                  <w:tcBorders>
                    <w:top w:val="single" w:sz="4" w:space="0" w:color="auto"/>
                    <w:left w:val="single" w:sz="4" w:space="0" w:color="auto"/>
                    <w:bottom w:val="single" w:sz="4" w:space="0" w:color="auto"/>
                    <w:right w:val="single" w:sz="4" w:space="0" w:color="auto"/>
                  </w:tcBorders>
                  <w:noWrap/>
                  <w:vAlign w:val="bottom"/>
                </w:tcPr>
                <w:p w14:paraId="12EE3E9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0.795594</w:t>
                  </w:r>
                </w:p>
              </w:tc>
              <w:tc>
                <w:tcPr>
                  <w:tcW w:w="901" w:type="dxa"/>
                  <w:tcBorders>
                    <w:top w:val="single" w:sz="4" w:space="0" w:color="auto"/>
                    <w:left w:val="single" w:sz="4" w:space="0" w:color="auto"/>
                    <w:bottom w:val="single" w:sz="4" w:space="0" w:color="auto"/>
                    <w:right w:val="single" w:sz="4" w:space="0" w:color="auto"/>
                  </w:tcBorders>
                  <w:noWrap/>
                  <w:vAlign w:val="bottom"/>
                </w:tcPr>
                <w:p w14:paraId="58E4669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0.697993</w:t>
                  </w:r>
                </w:p>
              </w:tc>
              <w:tc>
                <w:tcPr>
                  <w:tcW w:w="901" w:type="dxa"/>
                  <w:tcBorders>
                    <w:top w:val="single" w:sz="4" w:space="0" w:color="auto"/>
                    <w:left w:val="single" w:sz="4" w:space="0" w:color="auto"/>
                    <w:bottom w:val="single" w:sz="4" w:space="0" w:color="auto"/>
                    <w:right w:val="single" w:sz="4" w:space="0" w:color="auto"/>
                  </w:tcBorders>
                  <w:noWrap/>
                  <w:vAlign w:val="bottom"/>
                </w:tcPr>
                <w:p w14:paraId="4D40CE7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0.551258</w:t>
                  </w:r>
                </w:p>
              </w:tc>
              <w:tc>
                <w:tcPr>
                  <w:tcW w:w="901" w:type="dxa"/>
                  <w:tcBorders>
                    <w:top w:val="single" w:sz="4" w:space="0" w:color="auto"/>
                    <w:left w:val="single" w:sz="4" w:space="0" w:color="auto"/>
                    <w:bottom w:val="single" w:sz="4" w:space="0" w:color="auto"/>
                    <w:right w:val="single" w:sz="4" w:space="0" w:color="auto"/>
                  </w:tcBorders>
                  <w:noWrap/>
                  <w:vAlign w:val="bottom"/>
                </w:tcPr>
                <w:p w14:paraId="4A3D0DE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0.45381</w:t>
                  </w:r>
                </w:p>
              </w:tc>
              <w:tc>
                <w:tcPr>
                  <w:tcW w:w="989" w:type="dxa"/>
                  <w:tcBorders>
                    <w:top w:val="single" w:sz="4" w:space="0" w:color="auto"/>
                    <w:left w:val="single" w:sz="4" w:space="0" w:color="auto"/>
                    <w:bottom w:val="single" w:sz="4" w:space="0" w:color="auto"/>
                    <w:right w:val="single" w:sz="4" w:space="0" w:color="auto"/>
                  </w:tcBorders>
                  <w:vAlign w:val="bottom"/>
                </w:tcPr>
                <w:p w14:paraId="234C62D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0.381985</w:t>
                  </w:r>
                </w:p>
              </w:tc>
              <w:tc>
                <w:tcPr>
                  <w:tcW w:w="540" w:type="dxa"/>
                  <w:tcBorders>
                    <w:top w:val="single" w:sz="4" w:space="0" w:color="auto"/>
                    <w:left w:val="single" w:sz="4" w:space="0" w:color="auto"/>
                    <w:bottom w:val="single" w:sz="4" w:space="0" w:color="auto"/>
                    <w:right w:val="single" w:sz="4" w:space="0" w:color="auto"/>
                  </w:tcBorders>
                  <w:vAlign w:val="bottom"/>
                </w:tcPr>
                <w:p w14:paraId="4478A3D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7BBFE90"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D5E8BB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08</w:t>
                  </w:r>
                </w:p>
              </w:tc>
              <w:tc>
                <w:tcPr>
                  <w:tcW w:w="476" w:type="dxa"/>
                  <w:tcBorders>
                    <w:top w:val="single" w:sz="4" w:space="0" w:color="auto"/>
                    <w:left w:val="single" w:sz="4" w:space="0" w:color="auto"/>
                    <w:bottom w:val="single" w:sz="4" w:space="0" w:color="auto"/>
                    <w:right w:val="single" w:sz="4" w:space="0" w:color="auto"/>
                  </w:tcBorders>
                  <w:noWrap/>
                  <w:vAlign w:val="bottom"/>
                </w:tcPr>
                <w:p w14:paraId="1F21D16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6F6C316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0.891139</w:t>
                  </w:r>
                </w:p>
              </w:tc>
              <w:tc>
                <w:tcPr>
                  <w:tcW w:w="901" w:type="dxa"/>
                  <w:tcBorders>
                    <w:top w:val="single" w:sz="4" w:space="0" w:color="auto"/>
                    <w:left w:val="single" w:sz="4" w:space="0" w:color="auto"/>
                    <w:bottom w:val="single" w:sz="4" w:space="0" w:color="auto"/>
                    <w:right w:val="single" w:sz="4" w:space="0" w:color="auto"/>
                  </w:tcBorders>
                  <w:noWrap/>
                  <w:vAlign w:val="bottom"/>
                </w:tcPr>
                <w:p w14:paraId="24B0A22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0.849022</w:t>
                  </w:r>
                </w:p>
              </w:tc>
              <w:tc>
                <w:tcPr>
                  <w:tcW w:w="991" w:type="dxa"/>
                  <w:tcBorders>
                    <w:top w:val="single" w:sz="4" w:space="0" w:color="auto"/>
                    <w:left w:val="single" w:sz="4" w:space="0" w:color="auto"/>
                    <w:bottom w:val="single" w:sz="4" w:space="0" w:color="auto"/>
                    <w:right w:val="single" w:sz="4" w:space="0" w:color="auto"/>
                  </w:tcBorders>
                  <w:noWrap/>
                  <w:vAlign w:val="bottom"/>
                </w:tcPr>
                <w:p w14:paraId="2749625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0.786131</w:t>
                  </w:r>
                </w:p>
              </w:tc>
              <w:tc>
                <w:tcPr>
                  <w:tcW w:w="901" w:type="dxa"/>
                  <w:tcBorders>
                    <w:top w:val="single" w:sz="4" w:space="0" w:color="auto"/>
                    <w:left w:val="single" w:sz="4" w:space="0" w:color="auto"/>
                    <w:bottom w:val="single" w:sz="4" w:space="0" w:color="auto"/>
                    <w:right w:val="single" w:sz="4" w:space="0" w:color="auto"/>
                  </w:tcBorders>
                  <w:noWrap/>
                  <w:vAlign w:val="bottom"/>
                </w:tcPr>
                <w:p w14:paraId="454EC24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0.681871</w:t>
                  </w:r>
                </w:p>
              </w:tc>
              <w:tc>
                <w:tcPr>
                  <w:tcW w:w="901" w:type="dxa"/>
                  <w:tcBorders>
                    <w:top w:val="single" w:sz="4" w:space="0" w:color="auto"/>
                    <w:left w:val="single" w:sz="4" w:space="0" w:color="auto"/>
                    <w:bottom w:val="single" w:sz="4" w:space="0" w:color="auto"/>
                    <w:right w:val="single" w:sz="4" w:space="0" w:color="auto"/>
                  </w:tcBorders>
                  <w:noWrap/>
                  <w:vAlign w:val="bottom"/>
                </w:tcPr>
                <w:p w14:paraId="7980F93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0.531099</w:t>
                  </w:r>
                </w:p>
              </w:tc>
              <w:tc>
                <w:tcPr>
                  <w:tcW w:w="901" w:type="dxa"/>
                  <w:tcBorders>
                    <w:top w:val="single" w:sz="4" w:space="0" w:color="auto"/>
                    <w:left w:val="single" w:sz="4" w:space="0" w:color="auto"/>
                    <w:bottom w:val="single" w:sz="4" w:space="0" w:color="auto"/>
                    <w:right w:val="single" w:sz="4" w:space="0" w:color="auto"/>
                  </w:tcBorders>
                  <w:noWrap/>
                  <w:vAlign w:val="bottom"/>
                </w:tcPr>
                <w:p w14:paraId="63E656E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0.432747</w:t>
                  </w:r>
                </w:p>
              </w:tc>
              <w:tc>
                <w:tcPr>
                  <w:tcW w:w="989" w:type="dxa"/>
                  <w:tcBorders>
                    <w:top w:val="single" w:sz="4" w:space="0" w:color="auto"/>
                    <w:left w:val="single" w:sz="4" w:space="0" w:color="auto"/>
                    <w:bottom w:val="single" w:sz="4" w:space="0" w:color="auto"/>
                    <w:right w:val="single" w:sz="4" w:space="0" w:color="auto"/>
                  </w:tcBorders>
                  <w:vAlign w:val="bottom"/>
                </w:tcPr>
                <w:p w14:paraId="16A0A92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0.360393</w:t>
                  </w:r>
                </w:p>
              </w:tc>
              <w:tc>
                <w:tcPr>
                  <w:tcW w:w="540" w:type="dxa"/>
                  <w:tcBorders>
                    <w:top w:val="single" w:sz="4" w:space="0" w:color="auto"/>
                    <w:left w:val="single" w:sz="4" w:space="0" w:color="auto"/>
                    <w:bottom w:val="single" w:sz="4" w:space="0" w:color="auto"/>
                    <w:right w:val="single" w:sz="4" w:space="0" w:color="auto"/>
                  </w:tcBorders>
                  <w:vAlign w:val="bottom"/>
                </w:tcPr>
                <w:p w14:paraId="2C86BAE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BA3DA7A"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1221B65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12</w:t>
                  </w:r>
                </w:p>
              </w:tc>
              <w:tc>
                <w:tcPr>
                  <w:tcW w:w="476" w:type="dxa"/>
                  <w:tcBorders>
                    <w:top w:val="single" w:sz="4" w:space="0" w:color="auto"/>
                    <w:left w:val="single" w:sz="4" w:space="0" w:color="auto"/>
                    <w:bottom w:val="single" w:sz="4" w:space="0" w:color="auto"/>
                    <w:right w:val="single" w:sz="4" w:space="0" w:color="auto"/>
                  </w:tcBorders>
                  <w:noWrap/>
                  <w:vAlign w:val="bottom"/>
                </w:tcPr>
                <w:p w14:paraId="325C6A1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1E5EC95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0.89146</w:t>
                  </w:r>
                </w:p>
              </w:tc>
              <w:tc>
                <w:tcPr>
                  <w:tcW w:w="901" w:type="dxa"/>
                  <w:tcBorders>
                    <w:top w:val="single" w:sz="4" w:space="0" w:color="auto"/>
                    <w:left w:val="single" w:sz="4" w:space="0" w:color="auto"/>
                    <w:bottom w:val="single" w:sz="4" w:space="0" w:color="auto"/>
                    <w:right w:val="single" w:sz="4" w:space="0" w:color="auto"/>
                  </w:tcBorders>
                  <w:noWrap/>
                  <w:vAlign w:val="bottom"/>
                </w:tcPr>
                <w:p w14:paraId="355E4E3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0.858088</w:t>
                  </w:r>
                </w:p>
              </w:tc>
              <w:tc>
                <w:tcPr>
                  <w:tcW w:w="991" w:type="dxa"/>
                  <w:tcBorders>
                    <w:top w:val="single" w:sz="4" w:space="0" w:color="auto"/>
                    <w:left w:val="single" w:sz="4" w:space="0" w:color="auto"/>
                    <w:bottom w:val="single" w:sz="4" w:space="0" w:color="auto"/>
                    <w:right w:val="single" w:sz="4" w:space="0" w:color="auto"/>
                  </w:tcBorders>
                  <w:noWrap/>
                  <w:vAlign w:val="bottom"/>
                </w:tcPr>
                <w:p w14:paraId="7DEC793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0.809723</w:t>
                  </w:r>
                </w:p>
              </w:tc>
              <w:tc>
                <w:tcPr>
                  <w:tcW w:w="901" w:type="dxa"/>
                  <w:tcBorders>
                    <w:top w:val="single" w:sz="4" w:space="0" w:color="auto"/>
                    <w:left w:val="single" w:sz="4" w:space="0" w:color="auto"/>
                    <w:bottom w:val="single" w:sz="4" w:space="0" w:color="auto"/>
                    <w:right w:val="single" w:sz="4" w:space="0" w:color="auto"/>
                  </w:tcBorders>
                  <w:noWrap/>
                  <w:vAlign w:val="bottom"/>
                </w:tcPr>
                <w:p w14:paraId="73F3F5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0.732009</w:t>
                  </w:r>
                </w:p>
              </w:tc>
              <w:tc>
                <w:tcPr>
                  <w:tcW w:w="901" w:type="dxa"/>
                  <w:tcBorders>
                    <w:top w:val="single" w:sz="4" w:space="0" w:color="auto"/>
                    <w:left w:val="single" w:sz="4" w:space="0" w:color="auto"/>
                    <w:bottom w:val="single" w:sz="4" w:space="0" w:color="auto"/>
                    <w:right w:val="single" w:sz="4" w:space="0" w:color="auto"/>
                  </w:tcBorders>
                  <w:noWrap/>
                  <w:vAlign w:val="bottom"/>
                </w:tcPr>
                <w:p w14:paraId="711A149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0.588875</w:t>
                  </w:r>
                </w:p>
              </w:tc>
              <w:tc>
                <w:tcPr>
                  <w:tcW w:w="901" w:type="dxa"/>
                  <w:tcBorders>
                    <w:top w:val="single" w:sz="4" w:space="0" w:color="auto"/>
                    <w:left w:val="single" w:sz="4" w:space="0" w:color="auto"/>
                    <w:bottom w:val="single" w:sz="4" w:space="0" w:color="auto"/>
                    <w:right w:val="single" w:sz="4" w:space="0" w:color="auto"/>
                  </w:tcBorders>
                  <w:noWrap/>
                  <w:vAlign w:val="bottom"/>
                </w:tcPr>
                <w:p w14:paraId="1095745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0.494812</w:t>
                  </w:r>
                </w:p>
              </w:tc>
              <w:tc>
                <w:tcPr>
                  <w:tcW w:w="989" w:type="dxa"/>
                  <w:tcBorders>
                    <w:top w:val="single" w:sz="4" w:space="0" w:color="auto"/>
                    <w:left w:val="single" w:sz="4" w:space="0" w:color="auto"/>
                    <w:bottom w:val="single" w:sz="4" w:space="0" w:color="auto"/>
                    <w:right w:val="single" w:sz="4" w:space="0" w:color="auto"/>
                  </w:tcBorders>
                  <w:vAlign w:val="bottom"/>
                </w:tcPr>
                <w:p w14:paraId="509C4AE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0.424134</w:t>
                  </w:r>
                </w:p>
              </w:tc>
              <w:tc>
                <w:tcPr>
                  <w:tcW w:w="540" w:type="dxa"/>
                  <w:tcBorders>
                    <w:top w:val="single" w:sz="4" w:space="0" w:color="auto"/>
                    <w:left w:val="single" w:sz="4" w:space="0" w:color="auto"/>
                    <w:bottom w:val="single" w:sz="4" w:space="0" w:color="auto"/>
                    <w:right w:val="single" w:sz="4" w:space="0" w:color="auto"/>
                  </w:tcBorders>
                  <w:vAlign w:val="bottom"/>
                </w:tcPr>
                <w:p w14:paraId="16F3377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CC150E8"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80132A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15</w:t>
                  </w:r>
                </w:p>
              </w:tc>
              <w:tc>
                <w:tcPr>
                  <w:tcW w:w="476" w:type="dxa"/>
                  <w:tcBorders>
                    <w:top w:val="single" w:sz="4" w:space="0" w:color="auto"/>
                    <w:left w:val="single" w:sz="4" w:space="0" w:color="auto"/>
                    <w:bottom w:val="single" w:sz="4" w:space="0" w:color="auto"/>
                    <w:right w:val="single" w:sz="4" w:space="0" w:color="auto"/>
                  </w:tcBorders>
                  <w:noWrap/>
                  <w:vAlign w:val="bottom"/>
                </w:tcPr>
                <w:p w14:paraId="5101946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44A600F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0.907278</w:t>
                  </w:r>
                </w:p>
              </w:tc>
              <w:tc>
                <w:tcPr>
                  <w:tcW w:w="901" w:type="dxa"/>
                  <w:tcBorders>
                    <w:top w:val="single" w:sz="4" w:space="0" w:color="auto"/>
                    <w:left w:val="single" w:sz="4" w:space="0" w:color="auto"/>
                    <w:bottom w:val="single" w:sz="4" w:space="0" w:color="auto"/>
                    <w:right w:val="single" w:sz="4" w:space="0" w:color="auto"/>
                  </w:tcBorders>
                  <w:noWrap/>
                  <w:vAlign w:val="bottom"/>
                </w:tcPr>
                <w:p w14:paraId="2F7EDDC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0.876777</w:t>
                  </w:r>
                </w:p>
              </w:tc>
              <w:tc>
                <w:tcPr>
                  <w:tcW w:w="991" w:type="dxa"/>
                  <w:tcBorders>
                    <w:top w:val="single" w:sz="4" w:space="0" w:color="auto"/>
                    <w:left w:val="single" w:sz="4" w:space="0" w:color="auto"/>
                    <w:bottom w:val="single" w:sz="4" w:space="0" w:color="auto"/>
                    <w:right w:val="single" w:sz="4" w:space="0" w:color="auto"/>
                  </w:tcBorders>
                  <w:noWrap/>
                  <w:vAlign w:val="bottom"/>
                </w:tcPr>
                <w:p w14:paraId="310E753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0.834982</w:t>
                  </w:r>
                </w:p>
              </w:tc>
              <w:tc>
                <w:tcPr>
                  <w:tcW w:w="901" w:type="dxa"/>
                  <w:tcBorders>
                    <w:top w:val="single" w:sz="4" w:space="0" w:color="auto"/>
                    <w:left w:val="single" w:sz="4" w:space="0" w:color="auto"/>
                    <w:bottom w:val="single" w:sz="4" w:space="0" w:color="auto"/>
                    <w:right w:val="single" w:sz="4" w:space="0" w:color="auto"/>
                  </w:tcBorders>
                  <w:noWrap/>
                  <w:vAlign w:val="bottom"/>
                </w:tcPr>
                <w:p w14:paraId="12B427C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0.769621</w:t>
                  </w:r>
                </w:p>
              </w:tc>
              <w:tc>
                <w:tcPr>
                  <w:tcW w:w="901" w:type="dxa"/>
                  <w:tcBorders>
                    <w:top w:val="single" w:sz="4" w:space="0" w:color="auto"/>
                    <w:left w:val="single" w:sz="4" w:space="0" w:color="auto"/>
                    <w:bottom w:val="single" w:sz="4" w:space="0" w:color="auto"/>
                    <w:right w:val="single" w:sz="4" w:space="0" w:color="auto"/>
                  </w:tcBorders>
                  <w:noWrap/>
                  <w:vAlign w:val="bottom"/>
                </w:tcPr>
                <w:p w14:paraId="24670B3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0.680441</w:t>
                  </w:r>
                </w:p>
              </w:tc>
              <w:tc>
                <w:tcPr>
                  <w:tcW w:w="901" w:type="dxa"/>
                  <w:tcBorders>
                    <w:top w:val="single" w:sz="4" w:space="0" w:color="auto"/>
                    <w:left w:val="single" w:sz="4" w:space="0" w:color="auto"/>
                    <w:bottom w:val="single" w:sz="4" w:space="0" w:color="auto"/>
                    <w:right w:val="single" w:sz="4" w:space="0" w:color="auto"/>
                  </w:tcBorders>
                  <w:noWrap/>
                  <w:vAlign w:val="bottom"/>
                </w:tcPr>
                <w:p w14:paraId="2025CB2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0.626915</w:t>
                  </w:r>
                </w:p>
              </w:tc>
              <w:tc>
                <w:tcPr>
                  <w:tcW w:w="989" w:type="dxa"/>
                  <w:tcBorders>
                    <w:top w:val="single" w:sz="4" w:space="0" w:color="auto"/>
                    <w:left w:val="single" w:sz="4" w:space="0" w:color="auto"/>
                    <w:bottom w:val="single" w:sz="4" w:space="0" w:color="auto"/>
                    <w:right w:val="single" w:sz="4" w:space="0" w:color="auto"/>
                  </w:tcBorders>
                  <w:vAlign w:val="bottom"/>
                </w:tcPr>
                <w:p w14:paraId="64EF0A9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0.580981</w:t>
                  </w:r>
                </w:p>
              </w:tc>
              <w:tc>
                <w:tcPr>
                  <w:tcW w:w="540" w:type="dxa"/>
                  <w:tcBorders>
                    <w:top w:val="single" w:sz="4" w:space="0" w:color="auto"/>
                    <w:left w:val="single" w:sz="4" w:space="0" w:color="auto"/>
                    <w:bottom w:val="single" w:sz="4" w:space="0" w:color="auto"/>
                    <w:right w:val="single" w:sz="4" w:space="0" w:color="auto"/>
                  </w:tcBorders>
                  <w:vAlign w:val="bottom"/>
                </w:tcPr>
                <w:p w14:paraId="4175BC3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F3F05A5"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7F49BB7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16</w:t>
                  </w:r>
                </w:p>
              </w:tc>
              <w:tc>
                <w:tcPr>
                  <w:tcW w:w="476" w:type="dxa"/>
                  <w:tcBorders>
                    <w:top w:val="single" w:sz="4" w:space="0" w:color="auto"/>
                    <w:left w:val="single" w:sz="4" w:space="0" w:color="auto"/>
                    <w:bottom w:val="single" w:sz="4" w:space="0" w:color="auto"/>
                    <w:right w:val="single" w:sz="4" w:space="0" w:color="auto"/>
                  </w:tcBorders>
                  <w:noWrap/>
                  <w:vAlign w:val="bottom"/>
                </w:tcPr>
                <w:p w14:paraId="4AA955E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5D51C6C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0.928774</w:t>
                  </w:r>
                </w:p>
              </w:tc>
              <w:tc>
                <w:tcPr>
                  <w:tcW w:w="901" w:type="dxa"/>
                  <w:tcBorders>
                    <w:top w:val="single" w:sz="4" w:space="0" w:color="auto"/>
                    <w:left w:val="single" w:sz="4" w:space="0" w:color="auto"/>
                    <w:bottom w:val="single" w:sz="4" w:space="0" w:color="auto"/>
                    <w:right w:val="single" w:sz="4" w:space="0" w:color="auto"/>
                  </w:tcBorders>
                  <w:noWrap/>
                  <w:vAlign w:val="bottom"/>
                </w:tcPr>
                <w:p w14:paraId="25429E4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0.903057</w:t>
                  </w:r>
                </w:p>
              </w:tc>
              <w:tc>
                <w:tcPr>
                  <w:tcW w:w="991" w:type="dxa"/>
                  <w:tcBorders>
                    <w:top w:val="single" w:sz="4" w:space="0" w:color="auto"/>
                    <w:left w:val="single" w:sz="4" w:space="0" w:color="auto"/>
                    <w:bottom w:val="single" w:sz="4" w:space="0" w:color="auto"/>
                    <w:right w:val="single" w:sz="4" w:space="0" w:color="auto"/>
                  </w:tcBorders>
                  <w:noWrap/>
                  <w:vAlign w:val="bottom"/>
                </w:tcPr>
                <w:p w14:paraId="07BFAEB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0.868961</w:t>
                  </w:r>
                </w:p>
              </w:tc>
              <w:tc>
                <w:tcPr>
                  <w:tcW w:w="901" w:type="dxa"/>
                  <w:tcBorders>
                    <w:top w:val="single" w:sz="4" w:space="0" w:color="auto"/>
                    <w:left w:val="single" w:sz="4" w:space="0" w:color="auto"/>
                    <w:bottom w:val="single" w:sz="4" w:space="0" w:color="auto"/>
                    <w:right w:val="single" w:sz="4" w:space="0" w:color="auto"/>
                  </w:tcBorders>
                  <w:noWrap/>
                  <w:vAlign w:val="bottom"/>
                </w:tcPr>
                <w:p w14:paraId="5F9D710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0.816249</w:t>
                  </w:r>
                </w:p>
              </w:tc>
              <w:tc>
                <w:tcPr>
                  <w:tcW w:w="901" w:type="dxa"/>
                  <w:tcBorders>
                    <w:top w:val="single" w:sz="4" w:space="0" w:color="auto"/>
                    <w:left w:val="single" w:sz="4" w:space="0" w:color="auto"/>
                    <w:bottom w:val="single" w:sz="4" w:space="0" w:color="auto"/>
                    <w:right w:val="single" w:sz="4" w:space="0" w:color="auto"/>
                  </w:tcBorders>
                  <w:noWrap/>
                  <w:vAlign w:val="bottom"/>
                </w:tcPr>
                <w:p w14:paraId="3606D4C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0.74962</w:t>
                  </w:r>
                </w:p>
              </w:tc>
              <w:tc>
                <w:tcPr>
                  <w:tcW w:w="901" w:type="dxa"/>
                  <w:tcBorders>
                    <w:top w:val="single" w:sz="4" w:space="0" w:color="auto"/>
                    <w:left w:val="single" w:sz="4" w:space="0" w:color="auto"/>
                    <w:bottom w:val="single" w:sz="4" w:space="0" w:color="auto"/>
                    <w:right w:val="single" w:sz="4" w:space="0" w:color="auto"/>
                  </w:tcBorders>
                  <w:noWrap/>
                  <w:vAlign w:val="bottom"/>
                </w:tcPr>
                <w:p w14:paraId="3F1D434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0.710833</w:t>
                  </w:r>
                </w:p>
              </w:tc>
              <w:tc>
                <w:tcPr>
                  <w:tcW w:w="989" w:type="dxa"/>
                  <w:tcBorders>
                    <w:top w:val="single" w:sz="4" w:space="0" w:color="auto"/>
                    <w:left w:val="single" w:sz="4" w:space="0" w:color="auto"/>
                    <w:bottom w:val="single" w:sz="4" w:space="0" w:color="auto"/>
                    <w:right w:val="single" w:sz="4" w:space="0" w:color="auto"/>
                  </w:tcBorders>
                  <w:vAlign w:val="bottom"/>
                </w:tcPr>
                <w:p w14:paraId="60AA35E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0.674008</w:t>
                  </w:r>
                </w:p>
              </w:tc>
              <w:tc>
                <w:tcPr>
                  <w:tcW w:w="540" w:type="dxa"/>
                  <w:tcBorders>
                    <w:top w:val="single" w:sz="4" w:space="0" w:color="auto"/>
                    <w:left w:val="single" w:sz="4" w:space="0" w:color="auto"/>
                    <w:bottom w:val="single" w:sz="4" w:space="0" w:color="auto"/>
                    <w:right w:val="single" w:sz="4" w:space="0" w:color="auto"/>
                  </w:tcBorders>
                  <w:vAlign w:val="bottom"/>
                </w:tcPr>
                <w:p w14:paraId="7CE3EE6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5D940EB"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3FC8656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lastRenderedPageBreak/>
                    <w:t>Bus 18</w:t>
                  </w:r>
                </w:p>
              </w:tc>
              <w:tc>
                <w:tcPr>
                  <w:tcW w:w="476" w:type="dxa"/>
                  <w:tcBorders>
                    <w:top w:val="single" w:sz="4" w:space="0" w:color="auto"/>
                    <w:left w:val="single" w:sz="4" w:space="0" w:color="auto"/>
                    <w:bottom w:val="single" w:sz="4" w:space="0" w:color="auto"/>
                    <w:right w:val="single" w:sz="4" w:space="0" w:color="auto"/>
                  </w:tcBorders>
                  <w:noWrap/>
                  <w:vAlign w:val="bottom"/>
                </w:tcPr>
                <w:p w14:paraId="05E61D4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67FEA50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0.919699</w:t>
                  </w:r>
                </w:p>
              </w:tc>
              <w:tc>
                <w:tcPr>
                  <w:tcW w:w="901" w:type="dxa"/>
                  <w:tcBorders>
                    <w:top w:val="single" w:sz="4" w:space="0" w:color="auto"/>
                    <w:left w:val="single" w:sz="4" w:space="0" w:color="auto"/>
                    <w:bottom w:val="single" w:sz="4" w:space="0" w:color="auto"/>
                    <w:right w:val="single" w:sz="4" w:space="0" w:color="auto"/>
                  </w:tcBorders>
                  <w:noWrap/>
                  <w:vAlign w:val="bottom"/>
                </w:tcPr>
                <w:p w14:paraId="2F0DF52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0.889387</w:t>
                  </w:r>
                </w:p>
              </w:tc>
              <w:tc>
                <w:tcPr>
                  <w:tcW w:w="991" w:type="dxa"/>
                  <w:tcBorders>
                    <w:top w:val="single" w:sz="4" w:space="0" w:color="auto"/>
                    <w:left w:val="single" w:sz="4" w:space="0" w:color="auto"/>
                    <w:bottom w:val="single" w:sz="4" w:space="0" w:color="auto"/>
                    <w:right w:val="single" w:sz="4" w:space="0" w:color="auto"/>
                  </w:tcBorders>
                  <w:noWrap/>
                  <w:vAlign w:val="bottom"/>
                </w:tcPr>
                <w:p w14:paraId="4581C8E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0.846586</w:t>
                  </w:r>
                </w:p>
              </w:tc>
              <w:tc>
                <w:tcPr>
                  <w:tcW w:w="901" w:type="dxa"/>
                  <w:tcBorders>
                    <w:top w:val="single" w:sz="4" w:space="0" w:color="auto"/>
                    <w:left w:val="single" w:sz="4" w:space="0" w:color="auto"/>
                    <w:bottom w:val="single" w:sz="4" w:space="0" w:color="auto"/>
                    <w:right w:val="single" w:sz="4" w:space="0" w:color="auto"/>
                  </w:tcBorders>
                  <w:noWrap/>
                  <w:vAlign w:val="bottom"/>
                </w:tcPr>
                <w:p w14:paraId="1F06396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0.77831</w:t>
                  </w:r>
                </w:p>
              </w:tc>
              <w:tc>
                <w:tcPr>
                  <w:tcW w:w="901" w:type="dxa"/>
                  <w:tcBorders>
                    <w:top w:val="single" w:sz="4" w:space="0" w:color="auto"/>
                    <w:left w:val="single" w:sz="4" w:space="0" w:color="auto"/>
                    <w:bottom w:val="single" w:sz="4" w:space="0" w:color="auto"/>
                    <w:right w:val="single" w:sz="4" w:space="0" w:color="auto"/>
                  </w:tcBorders>
                  <w:noWrap/>
                  <w:vAlign w:val="bottom"/>
                </w:tcPr>
                <w:p w14:paraId="4CD5610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0.695038</w:t>
                  </w:r>
                </w:p>
              </w:tc>
              <w:tc>
                <w:tcPr>
                  <w:tcW w:w="901" w:type="dxa"/>
                  <w:tcBorders>
                    <w:top w:val="single" w:sz="4" w:space="0" w:color="auto"/>
                    <w:left w:val="single" w:sz="4" w:space="0" w:color="auto"/>
                    <w:bottom w:val="single" w:sz="4" w:space="0" w:color="auto"/>
                    <w:right w:val="single" w:sz="4" w:space="0" w:color="auto"/>
                  </w:tcBorders>
                  <w:noWrap/>
                  <w:vAlign w:val="bottom"/>
                </w:tcPr>
                <w:p w14:paraId="30F7913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0.647115</w:t>
                  </w:r>
                </w:p>
              </w:tc>
              <w:tc>
                <w:tcPr>
                  <w:tcW w:w="989" w:type="dxa"/>
                  <w:tcBorders>
                    <w:top w:val="single" w:sz="4" w:space="0" w:color="auto"/>
                    <w:left w:val="single" w:sz="4" w:space="0" w:color="auto"/>
                    <w:bottom w:val="single" w:sz="4" w:space="0" w:color="auto"/>
                    <w:right w:val="single" w:sz="4" w:space="0" w:color="auto"/>
                  </w:tcBorders>
                  <w:vAlign w:val="bottom"/>
                </w:tcPr>
                <w:p w14:paraId="248A149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0.607542</w:t>
                  </w:r>
                </w:p>
              </w:tc>
              <w:tc>
                <w:tcPr>
                  <w:tcW w:w="540" w:type="dxa"/>
                  <w:tcBorders>
                    <w:top w:val="single" w:sz="4" w:space="0" w:color="auto"/>
                    <w:left w:val="single" w:sz="4" w:space="0" w:color="auto"/>
                    <w:bottom w:val="single" w:sz="4" w:space="0" w:color="auto"/>
                    <w:right w:val="single" w:sz="4" w:space="0" w:color="auto"/>
                  </w:tcBorders>
                  <w:vAlign w:val="bottom"/>
                </w:tcPr>
                <w:p w14:paraId="6044AE2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1058821"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3A9C46C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20</w:t>
                  </w:r>
                </w:p>
              </w:tc>
              <w:tc>
                <w:tcPr>
                  <w:tcW w:w="476" w:type="dxa"/>
                  <w:tcBorders>
                    <w:top w:val="single" w:sz="4" w:space="0" w:color="auto"/>
                    <w:left w:val="single" w:sz="4" w:space="0" w:color="auto"/>
                    <w:bottom w:val="single" w:sz="4" w:space="0" w:color="auto"/>
                    <w:right w:val="single" w:sz="4" w:space="0" w:color="auto"/>
                  </w:tcBorders>
                  <w:noWrap/>
                  <w:vAlign w:val="bottom"/>
                </w:tcPr>
                <w:p w14:paraId="1854C84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0793AF7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0.944288</w:t>
                  </w:r>
                </w:p>
              </w:tc>
              <w:tc>
                <w:tcPr>
                  <w:tcW w:w="901" w:type="dxa"/>
                  <w:tcBorders>
                    <w:top w:val="single" w:sz="4" w:space="0" w:color="auto"/>
                    <w:left w:val="single" w:sz="4" w:space="0" w:color="auto"/>
                    <w:bottom w:val="single" w:sz="4" w:space="0" w:color="auto"/>
                    <w:right w:val="single" w:sz="4" w:space="0" w:color="auto"/>
                  </w:tcBorders>
                  <w:noWrap/>
                  <w:vAlign w:val="bottom"/>
                </w:tcPr>
                <w:p w14:paraId="47BF757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0.907713</w:t>
                  </w:r>
                </w:p>
              </w:tc>
              <w:tc>
                <w:tcPr>
                  <w:tcW w:w="991" w:type="dxa"/>
                  <w:tcBorders>
                    <w:top w:val="single" w:sz="4" w:space="0" w:color="auto"/>
                    <w:left w:val="single" w:sz="4" w:space="0" w:color="auto"/>
                    <w:bottom w:val="single" w:sz="4" w:space="0" w:color="auto"/>
                    <w:right w:val="single" w:sz="4" w:space="0" w:color="auto"/>
                  </w:tcBorders>
                  <w:noWrap/>
                  <w:vAlign w:val="bottom"/>
                </w:tcPr>
                <w:p w14:paraId="170A657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0.874462</w:t>
                  </w:r>
                </w:p>
              </w:tc>
              <w:tc>
                <w:tcPr>
                  <w:tcW w:w="901" w:type="dxa"/>
                  <w:tcBorders>
                    <w:top w:val="single" w:sz="4" w:space="0" w:color="auto"/>
                    <w:left w:val="single" w:sz="4" w:space="0" w:color="auto"/>
                    <w:bottom w:val="single" w:sz="4" w:space="0" w:color="auto"/>
                    <w:right w:val="single" w:sz="4" w:space="0" w:color="auto"/>
                  </w:tcBorders>
                  <w:noWrap/>
                  <w:vAlign w:val="bottom"/>
                </w:tcPr>
                <w:p w14:paraId="04E4780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0.830147</w:t>
                  </w:r>
                </w:p>
              </w:tc>
              <w:tc>
                <w:tcPr>
                  <w:tcW w:w="901" w:type="dxa"/>
                  <w:tcBorders>
                    <w:top w:val="single" w:sz="4" w:space="0" w:color="auto"/>
                    <w:left w:val="single" w:sz="4" w:space="0" w:color="auto"/>
                    <w:bottom w:val="single" w:sz="4" w:space="0" w:color="auto"/>
                    <w:right w:val="single" w:sz="4" w:space="0" w:color="auto"/>
                  </w:tcBorders>
                  <w:noWrap/>
                  <w:vAlign w:val="bottom"/>
                </w:tcPr>
                <w:p w14:paraId="4BDC810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0.783241</w:t>
                  </w:r>
                </w:p>
              </w:tc>
              <w:tc>
                <w:tcPr>
                  <w:tcW w:w="901" w:type="dxa"/>
                  <w:tcBorders>
                    <w:top w:val="single" w:sz="4" w:space="0" w:color="auto"/>
                    <w:left w:val="single" w:sz="4" w:space="0" w:color="auto"/>
                    <w:bottom w:val="single" w:sz="4" w:space="0" w:color="auto"/>
                    <w:right w:val="single" w:sz="4" w:space="0" w:color="auto"/>
                  </w:tcBorders>
                  <w:noWrap/>
                  <w:vAlign w:val="bottom"/>
                </w:tcPr>
                <w:p w14:paraId="654F9C8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0.757951</w:t>
                  </w:r>
                </w:p>
              </w:tc>
              <w:tc>
                <w:tcPr>
                  <w:tcW w:w="989" w:type="dxa"/>
                  <w:tcBorders>
                    <w:top w:val="single" w:sz="4" w:space="0" w:color="auto"/>
                    <w:left w:val="single" w:sz="4" w:space="0" w:color="auto"/>
                    <w:bottom w:val="single" w:sz="4" w:space="0" w:color="auto"/>
                    <w:right w:val="single" w:sz="4" w:space="0" w:color="auto"/>
                  </w:tcBorders>
                  <w:vAlign w:val="bottom"/>
                </w:tcPr>
                <w:p w14:paraId="3A34A17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0.715434</w:t>
                  </w:r>
                </w:p>
              </w:tc>
              <w:tc>
                <w:tcPr>
                  <w:tcW w:w="540" w:type="dxa"/>
                  <w:tcBorders>
                    <w:top w:val="single" w:sz="4" w:space="0" w:color="auto"/>
                    <w:left w:val="single" w:sz="4" w:space="0" w:color="auto"/>
                    <w:bottom w:val="single" w:sz="4" w:space="0" w:color="auto"/>
                    <w:right w:val="single" w:sz="4" w:space="0" w:color="auto"/>
                  </w:tcBorders>
                  <w:vAlign w:val="bottom"/>
                </w:tcPr>
                <w:p w14:paraId="102405F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32061101"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5C444B0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21</w:t>
                  </w:r>
                </w:p>
              </w:tc>
              <w:tc>
                <w:tcPr>
                  <w:tcW w:w="476" w:type="dxa"/>
                  <w:tcBorders>
                    <w:top w:val="single" w:sz="4" w:space="0" w:color="auto"/>
                    <w:left w:val="single" w:sz="4" w:space="0" w:color="auto"/>
                    <w:bottom w:val="single" w:sz="4" w:space="0" w:color="auto"/>
                    <w:right w:val="single" w:sz="4" w:space="0" w:color="auto"/>
                  </w:tcBorders>
                  <w:noWrap/>
                  <w:vAlign w:val="bottom"/>
                </w:tcPr>
                <w:p w14:paraId="4300359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7A14FC6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0.938066</w:t>
                  </w:r>
                </w:p>
              </w:tc>
              <w:tc>
                <w:tcPr>
                  <w:tcW w:w="901" w:type="dxa"/>
                  <w:tcBorders>
                    <w:top w:val="single" w:sz="4" w:space="0" w:color="auto"/>
                    <w:left w:val="single" w:sz="4" w:space="0" w:color="auto"/>
                    <w:bottom w:val="single" w:sz="4" w:space="0" w:color="auto"/>
                    <w:right w:val="single" w:sz="4" w:space="0" w:color="auto"/>
                  </w:tcBorders>
                  <w:noWrap/>
                  <w:vAlign w:val="bottom"/>
                </w:tcPr>
                <w:p w14:paraId="1224FD9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0.918185</w:t>
                  </w:r>
                </w:p>
              </w:tc>
              <w:tc>
                <w:tcPr>
                  <w:tcW w:w="991" w:type="dxa"/>
                  <w:tcBorders>
                    <w:top w:val="single" w:sz="4" w:space="0" w:color="auto"/>
                    <w:left w:val="single" w:sz="4" w:space="0" w:color="auto"/>
                    <w:bottom w:val="single" w:sz="4" w:space="0" w:color="auto"/>
                    <w:right w:val="single" w:sz="4" w:space="0" w:color="auto"/>
                  </w:tcBorders>
                  <w:noWrap/>
                  <w:vAlign w:val="bottom"/>
                </w:tcPr>
                <w:p w14:paraId="3021B75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0.891934</w:t>
                  </w:r>
                </w:p>
              </w:tc>
              <w:tc>
                <w:tcPr>
                  <w:tcW w:w="901" w:type="dxa"/>
                  <w:tcBorders>
                    <w:top w:val="single" w:sz="4" w:space="0" w:color="auto"/>
                    <w:left w:val="single" w:sz="4" w:space="0" w:color="auto"/>
                    <w:bottom w:val="single" w:sz="4" w:space="0" w:color="auto"/>
                    <w:right w:val="single" w:sz="4" w:space="0" w:color="auto"/>
                  </w:tcBorders>
                  <w:noWrap/>
                  <w:vAlign w:val="bottom"/>
                </w:tcPr>
                <w:p w14:paraId="1882650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0.851853</w:t>
                  </w:r>
                </w:p>
              </w:tc>
              <w:tc>
                <w:tcPr>
                  <w:tcW w:w="901" w:type="dxa"/>
                  <w:tcBorders>
                    <w:top w:val="single" w:sz="4" w:space="0" w:color="auto"/>
                    <w:left w:val="single" w:sz="4" w:space="0" w:color="auto"/>
                    <w:bottom w:val="single" w:sz="4" w:space="0" w:color="auto"/>
                    <w:right w:val="single" w:sz="4" w:space="0" w:color="auto"/>
                  </w:tcBorders>
                  <w:noWrap/>
                  <w:vAlign w:val="bottom"/>
                </w:tcPr>
                <w:p w14:paraId="5D69DB9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0.802358</w:t>
                  </w:r>
                </w:p>
              </w:tc>
              <w:tc>
                <w:tcPr>
                  <w:tcW w:w="901" w:type="dxa"/>
                  <w:tcBorders>
                    <w:top w:val="single" w:sz="4" w:space="0" w:color="auto"/>
                    <w:left w:val="single" w:sz="4" w:space="0" w:color="auto"/>
                    <w:bottom w:val="single" w:sz="4" w:space="0" w:color="auto"/>
                    <w:right w:val="single" w:sz="4" w:space="0" w:color="auto"/>
                  </w:tcBorders>
                  <w:noWrap/>
                  <w:vAlign w:val="bottom"/>
                </w:tcPr>
                <w:p w14:paraId="411AE05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0.773808</w:t>
                  </w:r>
                </w:p>
              </w:tc>
              <w:tc>
                <w:tcPr>
                  <w:tcW w:w="989" w:type="dxa"/>
                  <w:tcBorders>
                    <w:top w:val="single" w:sz="4" w:space="0" w:color="auto"/>
                    <w:left w:val="single" w:sz="4" w:space="0" w:color="auto"/>
                    <w:bottom w:val="single" w:sz="4" w:space="0" w:color="auto"/>
                    <w:right w:val="single" w:sz="4" w:space="0" w:color="auto"/>
                  </w:tcBorders>
                  <w:vAlign w:val="bottom"/>
                </w:tcPr>
                <w:p w14:paraId="3F1E30D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0.746806</w:t>
                  </w:r>
                </w:p>
              </w:tc>
              <w:tc>
                <w:tcPr>
                  <w:tcW w:w="540" w:type="dxa"/>
                  <w:tcBorders>
                    <w:top w:val="single" w:sz="4" w:space="0" w:color="auto"/>
                    <w:left w:val="single" w:sz="4" w:space="0" w:color="auto"/>
                    <w:bottom w:val="single" w:sz="4" w:space="0" w:color="auto"/>
                    <w:right w:val="single" w:sz="4" w:space="0" w:color="auto"/>
                  </w:tcBorders>
                  <w:vAlign w:val="bottom"/>
                </w:tcPr>
                <w:p w14:paraId="0443A46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6C8D850"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DC71F3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23</w:t>
                  </w:r>
                </w:p>
              </w:tc>
              <w:tc>
                <w:tcPr>
                  <w:tcW w:w="476" w:type="dxa"/>
                  <w:tcBorders>
                    <w:top w:val="single" w:sz="4" w:space="0" w:color="auto"/>
                    <w:left w:val="single" w:sz="4" w:space="0" w:color="auto"/>
                    <w:bottom w:val="single" w:sz="4" w:space="0" w:color="auto"/>
                    <w:right w:val="single" w:sz="4" w:space="0" w:color="auto"/>
                  </w:tcBorders>
                  <w:noWrap/>
                  <w:vAlign w:val="bottom"/>
                </w:tcPr>
                <w:p w14:paraId="4B046DB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03F3152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0.960208</w:t>
                  </w:r>
                </w:p>
              </w:tc>
              <w:tc>
                <w:tcPr>
                  <w:tcW w:w="901" w:type="dxa"/>
                  <w:tcBorders>
                    <w:top w:val="single" w:sz="4" w:space="0" w:color="auto"/>
                    <w:left w:val="single" w:sz="4" w:space="0" w:color="auto"/>
                    <w:bottom w:val="single" w:sz="4" w:space="0" w:color="auto"/>
                    <w:right w:val="single" w:sz="4" w:space="0" w:color="auto"/>
                  </w:tcBorders>
                  <w:noWrap/>
                  <w:vAlign w:val="bottom"/>
                </w:tcPr>
                <w:p w14:paraId="1F7F27B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0.947938</w:t>
                  </w:r>
                </w:p>
              </w:tc>
              <w:tc>
                <w:tcPr>
                  <w:tcW w:w="991" w:type="dxa"/>
                  <w:tcBorders>
                    <w:top w:val="single" w:sz="4" w:space="0" w:color="auto"/>
                    <w:left w:val="single" w:sz="4" w:space="0" w:color="auto"/>
                    <w:bottom w:val="single" w:sz="4" w:space="0" w:color="auto"/>
                    <w:right w:val="single" w:sz="4" w:space="0" w:color="auto"/>
                  </w:tcBorders>
                  <w:noWrap/>
                  <w:vAlign w:val="bottom"/>
                </w:tcPr>
                <w:p w14:paraId="6C22D02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0.931824</w:t>
                  </w:r>
                </w:p>
              </w:tc>
              <w:tc>
                <w:tcPr>
                  <w:tcW w:w="901" w:type="dxa"/>
                  <w:tcBorders>
                    <w:top w:val="single" w:sz="4" w:space="0" w:color="auto"/>
                    <w:left w:val="single" w:sz="4" w:space="0" w:color="auto"/>
                    <w:bottom w:val="single" w:sz="4" w:space="0" w:color="auto"/>
                    <w:right w:val="single" w:sz="4" w:space="0" w:color="auto"/>
                  </w:tcBorders>
                  <w:noWrap/>
                  <w:vAlign w:val="bottom"/>
                </w:tcPr>
                <w:p w14:paraId="0E981EA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0.907419</w:t>
                  </w:r>
                </w:p>
              </w:tc>
              <w:tc>
                <w:tcPr>
                  <w:tcW w:w="901" w:type="dxa"/>
                  <w:tcBorders>
                    <w:top w:val="single" w:sz="4" w:space="0" w:color="auto"/>
                    <w:left w:val="single" w:sz="4" w:space="0" w:color="auto"/>
                    <w:bottom w:val="single" w:sz="4" w:space="0" w:color="auto"/>
                    <w:right w:val="single" w:sz="4" w:space="0" w:color="auto"/>
                  </w:tcBorders>
                  <w:noWrap/>
                  <w:vAlign w:val="bottom"/>
                </w:tcPr>
                <w:p w14:paraId="7CDC558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0.877426</w:t>
                  </w:r>
                </w:p>
              </w:tc>
              <w:tc>
                <w:tcPr>
                  <w:tcW w:w="901" w:type="dxa"/>
                  <w:tcBorders>
                    <w:top w:val="single" w:sz="4" w:space="0" w:color="auto"/>
                    <w:left w:val="single" w:sz="4" w:space="0" w:color="auto"/>
                    <w:bottom w:val="single" w:sz="4" w:space="0" w:color="auto"/>
                    <w:right w:val="single" w:sz="4" w:space="0" w:color="auto"/>
                  </w:tcBorders>
                  <w:noWrap/>
                  <w:vAlign w:val="bottom"/>
                </w:tcPr>
                <w:p w14:paraId="2BC97DE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0.86013</w:t>
                  </w:r>
                </w:p>
              </w:tc>
              <w:tc>
                <w:tcPr>
                  <w:tcW w:w="989" w:type="dxa"/>
                  <w:tcBorders>
                    <w:top w:val="single" w:sz="4" w:space="0" w:color="auto"/>
                    <w:left w:val="single" w:sz="4" w:space="0" w:color="auto"/>
                    <w:bottom w:val="single" w:sz="4" w:space="0" w:color="auto"/>
                    <w:right w:val="single" w:sz="4" w:space="0" w:color="auto"/>
                  </w:tcBorders>
                  <w:vAlign w:val="bottom"/>
                </w:tcPr>
                <w:p w14:paraId="6BF09FF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0.843738</w:t>
                  </w:r>
                </w:p>
              </w:tc>
              <w:tc>
                <w:tcPr>
                  <w:tcW w:w="540" w:type="dxa"/>
                  <w:tcBorders>
                    <w:top w:val="single" w:sz="4" w:space="0" w:color="auto"/>
                    <w:left w:val="single" w:sz="4" w:space="0" w:color="auto"/>
                    <w:bottom w:val="single" w:sz="4" w:space="0" w:color="auto"/>
                    <w:right w:val="single" w:sz="4" w:space="0" w:color="auto"/>
                  </w:tcBorders>
                  <w:vAlign w:val="bottom"/>
                </w:tcPr>
                <w:p w14:paraId="0935FA1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B23679F"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121F749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24</w:t>
                  </w:r>
                </w:p>
              </w:tc>
              <w:tc>
                <w:tcPr>
                  <w:tcW w:w="476" w:type="dxa"/>
                  <w:tcBorders>
                    <w:top w:val="single" w:sz="4" w:space="0" w:color="auto"/>
                    <w:left w:val="single" w:sz="4" w:space="0" w:color="auto"/>
                    <w:bottom w:val="single" w:sz="4" w:space="0" w:color="auto"/>
                    <w:right w:val="single" w:sz="4" w:space="0" w:color="auto"/>
                  </w:tcBorders>
                  <w:noWrap/>
                  <w:vAlign w:val="bottom"/>
                </w:tcPr>
                <w:p w14:paraId="5BC8A4B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3B62D9F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0.938024</w:t>
                  </w:r>
                </w:p>
              </w:tc>
              <w:tc>
                <w:tcPr>
                  <w:tcW w:w="901" w:type="dxa"/>
                  <w:tcBorders>
                    <w:top w:val="single" w:sz="4" w:space="0" w:color="auto"/>
                    <w:left w:val="single" w:sz="4" w:space="0" w:color="auto"/>
                    <w:bottom w:val="single" w:sz="4" w:space="0" w:color="auto"/>
                    <w:right w:val="single" w:sz="4" w:space="0" w:color="auto"/>
                  </w:tcBorders>
                  <w:noWrap/>
                  <w:vAlign w:val="bottom"/>
                </w:tcPr>
                <w:p w14:paraId="5A51A7E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0.914754</w:t>
                  </w:r>
                </w:p>
              </w:tc>
              <w:tc>
                <w:tcPr>
                  <w:tcW w:w="991" w:type="dxa"/>
                  <w:tcBorders>
                    <w:top w:val="single" w:sz="4" w:space="0" w:color="auto"/>
                    <w:left w:val="single" w:sz="4" w:space="0" w:color="auto"/>
                    <w:bottom w:val="single" w:sz="4" w:space="0" w:color="auto"/>
                    <w:right w:val="single" w:sz="4" w:space="0" w:color="auto"/>
                  </w:tcBorders>
                  <w:noWrap/>
                  <w:vAlign w:val="bottom"/>
                </w:tcPr>
                <w:p w14:paraId="09A2754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0.883932</w:t>
                  </w:r>
                </w:p>
              </w:tc>
              <w:tc>
                <w:tcPr>
                  <w:tcW w:w="901" w:type="dxa"/>
                  <w:tcBorders>
                    <w:top w:val="single" w:sz="4" w:space="0" w:color="auto"/>
                    <w:left w:val="single" w:sz="4" w:space="0" w:color="auto"/>
                    <w:bottom w:val="single" w:sz="4" w:space="0" w:color="auto"/>
                    <w:right w:val="single" w:sz="4" w:space="0" w:color="auto"/>
                  </w:tcBorders>
                  <w:noWrap/>
                  <w:vAlign w:val="bottom"/>
                </w:tcPr>
                <w:p w14:paraId="387AC98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0.836248</w:t>
                  </w:r>
                </w:p>
              </w:tc>
              <w:tc>
                <w:tcPr>
                  <w:tcW w:w="901" w:type="dxa"/>
                  <w:tcBorders>
                    <w:top w:val="single" w:sz="4" w:space="0" w:color="auto"/>
                    <w:left w:val="single" w:sz="4" w:space="0" w:color="auto"/>
                    <w:bottom w:val="single" w:sz="4" w:space="0" w:color="auto"/>
                    <w:right w:val="single" w:sz="4" w:space="0" w:color="auto"/>
                  </w:tcBorders>
                  <w:noWrap/>
                  <w:vAlign w:val="bottom"/>
                </w:tcPr>
                <w:p w14:paraId="5992804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0.775571</w:t>
                  </w:r>
                </w:p>
              </w:tc>
              <w:tc>
                <w:tcPr>
                  <w:tcW w:w="901" w:type="dxa"/>
                  <w:tcBorders>
                    <w:top w:val="single" w:sz="4" w:space="0" w:color="auto"/>
                    <w:left w:val="single" w:sz="4" w:space="0" w:color="auto"/>
                    <w:bottom w:val="single" w:sz="4" w:space="0" w:color="auto"/>
                    <w:right w:val="single" w:sz="4" w:space="0" w:color="auto"/>
                  </w:tcBorders>
                  <w:noWrap/>
                  <w:vAlign w:val="bottom"/>
                </w:tcPr>
                <w:p w14:paraId="645133F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0.740152</w:t>
                  </w:r>
                </w:p>
              </w:tc>
              <w:tc>
                <w:tcPr>
                  <w:tcW w:w="989" w:type="dxa"/>
                  <w:tcBorders>
                    <w:top w:val="single" w:sz="4" w:space="0" w:color="auto"/>
                    <w:left w:val="single" w:sz="4" w:space="0" w:color="auto"/>
                    <w:bottom w:val="single" w:sz="4" w:space="0" w:color="auto"/>
                    <w:right w:val="single" w:sz="4" w:space="0" w:color="auto"/>
                  </w:tcBorders>
                  <w:vAlign w:val="bottom"/>
                </w:tcPr>
                <w:p w14:paraId="1A4429D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0.706462</w:t>
                  </w:r>
                </w:p>
              </w:tc>
              <w:tc>
                <w:tcPr>
                  <w:tcW w:w="540" w:type="dxa"/>
                  <w:tcBorders>
                    <w:top w:val="single" w:sz="4" w:space="0" w:color="auto"/>
                    <w:left w:val="single" w:sz="4" w:space="0" w:color="auto"/>
                    <w:bottom w:val="single" w:sz="4" w:space="0" w:color="auto"/>
                    <w:right w:val="single" w:sz="4" w:space="0" w:color="auto"/>
                  </w:tcBorders>
                  <w:vAlign w:val="bottom"/>
                </w:tcPr>
                <w:p w14:paraId="4406923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460AD91"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284B285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25</w:t>
                  </w:r>
                </w:p>
              </w:tc>
              <w:tc>
                <w:tcPr>
                  <w:tcW w:w="476" w:type="dxa"/>
                  <w:tcBorders>
                    <w:top w:val="single" w:sz="4" w:space="0" w:color="auto"/>
                    <w:left w:val="single" w:sz="4" w:space="0" w:color="auto"/>
                    <w:bottom w:val="single" w:sz="4" w:space="0" w:color="auto"/>
                    <w:right w:val="single" w:sz="4" w:space="0" w:color="auto"/>
                  </w:tcBorders>
                  <w:noWrap/>
                  <w:vAlign w:val="bottom"/>
                </w:tcPr>
                <w:p w14:paraId="6657427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3C9D6CD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0.916839</w:t>
                  </w:r>
                </w:p>
              </w:tc>
              <w:tc>
                <w:tcPr>
                  <w:tcW w:w="901" w:type="dxa"/>
                  <w:tcBorders>
                    <w:top w:val="single" w:sz="4" w:space="0" w:color="auto"/>
                    <w:left w:val="single" w:sz="4" w:space="0" w:color="auto"/>
                    <w:bottom w:val="single" w:sz="4" w:space="0" w:color="auto"/>
                    <w:right w:val="single" w:sz="4" w:space="0" w:color="auto"/>
                  </w:tcBorders>
                  <w:noWrap/>
                  <w:vAlign w:val="bottom"/>
                </w:tcPr>
                <w:p w14:paraId="7E64D12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0.889991</w:t>
                  </w:r>
                </w:p>
              </w:tc>
              <w:tc>
                <w:tcPr>
                  <w:tcW w:w="991" w:type="dxa"/>
                  <w:tcBorders>
                    <w:top w:val="single" w:sz="4" w:space="0" w:color="auto"/>
                    <w:left w:val="single" w:sz="4" w:space="0" w:color="auto"/>
                    <w:bottom w:val="single" w:sz="4" w:space="0" w:color="auto"/>
                    <w:right w:val="single" w:sz="4" w:space="0" w:color="auto"/>
                  </w:tcBorders>
                  <w:noWrap/>
                  <w:vAlign w:val="bottom"/>
                </w:tcPr>
                <w:p w14:paraId="7CBA05E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0.850962</w:t>
                  </w:r>
                </w:p>
              </w:tc>
              <w:tc>
                <w:tcPr>
                  <w:tcW w:w="901" w:type="dxa"/>
                  <w:tcBorders>
                    <w:top w:val="single" w:sz="4" w:space="0" w:color="auto"/>
                    <w:left w:val="single" w:sz="4" w:space="0" w:color="auto"/>
                    <w:bottom w:val="single" w:sz="4" w:space="0" w:color="auto"/>
                    <w:right w:val="single" w:sz="4" w:space="0" w:color="auto"/>
                  </w:tcBorders>
                  <w:noWrap/>
                  <w:vAlign w:val="bottom"/>
                </w:tcPr>
                <w:p w14:paraId="0781B60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0.788507</w:t>
                  </w:r>
                </w:p>
              </w:tc>
              <w:tc>
                <w:tcPr>
                  <w:tcW w:w="901" w:type="dxa"/>
                  <w:tcBorders>
                    <w:top w:val="single" w:sz="4" w:space="0" w:color="auto"/>
                    <w:left w:val="single" w:sz="4" w:space="0" w:color="auto"/>
                    <w:bottom w:val="single" w:sz="4" w:space="0" w:color="auto"/>
                    <w:right w:val="single" w:sz="4" w:space="0" w:color="auto"/>
                  </w:tcBorders>
                  <w:noWrap/>
                  <w:vAlign w:val="bottom"/>
                </w:tcPr>
                <w:p w14:paraId="16300FA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0.723776</w:t>
                  </w:r>
                </w:p>
              </w:tc>
              <w:tc>
                <w:tcPr>
                  <w:tcW w:w="901" w:type="dxa"/>
                  <w:tcBorders>
                    <w:top w:val="single" w:sz="4" w:space="0" w:color="auto"/>
                    <w:left w:val="single" w:sz="4" w:space="0" w:color="auto"/>
                    <w:bottom w:val="single" w:sz="4" w:space="0" w:color="auto"/>
                    <w:right w:val="single" w:sz="4" w:space="0" w:color="auto"/>
                  </w:tcBorders>
                  <w:noWrap/>
                  <w:vAlign w:val="bottom"/>
                </w:tcPr>
                <w:p w14:paraId="4CD5DBA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0.690025</w:t>
                  </w:r>
                </w:p>
              </w:tc>
              <w:tc>
                <w:tcPr>
                  <w:tcW w:w="989" w:type="dxa"/>
                  <w:tcBorders>
                    <w:top w:val="single" w:sz="4" w:space="0" w:color="auto"/>
                    <w:left w:val="single" w:sz="4" w:space="0" w:color="auto"/>
                    <w:bottom w:val="single" w:sz="4" w:space="0" w:color="auto"/>
                    <w:right w:val="single" w:sz="4" w:space="0" w:color="auto"/>
                  </w:tcBorders>
                  <w:vAlign w:val="bottom"/>
                </w:tcPr>
                <w:p w14:paraId="435868E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0.664922</w:t>
                  </w:r>
                </w:p>
              </w:tc>
              <w:tc>
                <w:tcPr>
                  <w:tcW w:w="540" w:type="dxa"/>
                  <w:tcBorders>
                    <w:top w:val="single" w:sz="4" w:space="0" w:color="auto"/>
                    <w:left w:val="single" w:sz="4" w:space="0" w:color="auto"/>
                    <w:bottom w:val="single" w:sz="4" w:space="0" w:color="auto"/>
                    <w:right w:val="single" w:sz="4" w:space="0" w:color="auto"/>
                  </w:tcBorders>
                  <w:vAlign w:val="bottom"/>
                </w:tcPr>
                <w:p w14:paraId="31BDAB4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A267DD6"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1BEF674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26</w:t>
                  </w:r>
                </w:p>
              </w:tc>
              <w:tc>
                <w:tcPr>
                  <w:tcW w:w="476" w:type="dxa"/>
                  <w:tcBorders>
                    <w:top w:val="single" w:sz="4" w:space="0" w:color="auto"/>
                    <w:left w:val="single" w:sz="4" w:space="0" w:color="auto"/>
                    <w:bottom w:val="single" w:sz="4" w:space="0" w:color="auto"/>
                    <w:right w:val="single" w:sz="4" w:space="0" w:color="auto"/>
                  </w:tcBorders>
                  <w:noWrap/>
                  <w:vAlign w:val="bottom"/>
                </w:tcPr>
                <w:p w14:paraId="4A5A9D5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1153A89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0.918492</w:t>
                  </w:r>
                </w:p>
              </w:tc>
              <w:tc>
                <w:tcPr>
                  <w:tcW w:w="901" w:type="dxa"/>
                  <w:tcBorders>
                    <w:top w:val="single" w:sz="4" w:space="0" w:color="auto"/>
                    <w:left w:val="single" w:sz="4" w:space="0" w:color="auto"/>
                    <w:bottom w:val="single" w:sz="4" w:space="0" w:color="auto"/>
                    <w:right w:val="single" w:sz="4" w:space="0" w:color="auto"/>
                  </w:tcBorders>
                  <w:noWrap/>
                  <w:vAlign w:val="bottom"/>
                </w:tcPr>
                <w:p w14:paraId="51777E5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0.892789</w:t>
                  </w:r>
                </w:p>
              </w:tc>
              <w:tc>
                <w:tcPr>
                  <w:tcW w:w="991" w:type="dxa"/>
                  <w:tcBorders>
                    <w:top w:val="single" w:sz="4" w:space="0" w:color="auto"/>
                    <w:left w:val="single" w:sz="4" w:space="0" w:color="auto"/>
                    <w:bottom w:val="single" w:sz="4" w:space="0" w:color="auto"/>
                    <w:right w:val="single" w:sz="4" w:space="0" w:color="auto"/>
                  </w:tcBorders>
                  <w:noWrap/>
                  <w:vAlign w:val="bottom"/>
                </w:tcPr>
                <w:p w14:paraId="7036FFD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0.856391</w:t>
                  </w:r>
                </w:p>
              </w:tc>
              <w:tc>
                <w:tcPr>
                  <w:tcW w:w="901" w:type="dxa"/>
                  <w:tcBorders>
                    <w:top w:val="single" w:sz="4" w:space="0" w:color="auto"/>
                    <w:left w:val="single" w:sz="4" w:space="0" w:color="auto"/>
                    <w:bottom w:val="single" w:sz="4" w:space="0" w:color="auto"/>
                    <w:right w:val="single" w:sz="4" w:space="0" w:color="auto"/>
                  </w:tcBorders>
                  <w:noWrap/>
                  <w:vAlign w:val="bottom"/>
                </w:tcPr>
                <w:p w14:paraId="090196F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0.799076</w:t>
                  </w:r>
                </w:p>
              </w:tc>
              <w:tc>
                <w:tcPr>
                  <w:tcW w:w="901" w:type="dxa"/>
                  <w:tcBorders>
                    <w:top w:val="single" w:sz="4" w:space="0" w:color="auto"/>
                    <w:left w:val="single" w:sz="4" w:space="0" w:color="auto"/>
                    <w:bottom w:val="single" w:sz="4" w:space="0" w:color="auto"/>
                    <w:right w:val="single" w:sz="4" w:space="0" w:color="auto"/>
                  </w:tcBorders>
                  <w:noWrap/>
                  <w:vAlign w:val="bottom"/>
                </w:tcPr>
                <w:p w14:paraId="1D09AD6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0.736993</w:t>
                  </w:r>
                </w:p>
              </w:tc>
              <w:tc>
                <w:tcPr>
                  <w:tcW w:w="901" w:type="dxa"/>
                  <w:tcBorders>
                    <w:top w:val="single" w:sz="4" w:space="0" w:color="auto"/>
                    <w:left w:val="single" w:sz="4" w:space="0" w:color="auto"/>
                    <w:bottom w:val="single" w:sz="4" w:space="0" w:color="auto"/>
                    <w:right w:val="single" w:sz="4" w:space="0" w:color="auto"/>
                  </w:tcBorders>
                  <w:noWrap/>
                  <w:vAlign w:val="bottom"/>
                </w:tcPr>
                <w:p w14:paraId="174DB47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0.703613</w:t>
                  </w:r>
                </w:p>
              </w:tc>
              <w:tc>
                <w:tcPr>
                  <w:tcW w:w="989" w:type="dxa"/>
                  <w:tcBorders>
                    <w:top w:val="single" w:sz="4" w:space="0" w:color="auto"/>
                    <w:left w:val="single" w:sz="4" w:space="0" w:color="auto"/>
                    <w:bottom w:val="single" w:sz="4" w:space="0" w:color="auto"/>
                    <w:right w:val="single" w:sz="4" w:space="0" w:color="auto"/>
                  </w:tcBorders>
                  <w:vAlign w:val="bottom"/>
                </w:tcPr>
                <w:p w14:paraId="1B11ED1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0.676825</w:t>
                  </w:r>
                </w:p>
              </w:tc>
              <w:tc>
                <w:tcPr>
                  <w:tcW w:w="540" w:type="dxa"/>
                  <w:tcBorders>
                    <w:top w:val="single" w:sz="4" w:space="0" w:color="auto"/>
                    <w:left w:val="single" w:sz="4" w:space="0" w:color="auto"/>
                    <w:bottom w:val="single" w:sz="4" w:space="0" w:color="auto"/>
                    <w:right w:val="single" w:sz="4" w:space="0" w:color="auto"/>
                  </w:tcBorders>
                  <w:vAlign w:val="bottom"/>
                </w:tcPr>
                <w:p w14:paraId="19C232E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2F5C3D14"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41B6590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27</w:t>
                  </w:r>
                </w:p>
              </w:tc>
              <w:tc>
                <w:tcPr>
                  <w:tcW w:w="476" w:type="dxa"/>
                  <w:tcBorders>
                    <w:top w:val="single" w:sz="4" w:space="0" w:color="auto"/>
                    <w:left w:val="single" w:sz="4" w:space="0" w:color="auto"/>
                    <w:bottom w:val="single" w:sz="4" w:space="0" w:color="auto"/>
                    <w:right w:val="single" w:sz="4" w:space="0" w:color="auto"/>
                  </w:tcBorders>
                  <w:noWrap/>
                  <w:vAlign w:val="bottom"/>
                </w:tcPr>
                <w:p w14:paraId="0B81422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78D45E6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0.910206</w:t>
                  </w:r>
                </w:p>
              </w:tc>
              <w:tc>
                <w:tcPr>
                  <w:tcW w:w="901" w:type="dxa"/>
                  <w:tcBorders>
                    <w:top w:val="single" w:sz="4" w:space="0" w:color="auto"/>
                    <w:left w:val="single" w:sz="4" w:space="0" w:color="auto"/>
                    <w:bottom w:val="single" w:sz="4" w:space="0" w:color="auto"/>
                    <w:right w:val="single" w:sz="4" w:space="0" w:color="auto"/>
                  </w:tcBorders>
                  <w:noWrap/>
                  <w:vAlign w:val="bottom"/>
                </w:tcPr>
                <w:p w14:paraId="0636C67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0.881907</w:t>
                  </w:r>
                </w:p>
              </w:tc>
              <w:tc>
                <w:tcPr>
                  <w:tcW w:w="991" w:type="dxa"/>
                  <w:tcBorders>
                    <w:top w:val="single" w:sz="4" w:space="0" w:color="auto"/>
                    <w:left w:val="single" w:sz="4" w:space="0" w:color="auto"/>
                    <w:bottom w:val="single" w:sz="4" w:space="0" w:color="auto"/>
                    <w:right w:val="single" w:sz="4" w:space="0" w:color="auto"/>
                  </w:tcBorders>
                  <w:noWrap/>
                  <w:vAlign w:val="bottom"/>
                </w:tcPr>
                <w:p w14:paraId="7E68F22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0.84235</w:t>
                  </w:r>
                </w:p>
              </w:tc>
              <w:tc>
                <w:tcPr>
                  <w:tcW w:w="901" w:type="dxa"/>
                  <w:tcBorders>
                    <w:top w:val="single" w:sz="4" w:space="0" w:color="auto"/>
                    <w:left w:val="single" w:sz="4" w:space="0" w:color="auto"/>
                    <w:bottom w:val="single" w:sz="4" w:space="0" w:color="auto"/>
                    <w:right w:val="single" w:sz="4" w:space="0" w:color="auto"/>
                  </w:tcBorders>
                  <w:noWrap/>
                  <w:vAlign w:val="bottom"/>
                </w:tcPr>
                <w:p w14:paraId="1B1FFA4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0.780257</w:t>
                  </w:r>
                </w:p>
              </w:tc>
              <w:tc>
                <w:tcPr>
                  <w:tcW w:w="901" w:type="dxa"/>
                  <w:tcBorders>
                    <w:top w:val="single" w:sz="4" w:space="0" w:color="auto"/>
                    <w:left w:val="single" w:sz="4" w:space="0" w:color="auto"/>
                    <w:bottom w:val="single" w:sz="4" w:space="0" w:color="auto"/>
                    <w:right w:val="single" w:sz="4" w:space="0" w:color="auto"/>
                  </w:tcBorders>
                  <w:noWrap/>
                  <w:vAlign w:val="bottom"/>
                </w:tcPr>
                <w:p w14:paraId="34D20D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0.709927</w:t>
                  </w:r>
                </w:p>
              </w:tc>
              <w:tc>
                <w:tcPr>
                  <w:tcW w:w="901" w:type="dxa"/>
                  <w:tcBorders>
                    <w:top w:val="single" w:sz="4" w:space="0" w:color="auto"/>
                    <w:left w:val="single" w:sz="4" w:space="0" w:color="auto"/>
                    <w:bottom w:val="single" w:sz="4" w:space="0" w:color="auto"/>
                    <w:right w:val="single" w:sz="4" w:space="0" w:color="auto"/>
                  </w:tcBorders>
                  <w:noWrap/>
                  <w:vAlign w:val="bottom"/>
                </w:tcPr>
                <w:p w14:paraId="796E030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0.671072</w:t>
                  </w:r>
                </w:p>
              </w:tc>
              <w:tc>
                <w:tcPr>
                  <w:tcW w:w="989" w:type="dxa"/>
                  <w:tcBorders>
                    <w:top w:val="single" w:sz="4" w:space="0" w:color="auto"/>
                    <w:left w:val="single" w:sz="4" w:space="0" w:color="auto"/>
                    <w:bottom w:val="single" w:sz="4" w:space="0" w:color="auto"/>
                    <w:right w:val="single" w:sz="4" w:space="0" w:color="auto"/>
                  </w:tcBorders>
                  <w:vAlign w:val="bottom"/>
                </w:tcPr>
                <w:p w14:paraId="0C774F5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0.638649</w:t>
                  </w:r>
                </w:p>
              </w:tc>
              <w:tc>
                <w:tcPr>
                  <w:tcW w:w="540" w:type="dxa"/>
                  <w:tcBorders>
                    <w:top w:val="single" w:sz="4" w:space="0" w:color="auto"/>
                    <w:left w:val="single" w:sz="4" w:space="0" w:color="auto"/>
                    <w:bottom w:val="single" w:sz="4" w:space="0" w:color="auto"/>
                    <w:right w:val="single" w:sz="4" w:space="0" w:color="auto"/>
                  </w:tcBorders>
                  <w:vAlign w:val="bottom"/>
                </w:tcPr>
                <w:p w14:paraId="582C1CD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1E7CBA8B"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009FE63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28</w:t>
                  </w:r>
                </w:p>
              </w:tc>
              <w:tc>
                <w:tcPr>
                  <w:tcW w:w="476" w:type="dxa"/>
                  <w:tcBorders>
                    <w:top w:val="single" w:sz="4" w:space="0" w:color="auto"/>
                    <w:left w:val="single" w:sz="4" w:space="0" w:color="auto"/>
                    <w:bottom w:val="single" w:sz="4" w:space="0" w:color="auto"/>
                    <w:right w:val="single" w:sz="4" w:space="0" w:color="auto"/>
                  </w:tcBorders>
                  <w:noWrap/>
                  <w:vAlign w:val="bottom"/>
                </w:tcPr>
                <w:p w14:paraId="1150479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4FD743B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0.943531</w:t>
                  </w:r>
                </w:p>
              </w:tc>
              <w:tc>
                <w:tcPr>
                  <w:tcW w:w="901" w:type="dxa"/>
                  <w:tcBorders>
                    <w:top w:val="single" w:sz="4" w:space="0" w:color="auto"/>
                    <w:left w:val="single" w:sz="4" w:space="0" w:color="auto"/>
                    <w:bottom w:val="single" w:sz="4" w:space="0" w:color="auto"/>
                    <w:right w:val="single" w:sz="4" w:space="0" w:color="auto"/>
                  </w:tcBorders>
                  <w:noWrap/>
                  <w:vAlign w:val="bottom"/>
                </w:tcPr>
                <w:p w14:paraId="104EDE3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0.926965</w:t>
                  </w:r>
                </w:p>
              </w:tc>
              <w:tc>
                <w:tcPr>
                  <w:tcW w:w="991" w:type="dxa"/>
                  <w:tcBorders>
                    <w:top w:val="single" w:sz="4" w:space="0" w:color="auto"/>
                    <w:left w:val="single" w:sz="4" w:space="0" w:color="auto"/>
                    <w:bottom w:val="single" w:sz="4" w:space="0" w:color="auto"/>
                    <w:right w:val="single" w:sz="4" w:space="0" w:color="auto"/>
                  </w:tcBorders>
                  <w:noWrap/>
                  <w:vAlign w:val="bottom"/>
                </w:tcPr>
                <w:p w14:paraId="3CAF2A9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0.903708</w:t>
                  </w:r>
                </w:p>
              </w:tc>
              <w:tc>
                <w:tcPr>
                  <w:tcW w:w="901" w:type="dxa"/>
                  <w:tcBorders>
                    <w:top w:val="single" w:sz="4" w:space="0" w:color="auto"/>
                    <w:left w:val="single" w:sz="4" w:space="0" w:color="auto"/>
                    <w:bottom w:val="single" w:sz="4" w:space="0" w:color="auto"/>
                    <w:right w:val="single" w:sz="4" w:space="0" w:color="auto"/>
                  </w:tcBorders>
                  <w:noWrap/>
                  <w:vAlign w:val="bottom"/>
                </w:tcPr>
                <w:p w14:paraId="2701911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0.867612</w:t>
                  </w:r>
                </w:p>
              </w:tc>
              <w:tc>
                <w:tcPr>
                  <w:tcW w:w="901" w:type="dxa"/>
                  <w:tcBorders>
                    <w:top w:val="single" w:sz="4" w:space="0" w:color="auto"/>
                    <w:left w:val="single" w:sz="4" w:space="0" w:color="auto"/>
                    <w:bottom w:val="single" w:sz="4" w:space="0" w:color="auto"/>
                    <w:right w:val="single" w:sz="4" w:space="0" w:color="auto"/>
                  </w:tcBorders>
                  <w:noWrap/>
                  <w:vAlign w:val="bottom"/>
                </w:tcPr>
                <w:p w14:paraId="0227D59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0.829328</w:t>
                  </w:r>
                </w:p>
              </w:tc>
              <w:tc>
                <w:tcPr>
                  <w:tcW w:w="901" w:type="dxa"/>
                  <w:tcBorders>
                    <w:top w:val="single" w:sz="4" w:space="0" w:color="auto"/>
                    <w:left w:val="single" w:sz="4" w:space="0" w:color="auto"/>
                    <w:bottom w:val="single" w:sz="4" w:space="0" w:color="auto"/>
                    <w:right w:val="single" w:sz="4" w:space="0" w:color="auto"/>
                  </w:tcBorders>
                  <w:noWrap/>
                  <w:vAlign w:val="bottom"/>
                </w:tcPr>
                <w:p w14:paraId="4D3A62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0.80896</w:t>
                  </w:r>
                </w:p>
              </w:tc>
              <w:tc>
                <w:tcPr>
                  <w:tcW w:w="989" w:type="dxa"/>
                  <w:tcBorders>
                    <w:top w:val="single" w:sz="4" w:space="0" w:color="auto"/>
                    <w:left w:val="single" w:sz="4" w:space="0" w:color="auto"/>
                    <w:bottom w:val="single" w:sz="4" w:space="0" w:color="auto"/>
                    <w:right w:val="single" w:sz="4" w:space="0" w:color="auto"/>
                  </w:tcBorders>
                  <w:vAlign w:val="bottom"/>
                </w:tcPr>
                <w:p w14:paraId="53D8A51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0.792678</w:t>
                  </w:r>
                </w:p>
              </w:tc>
              <w:tc>
                <w:tcPr>
                  <w:tcW w:w="540" w:type="dxa"/>
                  <w:tcBorders>
                    <w:top w:val="single" w:sz="4" w:space="0" w:color="auto"/>
                    <w:left w:val="single" w:sz="4" w:space="0" w:color="auto"/>
                    <w:bottom w:val="single" w:sz="4" w:space="0" w:color="auto"/>
                    <w:right w:val="single" w:sz="4" w:space="0" w:color="auto"/>
                  </w:tcBorders>
                  <w:vAlign w:val="bottom"/>
                </w:tcPr>
                <w:p w14:paraId="394170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4576A83"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320D382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29</w:t>
                  </w:r>
                </w:p>
              </w:tc>
              <w:tc>
                <w:tcPr>
                  <w:tcW w:w="476" w:type="dxa"/>
                  <w:tcBorders>
                    <w:top w:val="single" w:sz="4" w:space="0" w:color="auto"/>
                    <w:left w:val="single" w:sz="4" w:space="0" w:color="auto"/>
                    <w:bottom w:val="single" w:sz="4" w:space="0" w:color="auto"/>
                    <w:right w:val="single" w:sz="4" w:space="0" w:color="auto"/>
                  </w:tcBorders>
                  <w:noWrap/>
                  <w:vAlign w:val="bottom"/>
                </w:tcPr>
                <w:p w14:paraId="4030A30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24EA785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0.95665</w:t>
                  </w:r>
                </w:p>
              </w:tc>
              <w:tc>
                <w:tcPr>
                  <w:tcW w:w="901" w:type="dxa"/>
                  <w:tcBorders>
                    <w:top w:val="single" w:sz="4" w:space="0" w:color="auto"/>
                    <w:left w:val="single" w:sz="4" w:space="0" w:color="auto"/>
                    <w:bottom w:val="single" w:sz="4" w:space="0" w:color="auto"/>
                    <w:right w:val="single" w:sz="4" w:space="0" w:color="auto"/>
                  </w:tcBorders>
                  <w:noWrap/>
                  <w:vAlign w:val="bottom"/>
                </w:tcPr>
                <w:p w14:paraId="5216872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0.943976</w:t>
                  </w:r>
                </w:p>
              </w:tc>
              <w:tc>
                <w:tcPr>
                  <w:tcW w:w="991" w:type="dxa"/>
                  <w:tcBorders>
                    <w:top w:val="single" w:sz="4" w:space="0" w:color="auto"/>
                    <w:left w:val="single" w:sz="4" w:space="0" w:color="auto"/>
                    <w:bottom w:val="single" w:sz="4" w:space="0" w:color="auto"/>
                    <w:right w:val="single" w:sz="4" w:space="0" w:color="auto"/>
                  </w:tcBorders>
                  <w:noWrap/>
                  <w:vAlign w:val="bottom"/>
                </w:tcPr>
                <w:p w14:paraId="454CBBB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0.926215</w:t>
                  </w:r>
                </w:p>
              </w:tc>
              <w:tc>
                <w:tcPr>
                  <w:tcW w:w="901" w:type="dxa"/>
                  <w:tcBorders>
                    <w:top w:val="single" w:sz="4" w:space="0" w:color="auto"/>
                    <w:left w:val="single" w:sz="4" w:space="0" w:color="auto"/>
                    <w:bottom w:val="single" w:sz="4" w:space="0" w:color="auto"/>
                    <w:right w:val="single" w:sz="4" w:space="0" w:color="auto"/>
                  </w:tcBorders>
                  <w:noWrap/>
                  <w:vAlign w:val="bottom"/>
                </w:tcPr>
                <w:p w14:paraId="2BC92FD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0.898717</w:t>
                  </w:r>
                </w:p>
              </w:tc>
              <w:tc>
                <w:tcPr>
                  <w:tcW w:w="901" w:type="dxa"/>
                  <w:tcBorders>
                    <w:top w:val="single" w:sz="4" w:space="0" w:color="auto"/>
                    <w:left w:val="single" w:sz="4" w:space="0" w:color="auto"/>
                    <w:bottom w:val="single" w:sz="4" w:space="0" w:color="auto"/>
                    <w:right w:val="single" w:sz="4" w:space="0" w:color="auto"/>
                  </w:tcBorders>
                  <w:noWrap/>
                  <w:vAlign w:val="bottom"/>
                </w:tcPr>
                <w:p w14:paraId="603C5FC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0.869538</w:t>
                  </w:r>
                </w:p>
              </w:tc>
              <w:tc>
                <w:tcPr>
                  <w:tcW w:w="901" w:type="dxa"/>
                  <w:tcBorders>
                    <w:top w:val="single" w:sz="4" w:space="0" w:color="auto"/>
                    <w:left w:val="single" w:sz="4" w:space="0" w:color="auto"/>
                    <w:bottom w:val="single" w:sz="4" w:space="0" w:color="auto"/>
                    <w:right w:val="single" w:sz="4" w:space="0" w:color="auto"/>
                  </w:tcBorders>
                  <w:noWrap/>
                  <w:vAlign w:val="bottom"/>
                </w:tcPr>
                <w:p w14:paraId="07345DD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0.853991</w:t>
                  </w:r>
                </w:p>
              </w:tc>
              <w:tc>
                <w:tcPr>
                  <w:tcW w:w="989" w:type="dxa"/>
                  <w:tcBorders>
                    <w:top w:val="single" w:sz="4" w:space="0" w:color="auto"/>
                    <w:left w:val="single" w:sz="4" w:space="0" w:color="auto"/>
                    <w:bottom w:val="single" w:sz="4" w:space="0" w:color="auto"/>
                    <w:right w:val="single" w:sz="4" w:space="0" w:color="auto"/>
                  </w:tcBorders>
                  <w:vAlign w:val="bottom"/>
                </w:tcPr>
                <w:p w14:paraId="7F00F28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0.841545</w:t>
                  </w:r>
                </w:p>
              </w:tc>
              <w:tc>
                <w:tcPr>
                  <w:tcW w:w="540" w:type="dxa"/>
                  <w:tcBorders>
                    <w:top w:val="single" w:sz="4" w:space="0" w:color="auto"/>
                    <w:left w:val="single" w:sz="4" w:space="0" w:color="auto"/>
                    <w:bottom w:val="single" w:sz="4" w:space="0" w:color="auto"/>
                    <w:right w:val="single" w:sz="4" w:space="0" w:color="auto"/>
                  </w:tcBorders>
                  <w:vAlign w:val="bottom"/>
                </w:tcPr>
                <w:p w14:paraId="6265BED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24796B1D" w14:textId="77777777" w:rsidTr="00A03DAB">
              <w:trPr>
                <w:trHeight w:val="285"/>
                <w:jc w:val="center"/>
              </w:trPr>
              <w:tc>
                <w:tcPr>
                  <w:tcW w:w="1113" w:type="dxa"/>
                  <w:tcBorders>
                    <w:top w:val="single" w:sz="4" w:space="0" w:color="auto"/>
                    <w:left w:val="single" w:sz="4" w:space="0" w:color="auto"/>
                    <w:bottom w:val="single" w:sz="4" w:space="0" w:color="auto"/>
                    <w:right w:val="single" w:sz="4" w:space="0" w:color="auto"/>
                  </w:tcBorders>
                  <w:noWrap/>
                  <w:vAlign w:val="bottom"/>
                  <w:hideMark/>
                </w:tcPr>
                <w:p w14:paraId="589E221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31</w:t>
                  </w:r>
                </w:p>
              </w:tc>
              <w:tc>
                <w:tcPr>
                  <w:tcW w:w="476" w:type="dxa"/>
                  <w:tcBorders>
                    <w:top w:val="single" w:sz="4" w:space="0" w:color="auto"/>
                    <w:left w:val="single" w:sz="4" w:space="0" w:color="auto"/>
                    <w:bottom w:val="single" w:sz="4" w:space="0" w:color="auto"/>
                    <w:right w:val="single" w:sz="4" w:space="0" w:color="auto"/>
                  </w:tcBorders>
                  <w:noWrap/>
                  <w:vAlign w:val="bottom"/>
                </w:tcPr>
                <w:p w14:paraId="458DD76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tcBorders>
                    <w:top w:val="single" w:sz="4" w:space="0" w:color="auto"/>
                    <w:left w:val="single" w:sz="4" w:space="0" w:color="auto"/>
                    <w:bottom w:val="single" w:sz="4" w:space="0" w:color="auto"/>
                    <w:right w:val="single" w:sz="4" w:space="0" w:color="auto"/>
                  </w:tcBorders>
                  <w:noWrap/>
                  <w:vAlign w:val="bottom"/>
                </w:tcPr>
                <w:p w14:paraId="6D8D02C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55B051E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91" w:type="dxa"/>
                  <w:tcBorders>
                    <w:top w:val="single" w:sz="4" w:space="0" w:color="auto"/>
                    <w:left w:val="single" w:sz="4" w:space="0" w:color="auto"/>
                    <w:bottom w:val="single" w:sz="4" w:space="0" w:color="auto"/>
                    <w:right w:val="single" w:sz="4" w:space="0" w:color="auto"/>
                  </w:tcBorders>
                  <w:noWrap/>
                  <w:vAlign w:val="bottom"/>
                </w:tcPr>
                <w:p w14:paraId="6842DB0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67D908F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1" w:type="dxa"/>
                  <w:tcBorders>
                    <w:top w:val="single" w:sz="4" w:space="0" w:color="auto"/>
                    <w:left w:val="single" w:sz="4" w:space="0" w:color="auto"/>
                    <w:bottom w:val="single" w:sz="4" w:space="0" w:color="auto"/>
                    <w:right w:val="single" w:sz="4" w:space="0" w:color="auto"/>
                  </w:tcBorders>
                  <w:noWrap/>
                  <w:vAlign w:val="bottom"/>
                </w:tcPr>
                <w:p w14:paraId="0C399D6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0.931305</w:t>
                  </w:r>
                </w:p>
              </w:tc>
              <w:tc>
                <w:tcPr>
                  <w:tcW w:w="901" w:type="dxa"/>
                  <w:tcBorders>
                    <w:top w:val="single" w:sz="4" w:space="0" w:color="auto"/>
                    <w:left w:val="single" w:sz="4" w:space="0" w:color="auto"/>
                    <w:bottom w:val="single" w:sz="4" w:space="0" w:color="auto"/>
                    <w:right w:val="single" w:sz="4" w:space="0" w:color="auto"/>
                  </w:tcBorders>
                  <w:noWrap/>
                  <w:vAlign w:val="bottom"/>
                </w:tcPr>
                <w:p w14:paraId="1958890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0.83575</w:t>
                  </w:r>
                </w:p>
              </w:tc>
              <w:tc>
                <w:tcPr>
                  <w:tcW w:w="989" w:type="dxa"/>
                  <w:tcBorders>
                    <w:top w:val="single" w:sz="4" w:space="0" w:color="auto"/>
                    <w:left w:val="single" w:sz="4" w:space="0" w:color="auto"/>
                    <w:bottom w:val="single" w:sz="4" w:space="0" w:color="auto"/>
                    <w:right w:val="single" w:sz="4" w:space="0" w:color="auto"/>
                  </w:tcBorders>
                  <w:vAlign w:val="bottom"/>
                </w:tcPr>
                <w:p w14:paraId="748DC11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0.769146</w:t>
                  </w:r>
                </w:p>
              </w:tc>
              <w:tc>
                <w:tcPr>
                  <w:tcW w:w="540" w:type="dxa"/>
                  <w:tcBorders>
                    <w:top w:val="single" w:sz="4" w:space="0" w:color="auto"/>
                    <w:left w:val="single" w:sz="4" w:space="0" w:color="auto"/>
                    <w:bottom w:val="single" w:sz="4" w:space="0" w:color="auto"/>
                    <w:right w:val="single" w:sz="4" w:space="0" w:color="auto"/>
                  </w:tcBorders>
                  <w:vAlign w:val="bottom"/>
                </w:tcPr>
                <w:p w14:paraId="7D363AC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bl>
          <w:p w14:paraId="610EFF64" w14:textId="77777777" w:rsidR="003424D3" w:rsidRPr="006605A3" w:rsidRDefault="003424D3" w:rsidP="00CD4F3A">
            <w:pPr>
              <w:ind w:right="-22"/>
              <w:jc w:val="both"/>
              <w:rPr>
                <w:sz w:val="16"/>
                <w:szCs w:val="16"/>
              </w:rPr>
            </w:pPr>
          </w:p>
        </w:tc>
      </w:tr>
    </w:tbl>
    <w:p w14:paraId="1F19CB7E" w14:textId="77777777" w:rsidR="003424D3" w:rsidRPr="006605A3" w:rsidRDefault="003424D3" w:rsidP="00CD4F3A">
      <w:pPr>
        <w:pStyle w:val="Caption"/>
        <w:spacing w:line="240" w:lineRule="auto"/>
        <w:jc w:val="both"/>
      </w:pPr>
    </w:p>
    <w:p w14:paraId="3BA061D0" w14:textId="08B9C1F8" w:rsidR="003424D3" w:rsidRPr="006605A3" w:rsidRDefault="00B23AC2" w:rsidP="001552EC">
      <w:pPr>
        <w:pStyle w:val="Caption"/>
        <w:spacing w:line="240" w:lineRule="auto"/>
        <w:jc w:val="center"/>
      </w:pPr>
      <w:bookmarkStart w:id="480" w:name="_Toc233728993"/>
      <w:proofErr w:type="spellStart"/>
      <w:r w:rsidRPr="006605A3">
        <w:t>Apx</w:t>
      </w:r>
      <w:proofErr w:type="spellEnd"/>
      <w:r w:rsidRPr="006605A3">
        <w:t xml:space="preserve"> Table </w:t>
      </w:r>
      <w:fldSimple w:instr=" SEQ Apx_Table \* ARABIC \s 9 ">
        <w:r>
          <w:rPr>
            <w:noProof/>
          </w:rPr>
          <w:t>10</w:t>
        </w:r>
      </w:fldSimple>
      <w:r>
        <w:t>:</w:t>
      </w:r>
      <w:r w:rsidR="003424D3" w:rsidRPr="006605A3">
        <w:t xml:space="preserve"> The value of SDVPI of different buses for 72% renewables in IEEE 39 bus system.</w:t>
      </w:r>
      <w:bookmarkEnd w:id="480"/>
    </w:p>
    <w:tbl>
      <w:tblPr>
        <w:tblW w:w="7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476"/>
        <w:gridCol w:w="907"/>
        <w:gridCol w:w="901"/>
        <w:gridCol w:w="991"/>
        <w:gridCol w:w="901"/>
        <w:gridCol w:w="901"/>
        <w:gridCol w:w="901"/>
        <w:gridCol w:w="500"/>
      </w:tblGrid>
      <w:tr w:rsidR="003424D3" w:rsidRPr="006605A3" w14:paraId="3D1D83C8" w14:textId="77777777" w:rsidTr="00A03DAB">
        <w:trPr>
          <w:trHeight w:val="285"/>
          <w:jc w:val="center"/>
        </w:trPr>
        <w:tc>
          <w:tcPr>
            <w:tcW w:w="1113" w:type="dxa"/>
            <w:shd w:val="clear" w:color="auto" w:fill="000000" w:themeFill="text1"/>
            <w:noWrap/>
            <w:vAlign w:val="bottom"/>
          </w:tcPr>
          <w:p w14:paraId="12D5358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color w:val="FFFFFF" w:themeColor="background1"/>
                <w:sz w:val="16"/>
                <w:szCs w:val="16"/>
              </w:rPr>
              <w:t>Bus \ Scaling</w:t>
            </w:r>
          </w:p>
        </w:tc>
        <w:tc>
          <w:tcPr>
            <w:tcW w:w="476" w:type="dxa"/>
            <w:shd w:val="clear" w:color="auto" w:fill="000000" w:themeFill="text1"/>
            <w:noWrap/>
            <w:vAlign w:val="bottom"/>
          </w:tcPr>
          <w:p w14:paraId="1872D156"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w:t>
            </w:r>
          </w:p>
        </w:tc>
        <w:tc>
          <w:tcPr>
            <w:tcW w:w="907" w:type="dxa"/>
            <w:shd w:val="clear" w:color="auto" w:fill="000000" w:themeFill="text1"/>
            <w:noWrap/>
            <w:vAlign w:val="bottom"/>
          </w:tcPr>
          <w:p w14:paraId="07D5958E"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0.05</w:t>
            </w:r>
          </w:p>
        </w:tc>
        <w:tc>
          <w:tcPr>
            <w:tcW w:w="901" w:type="dxa"/>
            <w:shd w:val="clear" w:color="auto" w:fill="000000" w:themeFill="text1"/>
            <w:noWrap/>
            <w:vAlign w:val="bottom"/>
          </w:tcPr>
          <w:p w14:paraId="27D71CBD"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0.11</w:t>
            </w:r>
          </w:p>
        </w:tc>
        <w:tc>
          <w:tcPr>
            <w:tcW w:w="991" w:type="dxa"/>
            <w:shd w:val="clear" w:color="auto" w:fill="000000" w:themeFill="text1"/>
            <w:noWrap/>
            <w:vAlign w:val="bottom"/>
          </w:tcPr>
          <w:p w14:paraId="02764253"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0.18</w:t>
            </w:r>
          </w:p>
        </w:tc>
        <w:tc>
          <w:tcPr>
            <w:tcW w:w="901" w:type="dxa"/>
            <w:shd w:val="clear" w:color="auto" w:fill="000000" w:themeFill="text1"/>
            <w:noWrap/>
            <w:vAlign w:val="bottom"/>
          </w:tcPr>
          <w:p w14:paraId="0DDB1E75"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0.26</w:t>
            </w:r>
          </w:p>
        </w:tc>
        <w:tc>
          <w:tcPr>
            <w:tcW w:w="901" w:type="dxa"/>
            <w:shd w:val="clear" w:color="auto" w:fill="000000" w:themeFill="text1"/>
            <w:noWrap/>
            <w:vAlign w:val="bottom"/>
          </w:tcPr>
          <w:p w14:paraId="2A2C19BE"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0.29</w:t>
            </w:r>
          </w:p>
        </w:tc>
        <w:tc>
          <w:tcPr>
            <w:tcW w:w="901" w:type="dxa"/>
            <w:shd w:val="clear" w:color="auto" w:fill="000000" w:themeFill="text1"/>
            <w:noWrap/>
            <w:vAlign w:val="bottom"/>
          </w:tcPr>
          <w:p w14:paraId="78E45115"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0.31</w:t>
            </w:r>
          </w:p>
        </w:tc>
        <w:tc>
          <w:tcPr>
            <w:tcW w:w="500" w:type="dxa"/>
            <w:shd w:val="clear" w:color="auto" w:fill="000000" w:themeFill="text1"/>
            <w:vAlign w:val="bottom"/>
          </w:tcPr>
          <w:p w14:paraId="6A078245" w14:textId="77777777" w:rsidR="003424D3" w:rsidRPr="006605A3" w:rsidRDefault="003424D3" w:rsidP="00CD4F3A">
            <w:pPr>
              <w:pStyle w:val="TableText"/>
              <w:jc w:val="both"/>
              <w:rPr>
                <w:rFonts w:asciiTheme="minorHAnsi" w:hAnsiTheme="minorHAnsi" w:cstheme="minorHAnsi"/>
                <w:color w:val="FFFFFF" w:themeColor="background1"/>
                <w:sz w:val="16"/>
                <w:szCs w:val="16"/>
              </w:rPr>
            </w:pPr>
            <w:r w:rsidRPr="006605A3">
              <w:rPr>
                <w:rFonts w:asciiTheme="minorHAnsi" w:hAnsiTheme="minorHAnsi" w:cstheme="minorHAnsi"/>
                <w:color w:val="FFFFFF" w:themeColor="background1"/>
                <w:sz w:val="16"/>
                <w:szCs w:val="16"/>
              </w:rPr>
              <w:t>0.32</w:t>
            </w:r>
          </w:p>
        </w:tc>
      </w:tr>
      <w:tr w:rsidR="003424D3" w:rsidRPr="006605A3" w14:paraId="40F6C677" w14:textId="77777777" w:rsidTr="00A03DAB">
        <w:trPr>
          <w:trHeight w:val="285"/>
          <w:jc w:val="center"/>
        </w:trPr>
        <w:tc>
          <w:tcPr>
            <w:tcW w:w="1113" w:type="dxa"/>
            <w:noWrap/>
            <w:vAlign w:val="bottom"/>
          </w:tcPr>
          <w:p w14:paraId="30556D0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03</w:t>
            </w:r>
          </w:p>
        </w:tc>
        <w:tc>
          <w:tcPr>
            <w:tcW w:w="476" w:type="dxa"/>
            <w:noWrap/>
            <w:vAlign w:val="bottom"/>
          </w:tcPr>
          <w:p w14:paraId="584418B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4775957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0.912573</w:t>
            </w:r>
          </w:p>
        </w:tc>
        <w:tc>
          <w:tcPr>
            <w:tcW w:w="901" w:type="dxa"/>
            <w:noWrap/>
            <w:vAlign w:val="bottom"/>
          </w:tcPr>
          <w:p w14:paraId="04F33C9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0.878813</w:t>
            </w:r>
          </w:p>
        </w:tc>
        <w:tc>
          <w:tcPr>
            <w:tcW w:w="991" w:type="dxa"/>
            <w:noWrap/>
            <w:vAlign w:val="bottom"/>
          </w:tcPr>
          <w:p w14:paraId="026912B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0.82893</w:t>
            </w:r>
          </w:p>
        </w:tc>
        <w:tc>
          <w:tcPr>
            <w:tcW w:w="901" w:type="dxa"/>
            <w:noWrap/>
            <w:vAlign w:val="bottom"/>
          </w:tcPr>
          <w:p w14:paraId="14002C2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0.682692</w:t>
            </w:r>
          </w:p>
        </w:tc>
        <w:tc>
          <w:tcPr>
            <w:tcW w:w="901" w:type="dxa"/>
            <w:noWrap/>
            <w:vAlign w:val="bottom"/>
          </w:tcPr>
          <w:p w14:paraId="65ABCCE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0.603432</w:t>
            </w:r>
          </w:p>
        </w:tc>
        <w:tc>
          <w:tcPr>
            <w:tcW w:w="901" w:type="dxa"/>
            <w:noWrap/>
            <w:vAlign w:val="bottom"/>
          </w:tcPr>
          <w:p w14:paraId="0AE0DC3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0.535643</w:t>
            </w:r>
          </w:p>
        </w:tc>
        <w:tc>
          <w:tcPr>
            <w:tcW w:w="500" w:type="dxa"/>
            <w:vAlign w:val="bottom"/>
          </w:tcPr>
          <w:p w14:paraId="6F6CEE1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D61F8D9" w14:textId="77777777" w:rsidTr="00A03DAB">
        <w:trPr>
          <w:trHeight w:val="285"/>
          <w:jc w:val="center"/>
        </w:trPr>
        <w:tc>
          <w:tcPr>
            <w:tcW w:w="1113" w:type="dxa"/>
            <w:noWrap/>
            <w:vAlign w:val="bottom"/>
            <w:hideMark/>
          </w:tcPr>
          <w:p w14:paraId="5628A27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04</w:t>
            </w:r>
          </w:p>
        </w:tc>
        <w:tc>
          <w:tcPr>
            <w:tcW w:w="476" w:type="dxa"/>
            <w:noWrap/>
            <w:vAlign w:val="bottom"/>
          </w:tcPr>
          <w:p w14:paraId="6FED83E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05E9F22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0.88185</w:t>
            </w:r>
          </w:p>
        </w:tc>
        <w:tc>
          <w:tcPr>
            <w:tcW w:w="901" w:type="dxa"/>
            <w:noWrap/>
            <w:vAlign w:val="bottom"/>
          </w:tcPr>
          <w:p w14:paraId="7AFAEB9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0.842787</w:t>
            </w:r>
          </w:p>
        </w:tc>
        <w:tc>
          <w:tcPr>
            <w:tcW w:w="991" w:type="dxa"/>
            <w:noWrap/>
            <w:vAlign w:val="bottom"/>
          </w:tcPr>
          <w:p w14:paraId="072E3AD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0.784983</w:t>
            </w:r>
          </w:p>
        </w:tc>
        <w:tc>
          <w:tcPr>
            <w:tcW w:w="901" w:type="dxa"/>
            <w:noWrap/>
            <w:vAlign w:val="bottom"/>
          </w:tcPr>
          <w:p w14:paraId="1393D1D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0.574813</w:t>
            </w:r>
          </w:p>
        </w:tc>
        <w:tc>
          <w:tcPr>
            <w:tcW w:w="901" w:type="dxa"/>
            <w:noWrap/>
            <w:vAlign w:val="bottom"/>
          </w:tcPr>
          <w:p w14:paraId="28E55A5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0.455123</w:t>
            </w:r>
          </w:p>
        </w:tc>
        <w:tc>
          <w:tcPr>
            <w:tcW w:w="901" w:type="dxa"/>
            <w:noWrap/>
            <w:vAlign w:val="bottom"/>
          </w:tcPr>
          <w:p w14:paraId="01C717B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0.354277</w:t>
            </w:r>
          </w:p>
        </w:tc>
        <w:tc>
          <w:tcPr>
            <w:tcW w:w="500" w:type="dxa"/>
            <w:vAlign w:val="bottom"/>
          </w:tcPr>
          <w:p w14:paraId="4DE5A11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BED8200" w14:textId="77777777" w:rsidTr="00A03DAB">
        <w:trPr>
          <w:trHeight w:val="285"/>
          <w:jc w:val="center"/>
        </w:trPr>
        <w:tc>
          <w:tcPr>
            <w:tcW w:w="1113" w:type="dxa"/>
            <w:noWrap/>
            <w:vAlign w:val="bottom"/>
            <w:hideMark/>
          </w:tcPr>
          <w:p w14:paraId="3294999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07</w:t>
            </w:r>
          </w:p>
        </w:tc>
        <w:tc>
          <w:tcPr>
            <w:tcW w:w="476" w:type="dxa"/>
            <w:noWrap/>
            <w:vAlign w:val="bottom"/>
          </w:tcPr>
          <w:p w14:paraId="09D4F9F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4A8656D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0.874946</w:t>
            </w:r>
          </w:p>
        </w:tc>
        <w:tc>
          <w:tcPr>
            <w:tcW w:w="901" w:type="dxa"/>
            <w:noWrap/>
            <w:vAlign w:val="bottom"/>
          </w:tcPr>
          <w:p w14:paraId="1EBE555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0.830326</w:t>
            </w:r>
          </w:p>
        </w:tc>
        <w:tc>
          <w:tcPr>
            <w:tcW w:w="991" w:type="dxa"/>
            <w:noWrap/>
            <w:vAlign w:val="bottom"/>
          </w:tcPr>
          <w:p w14:paraId="06DCBF4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0.762973</w:t>
            </w:r>
          </w:p>
        </w:tc>
        <w:tc>
          <w:tcPr>
            <w:tcW w:w="901" w:type="dxa"/>
            <w:noWrap/>
            <w:vAlign w:val="bottom"/>
          </w:tcPr>
          <w:p w14:paraId="5DA2C40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0.512474</w:t>
            </w:r>
          </w:p>
        </w:tc>
        <w:tc>
          <w:tcPr>
            <w:tcW w:w="901" w:type="dxa"/>
            <w:noWrap/>
            <w:vAlign w:val="bottom"/>
          </w:tcPr>
          <w:p w14:paraId="484669E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0.368917</w:t>
            </w:r>
          </w:p>
        </w:tc>
        <w:tc>
          <w:tcPr>
            <w:tcW w:w="901" w:type="dxa"/>
            <w:noWrap/>
            <w:vAlign w:val="bottom"/>
          </w:tcPr>
          <w:p w14:paraId="505A83D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0.250102</w:t>
            </w:r>
          </w:p>
        </w:tc>
        <w:tc>
          <w:tcPr>
            <w:tcW w:w="500" w:type="dxa"/>
            <w:vAlign w:val="bottom"/>
          </w:tcPr>
          <w:p w14:paraId="3B80814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488786A" w14:textId="77777777" w:rsidTr="00A03DAB">
        <w:trPr>
          <w:trHeight w:val="285"/>
          <w:jc w:val="center"/>
        </w:trPr>
        <w:tc>
          <w:tcPr>
            <w:tcW w:w="1113" w:type="dxa"/>
            <w:noWrap/>
            <w:vAlign w:val="bottom"/>
            <w:hideMark/>
          </w:tcPr>
          <w:p w14:paraId="71A10CB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08</w:t>
            </w:r>
          </w:p>
        </w:tc>
        <w:tc>
          <w:tcPr>
            <w:tcW w:w="476" w:type="dxa"/>
            <w:noWrap/>
            <w:vAlign w:val="bottom"/>
          </w:tcPr>
          <w:p w14:paraId="4A71DD1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0D3A902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0.870847</w:t>
            </w:r>
          </w:p>
        </w:tc>
        <w:tc>
          <w:tcPr>
            <w:tcW w:w="901" w:type="dxa"/>
            <w:noWrap/>
            <w:vAlign w:val="bottom"/>
          </w:tcPr>
          <w:p w14:paraId="1AB8B36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0.823822</w:t>
            </w:r>
          </w:p>
        </w:tc>
        <w:tc>
          <w:tcPr>
            <w:tcW w:w="991" w:type="dxa"/>
            <w:noWrap/>
            <w:vAlign w:val="bottom"/>
          </w:tcPr>
          <w:p w14:paraId="3AC7801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0.752579</w:t>
            </w:r>
          </w:p>
        </w:tc>
        <w:tc>
          <w:tcPr>
            <w:tcW w:w="901" w:type="dxa"/>
            <w:noWrap/>
            <w:vAlign w:val="bottom"/>
          </w:tcPr>
          <w:p w14:paraId="1288B32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0.499336</w:t>
            </w:r>
          </w:p>
        </w:tc>
        <w:tc>
          <w:tcPr>
            <w:tcW w:w="901" w:type="dxa"/>
            <w:noWrap/>
            <w:vAlign w:val="bottom"/>
          </w:tcPr>
          <w:p w14:paraId="214D30F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0.354715</w:t>
            </w:r>
          </w:p>
        </w:tc>
        <w:tc>
          <w:tcPr>
            <w:tcW w:w="901" w:type="dxa"/>
            <w:noWrap/>
            <w:vAlign w:val="bottom"/>
          </w:tcPr>
          <w:p w14:paraId="295B3E4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0.235245</w:t>
            </w:r>
          </w:p>
        </w:tc>
        <w:tc>
          <w:tcPr>
            <w:tcW w:w="500" w:type="dxa"/>
            <w:vAlign w:val="bottom"/>
          </w:tcPr>
          <w:p w14:paraId="2C70200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3F319523" w14:textId="77777777" w:rsidTr="00A03DAB">
        <w:trPr>
          <w:trHeight w:val="285"/>
          <w:jc w:val="center"/>
        </w:trPr>
        <w:tc>
          <w:tcPr>
            <w:tcW w:w="1113" w:type="dxa"/>
            <w:noWrap/>
            <w:vAlign w:val="bottom"/>
            <w:hideMark/>
          </w:tcPr>
          <w:p w14:paraId="6280613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12</w:t>
            </w:r>
          </w:p>
        </w:tc>
        <w:tc>
          <w:tcPr>
            <w:tcW w:w="476" w:type="dxa"/>
            <w:noWrap/>
            <w:vAlign w:val="bottom"/>
          </w:tcPr>
          <w:p w14:paraId="721F15C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2D92A0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0.878003</w:t>
            </w:r>
          </w:p>
        </w:tc>
        <w:tc>
          <w:tcPr>
            <w:tcW w:w="901" w:type="dxa"/>
            <w:noWrap/>
            <w:vAlign w:val="bottom"/>
          </w:tcPr>
          <w:p w14:paraId="6D354C4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0.841042</w:t>
            </w:r>
          </w:p>
        </w:tc>
        <w:tc>
          <w:tcPr>
            <w:tcW w:w="991" w:type="dxa"/>
            <w:noWrap/>
            <w:vAlign w:val="bottom"/>
          </w:tcPr>
          <w:p w14:paraId="30BC8DB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0.786559</w:t>
            </w:r>
          </w:p>
        </w:tc>
        <w:tc>
          <w:tcPr>
            <w:tcW w:w="901" w:type="dxa"/>
            <w:noWrap/>
            <w:vAlign w:val="bottom"/>
          </w:tcPr>
          <w:p w14:paraId="4C94C53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0.551553</w:t>
            </w:r>
          </w:p>
        </w:tc>
        <w:tc>
          <w:tcPr>
            <w:tcW w:w="901" w:type="dxa"/>
            <w:noWrap/>
            <w:vAlign w:val="bottom"/>
          </w:tcPr>
          <w:p w14:paraId="025DFFB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0.412516</w:t>
            </w:r>
          </w:p>
        </w:tc>
        <w:tc>
          <w:tcPr>
            <w:tcW w:w="901" w:type="dxa"/>
            <w:noWrap/>
            <w:vAlign w:val="bottom"/>
          </w:tcPr>
          <w:p w14:paraId="6B2795D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0.29575</w:t>
            </w:r>
          </w:p>
        </w:tc>
        <w:tc>
          <w:tcPr>
            <w:tcW w:w="500" w:type="dxa"/>
            <w:vAlign w:val="bottom"/>
          </w:tcPr>
          <w:p w14:paraId="68AC908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13F830C8" w14:textId="77777777" w:rsidTr="00A03DAB">
        <w:trPr>
          <w:trHeight w:val="285"/>
          <w:jc w:val="center"/>
        </w:trPr>
        <w:tc>
          <w:tcPr>
            <w:tcW w:w="1113" w:type="dxa"/>
            <w:noWrap/>
            <w:vAlign w:val="bottom"/>
            <w:hideMark/>
          </w:tcPr>
          <w:p w14:paraId="6C33307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15</w:t>
            </w:r>
          </w:p>
        </w:tc>
        <w:tc>
          <w:tcPr>
            <w:tcW w:w="476" w:type="dxa"/>
            <w:noWrap/>
            <w:vAlign w:val="bottom"/>
          </w:tcPr>
          <w:p w14:paraId="02D7FDE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333486A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0.898917</w:t>
            </w:r>
          </w:p>
        </w:tc>
        <w:tc>
          <w:tcPr>
            <w:tcW w:w="901" w:type="dxa"/>
            <w:noWrap/>
            <w:vAlign w:val="bottom"/>
          </w:tcPr>
          <w:p w14:paraId="011F42B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0.866801</w:t>
            </w:r>
          </w:p>
        </w:tc>
        <w:tc>
          <w:tcPr>
            <w:tcW w:w="991" w:type="dxa"/>
            <w:noWrap/>
            <w:vAlign w:val="bottom"/>
          </w:tcPr>
          <w:p w14:paraId="274F22E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0.82168</w:t>
            </w:r>
          </w:p>
        </w:tc>
        <w:tc>
          <w:tcPr>
            <w:tcW w:w="901" w:type="dxa"/>
            <w:noWrap/>
            <w:vAlign w:val="bottom"/>
          </w:tcPr>
          <w:p w14:paraId="21F9AE4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0.678791</w:t>
            </w:r>
          </w:p>
        </w:tc>
        <w:tc>
          <w:tcPr>
            <w:tcW w:w="901" w:type="dxa"/>
            <w:noWrap/>
            <w:vAlign w:val="bottom"/>
          </w:tcPr>
          <w:p w14:paraId="02A013B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0.60001</w:t>
            </w:r>
          </w:p>
        </w:tc>
        <w:tc>
          <w:tcPr>
            <w:tcW w:w="901" w:type="dxa"/>
            <w:noWrap/>
            <w:vAlign w:val="bottom"/>
          </w:tcPr>
          <w:p w14:paraId="5221A9A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0.525887</w:t>
            </w:r>
          </w:p>
        </w:tc>
        <w:tc>
          <w:tcPr>
            <w:tcW w:w="500" w:type="dxa"/>
            <w:vAlign w:val="bottom"/>
          </w:tcPr>
          <w:p w14:paraId="7076ADD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39D2344B" w14:textId="77777777" w:rsidTr="00A03DAB">
        <w:trPr>
          <w:trHeight w:val="285"/>
          <w:jc w:val="center"/>
        </w:trPr>
        <w:tc>
          <w:tcPr>
            <w:tcW w:w="1113" w:type="dxa"/>
            <w:noWrap/>
            <w:vAlign w:val="bottom"/>
            <w:hideMark/>
          </w:tcPr>
          <w:p w14:paraId="33741F2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16</w:t>
            </w:r>
          </w:p>
        </w:tc>
        <w:tc>
          <w:tcPr>
            <w:tcW w:w="476" w:type="dxa"/>
            <w:noWrap/>
            <w:vAlign w:val="bottom"/>
          </w:tcPr>
          <w:p w14:paraId="08DB10D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5722493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0.921815</w:t>
            </w:r>
          </w:p>
        </w:tc>
        <w:tc>
          <w:tcPr>
            <w:tcW w:w="901" w:type="dxa"/>
            <w:noWrap/>
            <w:vAlign w:val="bottom"/>
          </w:tcPr>
          <w:p w14:paraId="595EE06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0.895105</w:t>
            </w:r>
          </w:p>
        </w:tc>
        <w:tc>
          <w:tcPr>
            <w:tcW w:w="991" w:type="dxa"/>
            <w:noWrap/>
            <w:vAlign w:val="bottom"/>
          </w:tcPr>
          <w:p w14:paraId="27D29B3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0.858598</w:t>
            </w:r>
          </w:p>
        </w:tc>
        <w:tc>
          <w:tcPr>
            <w:tcW w:w="901" w:type="dxa"/>
            <w:noWrap/>
            <w:vAlign w:val="bottom"/>
          </w:tcPr>
          <w:p w14:paraId="55996CB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0.752309</w:t>
            </w:r>
          </w:p>
        </w:tc>
        <w:tc>
          <w:tcPr>
            <w:tcW w:w="901" w:type="dxa"/>
            <w:noWrap/>
            <w:vAlign w:val="bottom"/>
          </w:tcPr>
          <w:p w14:paraId="79ED6DB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0.695058</w:t>
            </w:r>
          </w:p>
        </w:tc>
        <w:tc>
          <w:tcPr>
            <w:tcW w:w="901" w:type="dxa"/>
            <w:noWrap/>
            <w:vAlign w:val="bottom"/>
          </w:tcPr>
          <w:p w14:paraId="2497FF1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0.635764</w:t>
            </w:r>
          </w:p>
        </w:tc>
        <w:tc>
          <w:tcPr>
            <w:tcW w:w="500" w:type="dxa"/>
            <w:vAlign w:val="bottom"/>
          </w:tcPr>
          <w:p w14:paraId="76230DB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30F4A1E9" w14:textId="77777777" w:rsidTr="00A03DAB">
        <w:trPr>
          <w:trHeight w:val="285"/>
          <w:jc w:val="center"/>
        </w:trPr>
        <w:tc>
          <w:tcPr>
            <w:tcW w:w="1113" w:type="dxa"/>
            <w:noWrap/>
            <w:vAlign w:val="bottom"/>
            <w:hideMark/>
          </w:tcPr>
          <w:p w14:paraId="502D032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18</w:t>
            </w:r>
          </w:p>
        </w:tc>
        <w:tc>
          <w:tcPr>
            <w:tcW w:w="476" w:type="dxa"/>
            <w:noWrap/>
            <w:vAlign w:val="bottom"/>
          </w:tcPr>
          <w:p w14:paraId="69DFBEB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47A39B5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0.910841</w:t>
            </w:r>
          </w:p>
        </w:tc>
        <w:tc>
          <w:tcPr>
            <w:tcW w:w="901" w:type="dxa"/>
            <w:noWrap/>
            <w:vAlign w:val="bottom"/>
          </w:tcPr>
          <w:p w14:paraId="6A8B28E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0.878808</w:t>
            </w:r>
          </w:p>
        </w:tc>
        <w:tc>
          <w:tcPr>
            <w:tcW w:w="991" w:type="dxa"/>
            <w:noWrap/>
            <w:vAlign w:val="bottom"/>
          </w:tcPr>
          <w:p w14:paraId="77AE018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0.832617</w:t>
            </w:r>
          </w:p>
        </w:tc>
        <w:tc>
          <w:tcPr>
            <w:tcW w:w="901" w:type="dxa"/>
            <w:noWrap/>
            <w:vAlign w:val="bottom"/>
          </w:tcPr>
          <w:p w14:paraId="697CCA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0.701832</w:t>
            </w:r>
          </w:p>
        </w:tc>
        <w:tc>
          <w:tcPr>
            <w:tcW w:w="901" w:type="dxa"/>
            <w:noWrap/>
            <w:vAlign w:val="bottom"/>
          </w:tcPr>
          <w:p w14:paraId="73687E3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0.631647</w:t>
            </w:r>
          </w:p>
        </w:tc>
        <w:tc>
          <w:tcPr>
            <w:tcW w:w="901" w:type="dxa"/>
            <w:noWrap/>
            <w:vAlign w:val="bottom"/>
          </w:tcPr>
          <w:p w14:paraId="0ABF43A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0.567995</w:t>
            </w:r>
          </w:p>
        </w:tc>
        <w:tc>
          <w:tcPr>
            <w:tcW w:w="500" w:type="dxa"/>
            <w:vAlign w:val="bottom"/>
          </w:tcPr>
          <w:p w14:paraId="6693035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735D023" w14:textId="77777777" w:rsidTr="00A03DAB">
        <w:trPr>
          <w:trHeight w:val="285"/>
          <w:jc w:val="center"/>
        </w:trPr>
        <w:tc>
          <w:tcPr>
            <w:tcW w:w="1113" w:type="dxa"/>
            <w:noWrap/>
            <w:vAlign w:val="bottom"/>
            <w:hideMark/>
          </w:tcPr>
          <w:p w14:paraId="33F4380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20</w:t>
            </w:r>
          </w:p>
        </w:tc>
        <w:tc>
          <w:tcPr>
            <w:tcW w:w="476" w:type="dxa"/>
            <w:noWrap/>
            <w:vAlign w:val="bottom"/>
          </w:tcPr>
          <w:p w14:paraId="3B16D40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75D0650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0.934176</w:t>
            </w:r>
          </w:p>
        </w:tc>
        <w:tc>
          <w:tcPr>
            <w:tcW w:w="901" w:type="dxa"/>
            <w:noWrap/>
            <w:vAlign w:val="bottom"/>
          </w:tcPr>
          <w:p w14:paraId="56BFE97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0.899851</w:t>
            </w:r>
          </w:p>
        </w:tc>
        <w:tc>
          <w:tcPr>
            <w:tcW w:w="991" w:type="dxa"/>
            <w:noWrap/>
            <w:vAlign w:val="bottom"/>
          </w:tcPr>
          <w:p w14:paraId="1B6CA89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0.866256</w:t>
            </w:r>
          </w:p>
        </w:tc>
        <w:tc>
          <w:tcPr>
            <w:tcW w:w="901" w:type="dxa"/>
            <w:noWrap/>
            <w:vAlign w:val="bottom"/>
          </w:tcPr>
          <w:p w14:paraId="328C765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0.791126</w:t>
            </w:r>
          </w:p>
        </w:tc>
        <w:tc>
          <w:tcPr>
            <w:tcW w:w="901" w:type="dxa"/>
            <w:noWrap/>
            <w:vAlign w:val="bottom"/>
          </w:tcPr>
          <w:p w14:paraId="51A46DA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0.75349</w:t>
            </w:r>
          </w:p>
        </w:tc>
        <w:tc>
          <w:tcPr>
            <w:tcW w:w="901" w:type="dxa"/>
            <w:noWrap/>
            <w:vAlign w:val="bottom"/>
          </w:tcPr>
          <w:p w14:paraId="2C1054A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0.685857</w:t>
            </w:r>
          </w:p>
        </w:tc>
        <w:tc>
          <w:tcPr>
            <w:tcW w:w="500" w:type="dxa"/>
            <w:vAlign w:val="bottom"/>
          </w:tcPr>
          <w:p w14:paraId="098D27A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5219064E" w14:textId="77777777" w:rsidTr="00A03DAB">
        <w:trPr>
          <w:trHeight w:val="285"/>
          <w:jc w:val="center"/>
        </w:trPr>
        <w:tc>
          <w:tcPr>
            <w:tcW w:w="1113" w:type="dxa"/>
            <w:noWrap/>
            <w:vAlign w:val="bottom"/>
            <w:hideMark/>
          </w:tcPr>
          <w:p w14:paraId="367E8C3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21</w:t>
            </w:r>
          </w:p>
        </w:tc>
        <w:tc>
          <w:tcPr>
            <w:tcW w:w="476" w:type="dxa"/>
            <w:noWrap/>
            <w:vAlign w:val="bottom"/>
          </w:tcPr>
          <w:p w14:paraId="2FD6922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55B15FB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0.933021</w:t>
            </w:r>
          </w:p>
        </w:tc>
        <w:tc>
          <w:tcPr>
            <w:tcW w:w="901" w:type="dxa"/>
            <w:noWrap/>
            <w:vAlign w:val="bottom"/>
          </w:tcPr>
          <w:p w14:paraId="10B109B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0.9124</w:t>
            </w:r>
          </w:p>
        </w:tc>
        <w:tc>
          <w:tcPr>
            <w:tcW w:w="991" w:type="dxa"/>
            <w:noWrap/>
            <w:vAlign w:val="bottom"/>
          </w:tcPr>
          <w:p w14:paraId="72CF0B2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0.884382</w:t>
            </w:r>
          </w:p>
        </w:tc>
        <w:tc>
          <w:tcPr>
            <w:tcW w:w="901" w:type="dxa"/>
            <w:noWrap/>
            <w:vAlign w:val="bottom"/>
          </w:tcPr>
          <w:p w14:paraId="0BEB7DD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0.805029</w:t>
            </w:r>
          </w:p>
        </w:tc>
        <w:tc>
          <w:tcPr>
            <w:tcW w:w="901" w:type="dxa"/>
            <w:noWrap/>
            <w:vAlign w:val="bottom"/>
          </w:tcPr>
          <w:p w14:paraId="644723BA"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0.762662</w:t>
            </w:r>
          </w:p>
        </w:tc>
        <w:tc>
          <w:tcPr>
            <w:tcW w:w="901" w:type="dxa"/>
            <w:noWrap/>
            <w:vAlign w:val="bottom"/>
          </w:tcPr>
          <w:p w14:paraId="18327E2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0.718959</w:t>
            </w:r>
          </w:p>
        </w:tc>
        <w:tc>
          <w:tcPr>
            <w:tcW w:w="500" w:type="dxa"/>
            <w:vAlign w:val="bottom"/>
          </w:tcPr>
          <w:p w14:paraId="641D462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BB710A0" w14:textId="77777777" w:rsidTr="00A03DAB">
        <w:trPr>
          <w:trHeight w:val="285"/>
          <w:jc w:val="center"/>
        </w:trPr>
        <w:tc>
          <w:tcPr>
            <w:tcW w:w="1113" w:type="dxa"/>
            <w:noWrap/>
            <w:vAlign w:val="bottom"/>
            <w:hideMark/>
          </w:tcPr>
          <w:p w14:paraId="2513CAC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23</w:t>
            </w:r>
          </w:p>
        </w:tc>
        <w:tc>
          <w:tcPr>
            <w:tcW w:w="476" w:type="dxa"/>
            <w:noWrap/>
            <w:vAlign w:val="bottom"/>
          </w:tcPr>
          <w:p w14:paraId="035647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2012F61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0.957135</w:t>
            </w:r>
          </w:p>
        </w:tc>
        <w:tc>
          <w:tcPr>
            <w:tcW w:w="901" w:type="dxa"/>
            <w:noWrap/>
            <w:vAlign w:val="bottom"/>
          </w:tcPr>
          <w:p w14:paraId="1277AEC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0.944414</w:t>
            </w:r>
          </w:p>
        </w:tc>
        <w:tc>
          <w:tcPr>
            <w:tcW w:w="991" w:type="dxa"/>
            <w:noWrap/>
            <w:vAlign w:val="bottom"/>
          </w:tcPr>
          <w:p w14:paraId="147869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0.927228</w:t>
            </w:r>
          </w:p>
        </w:tc>
        <w:tc>
          <w:tcPr>
            <w:tcW w:w="901" w:type="dxa"/>
            <w:noWrap/>
            <w:vAlign w:val="bottom"/>
          </w:tcPr>
          <w:p w14:paraId="6A85537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0.878786</w:t>
            </w:r>
          </w:p>
        </w:tc>
        <w:tc>
          <w:tcPr>
            <w:tcW w:w="901" w:type="dxa"/>
            <w:noWrap/>
            <w:vAlign w:val="bottom"/>
          </w:tcPr>
          <w:p w14:paraId="17DFBAF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0.852956</w:t>
            </w:r>
          </w:p>
        </w:tc>
        <w:tc>
          <w:tcPr>
            <w:tcW w:w="901" w:type="dxa"/>
            <w:noWrap/>
            <w:vAlign w:val="bottom"/>
          </w:tcPr>
          <w:p w14:paraId="7D13B10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0.82622</w:t>
            </w:r>
          </w:p>
        </w:tc>
        <w:tc>
          <w:tcPr>
            <w:tcW w:w="500" w:type="dxa"/>
            <w:vAlign w:val="bottom"/>
          </w:tcPr>
          <w:p w14:paraId="777B2E95"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756AB7F" w14:textId="77777777" w:rsidTr="00A03DAB">
        <w:trPr>
          <w:trHeight w:val="285"/>
          <w:jc w:val="center"/>
        </w:trPr>
        <w:tc>
          <w:tcPr>
            <w:tcW w:w="1113" w:type="dxa"/>
            <w:noWrap/>
            <w:vAlign w:val="bottom"/>
            <w:hideMark/>
          </w:tcPr>
          <w:p w14:paraId="4905A5C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24</w:t>
            </w:r>
          </w:p>
        </w:tc>
        <w:tc>
          <w:tcPr>
            <w:tcW w:w="476" w:type="dxa"/>
            <w:noWrap/>
            <w:vAlign w:val="bottom"/>
          </w:tcPr>
          <w:p w14:paraId="78B5094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5432922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0.931599</w:t>
            </w:r>
          </w:p>
        </w:tc>
        <w:tc>
          <w:tcPr>
            <w:tcW w:w="901" w:type="dxa"/>
            <w:noWrap/>
            <w:vAlign w:val="bottom"/>
          </w:tcPr>
          <w:p w14:paraId="331EEC5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0.907419</w:t>
            </w:r>
          </w:p>
        </w:tc>
        <w:tc>
          <w:tcPr>
            <w:tcW w:w="991" w:type="dxa"/>
            <w:noWrap/>
            <w:vAlign w:val="bottom"/>
          </w:tcPr>
          <w:p w14:paraId="445E9D1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0.874388</w:t>
            </w:r>
          </w:p>
        </w:tc>
        <w:tc>
          <w:tcPr>
            <w:tcW w:w="901" w:type="dxa"/>
            <w:noWrap/>
            <w:vAlign w:val="bottom"/>
          </w:tcPr>
          <w:p w14:paraId="7CBCD45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0.777342</w:t>
            </w:r>
          </w:p>
        </w:tc>
        <w:tc>
          <w:tcPr>
            <w:tcW w:w="901" w:type="dxa"/>
            <w:noWrap/>
            <w:vAlign w:val="bottom"/>
          </w:tcPr>
          <w:p w14:paraId="732A0F4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0.724989</w:t>
            </w:r>
          </w:p>
        </w:tc>
        <w:tc>
          <w:tcPr>
            <w:tcW w:w="901" w:type="dxa"/>
            <w:noWrap/>
            <w:vAlign w:val="bottom"/>
          </w:tcPr>
          <w:p w14:paraId="2F98E758"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0.670649</w:t>
            </w:r>
          </w:p>
        </w:tc>
        <w:tc>
          <w:tcPr>
            <w:tcW w:w="500" w:type="dxa"/>
            <w:vAlign w:val="bottom"/>
          </w:tcPr>
          <w:p w14:paraId="17EFD8A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07F7762E" w14:textId="77777777" w:rsidTr="00A03DAB">
        <w:trPr>
          <w:trHeight w:val="285"/>
          <w:jc w:val="center"/>
        </w:trPr>
        <w:tc>
          <w:tcPr>
            <w:tcW w:w="1113" w:type="dxa"/>
            <w:noWrap/>
            <w:vAlign w:val="bottom"/>
            <w:hideMark/>
          </w:tcPr>
          <w:p w14:paraId="02FE0F8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25</w:t>
            </w:r>
          </w:p>
        </w:tc>
        <w:tc>
          <w:tcPr>
            <w:tcW w:w="476" w:type="dxa"/>
            <w:noWrap/>
            <w:vAlign w:val="bottom"/>
          </w:tcPr>
          <w:p w14:paraId="67A5EF6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63DE21F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0.910052</w:t>
            </w:r>
          </w:p>
        </w:tc>
        <w:tc>
          <w:tcPr>
            <w:tcW w:w="901" w:type="dxa"/>
            <w:noWrap/>
            <w:vAlign w:val="bottom"/>
          </w:tcPr>
          <w:p w14:paraId="5BC96ED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0.88175</w:t>
            </w:r>
          </w:p>
        </w:tc>
        <w:tc>
          <w:tcPr>
            <w:tcW w:w="991" w:type="dxa"/>
            <w:noWrap/>
            <w:vAlign w:val="bottom"/>
          </w:tcPr>
          <w:p w14:paraId="59AD5EA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0.840057</w:t>
            </w:r>
          </w:p>
        </w:tc>
        <w:tc>
          <w:tcPr>
            <w:tcW w:w="901" w:type="dxa"/>
            <w:noWrap/>
            <w:vAlign w:val="bottom"/>
          </w:tcPr>
          <w:p w14:paraId="6B1624B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0.743194</w:t>
            </w:r>
          </w:p>
        </w:tc>
        <w:tc>
          <w:tcPr>
            <w:tcW w:w="901" w:type="dxa"/>
            <w:noWrap/>
            <w:vAlign w:val="bottom"/>
          </w:tcPr>
          <w:p w14:paraId="4B8C0CE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0.694106</w:t>
            </w:r>
          </w:p>
        </w:tc>
        <w:tc>
          <w:tcPr>
            <w:tcW w:w="901" w:type="dxa"/>
            <w:noWrap/>
            <w:vAlign w:val="bottom"/>
          </w:tcPr>
          <w:p w14:paraId="56D6B96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0.654026</w:t>
            </w:r>
          </w:p>
        </w:tc>
        <w:tc>
          <w:tcPr>
            <w:tcW w:w="500" w:type="dxa"/>
            <w:vAlign w:val="bottom"/>
          </w:tcPr>
          <w:p w14:paraId="0694727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7BD3CDDD" w14:textId="77777777" w:rsidTr="00A03DAB">
        <w:trPr>
          <w:trHeight w:val="285"/>
          <w:jc w:val="center"/>
        </w:trPr>
        <w:tc>
          <w:tcPr>
            <w:tcW w:w="1113" w:type="dxa"/>
            <w:noWrap/>
            <w:vAlign w:val="bottom"/>
            <w:hideMark/>
          </w:tcPr>
          <w:p w14:paraId="3B7D725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26</w:t>
            </w:r>
          </w:p>
        </w:tc>
        <w:tc>
          <w:tcPr>
            <w:tcW w:w="476" w:type="dxa"/>
            <w:noWrap/>
            <w:vAlign w:val="bottom"/>
          </w:tcPr>
          <w:p w14:paraId="569947B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5160B02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0.912303</w:t>
            </w:r>
          </w:p>
        </w:tc>
        <w:tc>
          <w:tcPr>
            <w:tcW w:w="901" w:type="dxa"/>
            <w:noWrap/>
            <w:vAlign w:val="bottom"/>
          </w:tcPr>
          <w:p w14:paraId="0552103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0.885358</w:t>
            </w:r>
          </w:p>
        </w:tc>
        <w:tc>
          <w:tcPr>
            <w:tcW w:w="991" w:type="dxa"/>
            <w:noWrap/>
            <w:vAlign w:val="bottom"/>
          </w:tcPr>
          <w:p w14:paraId="3844341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0.84655</w:t>
            </w:r>
          </w:p>
        </w:tc>
        <w:tc>
          <w:tcPr>
            <w:tcW w:w="901" w:type="dxa"/>
            <w:noWrap/>
            <w:vAlign w:val="bottom"/>
          </w:tcPr>
          <w:p w14:paraId="2B8E4B3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0.751475</w:t>
            </w:r>
          </w:p>
        </w:tc>
        <w:tc>
          <w:tcPr>
            <w:tcW w:w="901" w:type="dxa"/>
            <w:noWrap/>
            <w:vAlign w:val="bottom"/>
          </w:tcPr>
          <w:p w14:paraId="0CE84B0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0.70256</w:t>
            </w:r>
          </w:p>
        </w:tc>
        <w:tc>
          <w:tcPr>
            <w:tcW w:w="901" w:type="dxa"/>
            <w:noWrap/>
            <w:vAlign w:val="bottom"/>
          </w:tcPr>
          <w:p w14:paraId="46943C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0.659539</w:t>
            </w:r>
          </w:p>
        </w:tc>
        <w:tc>
          <w:tcPr>
            <w:tcW w:w="500" w:type="dxa"/>
            <w:vAlign w:val="bottom"/>
          </w:tcPr>
          <w:p w14:paraId="3FD8D0E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4ECBAF3E" w14:textId="77777777" w:rsidTr="00A03DAB">
        <w:trPr>
          <w:trHeight w:val="285"/>
          <w:jc w:val="center"/>
        </w:trPr>
        <w:tc>
          <w:tcPr>
            <w:tcW w:w="1113" w:type="dxa"/>
            <w:noWrap/>
            <w:vAlign w:val="bottom"/>
            <w:hideMark/>
          </w:tcPr>
          <w:p w14:paraId="078D9937"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27</w:t>
            </w:r>
          </w:p>
        </w:tc>
        <w:tc>
          <w:tcPr>
            <w:tcW w:w="476" w:type="dxa"/>
            <w:noWrap/>
            <w:vAlign w:val="bottom"/>
          </w:tcPr>
          <w:p w14:paraId="5E3B854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2C740A3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0.903207</w:t>
            </w:r>
          </w:p>
        </w:tc>
        <w:tc>
          <w:tcPr>
            <w:tcW w:w="901" w:type="dxa"/>
            <w:noWrap/>
            <w:vAlign w:val="bottom"/>
          </w:tcPr>
          <w:p w14:paraId="7AB9E17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0.873565</w:t>
            </w:r>
          </w:p>
        </w:tc>
        <w:tc>
          <w:tcPr>
            <w:tcW w:w="991" w:type="dxa"/>
            <w:noWrap/>
            <w:vAlign w:val="bottom"/>
          </w:tcPr>
          <w:p w14:paraId="480C40A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0.831303</w:t>
            </w:r>
          </w:p>
        </w:tc>
        <w:tc>
          <w:tcPr>
            <w:tcW w:w="901" w:type="dxa"/>
            <w:noWrap/>
            <w:vAlign w:val="bottom"/>
          </w:tcPr>
          <w:p w14:paraId="1918B15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0.722309</w:t>
            </w:r>
          </w:p>
        </w:tc>
        <w:tc>
          <w:tcPr>
            <w:tcW w:w="901" w:type="dxa"/>
            <w:noWrap/>
            <w:vAlign w:val="bottom"/>
          </w:tcPr>
          <w:p w14:paraId="63572CD1"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0.665305</w:t>
            </w:r>
          </w:p>
        </w:tc>
        <w:tc>
          <w:tcPr>
            <w:tcW w:w="901" w:type="dxa"/>
            <w:noWrap/>
            <w:vAlign w:val="bottom"/>
          </w:tcPr>
          <w:p w14:paraId="225F373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0.613207</w:t>
            </w:r>
          </w:p>
        </w:tc>
        <w:tc>
          <w:tcPr>
            <w:tcW w:w="500" w:type="dxa"/>
            <w:vAlign w:val="bottom"/>
          </w:tcPr>
          <w:p w14:paraId="39D5813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187FDB76" w14:textId="77777777" w:rsidTr="00A03DAB">
        <w:trPr>
          <w:trHeight w:val="285"/>
          <w:jc w:val="center"/>
        </w:trPr>
        <w:tc>
          <w:tcPr>
            <w:tcW w:w="1113" w:type="dxa"/>
            <w:noWrap/>
            <w:vAlign w:val="bottom"/>
            <w:hideMark/>
          </w:tcPr>
          <w:p w14:paraId="770EAC3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28</w:t>
            </w:r>
          </w:p>
        </w:tc>
        <w:tc>
          <w:tcPr>
            <w:tcW w:w="476" w:type="dxa"/>
            <w:noWrap/>
            <w:vAlign w:val="bottom"/>
          </w:tcPr>
          <w:p w14:paraId="08F0EFB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1E298C4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0.939777</w:t>
            </w:r>
          </w:p>
        </w:tc>
        <w:tc>
          <w:tcPr>
            <w:tcW w:w="901" w:type="dxa"/>
            <w:noWrap/>
            <w:vAlign w:val="bottom"/>
          </w:tcPr>
          <w:p w14:paraId="3AF6AA1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0.922449</w:t>
            </w:r>
          </w:p>
        </w:tc>
        <w:tc>
          <w:tcPr>
            <w:tcW w:w="991" w:type="dxa"/>
            <w:noWrap/>
            <w:vAlign w:val="bottom"/>
          </w:tcPr>
          <w:p w14:paraId="23E77C89"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0.897727</w:t>
            </w:r>
          </w:p>
        </w:tc>
        <w:tc>
          <w:tcPr>
            <w:tcW w:w="901" w:type="dxa"/>
            <w:noWrap/>
            <w:vAlign w:val="bottom"/>
          </w:tcPr>
          <w:p w14:paraId="02A1614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0.838586</w:t>
            </w:r>
          </w:p>
        </w:tc>
        <w:tc>
          <w:tcPr>
            <w:tcW w:w="901" w:type="dxa"/>
            <w:noWrap/>
            <w:vAlign w:val="bottom"/>
          </w:tcPr>
          <w:p w14:paraId="041C80B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0.80851</w:t>
            </w:r>
          </w:p>
        </w:tc>
        <w:tc>
          <w:tcPr>
            <w:tcW w:w="901" w:type="dxa"/>
            <w:noWrap/>
            <w:vAlign w:val="bottom"/>
          </w:tcPr>
          <w:p w14:paraId="5481886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0.782173</w:t>
            </w:r>
          </w:p>
        </w:tc>
        <w:tc>
          <w:tcPr>
            <w:tcW w:w="500" w:type="dxa"/>
            <w:vAlign w:val="bottom"/>
          </w:tcPr>
          <w:p w14:paraId="085AA53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D719040" w14:textId="77777777" w:rsidTr="00A03DAB">
        <w:trPr>
          <w:trHeight w:val="285"/>
          <w:jc w:val="center"/>
        </w:trPr>
        <w:tc>
          <w:tcPr>
            <w:tcW w:w="1113" w:type="dxa"/>
            <w:noWrap/>
            <w:vAlign w:val="bottom"/>
            <w:hideMark/>
          </w:tcPr>
          <w:p w14:paraId="7C12FA1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29</w:t>
            </w:r>
          </w:p>
        </w:tc>
        <w:tc>
          <w:tcPr>
            <w:tcW w:w="476" w:type="dxa"/>
            <w:noWrap/>
            <w:vAlign w:val="bottom"/>
          </w:tcPr>
          <w:p w14:paraId="7F11DF82"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6BB8683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0.953763</w:t>
            </w:r>
          </w:p>
        </w:tc>
        <w:tc>
          <w:tcPr>
            <w:tcW w:w="901" w:type="dxa"/>
            <w:noWrap/>
            <w:vAlign w:val="bottom"/>
          </w:tcPr>
          <w:p w14:paraId="1C8439F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0.940504</w:t>
            </w:r>
          </w:p>
        </w:tc>
        <w:tc>
          <w:tcPr>
            <w:tcW w:w="991" w:type="dxa"/>
            <w:noWrap/>
            <w:vAlign w:val="bottom"/>
          </w:tcPr>
          <w:p w14:paraId="17B1778E"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0.92162</w:t>
            </w:r>
          </w:p>
        </w:tc>
        <w:tc>
          <w:tcPr>
            <w:tcW w:w="901" w:type="dxa"/>
            <w:noWrap/>
            <w:vAlign w:val="bottom"/>
          </w:tcPr>
          <w:p w14:paraId="0E44317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0.876388</w:t>
            </w:r>
          </w:p>
        </w:tc>
        <w:tc>
          <w:tcPr>
            <w:tcW w:w="901" w:type="dxa"/>
            <w:noWrap/>
            <w:vAlign w:val="bottom"/>
          </w:tcPr>
          <w:p w14:paraId="692B7D5F"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0.853369</w:t>
            </w:r>
          </w:p>
        </w:tc>
        <w:tc>
          <w:tcPr>
            <w:tcW w:w="901" w:type="dxa"/>
            <w:noWrap/>
            <w:vAlign w:val="bottom"/>
          </w:tcPr>
          <w:p w14:paraId="4475941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0.833167</w:t>
            </w:r>
          </w:p>
        </w:tc>
        <w:tc>
          <w:tcPr>
            <w:tcW w:w="500" w:type="dxa"/>
            <w:vAlign w:val="bottom"/>
          </w:tcPr>
          <w:p w14:paraId="6DBFAD8B"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r w:rsidR="003424D3" w:rsidRPr="006605A3" w14:paraId="67D9ADD8" w14:textId="77777777" w:rsidTr="00A03DAB">
        <w:trPr>
          <w:trHeight w:val="285"/>
          <w:jc w:val="center"/>
        </w:trPr>
        <w:tc>
          <w:tcPr>
            <w:tcW w:w="1113" w:type="dxa"/>
            <w:noWrap/>
            <w:vAlign w:val="bottom"/>
            <w:hideMark/>
          </w:tcPr>
          <w:p w14:paraId="38B7D0A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Bus 31</w:t>
            </w:r>
          </w:p>
        </w:tc>
        <w:tc>
          <w:tcPr>
            <w:tcW w:w="476" w:type="dxa"/>
            <w:noWrap/>
            <w:vAlign w:val="bottom"/>
          </w:tcPr>
          <w:p w14:paraId="7ECD4633"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1</w:t>
            </w:r>
          </w:p>
        </w:tc>
        <w:tc>
          <w:tcPr>
            <w:tcW w:w="907" w:type="dxa"/>
            <w:noWrap/>
            <w:vAlign w:val="bottom"/>
          </w:tcPr>
          <w:p w14:paraId="240B0C1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0.975923</w:t>
            </w:r>
          </w:p>
        </w:tc>
        <w:tc>
          <w:tcPr>
            <w:tcW w:w="901" w:type="dxa"/>
            <w:noWrap/>
            <w:vAlign w:val="bottom"/>
          </w:tcPr>
          <w:p w14:paraId="56DA8D44"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0.967297</w:t>
            </w:r>
          </w:p>
        </w:tc>
        <w:tc>
          <w:tcPr>
            <w:tcW w:w="991" w:type="dxa"/>
            <w:noWrap/>
            <w:vAlign w:val="bottom"/>
          </w:tcPr>
          <w:p w14:paraId="196A402C"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0.954454</w:t>
            </w:r>
          </w:p>
        </w:tc>
        <w:tc>
          <w:tcPr>
            <w:tcW w:w="901" w:type="dxa"/>
            <w:noWrap/>
            <w:vAlign w:val="bottom"/>
          </w:tcPr>
          <w:p w14:paraId="1C2CA2F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0.707019</w:t>
            </w:r>
          </w:p>
        </w:tc>
        <w:tc>
          <w:tcPr>
            <w:tcW w:w="901" w:type="dxa"/>
            <w:noWrap/>
            <w:vAlign w:val="bottom"/>
          </w:tcPr>
          <w:p w14:paraId="777596ED"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0.569746</w:t>
            </w:r>
          </w:p>
        </w:tc>
        <w:tc>
          <w:tcPr>
            <w:tcW w:w="901" w:type="dxa"/>
            <w:noWrap/>
            <w:vAlign w:val="bottom"/>
          </w:tcPr>
          <w:p w14:paraId="752C0C30"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0.460019</w:t>
            </w:r>
          </w:p>
        </w:tc>
        <w:tc>
          <w:tcPr>
            <w:tcW w:w="500" w:type="dxa"/>
            <w:vAlign w:val="bottom"/>
          </w:tcPr>
          <w:p w14:paraId="35DC84A6" w14:textId="77777777" w:rsidR="003424D3" w:rsidRPr="006605A3" w:rsidRDefault="003424D3" w:rsidP="00CD4F3A">
            <w:pPr>
              <w:pStyle w:val="TableText"/>
              <w:jc w:val="both"/>
              <w:rPr>
                <w:rFonts w:asciiTheme="minorHAnsi" w:hAnsiTheme="minorHAnsi" w:cstheme="minorHAnsi"/>
                <w:sz w:val="16"/>
                <w:szCs w:val="16"/>
              </w:rPr>
            </w:pPr>
            <w:r w:rsidRPr="006605A3">
              <w:rPr>
                <w:rFonts w:asciiTheme="minorHAnsi" w:hAnsiTheme="minorHAnsi" w:cstheme="minorHAnsi"/>
                <w:sz w:val="16"/>
                <w:szCs w:val="16"/>
              </w:rPr>
              <w:t>0</w:t>
            </w:r>
          </w:p>
        </w:tc>
      </w:tr>
    </w:tbl>
    <w:p w14:paraId="35C63996" w14:textId="77777777" w:rsidR="001437E6" w:rsidRDefault="001437E6" w:rsidP="00CD4F3A">
      <w:pPr>
        <w:pStyle w:val="Caption"/>
        <w:spacing w:line="240" w:lineRule="auto"/>
        <w:jc w:val="both"/>
      </w:pPr>
    </w:p>
    <w:p w14:paraId="7E0E8714" w14:textId="4E6F69E5" w:rsidR="001437E6" w:rsidRPr="00E27D3B" w:rsidRDefault="001437E6" w:rsidP="001552EC">
      <w:pPr>
        <w:pStyle w:val="Caption"/>
        <w:spacing w:line="240" w:lineRule="auto"/>
        <w:jc w:val="center"/>
      </w:pPr>
      <w:bookmarkStart w:id="481" w:name="_Toc233728994"/>
      <w:proofErr w:type="spellStart"/>
      <w:r w:rsidRPr="006605A3">
        <w:t>Apx</w:t>
      </w:r>
      <w:proofErr w:type="spellEnd"/>
      <w:r w:rsidRPr="006605A3">
        <w:t xml:space="preserve"> Table </w:t>
      </w:r>
      <w:fldSimple w:instr=" SEQ Apx_Table \* ARABIC \s 9 ">
        <w:r>
          <w:rPr>
            <w:noProof/>
          </w:rPr>
          <w:t>11</w:t>
        </w:r>
      </w:fldSimple>
      <w:r>
        <w:t>:</w:t>
      </w:r>
      <w:r w:rsidRPr="006605A3">
        <w:t xml:space="preserve"> </w:t>
      </w:r>
      <w:r w:rsidRPr="001437E6">
        <w:t>NERC FAC 002 Interconnection Standards for Transmission Planners for Large Load</w:t>
      </w:r>
      <w:r w:rsidRPr="006605A3">
        <w:t>.</w:t>
      </w:r>
      <w:bookmarkEnd w:id="481"/>
    </w:p>
    <w:tbl>
      <w:tblPr>
        <w:tblStyle w:val="TableProfession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5580"/>
      </w:tblGrid>
      <w:tr w:rsidR="001437E6" w:rsidRPr="00E27D3B" w14:paraId="5E5C8F1C" w14:textId="77777777" w:rsidTr="00A03DAB">
        <w:trPr>
          <w:cnfStyle w:val="100000000000" w:firstRow="1" w:lastRow="0" w:firstColumn="0" w:lastColumn="0" w:oddVBand="0" w:evenVBand="0" w:oddHBand="0" w:evenHBand="0" w:firstRowFirstColumn="0" w:firstRowLastColumn="0" w:lastRowFirstColumn="0" w:lastRowLastColumn="0"/>
          <w:jc w:val="center"/>
        </w:trPr>
        <w:tc>
          <w:tcPr>
            <w:tcW w:w="3240" w:type="dxa"/>
          </w:tcPr>
          <w:p w14:paraId="0E610FF1" w14:textId="77777777" w:rsidR="001437E6" w:rsidRPr="001552EC" w:rsidRDefault="001437E6" w:rsidP="00CD4F3A">
            <w:pPr>
              <w:pStyle w:val="BodyText"/>
              <w:spacing w:before="0" w:line="240" w:lineRule="auto"/>
              <w:jc w:val="center"/>
              <w:rPr>
                <w:color w:val="FFFFFF" w:themeColor="background1"/>
                <w:sz w:val="16"/>
                <w:szCs w:val="16"/>
              </w:rPr>
            </w:pPr>
            <w:r w:rsidRPr="001552EC">
              <w:rPr>
                <w:color w:val="FFFFFF" w:themeColor="background1"/>
                <w:sz w:val="16"/>
                <w:szCs w:val="16"/>
              </w:rPr>
              <w:t>NERC FAC 002 Interconnection Standards</w:t>
            </w:r>
          </w:p>
        </w:tc>
        <w:tc>
          <w:tcPr>
            <w:tcW w:w="5580" w:type="dxa"/>
          </w:tcPr>
          <w:p w14:paraId="3CAD45D3" w14:textId="77777777" w:rsidR="001437E6" w:rsidRPr="001552EC" w:rsidRDefault="001437E6" w:rsidP="00CD4F3A">
            <w:pPr>
              <w:pStyle w:val="BodyText"/>
              <w:spacing w:before="0" w:line="240" w:lineRule="auto"/>
              <w:jc w:val="center"/>
              <w:rPr>
                <w:color w:val="FFFFFF" w:themeColor="background1"/>
                <w:sz w:val="16"/>
                <w:szCs w:val="16"/>
              </w:rPr>
            </w:pPr>
            <w:r w:rsidRPr="001552EC">
              <w:rPr>
                <w:color w:val="FFFFFF" w:themeColor="background1"/>
                <w:sz w:val="16"/>
                <w:szCs w:val="16"/>
              </w:rPr>
              <w:t>Description</w:t>
            </w:r>
          </w:p>
        </w:tc>
      </w:tr>
      <w:tr w:rsidR="001437E6" w:rsidRPr="00E27D3B" w14:paraId="2B9BDA45" w14:textId="77777777" w:rsidTr="00A03DAB">
        <w:trPr>
          <w:jc w:val="center"/>
        </w:trPr>
        <w:tc>
          <w:tcPr>
            <w:tcW w:w="3240" w:type="dxa"/>
          </w:tcPr>
          <w:p w14:paraId="1FEB0EC0" w14:textId="77777777" w:rsidR="001437E6" w:rsidRPr="00E27D3B" w:rsidRDefault="001437E6" w:rsidP="00CD4F3A">
            <w:pPr>
              <w:pStyle w:val="BodyText"/>
              <w:spacing w:before="0" w:line="240" w:lineRule="auto"/>
              <w:jc w:val="both"/>
              <w:rPr>
                <w:sz w:val="16"/>
                <w:szCs w:val="16"/>
              </w:rPr>
            </w:pPr>
            <w:r w:rsidRPr="00E27D3B">
              <w:rPr>
                <w:sz w:val="16"/>
                <w:szCs w:val="16"/>
              </w:rPr>
              <w:t>Power Flow Analysis</w:t>
            </w:r>
          </w:p>
        </w:tc>
        <w:tc>
          <w:tcPr>
            <w:tcW w:w="5580" w:type="dxa"/>
          </w:tcPr>
          <w:p w14:paraId="17A18C9B" w14:textId="77777777" w:rsidR="001437E6" w:rsidRPr="00E27D3B" w:rsidRDefault="001437E6" w:rsidP="00CD4F3A">
            <w:pPr>
              <w:pStyle w:val="BodyText"/>
              <w:spacing w:before="0" w:line="240" w:lineRule="auto"/>
              <w:jc w:val="both"/>
              <w:rPr>
                <w:sz w:val="16"/>
                <w:szCs w:val="16"/>
              </w:rPr>
            </w:pPr>
            <w:r w:rsidRPr="00E27D3B">
              <w:rPr>
                <w:sz w:val="16"/>
                <w:szCs w:val="16"/>
              </w:rPr>
              <w:t>Determine voltage profiles, thermal loading, and system congestion.</w:t>
            </w:r>
          </w:p>
        </w:tc>
      </w:tr>
      <w:tr w:rsidR="001437E6" w:rsidRPr="00E27D3B" w14:paraId="781D2122" w14:textId="77777777" w:rsidTr="00A03DAB">
        <w:trPr>
          <w:jc w:val="center"/>
        </w:trPr>
        <w:tc>
          <w:tcPr>
            <w:tcW w:w="3240" w:type="dxa"/>
          </w:tcPr>
          <w:p w14:paraId="1511593E" w14:textId="77777777" w:rsidR="001437E6" w:rsidRPr="00E27D3B" w:rsidRDefault="001437E6" w:rsidP="00CD4F3A">
            <w:pPr>
              <w:pStyle w:val="BodyText"/>
              <w:spacing w:before="0" w:line="240" w:lineRule="auto"/>
              <w:jc w:val="both"/>
              <w:rPr>
                <w:sz w:val="16"/>
                <w:szCs w:val="16"/>
              </w:rPr>
            </w:pPr>
            <w:r w:rsidRPr="00E27D3B">
              <w:rPr>
                <w:sz w:val="16"/>
                <w:szCs w:val="16"/>
              </w:rPr>
              <w:t>Short Circuit Study</w:t>
            </w:r>
          </w:p>
        </w:tc>
        <w:tc>
          <w:tcPr>
            <w:tcW w:w="5580" w:type="dxa"/>
          </w:tcPr>
          <w:p w14:paraId="559960A3" w14:textId="77777777" w:rsidR="001437E6" w:rsidRPr="00E27D3B" w:rsidRDefault="001437E6" w:rsidP="00CD4F3A">
            <w:pPr>
              <w:pStyle w:val="BodyText"/>
              <w:spacing w:before="0" w:line="240" w:lineRule="auto"/>
              <w:jc w:val="both"/>
              <w:rPr>
                <w:sz w:val="16"/>
                <w:szCs w:val="16"/>
              </w:rPr>
            </w:pPr>
            <w:r w:rsidRPr="00E27D3B">
              <w:rPr>
                <w:sz w:val="16"/>
                <w:szCs w:val="16"/>
              </w:rPr>
              <w:t>Verify equipment interrupting capability and protection coordination.</w:t>
            </w:r>
          </w:p>
        </w:tc>
      </w:tr>
      <w:tr w:rsidR="001437E6" w:rsidRPr="00E27D3B" w14:paraId="49420EBA" w14:textId="77777777" w:rsidTr="00A03DAB">
        <w:trPr>
          <w:jc w:val="center"/>
        </w:trPr>
        <w:tc>
          <w:tcPr>
            <w:tcW w:w="3240" w:type="dxa"/>
          </w:tcPr>
          <w:p w14:paraId="108CFFFA" w14:textId="77777777" w:rsidR="001437E6" w:rsidRPr="00E27D3B" w:rsidRDefault="001437E6" w:rsidP="00CD4F3A">
            <w:pPr>
              <w:pStyle w:val="BodyText"/>
              <w:spacing w:before="0" w:line="240" w:lineRule="auto"/>
              <w:jc w:val="both"/>
              <w:rPr>
                <w:sz w:val="16"/>
                <w:szCs w:val="16"/>
              </w:rPr>
            </w:pPr>
            <w:r w:rsidRPr="00E27D3B">
              <w:rPr>
                <w:sz w:val="16"/>
                <w:szCs w:val="16"/>
              </w:rPr>
              <w:t>Frequency Stability</w:t>
            </w:r>
          </w:p>
        </w:tc>
        <w:tc>
          <w:tcPr>
            <w:tcW w:w="5580" w:type="dxa"/>
          </w:tcPr>
          <w:p w14:paraId="0C44DF95" w14:textId="77777777" w:rsidR="001437E6" w:rsidRPr="00E27D3B" w:rsidRDefault="001437E6" w:rsidP="00CD4F3A">
            <w:pPr>
              <w:pStyle w:val="BodyText"/>
              <w:spacing w:before="0" w:line="240" w:lineRule="auto"/>
              <w:jc w:val="both"/>
              <w:rPr>
                <w:sz w:val="16"/>
                <w:szCs w:val="16"/>
              </w:rPr>
            </w:pPr>
            <w:r w:rsidRPr="00E27D3B">
              <w:rPr>
                <w:sz w:val="16"/>
                <w:szCs w:val="16"/>
              </w:rPr>
              <w:t>Facilities must disconnect if system frequency exceeds defined thresholds (e.g., above 51.5 Hz or below 47.5 Hz). Reconnection must be staggered to avoid sudden load surges that could destabilize the grid.</w:t>
            </w:r>
          </w:p>
        </w:tc>
      </w:tr>
      <w:tr w:rsidR="001437E6" w:rsidRPr="00E27D3B" w14:paraId="13E6C3C8" w14:textId="77777777" w:rsidTr="00A03DAB">
        <w:trPr>
          <w:jc w:val="center"/>
        </w:trPr>
        <w:tc>
          <w:tcPr>
            <w:tcW w:w="3240" w:type="dxa"/>
          </w:tcPr>
          <w:p w14:paraId="063BC6DF" w14:textId="77777777" w:rsidR="001437E6" w:rsidRPr="00E27D3B" w:rsidRDefault="001437E6" w:rsidP="00CD4F3A">
            <w:pPr>
              <w:pStyle w:val="BodyText"/>
              <w:spacing w:before="0" w:line="240" w:lineRule="auto"/>
              <w:jc w:val="both"/>
              <w:rPr>
                <w:sz w:val="16"/>
                <w:szCs w:val="16"/>
              </w:rPr>
            </w:pPr>
            <w:r w:rsidRPr="00E27D3B">
              <w:rPr>
                <w:sz w:val="16"/>
                <w:szCs w:val="16"/>
              </w:rPr>
              <w:t>Rotor angle Stability Study</w:t>
            </w:r>
          </w:p>
        </w:tc>
        <w:tc>
          <w:tcPr>
            <w:tcW w:w="5580" w:type="dxa"/>
          </w:tcPr>
          <w:p w14:paraId="3E490F8F" w14:textId="77777777" w:rsidR="001437E6" w:rsidRPr="00E27D3B" w:rsidRDefault="001437E6" w:rsidP="00CD4F3A">
            <w:pPr>
              <w:pStyle w:val="BodyText"/>
              <w:spacing w:before="0" w:line="240" w:lineRule="auto"/>
              <w:jc w:val="both"/>
              <w:rPr>
                <w:sz w:val="16"/>
                <w:szCs w:val="16"/>
              </w:rPr>
            </w:pPr>
            <w:r w:rsidRPr="00E27D3B">
              <w:rPr>
                <w:sz w:val="16"/>
                <w:szCs w:val="16"/>
              </w:rPr>
              <w:t xml:space="preserve">Assess the impact of new equipment on the rotor angle stability of the system. Large load facilities must not introduce or amplify oscillations that could destabilize the grid. Loads with power electronics, motor drives, or cyclical operation must be </w:t>
            </w:r>
            <w:r w:rsidRPr="00E27D3B">
              <w:rPr>
                <w:sz w:val="16"/>
                <w:szCs w:val="16"/>
              </w:rPr>
              <w:lastRenderedPageBreak/>
              <w:t>assessed for forced oscillation risks. Also, it requires to study the power electronic interactions and oscillations</w:t>
            </w:r>
          </w:p>
        </w:tc>
      </w:tr>
      <w:tr w:rsidR="001437E6" w:rsidRPr="00E27D3B" w14:paraId="7E7F07E3" w14:textId="77777777" w:rsidTr="00A03DAB">
        <w:trPr>
          <w:jc w:val="center"/>
        </w:trPr>
        <w:tc>
          <w:tcPr>
            <w:tcW w:w="3240" w:type="dxa"/>
          </w:tcPr>
          <w:p w14:paraId="16F1998A" w14:textId="77777777" w:rsidR="001437E6" w:rsidRPr="00E27D3B" w:rsidRDefault="001437E6" w:rsidP="00CD4F3A">
            <w:pPr>
              <w:pStyle w:val="BodyText"/>
              <w:spacing w:before="0" w:line="240" w:lineRule="auto"/>
              <w:jc w:val="both"/>
              <w:rPr>
                <w:sz w:val="16"/>
                <w:szCs w:val="16"/>
              </w:rPr>
            </w:pPr>
            <w:r w:rsidRPr="00E27D3B">
              <w:rPr>
                <w:sz w:val="16"/>
                <w:szCs w:val="16"/>
              </w:rPr>
              <w:lastRenderedPageBreak/>
              <w:t>Voltage Stability Study</w:t>
            </w:r>
          </w:p>
        </w:tc>
        <w:tc>
          <w:tcPr>
            <w:tcW w:w="5580" w:type="dxa"/>
          </w:tcPr>
          <w:p w14:paraId="4D9BFA5B" w14:textId="77777777" w:rsidR="001437E6" w:rsidRPr="00E27D3B" w:rsidRDefault="001437E6" w:rsidP="00CD4F3A">
            <w:pPr>
              <w:pStyle w:val="BodyText"/>
              <w:spacing w:before="0" w:line="240" w:lineRule="auto"/>
              <w:jc w:val="both"/>
              <w:rPr>
                <w:sz w:val="16"/>
                <w:szCs w:val="16"/>
              </w:rPr>
            </w:pPr>
            <w:r w:rsidRPr="00E27D3B">
              <w:rPr>
                <w:sz w:val="16"/>
                <w:szCs w:val="16"/>
              </w:rPr>
              <w:t>Assess system voltage collapse risks under stressed conditions.</w:t>
            </w:r>
          </w:p>
          <w:p w14:paraId="73E049E0" w14:textId="77777777" w:rsidR="001437E6" w:rsidRPr="00E27D3B" w:rsidRDefault="001437E6" w:rsidP="00CD4F3A">
            <w:pPr>
              <w:pStyle w:val="BodyText"/>
              <w:spacing w:before="0" w:line="240" w:lineRule="auto"/>
              <w:jc w:val="both"/>
              <w:rPr>
                <w:sz w:val="16"/>
                <w:szCs w:val="16"/>
              </w:rPr>
            </w:pPr>
            <w:r w:rsidRPr="00E27D3B">
              <w:rPr>
                <w:sz w:val="16"/>
                <w:szCs w:val="16"/>
              </w:rPr>
              <w:t>Large load facilities must operate within a defined power factor limit, typically ±0.95, to manage reactive power impacts on system stability. For large loads, tighter limits may be necessary to prevent excessive reactive power consumption.</w:t>
            </w:r>
          </w:p>
        </w:tc>
      </w:tr>
      <w:tr w:rsidR="001437E6" w:rsidRPr="00E27D3B" w14:paraId="0C242E83" w14:textId="77777777" w:rsidTr="00A03DAB">
        <w:trPr>
          <w:jc w:val="center"/>
        </w:trPr>
        <w:tc>
          <w:tcPr>
            <w:tcW w:w="3240" w:type="dxa"/>
          </w:tcPr>
          <w:p w14:paraId="6A5E96DC" w14:textId="77777777" w:rsidR="001437E6" w:rsidRPr="00E27D3B" w:rsidRDefault="001437E6" w:rsidP="00CD4F3A">
            <w:pPr>
              <w:pStyle w:val="BodyText"/>
              <w:spacing w:before="0" w:line="240" w:lineRule="auto"/>
              <w:jc w:val="both"/>
              <w:rPr>
                <w:sz w:val="16"/>
                <w:szCs w:val="16"/>
              </w:rPr>
            </w:pPr>
            <w:r w:rsidRPr="00E27D3B">
              <w:rPr>
                <w:sz w:val="16"/>
                <w:szCs w:val="16"/>
              </w:rPr>
              <w:t>Ride-through envelopes</w:t>
            </w:r>
          </w:p>
        </w:tc>
        <w:tc>
          <w:tcPr>
            <w:tcW w:w="5580" w:type="dxa"/>
          </w:tcPr>
          <w:p w14:paraId="49CE5874" w14:textId="77777777" w:rsidR="001437E6" w:rsidRPr="00E27D3B" w:rsidRDefault="001437E6" w:rsidP="00CD4F3A">
            <w:pPr>
              <w:pStyle w:val="BodyText"/>
              <w:spacing w:before="0" w:line="240" w:lineRule="auto"/>
              <w:jc w:val="both"/>
              <w:rPr>
                <w:sz w:val="16"/>
                <w:szCs w:val="16"/>
              </w:rPr>
            </w:pPr>
            <w:r w:rsidRPr="00E27D3B">
              <w:rPr>
                <w:sz w:val="16"/>
                <w:szCs w:val="16"/>
              </w:rPr>
              <w:t>Voltage/frequency ride-through expectations should be met by the UPS/protection. Equipment should be designed and operated to meet certain ride-through requirements (e.g., Reliability Standard PRC-024) so that it remains on-line during disturbances and supports the system.</w:t>
            </w:r>
          </w:p>
        </w:tc>
      </w:tr>
    </w:tbl>
    <w:p w14:paraId="37AE3E95" w14:textId="77777777" w:rsidR="001437E6" w:rsidRPr="006605A3" w:rsidRDefault="001437E6" w:rsidP="001552EC">
      <w:pPr>
        <w:pStyle w:val="BodyText"/>
        <w:spacing w:line="240" w:lineRule="auto"/>
        <w:jc w:val="center"/>
      </w:pPr>
    </w:p>
    <w:p w14:paraId="073BB384" w14:textId="77777777" w:rsidR="003424D3" w:rsidRPr="006605A3" w:rsidRDefault="003424D3" w:rsidP="00CD4F3A">
      <w:pPr>
        <w:pStyle w:val="AppendixHeading2"/>
        <w:numPr>
          <w:ilvl w:val="0"/>
          <w:numId w:val="0"/>
        </w:numPr>
        <w:spacing w:before="0" w:after="0"/>
        <w:jc w:val="both"/>
      </w:pPr>
      <w:r w:rsidRPr="006605A3">
        <w:rPr>
          <w:noProof/>
        </w:rPr>
        <w:drawing>
          <wp:inline distT="0" distB="0" distL="0" distR="0" wp14:anchorId="7D53D462" wp14:editId="1407B861">
            <wp:extent cx="2955341" cy="1624920"/>
            <wp:effectExtent l="0" t="0" r="0" b="0"/>
            <wp:docPr id="19299601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984676" cy="1641049"/>
                    </a:xfrm>
                    <a:prstGeom prst="rect">
                      <a:avLst/>
                    </a:prstGeom>
                    <a:noFill/>
                    <a:ln>
                      <a:noFill/>
                    </a:ln>
                  </pic:spPr>
                </pic:pic>
              </a:graphicData>
            </a:graphic>
          </wp:inline>
        </w:drawing>
      </w:r>
      <w:r w:rsidRPr="006605A3">
        <w:rPr>
          <w:noProof/>
        </w:rPr>
        <w:drawing>
          <wp:inline distT="0" distB="0" distL="0" distR="0" wp14:anchorId="07390F9F" wp14:editId="33190AF3">
            <wp:extent cx="3146220" cy="1733702"/>
            <wp:effectExtent l="0" t="0" r="0" b="0"/>
            <wp:docPr id="19028233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154154" cy="1738074"/>
                    </a:xfrm>
                    <a:prstGeom prst="rect">
                      <a:avLst/>
                    </a:prstGeom>
                    <a:noFill/>
                    <a:ln>
                      <a:noFill/>
                    </a:ln>
                  </pic:spPr>
                </pic:pic>
              </a:graphicData>
            </a:graphic>
          </wp:inline>
        </w:drawing>
      </w:r>
    </w:p>
    <w:p w14:paraId="18627612" w14:textId="10E56290" w:rsidR="003424D3" w:rsidRPr="006605A3" w:rsidRDefault="003424D3" w:rsidP="00CD4F3A">
      <w:pPr>
        <w:pStyle w:val="BodyText"/>
        <w:spacing w:before="0" w:after="0" w:line="240" w:lineRule="auto"/>
        <w:ind w:left="1080"/>
        <w:jc w:val="center"/>
      </w:pPr>
      <w:r w:rsidRPr="006605A3">
        <w:t xml:space="preserve">(a)                                                                                     </w:t>
      </w:r>
      <w:proofErr w:type="gramStart"/>
      <w:r w:rsidRPr="006605A3">
        <w:t xml:space="preserve">   (</w:t>
      </w:r>
      <w:proofErr w:type="gramEnd"/>
      <w:r w:rsidRPr="006605A3">
        <w:t>b)</w:t>
      </w:r>
    </w:p>
    <w:p w14:paraId="14583CF9" w14:textId="77777777" w:rsidR="003424D3" w:rsidRPr="006605A3" w:rsidRDefault="003424D3" w:rsidP="00CD4F3A">
      <w:pPr>
        <w:pStyle w:val="BodyText"/>
        <w:spacing w:before="0" w:after="0" w:line="240" w:lineRule="auto"/>
      </w:pPr>
      <w:r w:rsidRPr="006605A3">
        <w:rPr>
          <w:noProof/>
        </w:rPr>
        <w:drawing>
          <wp:inline distT="0" distB="0" distL="0" distR="0" wp14:anchorId="62C5CAFE" wp14:editId="59094D63">
            <wp:extent cx="2988259" cy="1656384"/>
            <wp:effectExtent l="0" t="0" r="0" b="0"/>
            <wp:docPr id="5793535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001650" cy="1663806"/>
                    </a:xfrm>
                    <a:prstGeom prst="rect">
                      <a:avLst/>
                    </a:prstGeom>
                    <a:noFill/>
                    <a:ln>
                      <a:noFill/>
                    </a:ln>
                  </pic:spPr>
                </pic:pic>
              </a:graphicData>
            </a:graphic>
          </wp:inline>
        </w:drawing>
      </w:r>
      <w:r w:rsidRPr="006605A3">
        <w:rPr>
          <w:noProof/>
        </w:rPr>
        <w:drawing>
          <wp:inline distT="0" distB="0" distL="0" distR="0" wp14:anchorId="54EAA402" wp14:editId="48A2C0C9">
            <wp:extent cx="2732227" cy="1698879"/>
            <wp:effectExtent l="0" t="0" r="0" b="0"/>
            <wp:docPr id="100489319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39128" cy="1703170"/>
                    </a:xfrm>
                    <a:prstGeom prst="rect">
                      <a:avLst/>
                    </a:prstGeom>
                    <a:noFill/>
                    <a:ln>
                      <a:noFill/>
                    </a:ln>
                  </pic:spPr>
                </pic:pic>
              </a:graphicData>
            </a:graphic>
          </wp:inline>
        </w:drawing>
      </w:r>
    </w:p>
    <w:p w14:paraId="1827EB49" w14:textId="77777777" w:rsidR="003424D3" w:rsidRPr="006605A3" w:rsidRDefault="003424D3" w:rsidP="00CD4F3A">
      <w:pPr>
        <w:pStyle w:val="BodyText"/>
        <w:spacing w:before="0" w:after="0" w:line="240" w:lineRule="auto"/>
        <w:jc w:val="center"/>
      </w:pPr>
      <w:r w:rsidRPr="006605A3">
        <w:t xml:space="preserve">(c)                                                                           </w:t>
      </w:r>
      <w:proofErr w:type="gramStart"/>
      <w:r w:rsidRPr="006605A3">
        <w:t xml:space="preserve">   (</w:t>
      </w:r>
      <w:proofErr w:type="gramEnd"/>
      <w:r w:rsidRPr="006605A3">
        <w:t>d)</w:t>
      </w:r>
    </w:p>
    <w:p w14:paraId="4E7A064B" w14:textId="77777777" w:rsidR="003424D3" w:rsidRPr="006605A3" w:rsidRDefault="003424D3" w:rsidP="00CD4F3A">
      <w:pPr>
        <w:pStyle w:val="BodyText"/>
        <w:spacing w:before="0" w:after="0" w:line="240" w:lineRule="auto"/>
      </w:pPr>
      <w:r w:rsidRPr="006605A3">
        <w:rPr>
          <w:noProof/>
        </w:rPr>
        <w:drawing>
          <wp:inline distT="0" distB="0" distL="0" distR="0" wp14:anchorId="26CAB39E" wp14:editId="49596AA5">
            <wp:extent cx="2929738" cy="1587840"/>
            <wp:effectExtent l="0" t="0" r="0" b="0"/>
            <wp:docPr id="4115945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944162" cy="1595658"/>
                    </a:xfrm>
                    <a:prstGeom prst="rect">
                      <a:avLst/>
                    </a:prstGeom>
                    <a:noFill/>
                    <a:ln>
                      <a:noFill/>
                    </a:ln>
                  </pic:spPr>
                </pic:pic>
              </a:graphicData>
            </a:graphic>
          </wp:inline>
        </w:drawing>
      </w:r>
      <w:r w:rsidRPr="006605A3">
        <w:rPr>
          <w:noProof/>
        </w:rPr>
        <w:drawing>
          <wp:inline distT="0" distB="0" distL="0" distR="0" wp14:anchorId="065D2944" wp14:editId="3F04C9B4">
            <wp:extent cx="3097987" cy="1708344"/>
            <wp:effectExtent l="0" t="0" r="0" b="0"/>
            <wp:docPr id="5091456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109842" cy="1714881"/>
                    </a:xfrm>
                    <a:prstGeom prst="rect">
                      <a:avLst/>
                    </a:prstGeom>
                    <a:noFill/>
                    <a:ln>
                      <a:noFill/>
                    </a:ln>
                  </pic:spPr>
                </pic:pic>
              </a:graphicData>
            </a:graphic>
          </wp:inline>
        </w:drawing>
      </w:r>
    </w:p>
    <w:p w14:paraId="3A503C9E" w14:textId="77777777" w:rsidR="003424D3" w:rsidRPr="006605A3" w:rsidRDefault="003424D3" w:rsidP="00CD4F3A">
      <w:pPr>
        <w:pStyle w:val="BodyText"/>
        <w:spacing w:before="0" w:after="0" w:line="240" w:lineRule="auto"/>
        <w:jc w:val="center"/>
      </w:pPr>
      <w:r w:rsidRPr="006605A3">
        <w:t xml:space="preserve">(e)                                                                           </w:t>
      </w:r>
      <w:proofErr w:type="gramStart"/>
      <w:r w:rsidRPr="006605A3">
        <w:t xml:space="preserve">   (</w:t>
      </w:r>
      <w:proofErr w:type="gramEnd"/>
      <w:r w:rsidRPr="006605A3">
        <w:t>f)</w:t>
      </w:r>
    </w:p>
    <w:p w14:paraId="33325D47" w14:textId="77777777" w:rsidR="003424D3" w:rsidRPr="006605A3" w:rsidRDefault="003424D3" w:rsidP="00CD4F3A">
      <w:pPr>
        <w:pStyle w:val="BodyText"/>
        <w:spacing w:before="0" w:after="0" w:line="240" w:lineRule="auto"/>
      </w:pPr>
      <w:r w:rsidRPr="006605A3">
        <w:rPr>
          <w:noProof/>
        </w:rPr>
        <w:lastRenderedPageBreak/>
        <w:drawing>
          <wp:inline distT="0" distB="0" distL="0" distR="0" wp14:anchorId="35BADA7A" wp14:editId="5C5C5D39">
            <wp:extent cx="2966314" cy="1629971"/>
            <wp:effectExtent l="0" t="0" r="0" b="0"/>
            <wp:docPr id="9493122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979221" cy="1637063"/>
                    </a:xfrm>
                    <a:prstGeom prst="rect">
                      <a:avLst/>
                    </a:prstGeom>
                    <a:noFill/>
                    <a:ln>
                      <a:noFill/>
                    </a:ln>
                  </pic:spPr>
                </pic:pic>
              </a:graphicData>
            </a:graphic>
          </wp:inline>
        </w:drawing>
      </w:r>
      <w:r w:rsidRPr="006605A3">
        <w:rPr>
          <w:noProof/>
        </w:rPr>
        <w:drawing>
          <wp:inline distT="0" distB="0" distL="0" distR="0" wp14:anchorId="5E714AEB" wp14:editId="3B53F2D6">
            <wp:extent cx="3024835" cy="1752467"/>
            <wp:effectExtent l="0" t="0" r="4445" b="0"/>
            <wp:docPr id="955447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0">
                      <a:extLst>
                        <a:ext uri="{28A0092B-C50C-407E-A947-70E740481C1C}">
                          <a14:useLocalDpi xmlns:a14="http://schemas.microsoft.com/office/drawing/2010/main" val="0"/>
                        </a:ext>
                      </a:extLst>
                    </a:blip>
                    <a:srcRect t="10702"/>
                    <a:stretch>
                      <a:fillRect/>
                    </a:stretch>
                  </pic:blipFill>
                  <pic:spPr bwMode="auto">
                    <a:xfrm>
                      <a:off x="0" y="0"/>
                      <a:ext cx="3029391" cy="1755107"/>
                    </a:xfrm>
                    <a:prstGeom prst="rect">
                      <a:avLst/>
                    </a:prstGeom>
                    <a:noFill/>
                    <a:ln>
                      <a:noFill/>
                    </a:ln>
                    <a:extLst>
                      <a:ext uri="{53640926-AAD7-44D8-BBD7-CCE9431645EC}">
                        <a14:shadowObscured xmlns:a14="http://schemas.microsoft.com/office/drawing/2010/main"/>
                      </a:ext>
                    </a:extLst>
                  </pic:spPr>
                </pic:pic>
              </a:graphicData>
            </a:graphic>
          </wp:inline>
        </w:drawing>
      </w:r>
    </w:p>
    <w:p w14:paraId="2E314B81" w14:textId="77777777" w:rsidR="003424D3" w:rsidRDefault="003424D3" w:rsidP="00CD4F3A">
      <w:pPr>
        <w:pStyle w:val="BodyText"/>
        <w:spacing w:before="0" w:after="0" w:line="240" w:lineRule="auto"/>
        <w:jc w:val="center"/>
      </w:pPr>
      <w:r w:rsidRPr="006605A3">
        <w:t xml:space="preserve">(g)                                                                           </w:t>
      </w:r>
      <w:proofErr w:type="gramStart"/>
      <w:r w:rsidRPr="006605A3">
        <w:t xml:space="preserve">   (</w:t>
      </w:r>
      <w:proofErr w:type="gramEnd"/>
      <w:r w:rsidRPr="006605A3">
        <w:t>h)</w:t>
      </w:r>
    </w:p>
    <w:p w14:paraId="276A746F" w14:textId="77777777" w:rsidR="001437E6" w:rsidRDefault="001437E6" w:rsidP="00CD4F3A">
      <w:pPr>
        <w:pStyle w:val="BodyText"/>
        <w:spacing w:before="0" w:after="0" w:line="240" w:lineRule="auto"/>
        <w:jc w:val="center"/>
      </w:pPr>
    </w:p>
    <w:p w14:paraId="5AFE2B44" w14:textId="4DA57C32" w:rsidR="001437E6" w:rsidRPr="006605A3" w:rsidRDefault="001437E6" w:rsidP="00CD4F3A">
      <w:pPr>
        <w:pStyle w:val="Caption"/>
        <w:spacing w:line="240" w:lineRule="auto"/>
        <w:jc w:val="both"/>
      </w:pPr>
      <w:proofErr w:type="spellStart"/>
      <w:r w:rsidRPr="006605A3">
        <w:t>Apx</w:t>
      </w:r>
      <w:proofErr w:type="spellEnd"/>
      <w:r w:rsidRPr="006605A3">
        <w:t xml:space="preserve"> Figure 1</w:t>
      </w:r>
      <w:r w:rsidR="007462E5">
        <w:t>:</w:t>
      </w:r>
      <w:r w:rsidRPr="006605A3">
        <w:t xml:space="preserve"> The value of SDVPI for the selected buses for (a) 6% renewables, (</w:t>
      </w:r>
      <w:r w:rsidR="0093207C">
        <w:t>b</w:t>
      </w:r>
      <w:r w:rsidRPr="006605A3">
        <w:t>) 13% renewables, (c) 26% renewables, (d) 35% renewables, (e) 44% renewables, (f) 52% renewables, (g) 63% renewables, and (h) 72% renewables in IEEE 39 bus system.</w:t>
      </w:r>
    </w:p>
    <w:p w14:paraId="2F6F82D4" w14:textId="77777777" w:rsidR="001437E6" w:rsidRPr="006605A3" w:rsidRDefault="001437E6" w:rsidP="00CD4F3A">
      <w:pPr>
        <w:pStyle w:val="BodyText"/>
        <w:spacing w:before="0" w:after="0" w:line="240" w:lineRule="auto"/>
        <w:jc w:val="center"/>
      </w:pPr>
    </w:p>
    <w:p w14:paraId="58697EF6" w14:textId="77777777" w:rsidR="003424D3" w:rsidRPr="006605A3" w:rsidRDefault="003424D3" w:rsidP="00CD4F3A">
      <w:pPr>
        <w:pStyle w:val="AppendixHeading2"/>
        <w:numPr>
          <w:ilvl w:val="0"/>
          <w:numId w:val="0"/>
        </w:numPr>
        <w:spacing w:before="0" w:after="0"/>
        <w:jc w:val="both"/>
      </w:pPr>
      <w:r w:rsidRPr="006605A3">
        <w:rPr>
          <w:noProof/>
        </w:rPr>
        <w:drawing>
          <wp:inline distT="0" distB="0" distL="0" distR="0" wp14:anchorId="1E97D0F0" wp14:editId="41374ED2">
            <wp:extent cx="2849247" cy="1773936"/>
            <wp:effectExtent l="0" t="0" r="8255" b="0"/>
            <wp:docPr id="54427766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1">
                      <a:extLst>
                        <a:ext uri="{28A0092B-C50C-407E-A947-70E740481C1C}">
                          <a14:useLocalDpi xmlns:a14="http://schemas.microsoft.com/office/drawing/2010/main" val="0"/>
                        </a:ext>
                      </a:extLst>
                    </a:blip>
                    <a:srcRect r="3944"/>
                    <a:stretch>
                      <a:fillRect/>
                    </a:stretch>
                  </pic:blipFill>
                  <pic:spPr bwMode="auto">
                    <a:xfrm>
                      <a:off x="0" y="0"/>
                      <a:ext cx="2856118" cy="1778214"/>
                    </a:xfrm>
                    <a:prstGeom prst="rect">
                      <a:avLst/>
                    </a:prstGeom>
                    <a:noFill/>
                    <a:ln>
                      <a:noFill/>
                    </a:ln>
                    <a:extLst>
                      <a:ext uri="{53640926-AAD7-44D8-BBD7-CCE9431645EC}">
                        <a14:shadowObscured xmlns:a14="http://schemas.microsoft.com/office/drawing/2010/main"/>
                      </a:ext>
                    </a:extLst>
                  </pic:spPr>
                </pic:pic>
              </a:graphicData>
            </a:graphic>
          </wp:inline>
        </w:drawing>
      </w:r>
      <w:r w:rsidRPr="006605A3">
        <w:rPr>
          <w:noProof/>
        </w:rPr>
        <w:drawing>
          <wp:inline distT="0" distB="0" distL="0" distR="0" wp14:anchorId="01D79AA5" wp14:editId="475462F0">
            <wp:extent cx="3019414" cy="1887257"/>
            <wp:effectExtent l="0" t="0" r="0" b="0"/>
            <wp:docPr id="74705952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2">
                      <a:extLst>
                        <a:ext uri="{28A0092B-C50C-407E-A947-70E740481C1C}">
                          <a14:useLocalDpi xmlns:a14="http://schemas.microsoft.com/office/drawing/2010/main" val="0"/>
                        </a:ext>
                      </a:extLst>
                    </a:blip>
                    <a:srcRect r="4507"/>
                    <a:stretch>
                      <a:fillRect/>
                    </a:stretch>
                  </pic:blipFill>
                  <pic:spPr bwMode="auto">
                    <a:xfrm>
                      <a:off x="0" y="0"/>
                      <a:ext cx="3024918" cy="1890697"/>
                    </a:xfrm>
                    <a:prstGeom prst="rect">
                      <a:avLst/>
                    </a:prstGeom>
                    <a:noFill/>
                    <a:ln>
                      <a:noFill/>
                    </a:ln>
                    <a:extLst>
                      <a:ext uri="{53640926-AAD7-44D8-BBD7-CCE9431645EC}">
                        <a14:shadowObscured xmlns:a14="http://schemas.microsoft.com/office/drawing/2010/main"/>
                      </a:ext>
                    </a:extLst>
                  </pic:spPr>
                </pic:pic>
              </a:graphicData>
            </a:graphic>
          </wp:inline>
        </w:drawing>
      </w:r>
    </w:p>
    <w:p w14:paraId="623889F1" w14:textId="77777777" w:rsidR="003424D3" w:rsidRPr="006605A3" w:rsidRDefault="003424D3" w:rsidP="00CD4F3A">
      <w:pPr>
        <w:pStyle w:val="BodyText"/>
        <w:spacing w:before="0" w:after="0" w:line="240" w:lineRule="auto"/>
        <w:ind w:left="360"/>
        <w:jc w:val="center"/>
      </w:pPr>
      <w:r w:rsidRPr="006605A3">
        <w:t xml:space="preserve">(a)                                                                              </w:t>
      </w:r>
      <w:proofErr w:type="gramStart"/>
      <w:r w:rsidRPr="006605A3">
        <w:t xml:space="preserve">   (</w:t>
      </w:r>
      <w:proofErr w:type="gramEnd"/>
      <w:r w:rsidRPr="006605A3">
        <w:t>b)</w:t>
      </w:r>
    </w:p>
    <w:p w14:paraId="2E10D5F1" w14:textId="77777777" w:rsidR="003424D3" w:rsidRPr="006605A3" w:rsidRDefault="003424D3" w:rsidP="00CD4F3A">
      <w:pPr>
        <w:pStyle w:val="BodyText"/>
        <w:spacing w:before="0" w:after="0" w:line="240" w:lineRule="auto"/>
      </w:pPr>
      <w:r w:rsidRPr="006605A3">
        <w:rPr>
          <w:noProof/>
        </w:rPr>
        <w:drawing>
          <wp:inline distT="0" distB="0" distL="0" distR="0" wp14:anchorId="0B647778" wp14:editId="2847FEC0">
            <wp:extent cx="3094330" cy="1983902"/>
            <wp:effectExtent l="0" t="0" r="0" b="0"/>
            <wp:docPr id="74553677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3">
                      <a:extLst>
                        <a:ext uri="{28A0092B-C50C-407E-A947-70E740481C1C}">
                          <a14:useLocalDpi xmlns:a14="http://schemas.microsoft.com/office/drawing/2010/main" val="0"/>
                        </a:ext>
                      </a:extLst>
                    </a:blip>
                    <a:srcRect r="3548"/>
                    <a:stretch>
                      <a:fillRect/>
                    </a:stretch>
                  </pic:blipFill>
                  <pic:spPr bwMode="auto">
                    <a:xfrm>
                      <a:off x="0" y="0"/>
                      <a:ext cx="3099660" cy="1987319"/>
                    </a:xfrm>
                    <a:prstGeom prst="rect">
                      <a:avLst/>
                    </a:prstGeom>
                    <a:noFill/>
                    <a:ln>
                      <a:noFill/>
                    </a:ln>
                    <a:extLst>
                      <a:ext uri="{53640926-AAD7-44D8-BBD7-CCE9431645EC}">
                        <a14:shadowObscured xmlns:a14="http://schemas.microsoft.com/office/drawing/2010/main"/>
                      </a:ext>
                    </a:extLst>
                  </pic:spPr>
                </pic:pic>
              </a:graphicData>
            </a:graphic>
          </wp:inline>
        </w:drawing>
      </w:r>
      <w:r w:rsidRPr="006605A3">
        <w:rPr>
          <w:noProof/>
        </w:rPr>
        <w:drawing>
          <wp:inline distT="0" distB="0" distL="0" distR="0" wp14:anchorId="6D04E284" wp14:editId="6F72C8D4">
            <wp:extent cx="2940711" cy="1806318"/>
            <wp:effectExtent l="0" t="0" r="0" b="0"/>
            <wp:docPr id="13856024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4">
                      <a:extLst>
                        <a:ext uri="{28A0092B-C50C-407E-A947-70E740481C1C}">
                          <a14:useLocalDpi xmlns:a14="http://schemas.microsoft.com/office/drawing/2010/main" val="0"/>
                        </a:ext>
                      </a:extLst>
                    </a:blip>
                    <a:srcRect r="3763"/>
                    <a:stretch>
                      <a:fillRect/>
                    </a:stretch>
                  </pic:blipFill>
                  <pic:spPr bwMode="auto">
                    <a:xfrm>
                      <a:off x="0" y="0"/>
                      <a:ext cx="2958892" cy="1817485"/>
                    </a:xfrm>
                    <a:prstGeom prst="rect">
                      <a:avLst/>
                    </a:prstGeom>
                    <a:noFill/>
                    <a:ln>
                      <a:noFill/>
                    </a:ln>
                    <a:extLst>
                      <a:ext uri="{53640926-AAD7-44D8-BBD7-CCE9431645EC}">
                        <a14:shadowObscured xmlns:a14="http://schemas.microsoft.com/office/drawing/2010/main"/>
                      </a:ext>
                    </a:extLst>
                  </pic:spPr>
                </pic:pic>
              </a:graphicData>
            </a:graphic>
          </wp:inline>
        </w:drawing>
      </w:r>
    </w:p>
    <w:p w14:paraId="56EC4DE6" w14:textId="77777777" w:rsidR="003424D3" w:rsidRPr="006605A3" w:rsidRDefault="003424D3" w:rsidP="00CD4F3A">
      <w:pPr>
        <w:pStyle w:val="BodyText"/>
        <w:spacing w:before="0" w:after="0" w:line="240" w:lineRule="auto"/>
        <w:jc w:val="center"/>
      </w:pPr>
      <w:r w:rsidRPr="006605A3">
        <w:t xml:space="preserve">(c)                                                                           </w:t>
      </w:r>
      <w:proofErr w:type="gramStart"/>
      <w:r w:rsidRPr="006605A3">
        <w:t xml:space="preserve">   (</w:t>
      </w:r>
      <w:proofErr w:type="gramEnd"/>
      <w:r w:rsidRPr="006605A3">
        <w:t>d)</w:t>
      </w:r>
    </w:p>
    <w:p w14:paraId="4275581B" w14:textId="77777777" w:rsidR="003424D3" w:rsidRPr="006605A3" w:rsidRDefault="003424D3" w:rsidP="00CD4F3A">
      <w:pPr>
        <w:pStyle w:val="BodyText"/>
        <w:spacing w:before="0" w:after="0" w:line="240" w:lineRule="auto"/>
      </w:pPr>
      <w:r w:rsidRPr="006605A3">
        <w:rPr>
          <w:noProof/>
        </w:rPr>
        <w:drawing>
          <wp:inline distT="0" distB="0" distL="0" distR="0" wp14:anchorId="218F55FE" wp14:editId="12E2B72F">
            <wp:extent cx="3017520" cy="1724138"/>
            <wp:effectExtent l="0" t="0" r="0" b="0"/>
            <wp:docPr id="199337146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5">
                      <a:extLst>
                        <a:ext uri="{28A0092B-C50C-407E-A947-70E740481C1C}">
                          <a14:useLocalDpi xmlns:a14="http://schemas.microsoft.com/office/drawing/2010/main" val="0"/>
                        </a:ext>
                      </a:extLst>
                    </a:blip>
                    <a:srcRect r="5516"/>
                    <a:stretch>
                      <a:fillRect/>
                    </a:stretch>
                  </pic:blipFill>
                  <pic:spPr bwMode="auto">
                    <a:xfrm>
                      <a:off x="0" y="0"/>
                      <a:ext cx="3036001" cy="1734698"/>
                    </a:xfrm>
                    <a:prstGeom prst="rect">
                      <a:avLst/>
                    </a:prstGeom>
                    <a:noFill/>
                    <a:ln>
                      <a:noFill/>
                    </a:ln>
                    <a:extLst>
                      <a:ext uri="{53640926-AAD7-44D8-BBD7-CCE9431645EC}">
                        <a14:shadowObscured xmlns:a14="http://schemas.microsoft.com/office/drawing/2010/main"/>
                      </a:ext>
                    </a:extLst>
                  </pic:spPr>
                </pic:pic>
              </a:graphicData>
            </a:graphic>
          </wp:inline>
        </w:drawing>
      </w:r>
      <w:r w:rsidRPr="006605A3">
        <w:rPr>
          <w:noProof/>
        </w:rPr>
        <w:drawing>
          <wp:inline distT="0" distB="0" distL="0" distR="0" wp14:anchorId="1E9A4B9C" wp14:editId="205368BB">
            <wp:extent cx="2929738" cy="1740435"/>
            <wp:effectExtent l="0" t="0" r="4445" b="0"/>
            <wp:docPr id="7159219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6">
                      <a:extLst>
                        <a:ext uri="{28A0092B-C50C-407E-A947-70E740481C1C}">
                          <a14:useLocalDpi xmlns:a14="http://schemas.microsoft.com/office/drawing/2010/main" val="0"/>
                        </a:ext>
                      </a:extLst>
                    </a:blip>
                    <a:srcRect r="3763"/>
                    <a:stretch>
                      <a:fillRect/>
                    </a:stretch>
                  </pic:blipFill>
                  <pic:spPr bwMode="auto">
                    <a:xfrm>
                      <a:off x="0" y="0"/>
                      <a:ext cx="2955363" cy="1755658"/>
                    </a:xfrm>
                    <a:prstGeom prst="rect">
                      <a:avLst/>
                    </a:prstGeom>
                    <a:noFill/>
                    <a:ln>
                      <a:noFill/>
                    </a:ln>
                    <a:extLst>
                      <a:ext uri="{53640926-AAD7-44D8-BBD7-CCE9431645EC}">
                        <a14:shadowObscured xmlns:a14="http://schemas.microsoft.com/office/drawing/2010/main"/>
                      </a:ext>
                    </a:extLst>
                  </pic:spPr>
                </pic:pic>
              </a:graphicData>
            </a:graphic>
          </wp:inline>
        </w:drawing>
      </w:r>
    </w:p>
    <w:p w14:paraId="2AC1DEB3" w14:textId="77777777" w:rsidR="003424D3" w:rsidRPr="006605A3" w:rsidRDefault="003424D3" w:rsidP="00CD4F3A">
      <w:pPr>
        <w:pStyle w:val="BodyText"/>
        <w:spacing w:before="0" w:after="0" w:line="240" w:lineRule="auto"/>
        <w:jc w:val="center"/>
      </w:pPr>
      <w:r w:rsidRPr="006605A3">
        <w:t xml:space="preserve">(e)                                                                           </w:t>
      </w:r>
      <w:proofErr w:type="gramStart"/>
      <w:r w:rsidRPr="006605A3">
        <w:t xml:space="preserve">   (</w:t>
      </w:r>
      <w:proofErr w:type="gramEnd"/>
      <w:r w:rsidRPr="006605A3">
        <w:t>f)</w:t>
      </w:r>
    </w:p>
    <w:p w14:paraId="6A89392A" w14:textId="77777777" w:rsidR="003424D3" w:rsidRPr="006605A3" w:rsidRDefault="003424D3" w:rsidP="00CD4F3A">
      <w:pPr>
        <w:pStyle w:val="BodyText"/>
        <w:spacing w:before="0" w:after="0" w:line="240" w:lineRule="auto"/>
      </w:pPr>
      <w:r w:rsidRPr="006605A3">
        <w:rPr>
          <w:noProof/>
        </w:rPr>
        <w:lastRenderedPageBreak/>
        <w:drawing>
          <wp:inline distT="0" distB="0" distL="0" distR="0" wp14:anchorId="3AE5853B" wp14:editId="12350439">
            <wp:extent cx="2973629" cy="1740747"/>
            <wp:effectExtent l="0" t="0" r="0" b="0"/>
            <wp:docPr id="102255290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7">
                      <a:extLst>
                        <a:ext uri="{28A0092B-C50C-407E-A947-70E740481C1C}">
                          <a14:useLocalDpi xmlns:a14="http://schemas.microsoft.com/office/drawing/2010/main" val="0"/>
                        </a:ext>
                      </a:extLst>
                    </a:blip>
                    <a:srcRect r="4580"/>
                    <a:stretch>
                      <a:fillRect/>
                    </a:stretch>
                  </pic:blipFill>
                  <pic:spPr bwMode="auto">
                    <a:xfrm>
                      <a:off x="0" y="0"/>
                      <a:ext cx="2985213" cy="1747528"/>
                    </a:xfrm>
                    <a:prstGeom prst="rect">
                      <a:avLst/>
                    </a:prstGeom>
                    <a:noFill/>
                    <a:ln>
                      <a:noFill/>
                    </a:ln>
                    <a:extLst>
                      <a:ext uri="{53640926-AAD7-44D8-BBD7-CCE9431645EC}">
                        <a14:shadowObscured xmlns:a14="http://schemas.microsoft.com/office/drawing/2010/main"/>
                      </a:ext>
                    </a:extLst>
                  </pic:spPr>
                </pic:pic>
              </a:graphicData>
            </a:graphic>
          </wp:inline>
        </w:drawing>
      </w:r>
      <w:r w:rsidRPr="006605A3">
        <w:rPr>
          <w:noProof/>
        </w:rPr>
        <w:drawing>
          <wp:inline distT="0" distB="0" distL="0" distR="0" wp14:anchorId="16EFC5BE" wp14:editId="0781C4FF">
            <wp:extent cx="3072384" cy="1705187"/>
            <wp:effectExtent l="0" t="0" r="0" b="0"/>
            <wp:docPr id="140740238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83883" cy="1711569"/>
                    </a:xfrm>
                    <a:prstGeom prst="rect">
                      <a:avLst/>
                    </a:prstGeom>
                    <a:noFill/>
                    <a:ln>
                      <a:noFill/>
                    </a:ln>
                  </pic:spPr>
                </pic:pic>
              </a:graphicData>
            </a:graphic>
          </wp:inline>
        </w:drawing>
      </w:r>
    </w:p>
    <w:p w14:paraId="2D62ECAE" w14:textId="77777777" w:rsidR="003424D3" w:rsidRPr="006605A3" w:rsidRDefault="003424D3" w:rsidP="00CD4F3A">
      <w:pPr>
        <w:pStyle w:val="BodyText"/>
        <w:spacing w:before="0" w:after="0" w:line="240" w:lineRule="auto"/>
        <w:jc w:val="center"/>
      </w:pPr>
      <w:r w:rsidRPr="006605A3">
        <w:t xml:space="preserve">(g)                                                                           </w:t>
      </w:r>
      <w:proofErr w:type="gramStart"/>
      <w:r w:rsidRPr="006605A3">
        <w:t xml:space="preserve">   (</w:t>
      </w:r>
      <w:proofErr w:type="gramEnd"/>
      <w:r w:rsidRPr="006605A3">
        <w:t>h)</w:t>
      </w:r>
    </w:p>
    <w:p w14:paraId="34C886A6" w14:textId="38EFDF15" w:rsidR="003424D3" w:rsidRDefault="003424D3" w:rsidP="0071349C">
      <w:pPr>
        <w:pStyle w:val="Caption"/>
        <w:spacing w:line="240" w:lineRule="auto"/>
        <w:jc w:val="both"/>
      </w:pPr>
      <w:proofErr w:type="spellStart"/>
      <w:r w:rsidRPr="006605A3">
        <w:t>Apx</w:t>
      </w:r>
      <w:proofErr w:type="spellEnd"/>
      <w:r w:rsidRPr="006605A3">
        <w:t xml:space="preserve"> Figure 2</w:t>
      </w:r>
      <w:r w:rsidR="0020002C">
        <w:t>:</w:t>
      </w:r>
      <w:r w:rsidRPr="006605A3">
        <w:t xml:space="preserve"> The value of SDVPI for the weakest buses for different </w:t>
      </w:r>
      <w:proofErr w:type="spellStart"/>
      <w:r w:rsidRPr="006605A3">
        <w:t>loadability</w:t>
      </w:r>
      <w:proofErr w:type="spellEnd"/>
      <w:r w:rsidRPr="006605A3">
        <w:t xml:space="preserve"> point</w:t>
      </w:r>
      <w:r w:rsidR="00BB6858">
        <w:t>s</w:t>
      </w:r>
      <w:r w:rsidRPr="006605A3">
        <w:t xml:space="preserve"> for (</w:t>
      </w:r>
      <w:r w:rsidR="007C73F3">
        <w:t>a</w:t>
      </w:r>
      <w:r w:rsidRPr="006605A3">
        <w:t>) 6% renewables, (</w:t>
      </w:r>
      <w:r w:rsidR="007C73F3">
        <w:t>b</w:t>
      </w:r>
      <w:r w:rsidRPr="006605A3">
        <w:t>) 13% renewables, (c) 26% renewables, (d) 35% renewables, (e) 44% renewables, (f) 52% renewables, (g) 63% renewables, and (h) 72% renewables in IEEE 39 bus system.</w:t>
      </w:r>
    </w:p>
    <w:p w14:paraId="75218F9E" w14:textId="77777777" w:rsidR="003424D3" w:rsidRPr="00E27D3B" w:rsidRDefault="003424D3" w:rsidP="00CD4F3A">
      <w:pPr>
        <w:pStyle w:val="AppendixHeading2"/>
        <w:ind w:left="1134" w:hanging="1134"/>
        <w:jc w:val="both"/>
      </w:pPr>
      <w:r w:rsidRPr="00E27D3B">
        <w:t>Step-by-step explanation of deriving the cumulative distribution function (CDF)</w:t>
      </w:r>
    </w:p>
    <w:p w14:paraId="238F9FC7" w14:textId="77777777" w:rsidR="003424D3" w:rsidRPr="00E27D3B" w:rsidRDefault="003424D3" w:rsidP="00CD4F3A">
      <w:pPr>
        <w:pStyle w:val="BodyText"/>
        <w:spacing w:line="240" w:lineRule="auto"/>
        <w:jc w:val="both"/>
      </w:pPr>
      <w:r w:rsidRPr="00E27D3B">
        <w:t>Under this appendix section, the differentiation between ORVW and NRVW is achieved using a statistical approach based on the cumulative distribution function (CDF), a method widely employed in the design and sizing of hybrid energy storage systems and related applications. To implement this algorithm, a representative set of time-dependent post-disturbance voltage profiles, such as those illustrated in Figure 24(a), is assumed to be available and used for analysis.</w:t>
      </w:r>
    </w:p>
    <w:p w14:paraId="57F1670A" w14:textId="77777777" w:rsidR="003424D3" w:rsidRPr="00E27D3B" w:rsidRDefault="003424D3" w:rsidP="00CD4F3A">
      <w:pPr>
        <w:pStyle w:val="BodyText"/>
        <w:spacing w:line="240" w:lineRule="auto"/>
        <w:jc w:val="both"/>
      </w:pPr>
      <w:r w:rsidRPr="00E27D3B">
        <w:t>Firstly, ORVW and NRVW   are being gone through moving Standard Deviation (</w:t>
      </w:r>
      <w:proofErr w:type="spellStart"/>
      <w:r w:rsidRPr="00E27D3B">
        <w:t>mSD</w:t>
      </w:r>
      <w:proofErr w:type="spellEnd"/>
      <w:r w:rsidRPr="00E27D3B">
        <w:t>):</w:t>
      </w:r>
    </w:p>
    <w:p w14:paraId="630ACAFD" w14:textId="4AAEA6FF" w:rsidR="003424D3" w:rsidRPr="00E27D3B" w:rsidRDefault="00984B23" w:rsidP="00CD4F3A">
      <w:pPr>
        <w:spacing w:after="0"/>
        <w:ind w:left="426" w:right="-22" w:hanging="11"/>
        <w:contextualSpacing/>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mSD</m:t>
            </m:r>
          </m:e>
          <m:sub>
            <m:r>
              <m:rPr>
                <m:sty m:val="p"/>
              </m:rPr>
              <w:rPr>
                <w:rFonts w:ascii="Cambria Math" w:hAnsi="Cambria Math"/>
                <w:sz w:val="24"/>
                <w:szCs w:val="24"/>
              </w:rPr>
              <m:t>k</m:t>
            </m:r>
          </m:sub>
        </m:sSub>
        <m:r>
          <m:rPr>
            <m:sty m:val="p"/>
          </m:rPr>
          <w:rPr>
            <w:rFonts w:ascii="Cambria Math"/>
            <w:sz w:val="24"/>
            <w:szCs w:val="24"/>
          </w:rPr>
          <m:t>=</m:t>
        </m:r>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sz w:val="24"/>
                    <w:szCs w:val="24"/>
                  </w:rPr>
                  <m:t>i=k</m:t>
                </m:r>
                <m:r>
                  <w:rPr>
                    <w:rFonts w:ascii="Cambria Math"/>
                    <w:sz w:val="24"/>
                    <w:szCs w:val="24"/>
                  </w:rPr>
                  <m:t>-</m:t>
                </m:r>
                <m:r>
                  <w:rPr>
                    <w:rFonts w:ascii="Cambria Math"/>
                    <w:sz w:val="24"/>
                    <w:szCs w:val="24"/>
                  </w:rPr>
                  <m:t>m+1</m:t>
                </m:r>
              </m:sub>
              <m:sup>
                <m:r>
                  <w:rPr>
                    <w:rFonts w:ascii="Cambria Math"/>
                    <w:sz w:val="24"/>
                    <w:szCs w:val="24"/>
                  </w:rPr>
                  <m:t>k</m:t>
                </m:r>
              </m:sup>
              <m:e>
                <m:sSup>
                  <m:sSupPr>
                    <m:ctrlPr>
                      <w:rPr>
                        <w:rFonts w:ascii="Cambria Math" w:hAnsi="Cambria Math"/>
                        <w:i/>
                        <w:sz w:val="24"/>
                        <w:szCs w:val="24"/>
                      </w:rPr>
                    </m:ctrlPr>
                  </m:sSupPr>
                  <m:e>
                    <m:r>
                      <w:rPr>
                        <w:rFonts w:ascii="Cambria Math"/>
                        <w:sz w:val="24"/>
                        <w:szCs w:val="24"/>
                      </w:rPr>
                      <m:t>|</m:t>
                    </m:r>
                    <m:sSub>
                      <m:sSubPr>
                        <m:ctrlPr>
                          <w:rPr>
                            <w:rFonts w:ascii="Cambria Math" w:hAnsi="Cambria Math"/>
                            <w:i/>
                            <w:sz w:val="24"/>
                            <w:szCs w:val="24"/>
                          </w:rPr>
                        </m:ctrlPr>
                      </m:sSubPr>
                      <m:e>
                        <m:r>
                          <w:rPr>
                            <w:rFonts w:ascii="Cambria Math"/>
                            <w:sz w:val="24"/>
                            <w:szCs w:val="24"/>
                          </w:rPr>
                          <m:t>y</m:t>
                        </m:r>
                      </m:e>
                      <m:sub>
                        <m:r>
                          <w:rPr>
                            <w:rFonts w:ascii="Cambria Math"/>
                            <w:sz w:val="24"/>
                            <w:szCs w:val="24"/>
                          </w:rPr>
                          <m:t>i</m:t>
                        </m:r>
                      </m:sub>
                    </m:sSub>
                    <m:r>
                      <w:rPr>
                        <w:rFonts w:ascii="Cambria Math"/>
                        <w:sz w:val="24"/>
                        <w:szCs w:val="24"/>
                      </w:rPr>
                      <m:t>-</m:t>
                    </m:r>
                    <m:acc>
                      <m:accPr>
                        <m:chr m:val="̃"/>
                        <m:ctrlPr>
                          <w:rPr>
                            <w:rFonts w:ascii="Cambria Math" w:hAnsi="Cambria Math"/>
                            <w:i/>
                            <w:sz w:val="24"/>
                            <w:szCs w:val="24"/>
                          </w:rPr>
                        </m:ctrlPr>
                      </m:accPr>
                      <m:e>
                        <m:r>
                          <w:rPr>
                            <w:rFonts w:ascii="Cambria Math"/>
                            <w:sz w:val="24"/>
                            <w:szCs w:val="24"/>
                          </w:rPr>
                          <m:t>y</m:t>
                        </m:r>
                      </m:e>
                    </m:acc>
                    <m:r>
                      <w:rPr>
                        <w:rFonts w:ascii="Cambria Math"/>
                        <w:sz w:val="24"/>
                        <w:szCs w:val="24"/>
                      </w:rPr>
                      <m:t>|</m:t>
                    </m:r>
                  </m:e>
                  <m:sup>
                    <m:r>
                      <w:rPr>
                        <w:rFonts w:ascii="Cambria Math"/>
                        <w:sz w:val="24"/>
                        <w:szCs w:val="24"/>
                      </w:rPr>
                      <m:t>2</m:t>
                    </m:r>
                  </m:sup>
                </m:sSup>
              </m:e>
            </m:nary>
          </m:num>
          <m:den>
            <m:r>
              <w:rPr>
                <w:rFonts w:ascii="Cambria Math"/>
                <w:sz w:val="24"/>
                <w:szCs w:val="24"/>
              </w:rPr>
              <m:t>m</m:t>
            </m:r>
            <m:r>
              <w:rPr>
                <w:rFonts w:ascii="Cambria Math"/>
                <w:sz w:val="24"/>
                <w:szCs w:val="24"/>
              </w:rPr>
              <m:t>-</m:t>
            </m:r>
            <m:r>
              <w:rPr>
                <w:rFonts w:ascii="Cambria Math"/>
                <w:sz w:val="24"/>
                <w:szCs w:val="24"/>
              </w:rPr>
              <m:t>1</m:t>
            </m:r>
          </m:den>
        </m:f>
        <m:r>
          <w:rPr>
            <w:rFonts w:ascii="Cambria Math"/>
            <w:sz w:val="24"/>
            <w:szCs w:val="24"/>
          </w:rPr>
          <m:t xml:space="preserve">    </m:t>
        </m:r>
        <m:r>
          <m:rPr>
            <m:sty m:val="p"/>
          </m:rPr>
          <w:rPr>
            <w:rFonts w:ascii="Cambria Math" w:hAnsi="Cambria Math"/>
            <w:sz w:val="24"/>
            <w:szCs w:val="24"/>
          </w:rPr>
          <m:t>where</m:t>
        </m:r>
        <m:r>
          <m:rPr>
            <m:sty m:val="p"/>
          </m:rPr>
          <w:rPr>
            <w:rFonts w:ascii="Cambria Math"/>
            <w:sz w:val="24"/>
            <w:szCs w:val="24"/>
          </w:rPr>
          <m:t xml:space="preserve"> </m:t>
        </m:r>
        <m:r>
          <m:rPr>
            <m:sty m:val="p"/>
          </m:rPr>
          <w:rPr>
            <w:rFonts w:ascii="Cambria Math" w:hAnsi="Cambria Math"/>
            <w:sz w:val="24"/>
            <w:szCs w:val="24"/>
          </w:rPr>
          <m:t>∀</m:t>
        </m:r>
        <m:r>
          <m:rPr>
            <m:sty m:val="p"/>
          </m:rPr>
          <w:rPr>
            <w:rFonts w:ascii="Cambria Math"/>
            <w:sz w:val="24"/>
            <w:szCs w:val="24"/>
          </w:rPr>
          <m:t xml:space="preserve"> k=1,2, </m:t>
        </m:r>
        <m:r>
          <m:rPr>
            <m:sty m:val="p"/>
          </m:rPr>
          <w:rPr>
            <w:rFonts w:ascii="Cambria Math"/>
            <w:sz w:val="24"/>
            <w:szCs w:val="24"/>
          </w:rPr>
          <m:t>…</m:t>
        </m:r>
        <m:r>
          <m:rPr>
            <m:sty m:val="p"/>
          </m:rPr>
          <w:rPr>
            <w:rFonts w:ascii="Cambria Math"/>
            <w:sz w:val="24"/>
            <w:szCs w:val="24"/>
          </w:rPr>
          <m:t xml:space="preserve">n    </m:t>
        </m:r>
      </m:oMath>
      <w:r w:rsidR="003424D3" w:rsidRPr="00E27D3B">
        <w:rPr>
          <w:sz w:val="24"/>
          <w:szCs w:val="24"/>
        </w:rPr>
        <w:t xml:space="preserve">           </w:t>
      </w:r>
      <w:r w:rsidR="0020002C">
        <w:rPr>
          <w:sz w:val="24"/>
          <w:szCs w:val="24"/>
        </w:rPr>
        <w:t xml:space="preserve">                                        </w:t>
      </w:r>
      <w:r w:rsidR="003424D3" w:rsidRPr="00E27D3B">
        <w:rPr>
          <w:sz w:val="24"/>
          <w:szCs w:val="24"/>
        </w:rPr>
        <w:t xml:space="preserve">                        (A.1)</w:t>
      </w:r>
    </w:p>
    <w:p w14:paraId="301A3C61" w14:textId="77777777" w:rsidR="003424D3" w:rsidRPr="00E27D3B" w:rsidRDefault="003424D3" w:rsidP="00CD4F3A">
      <w:pPr>
        <w:spacing w:after="0"/>
        <w:ind w:right="-22"/>
        <w:contextualSpacing/>
        <w:jc w:val="both"/>
        <w:rPr>
          <w:sz w:val="24"/>
          <w:szCs w:val="24"/>
        </w:rPr>
      </w:pPr>
    </w:p>
    <w:p w14:paraId="798B215D" w14:textId="77777777" w:rsidR="003424D3" w:rsidRPr="00E27D3B" w:rsidRDefault="003424D3" w:rsidP="00CD4F3A">
      <w:pPr>
        <w:spacing w:after="0"/>
        <w:ind w:right="-22"/>
        <w:contextualSpacing/>
        <w:jc w:val="both"/>
        <w:rPr>
          <w:rFonts w:asciiTheme="minorHAnsi" w:hAnsiTheme="minorHAnsi" w:cstheme="minorHAnsi"/>
          <w:sz w:val="24"/>
          <w:szCs w:val="24"/>
        </w:rPr>
      </w:pPr>
      <w:bookmarkStart w:id="482" w:name="_Toc233728946"/>
      <w:r w:rsidRPr="00E27D3B">
        <w:rPr>
          <w:rFonts w:asciiTheme="minorHAnsi" w:hAnsiTheme="minorHAnsi" w:cstheme="minorHAnsi"/>
          <w:sz w:val="24"/>
          <w:szCs w:val="24"/>
        </w:rPr>
        <w:t xml:space="preserve">In (A.1), </w:t>
      </w:r>
      <m:oMath>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m:t>
            </m:r>
          </m:sub>
        </m:sSub>
      </m:oMath>
      <w:r w:rsidRPr="00E27D3B">
        <w:rPr>
          <w:rFonts w:asciiTheme="minorHAnsi" w:hAnsiTheme="minorHAnsi" w:cstheme="minorHAnsi"/>
          <w:sz w:val="24"/>
          <w:szCs w:val="24"/>
        </w:rPr>
        <w:t xml:space="preserve"> indicates the element at the </w:t>
      </w:r>
      <w:proofErr w:type="spellStart"/>
      <w:r w:rsidRPr="00E27D3B">
        <w:rPr>
          <w:rFonts w:asciiTheme="minorHAnsi" w:hAnsiTheme="minorHAnsi" w:cstheme="minorHAnsi"/>
          <w:i/>
          <w:iCs/>
          <w:sz w:val="24"/>
          <w:szCs w:val="24"/>
        </w:rPr>
        <w:t>i</w:t>
      </w:r>
      <w:r w:rsidRPr="00E27D3B">
        <w:rPr>
          <w:rFonts w:asciiTheme="minorHAnsi" w:hAnsiTheme="minorHAnsi" w:cstheme="minorHAnsi"/>
          <w:i/>
          <w:iCs/>
          <w:sz w:val="24"/>
          <w:szCs w:val="24"/>
          <w:vertAlign w:val="superscript"/>
        </w:rPr>
        <w:t>th</w:t>
      </w:r>
      <w:proofErr w:type="spellEnd"/>
      <w:r w:rsidRPr="00E27D3B">
        <w:rPr>
          <w:rFonts w:asciiTheme="minorHAnsi" w:hAnsiTheme="minorHAnsi" w:cstheme="minorHAnsi"/>
          <w:sz w:val="24"/>
          <w:szCs w:val="24"/>
        </w:rPr>
        <w:t xml:space="preserve"> row of vector </w:t>
      </w:r>
      <w:r w:rsidRPr="00E27D3B">
        <w:rPr>
          <w:rFonts w:asciiTheme="minorHAnsi" w:hAnsiTheme="minorHAnsi" w:cstheme="minorHAnsi"/>
          <w:i/>
          <w:iCs/>
          <w:sz w:val="24"/>
          <w:szCs w:val="24"/>
        </w:rPr>
        <w:t>y</w:t>
      </w:r>
      <w:r w:rsidRPr="00E27D3B">
        <w:rPr>
          <w:rFonts w:asciiTheme="minorHAnsi" w:hAnsiTheme="minorHAnsi" w:cstheme="minorHAnsi"/>
          <w:sz w:val="24"/>
          <w:szCs w:val="24"/>
        </w:rPr>
        <w:t xml:space="preserve"> (</w:t>
      </w:r>
      <m:oMath>
        <m:r>
          <w:rPr>
            <w:rFonts w:ascii="Cambria Math" w:hAnsi="Cambria Math" w:cstheme="minorHAnsi"/>
            <w:sz w:val="24"/>
            <w:szCs w:val="24"/>
          </w:rPr>
          <m:t xml:space="preserve">≈ </m:t>
        </m:r>
      </m:oMath>
      <w:r w:rsidRPr="00E27D3B">
        <w:rPr>
          <w:rFonts w:asciiTheme="minorHAnsi" w:hAnsiTheme="minorHAnsi" w:cstheme="minorHAnsi"/>
          <w:sz w:val="24"/>
          <w:szCs w:val="24"/>
        </w:rPr>
        <w:t xml:space="preserve">time-dependent post-recovery voltage value), </w:t>
      </w:r>
      <m:oMath>
        <m:acc>
          <m:accPr>
            <m:chr m:val="̃"/>
            <m:ctrlPr>
              <w:rPr>
                <w:rFonts w:ascii="Cambria Math" w:hAnsi="Cambria Math" w:cstheme="minorHAnsi"/>
                <w:i/>
                <w:sz w:val="24"/>
                <w:szCs w:val="24"/>
              </w:rPr>
            </m:ctrlPr>
          </m:accPr>
          <m:e>
            <m:r>
              <w:rPr>
                <w:rFonts w:ascii="Cambria Math" w:hAnsi="Cambria Math" w:cstheme="minorHAnsi"/>
                <w:sz w:val="24"/>
                <w:szCs w:val="24"/>
              </w:rPr>
              <m:t>y</m:t>
            </m:r>
          </m:e>
        </m:acc>
      </m:oMath>
      <w:r w:rsidRPr="00E27D3B">
        <w:rPr>
          <w:rFonts w:asciiTheme="minorHAnsi" w:hAnsiTheme="minorHAnsi" w:cstheme="minorHAnsi"/>
          <w:sz w:val="24"/>
          <w:szCs w:val="24"/>
        </w:rPr>
        <w:t xml:space="preserve"> is the mean of the vector </w:t>
      </w:r>
      <m:oMath>
        <m:r>
          <w:rPr>
            <w:rFonts w:ascii="Cambria Math" w:hAnsi="Cambria Math" w:cstheme="minorHAnsi"/>
            <w:sz w:val="24"/>
            <w:szCs w:val="24"/>
          </w:rPr>
          <m:t>y</m:t>
        </m:r>
      </m:oMath>
      <w:r w:rsidRPr="00E27D3B">
        <w:rPr>
          <w:rFonts w:asciiTheme="minorHAnsi" w:hAnsiTheme="minorHAnsi" w:cstheme="minorHAnsi"/>
          <w:sz w:val="24"/>
          <w:szCs w:val="24"/>
        </w:rPr>
        <w:t xml:space="preserve">, </w:t>
      </w:r>
      <m:oMath>
        <m:r>
          <w:rPr>
            <w:rFonts w:ascii="Cambria Math" w:hAnsi="Cambria Math" w:cstheme="minorHAnsi"/>
            <w:sz w:val="24"/>
            <w:szCs w:val="24"/>
          </w:rPr>
          <m:t>m</m:t>
        </m:r>
      </m:oMath>
      <w:r w:rsidRPr="00E27D3B">
        <w:rPr>
          <w:rFonts w:asciiTheme="minorHAnsi" w:hAnsiTheme="minorHAnsi" w:cstheme="minorHAnsi"/>
          <w:sz w:val="24"/>
          <w:szCs w:val="24"/>
        </w:rPr>
        <w:t xml:space="preserve"> is the window size, and </w:t>
      </w:r>
      <m:oMath>
        <m:r>
          <w:rPr>
            <w:rFonts w:ascii="Cambria Math" w:hAnsi="Cambria Math" w:cstheme="minorHAnsi"/>
            <w:sz w:val="24"/>
            <w:szCs w:val="24"/>
          </w:rPr>
          <m:t>n</m:t>
        </m:r>
      </m:oMath>
      <w:r w:rsidRPr="00E27D3B">
        <w:rPr>
          <w:rFonts w:asciiTheme="minorHAnsi" w:hAnsiTheme="minorHAnsi" w:cstheme="minorHAnsi"/>
          <w:sz w:val="24"/>
          <w:szCs w:val="24"/>
        </w:rPr>
        <w:t xml:space="preserve"> is the total number of elements in the vector </w:t>
      </w:r>
      <m:oMath>
        <m:r>
          <w:rPr>
            <w:rFonts w:ascii="Cambria Math" w:hAnsi="Cambria Math" w:cstheme="minorHAnsi"/>
            <w:sz w:val="24"/>
            <w:szCs w:val="24"/>
          </w:rPr>
          <m:t>y.</m:t>
        </m:r>
      </m:oMath>
      <w:r w:rsidRPr="00E27D3B">
        <w:rPr>
          <w:rFonts w:asciiTheme="minorHAnsi" w:hAnsiTheme="minorHAnsi" w:cstheme="minorHAnsi"/>
          <w:sz w:val="24"/>
          <w:szCs w:val="24"/>
        </w:rPr>
        <w:t xml:space="preserve"> The </w:t>
      </w:r>
      <m:oMath>
        <m:r>
          <w:rPr>
            <w:rFonts w:ascii="Cambria Math" w:hAnsi="Cambria Math" w:cstheme="minorHAnsi"/>
            <w:sz w:val="24"/>
            <w:szCs w:val="24"/>
          </w:rPr>
          <m:t>mSD</m:t>
        </m:r>
      </m:oMath>
      <w:r w:rsidRPr="00E27D3B">
        <w:rPr>
          <w:rFonts w:asciiTheme="minorHAnsi" w:hAnsiTheme="minorHAnsi" w:cstheme="minorHAnsi"/>
          <w:sz w:val="24"/>
          <w:szCs w:val="24"/>
        </w:rPr>
        <w:t xml:space="preserve"> in (A.1) is a computational formula similar to that of the standard deviation over a sliding window. Apx Figure A.</w:t>
      </w:r>
      <w:r w:rsidRPr="00E27D3B">
        <w:rPr>
          <w:rFonts w:asciiTheme="minorHAnsi" w:hAnsiTheme="minorHAnsi" w:cstheme="minorHAnsi"/>
          <w:sz w:val="24"/>
          <w:szCs w:val="24"/>
        </w:rPr>
        <w:fldChar w:fldCharType="begin"/>
      </w:r>
      <w:r w:rsidRPr="00E27D3B">
        <w:rPr>
          <w:rFonts w:asciiTheme="minorHAnsi" w:hAnsiTheme="minorHAnsi" w:cstheme="minorHAnsi"/>
          <w:sz w:val="24"/>
          <w:szCs w:val="24"/>
        </w:rPr>
        <w:instrText xml:space="preserve"> SEQ Apx_Figure \* ARABIC \s 9 </w:instrText>
      </w:r>
      <w:r w:rsidRPr="00E27D3B">
        <w:rPr>
          <w:rFonts w:asciiTheme="minorHAnsi" w:hAnsiTheme="minorHAnsi" w:cstheme="minorHAnsi"/>
          <w:sz w:val="24"/>
          <w:szCs w:val="24"/>
        </w:rPr>
        <w:fldChar w:fldCharType="separate"/>
      </w:r>
      <w:r w:rsidRPr="00E27D3B">
        <w:rPr>
          <w:rFonts w:asciiTheme="minorHAnsi" w:hAnsiTheme="minorHAnsi" w:cstheme="minorHAnsi"/>
          <w:noProof/>
          <w:sz w:val="24"/>
          <w:szCs w:val="24"/>
        </w:rPr>
        <w:t>1</w:t>
      </w:r>
      <w:r w:rsidRPr="00E27D3B">
        <w:rPr>
          <w:rFonts w:asciiTheme="minorHAnsi" w:hAnsiTheme="minorHAnsi" w:cstheme="minorHAnsi"/>
          <w:sz w:val="24"/>
          <w:szCs w:val="24"/>
        </w:rPr>
        <w:fldChar w:fldCharType="end"/>
      </w:r>
      <w:r w:rsidRPr="00E27D3B">
        <w:rPr>
          <w:rFonts w:asciiTheme="minorHAnsi" w:hAnsiTheme="minorHAnsi" w:cstheme="minorHAnsi"/>
          <w:sz w:val="24"/>
          <w:szCs w:val="24"/>
        </w:rPr>
        <w:t xml:space="preserve">(a) depicts </w:t>
      </w:r>
      <m:oMath>
        <m:r>
          <w:rPr>
            <w:rFonts w:ascii="Cambria Math" w:hAnsi="Cambria Math" w:cstheme="minorHAnsi"/>
            <w:sz w:val="24"/>
            <w:szCs w:val="24"/>
          </w:rPr>
          <m:t>mSD</m:t>
        </m:r>
      </m:oMath>
      <w:r w:rsidRPr="00E27D3B">
        <w:rPr>
          <w:rFonts w:asciiTheme="minorHAnsi" w:hAnsiTheme="minorHAnsi" w:cstheme="minorHAnsi"/>
          <w:sz w:val="24"/>
          <w:szCs w:val="24"/>
        </w:rPr>
        <w:t xml:space="preserve"> of </w:t>
      </w:r>
      <m:oMath>
        <m:r>
          <w:rPr>
            <w:rFonts w:ascii="Cambria Math" w:hAnsi="Cambria Math" w:cstheme="minorHAnsi"/>
            <w:sz w:val="24"/>
            <w:szCs w:val="24"/>
          </w:rPr>
          <m:t>ORVW</m:t>
        </m:r>
      </m:oMath>
      <w:r w:rsidRPr="00E27D3B">
        <w:rPr>
          <w:rFonts w:asciiTheme="minorHAnsi" w:hAnsiTheme="minorHAnsi" w:cstheme="minorHAnsi"/>
          <w:sz w:val="24"/>
          <w:szCs w:val="24"/>
        </w:rPr>
        <w:t xml:space="preserve"> and </w:t>
      </w:r>
      <m:oMath>
        <m:r>
          <w:rPr>
            <w:rFonts w:ascii="Cambria Math" w:hAnsi="Cambria Math" w:cstheme="minorHAnsi"/>
            <w:sz w:val="24"/>
            <w:szCs w:val="24"/>
          </w:rPr>
          <m:t>NRVW</m:t>
        </m:r>
      </m:oMath>
      <w:r w:rsidRPr="00E27D3B">
        <w:rPr>
          <w:rFonts w:asciiTheme="minorHAnsi" w:hAnsiTheme="minorHAnsi" w:cstheme="minorHAnsi"/>
          <w:sz w:val="24"/>
          <w:szCs w:val="24"/>
        </w:rPr>
        <w:t xml:space="preserve"> shown.</w:t>
      </w:r>
      <w:bookmarkEnd w:id="482"/>
      <w:r w:rsidRPr="00E27D3B">
        <w:rPr>
          <w:rFonts w:asciiTheme="minorHAnsi" w:hAnsiTheme="minorHAnsi" w:cstheme="minorHAnsi"/>
          <w:sz w:val="24"/>
          <w:szCs w:val="24"/>
        </w:rPr>
        <w:t xml:space="preserve">  </w:t>
      </w:r>
    </w:p>
    <w:p w14:paraId="698BDB9A" w14:textId="77777777" w:rsidR="003424D3" w:rsidRPr="00E27D3B" w:rsidRDefault="003424D3" w:rsidP="00CD4F3A">
      <w:pPr>
        <w:spacing w:after="0"/>
        <w:ind w:right="-22"/>
        <w:contextualSpacing/>
        <w:jc w:val="center"/>
        <w:rPr>
          <w:noProof/>
        </w:rPr>
      </w:pPr>
      <w:r w:rsidRPr="00E27D3B">
        <w:rPr>
          <w:noProof/>
        </w:rPr>
        <w:drawing>
          <wp:inline distT="0" distB="0" distL="0" distR="0" wp14:anchorId="3012420E" wp14:editId="477CE85B">
            <wp:extent cx="3677920" cy="1767205"/>
            <wp:effectExtent l="0" t="0" r="0" b="0"/>
            <wp:docPr id="100669647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677920" cy="1767205"/>
                    </a:xfrm>
                    <a:prstGeom prst="rect">
                      <a:avLst/>
                    </a:prstGeom>
                    <a:noFill/>
                    <a:ln>
                      <a:noFill/>
                    </a:ln>
                  </pic:spPr>
                </pic:pic>
              </a:graphicData>
            </a:graphic>
          </wp:inline>
        </w:drawing>
      </w:r>
    </w:p>
    <w:p w14:paraId="357495A9" w14:textId="77777777" w:rsidR="003424D3" w:rsidRPr="00E27D3B" w:rsidRDefault="003424D3" w:rsidP="00CD4F3A">
      <w:pPr>
        <w:spacing w:after="0"/>
        <w:ind w:right="-22"/>
        <w:contextualSpacing/>
        <w:jc w:val="center"/>
        <w:rPr>
          <w:noProof/>
        </w:rPr>
      </w:pPr>
      <w:r w:rsidRPr="00E27D3B">
        <w:rPr>
          <w:noProof/>
        </w:rPr>
        <w:t>(a)</w:t>
      </w:r>
    </w:p>
    <w:p w14:paraId="549E51C1" w14:textId="77777777" w:rsidR="003424D3" w:rsidRPr="00E27D3B" w:rsidRDefault="003424D3" w:rsidP="00CD4F3A">
      <w:pPr>
        <w:spacing w:after="0"/>
        <w:ind w:right="-22"/>
        <w:contextualSpacing/>
        <w:jc w:val="center"/>
        <w:rPr>
          <w:rFonts w:asciiTheme="minorHAnsi" w:hAnsiTheme="minorHAnsi" w:cstheme="minorHAnsi"/>
          <w:sz w:val="24"/>
          <w:szCs w:val="24"/>
        </w:rPr>
      </w:pPr>
      <w:r w:rsidRPr="00E27D3B">
        <w:rPr>
          <w:noProof/>
        </w:rPr>
        <w:lastRenderedPageBreak/>
        <w:drawing>
          <wp:inline distT="0" distB="0" distL="0" distR="0" wp14:anchorId="1DEAB9A9" wp14:editId="50E150A0">
            <wp:extent cx="3677920" cy="1583055"/>
            <wp:effectExtent l="0" t="0" r="0" b="0"/>
            <wp:docPr id="194971908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77920" cy="1583055"/>
                    </a:xfrm>
                    <a:prstGeom prst="rect">
                      <a:avLst/>
                    </a:prstGeom>
                    <a:noFill/>
                    <a:ln>
                      <a:noFill/>
                    </a:ln>
                  </pic:spPr>
                </pic:pic>
              </a:graphicData>
            </a:graphic>
          </wp:inline>
        </w:drawing>
      </w:r>
    </w:p>
    <w:p w14:paraId="58B33F64" w14:textId="77777777" w:rsidR="003424D3" w:rsidRPr="00E27D3B" w:rsidRDefault="003424D3" w:rsidP="00CD4F3A">
      <w:pPr>
        <w:spacing w:after="0"/>
        <w:ind w:right="-22"/>
        <w:contextualSpacing/>
        <w:jc w:val="center"/>
        <w:rPr>
          <w:rFonts w:asciiTheme="minorHAnsi" w:hAnsiTheme="minorHAnsi" w:cstheme="minorHAnsi"/>
          <w:sz w:val="24"/>
          <w:szCs w:val="24"/>
        </w:rPr>
      </w:pPr>
      <w:r w:rsidRPr="00E27D3B">
        <w:rPr>
          <w:rFonts w:asciiTheme="minorHAnsi" w:hAnsiTheme="minorHAnsi" w:cstheme="minorHAnsi"/>
          <w:sz w:val="24"/>
          <w:szCs w:val="24"/>
        </w:rPr>
        <w:t>(b)</w:t>
      </w:r>
    </w:p>
    <w:p w14:paraId="6F93B6D7" w14:textId="209A50A1" w:rsidR="003424D3" w:rsidRPr="00E27D3B" w:rsidRDefault="003424D3" w:rsidP="00CD4F3A">
      <w:pPr>
        <w:pStyle w:val="Caption"/>
        <w:spacing w:line="240" w:lineRule="auto"/>
        <w:jc w:val="both"/>
      </w:pPr>
      <w:proofErr w:type="spellStart"/>
      <w:r w:rsidRPr="00E27D3B">
        <w:t>Apx</w:t>
      </w:r>
      <w:proofErr w:type="spellEnd"/>
      <w:r w:rsidRPr="00E27D3B">
        <w:t xml:space="preserve"> Figure</w:t>
      </w:r>
      <w:r>
        <w:t xml:space="preserve"> 3</w:t>
      </w:r>
      <w:r w:rsidR="0020002C">
        <w:t>:</w:t>
      </w:r>
      <w:r w:rsidRPr="00E27D3B">
        <w:t xml:space="preserve"> (a) Moving Standard Deviation of </w:t>
      </w:r>
      <m:oMath>
        <m:r>
          <m:rPr>
            <m:sty m:val="b"/>
          </m:rPr>
          <w:rPr>
            <w:rFonts w:ascii="Cambria Math" w:hAnsi="Cambria Math"/>
          </w:rPr>
          <m:t>ORVW</m:t>
        </m:r>
      </m:oMath>
      <w:r w:rsidRPr="00E27D3B">
        <w:t xml:space="preserve"> (blue color) and </w:t>
      </w:r>
      <m:oMath>
        <m:r>
          <m:rPr>
            <m:sty m:val="b"/>
          </m:rPr>
          <w:rPr>
            <w:rFonts w:ascii="Cambria Math" w:hAnsi="Cambria Math"/>
          </w:rPr>
          <m:t>NRVW</m:t>
        </m:r>
      </m:oMath>
      <w:r w:rsidRPr="00E27D3B">
        <w:t xml:space="preserve"> (red color), and (b) Cumulative distribution function of </w:t>
      </w:r>
      <m:oMath>
        <m:r>
          <m:rPr>
            <m:sty m:val="b"/>
          </m:rPr>
          <w:rPr>
            <w:rFonts w:ascii="Cambria Math" w:hAnsi="Cambria Math"/>
          </w:rPr>
          <m:t>ORVW</m:t>
        </m:r>
      </m:oMath>
      <w:r w:rsidRPr="00E27D3B">
        <w:t xml:space="preserve"> (blue color) and </w:t>
      </w:r>
      <m:oMath>
        <m:r>
          <m:rPr>
            <m:sty m:val="b"/>
          </m:rPr>
          <w:rPr>
            <w:rFonts w:ascii="Cambria Math" w:hAnsi="Cambria Math"/>
          </w:rPr>
          <m:t>NRVW</m:t>
        </m:r>
      </m:oMath>
      <w:r w:rsidRPr="00E27D3B">
        <w:t xml:space="preserve"> (red color). </w:t>
      </w:r>
    </w:p>
    <w:p w14:paraId="10DA5C4E" w14:textId="0E0886A9" w:rsidR="003424D3" w:rsidRPr="00E27D3B" w:rsidRDefault="003424D3" w:rsidP="0071349C">
      <w:pPr>
        <w:rPr>
          <w:b/>
          <w:bCs/>
        </w:rPr>
      </w:pPr>
      <w:r w:rsidRPr="00E27D3B">
        <w:t xml:space="preserve">As shown in </w:t>
      </w:r>
      <w:proofErr w:type="spellStart"/>
      <w:r w:rsidRPr="00E27D3B">
        <w:t>Apx</w:t>
      </w:r>
      <w:proofErr w:type="spellEnd"/>
      <w:r w:rsidRPr="00E27D3B">
        <w:t xml:space="preserve"> Figure </w:t>
      </w:r>
      <w:r>
        <w:t>3</w:t>
      </w:r>
      <w:r w:rsidRPr="00E27D3B">
        <w:t xml:space="preserve">(a), the </w:t>
      </w:r>
      <w:proofErr w:type="spellStart"/>
      <w:r w:rsidRPr="00E27D3B">
        <w:t>mSD</w:t>
      </w:r>
      <w:proofErr w:type="spellEnd"/>
      <w:r w:rsidRPr="00E27D3B">
        <w:t xml:space="preserve"> approaches zero when the voltage response exhibits minimal high-frequency variation. To quantitatively characterize the </w:t>
      </w:r>
      <w:proofErr w:type="spellStart"/>
      <w:r w:rsidRPr="00E27D3B">
        <w:t>mSD</w:t>
      </w:r>
      <w:proofErr w:type="spellEnd"/>
      <w:r w:rsidRPr="00E27D3B">
        <w:t xml:space="preserve"> behavior for ORVW and NRVW, a nonparametric probability density representation is constructed using Kernel Density </w:t>
      </w:r>
      <w:r w:rsidR="00EB3978">
        <w:t>e</w:t>
      </w:r>
      <w:r w:rsidRPr="00E27D3B">
        <w:t>stimation (</w:t>
      </w:r>
      <w:r w:rsidRPr="00E27D3B">
        <w:rPr>
          <w:i/>
          <w:iCs/>
        </w:rPr>
        <w:t>KDE</w:t>
      </w:r>
      <w:r w:rsidRPr="00E27D3B">
        <w:t xml:space="preserve">), which is employed to model the distribution of </w:t>
      </w:r>
      <w:r w:rsidRPr="00E27D3B">
        <w:rPr>
          <w:i/>
          <w:iCs/>
        </w:rPr>
        <w:t>y</w:t>
      </w:r>
      <w:r w:rsidRPr="00E27D3B">
        <w:t xml:space="preserve">, as outlined below. </w:t>
      </w:r>
    </w:p>
    <w:p w14:paraId="2413DC1A" w14:textId="77777777" w:rsidR="003424D3" w:rsidRPr="00E27D3B" w:rsidRDefault="003424D3" w:rsidP="00CD4F3A">
      <w:pPr>
        <w:pStyle w:val="Abstract"/>
        <w:spacing w:after="120"/>
        <w:ind w:right="-22" w:firstLine="0"/>
        <w:rPr>
          <w:rFonts w:asciiTheme="minorHAnsi" w:hAnsiTheme="minorHAnsi" w:cstheme="minorHAnsi"/>
          <w:b w:val="0"/>
          <w:bCs w:val="0"/>
          <w:sz w:val="24"/>
          <w:szCs w:val="24"/>
        </w:rPr>
      </w:pPr>
      <w:r w:rsidRPr="00E27D3B">
        <w:rPr>
          <w:rFonts w:asciiTheme="minorHAnsi" w:hAnsiTheme="minorHAnsi" w:cstheme="minorHAnsi"/>
          <w:b w:val="0"/>
          <w:bCs w:val="0"/>
          <w:sz w:val="24"/>
          <w:szCs w:val="24"/>
        </w:rPr>
        <w:t>Let's assume that {y (k=1), y (k=</w:t>
      </w:r>
      <w:proofErr w:type="gramStart"/>
      <w:r w:rsidRPr="00E27D3B">
        <w:rPr>
          <w:rFonts w:asciiTheme="minorHAnsi" w:hAnsiTheme="minorHAnsi" w:cstheme="minorHAnsi"/>
          <w:b w:val="0"/>
          <w:bCs w:val="0"/>
          <w:sz w:val="24"/>
          <w:szCs w:val="24"/>
        </w:rPr>
        <w:t>2)…</w:t>
      </w:r>
      <w:proofErr w:type="gramEnd"/>
      <w:r w:rsidRPr="00E27D3B">
        <w:rPr>
          <w:rFonts w:asciiTheme="minorHAnsi" w:hAnsiTheme="minorHAnsi" w:cstheme="minorHAnsi"/>
          <w:b w:val="0"/>
          <w:bCs w:val="0"/>
          <w:sz w:val="24"/>
          <w:szCs w:val="24"/>
        </w:rPr>
        <w:t xml:space="preserve"> y (k=n)} are the independent and identically distributed samples within the post-recovery voltage profile whose </w:t>
      </w:r>
      <w:r w:rsidRPr="00E27D3B">
        <w:rPr>
          <w:rFonts w:asciiTheme="minorHAnsi" w:hAnsiTheme="minorHAnsi" w:cstheme="minorHAnsi"/>
          <w:b w:val="0"/>
          <w:bCs w:val="0"/>
          <w:i/>
          <w:iCs/>
          <w:sz w:val="24"/>
          <w:szCs w:val="24"/>
        </w:rPr>
        <w:t>PDF</w:t>
      </w:r>
      <w:r w:rsidRPr="00E27D3B">
        <w:rPr>
          <w:rFonts w:asciiTheme="minorHAnsi" w:hAnsiTheme="minorHAnsi" w:cstheme="minorHAnsi"/>
          <w:b w:val="0"/>
          <w:bCs w:val="0"/>
          <w:sz w:val="24"/>
          <w:szCs w:val="24"/>
        </w:rPr>
        <w:t xml:space="preserve"> is computed by applying </w:t>
      </w:r>
      <w:r w:rsidRPr="00E27D3B">
        <w:rPr>
          <w:rFonts w:asciiTheme="minorHAnsi" w:hAnsiTheme="minorHAnsi" w:cstheme="minorHAnsi"/>
          <w:b w:val="0"/>
          <w:bCs w:val="0"/>
          <w:i/>
          <w:iCs/>
          <w:sz w:val="24"/>
          <w:szCs w:val="24"/>
        </w:rPr>
        <w:t>KDE</w:t>
      </w:r>
      <w:r w:rsidRPr="00E27D3B">
        <w:rPr>
          <w:rFonts w:asciiTheme="minorHAnsi" w:hAnsiTheme="minorHAnsi" w:cstheme="minorHAnsi"/>
          <w:b w:val="0"/>
          <w:bCs w:val="0"/>
          <w:sz w:val="24"/>
          <w:szCs w:val="24"/>
        </w:rPr>
        <w:t xml:space="preserve">. The </w:t>
      </w:r>
      <w:r w:rsidRPr="00E27D3B">
        <w:rPr>
          <w:rFonts w:asciiTheme="minorHAnsi" w:hAnsiTheme="minorHAnsi" w:cstheme="minorHAnsi"/>
          <w:b w:val="0"/>
          <w:bCs w:val="0"/>
          <w:i/>
          <w:iCs/>
          <w:sz w:val="24"/>
          <w:szCs w:val="24"/>
        </w:rPr>
        <w:t>KDE</w:t>
      </w:r>
      <w:r w:rsidRPr="00E27D3B">
        <w:rPr>
          <w:rFonts w:asciiTheme="minorHAnsi" w:hAnsiTheme="minorHAnsi" w:cstheme="minorHAnsi"/>
          <w:b w:val="0"/>
          <w:bCs w:val="0"/>
          <w:sz w:val="24"/>
          <w:szCs w:val="24"/>
        </w:rPr>
        <w:t xml:space="preserve"> of the vector </w:t>
      </w:r>
      <m:oMath>
        <m:r>
          <m:rPr>
            <m:sty m:val="bi"/>
          </m:rPr>
          <w:rPr>
            <w:rFonts w:ascii="Cambria Math" w:hAnsi="Cambria Math" w:cstheme="minorHAnsi"/>
            <w:sz w:val="24"/>
            <w:szCs w:val="24"/>
          </w:rPr>
          <m:t>y</m:t>
        </m:r>
      </m:oMath>
      <w:r w:rsidRPr="00E27D3B">
        <w:rPr>
          <w:rFonts w:asciiTheme="minorHAnsi" w:hAnsiTheme="minorHAnsi" w:cstheme="minorHAnsi"/>
          <w:b w:val="0"/>
          <w:bCs w:val="0"/>
          <w:sz w:val="24"/>
          <w:szCs w:val="24"/>
        </w:rPr>
        <w:t xml:space="preserve"> is defined as follows: </w:t>
      </w:r>
    </w:p>
    <w:p w14:paraId="28EF9B07" w14:textId="77777777" w:rsidR="003424D3" w:rsidRPr="00E27D3B" w:rsidRDefault="003424D3" w:rsidP="00CD4F3A">
      <w:pPr>
        <w:pStyle w:val="Abstract"/>
        <w:spacing w:after="120"/>
        <w:ind w:right="-22" w:firstLine="0"/>
        <w:rPr>
          <w:rFonts w:asciiTheme="minorHAnsi" w:hAnsiTheme="minorHAnsi" w:cstheme="minorHAnsi"/>
          <w:b w:val="0"/>
          <w:bCs w:val="0"/>
          <w:sz w:val="24"/>
          <w:szCs w:val="24"/>
        </w:rPr>
      </w:pPr>
    </w:p>
    <w:p w14:paraId="0B1B1D42" w14:textId="66FDFDB7" w:rsidR="003424D3" w:rsidRPr="00E27D3B" w:rsidRDefault="003424D3" w:rsidP="00CD4F3A">
      <w:pPr>
        <w:pStyle w:val="Abstract"/>
        <w:spacing w:after="120"/>
        <w:ind w:right="-22" w:firstLine="0"/>
        <w:rPr>
          <w:rFonts w:asciiTheme="minorHAnsi" w:hAnsiTheme="minorHAnsi" w:cstheme="minorHAnsi"/>
          <w:b w:val="0"/>
          <w:bCs w:val="0"/>
          <w:sz w:val="24"/>
          <w:szCs w:val="24"/>
        </w:rPr>
      </w:pPr>
      <m:oMath>
        <m:r>
          <m:rPr>
            <m:sty m:val="bi"/>
          </m:rPr>
          <w:rPr>
            <w:rFonts w:ascii="Cambria Math" w:hAnsi="Cambria Math" w:cstheme="minorHAnsi"/>
            <w:sz w:val="24"/>
            <w:szCs w:val="24"/>
          </w:rPr>
          <m:t>K</m:t>
        </m:r>
        <m:d>
          <m:dPr>
            <m:begChr m:val="["/>
            <m:endChr m:val="]"/>
            <m:ctrlPr>
              <w:rPr>
                <w:rFonts w:ascii="Cambria Math" w:hAnsi="Cambria Math" w:cstheme="minorHAnsi"/>
                <w:b w:val="0"/>
                <w:bCs w:val="0"/>
                <w:i/>
                <w:sz w:val="24"/>
                <w:szCs w:val="24"/>
              </w:rPr>
            </m:ctrlPr>
          </m:dPr>
          <m:e>
            <m:r>
              <m:rPr>
                <m:sty m:val="bi"/>
              </m:rPr>
              <w:rPr>
                <w:rFonts w:ascii="Cambria Math" w:hAnsi="Cambria Math" w:cstheme="minorHAnsi"/>
                <w:sz w:val="24"/>
                <w:szCs w:val="24"/>
              </w:rPr>
              <m:t>y</m:t>
            </m:r>
          </m:e>
        </m:d>
        <m:r>
          <m:rPr>
            <m:sty m:val="bi"/>
          </m:rPr>
          <w:rPr>
            <w:rFonts w:ascii="Cambria Math" w:hAnsi="Cambria Math" w:cstheme="minorHAnsi"/>
            <w:sz w:val="24"/>
            <w:szCs w:val="24"/>
          </w:rPr>
          <m:t>=</m:t>
        </m:r>
        <m:f>
          <m:fPr>
            <m:ctrlPr>
              <w:rPr>
                <w:rFonts w:ascii="Cambria Math" w:hAnsi="Cambria Math" w:cstheme="minorHAnsi"/>
                <w:b w:val="0"/>
                <w:bCs w:val="0"/>
                <w:i/>
                <w:sz w:val="24"/>
                <w:szCs w:val="24"/>
              </w:rPr>
            </m:ctrlPr>
          </m:fPr>
          <m:num>
            <m:r>
              <m:rPr>
                <m:sty m:val="bi"/>
              </m:rPr>
              <w:rPr>
                <w:rFonts w:ascii="Cambria Math" w:hAnsi="Cambria Math" w:cstheme="minorHAnsi"/>
                <w:sz w:val="24"/>
                <w:szCs w:val="24"/>
              </w:rPr>
              <m:t>1</m:t>
            </m:r>
          </m:num>
          <m:den>
            <m:r>
              <m:rPr>
                <m:sty m:val="bi"/>
              </m:rPr>
              <w:rPr>
                <w:rFonts w:ascii="Cambria Math" w:hAnsi="Cambria Math" w:cstheme="minorHAnsi"/>
                <w:sz w:val="24"/>
                <w:szCs w:val="24"/>
              </w:rPr>
              <m:t>BM</m:t>
            </m:r>
          </m:den>
        </m:f>
        <m:nary>
          <m:naryPr>
            <m:chr m:val="∑"/>
            <m:limLoc m:val="undOvr"/>
            <m:ctrlPr>
              <w:rPr>
                <w:rFonts w:ascii="Cambria Math" w:hAnsi="Cambria Math" w:cstheme="minorHAnsi"/>
                <w:b w:val="0"/>
                <w:bCs w:val="0"/>
                <w:i/>
                <w:sz w:val="24"/>
                <w:szCs w:val="24"/>
              </w:rPr>
            </m:ctrlPr>
          </m:naryPr>
          <m:sub>
            <m:r>
              <m:rPr>
                <m:sty m:val="bi"/>
              </m:rPr>
              <w:rPr>
                <w:rFonts w:ascii="Cambria Math" w:hAnsi="Cambria Math" w:cstheme="minorHAnsi"/>
                <w:sz w:val="24"/>
                <w:szCs w:val="24"/>
              </w:rPr>
              <m:t>k=1</m:t>
            </m:r>
          </m:sub>
          <m:sup>
            <m:r>
              <m:rPr>
                <m:sty m:val="bi"/>
              </m:rPr>
              <w:rPr>
                <w:rFonts w:ascii="Cambria Math" w:hAnsi="Cambria Math" w:cstheme="minorHAnsi"/>
                <w:sz w:val="24"/>
                <w:szCs w:val="24"/>
              </w:rPr>
              <m:t>n</m:t>
            </m:r>
          </m:sup>
          <m:e>
            <m:r>
              <m:rPr>
                <m:sty m:val="bi"/>
              </m:rPr>
              <w:rPr>
                <w:rFonts w:ascii="Cambria Math" w:hAnsi="Cambria Math" w:cstheme="minorHAnsi"/>
                <w:sz w:val="24"/>
                <w:szCs w:val="24"/>
              </w:rPr>
              <m:t>K(</m:t>
            </m:r>
            <m:f>
              <m:fPr>
                <m:ctrlPr>
                  <w:rPr>
                    <w:rFonts w:ascii="Cambria Math" w:hAnsi="Cambria Math" w:cstheme="minorHAnsi"/>
                    <w:b w:val="0"/>
                    <w:bCs w:val="0"/>
                    <w:i/>
                    <w:sz w:val="24"/>
                    <w:szCs w:val="24"/>
                  </w:rPr>
                </m:ctrlPr>
              </m:fPr>
              <m:num>
                <m:r>
                  <m:rPr>
                    <m:sty m:val="bi"/>
                  </m:rPr>
                  <w:rPr>
                    <w:rFonts w:ascii="Cambria Math" w:hAnsi="Cambria Math" w:cstheme="minorHAnsi"/>
                    <w:sz w:val="24"/>
                    <w:szCs w:val="24"/>
                  </w:rPr>
                  <m:t>y</m:t>
                </m:r>
                <m:d>
                  <m:dPr>
                    <m:ctrlPr>
                      <w:rPr>
                        <w:rFonts w:ascii="Cambria Math" w:hAnsi="Cambria Math" w:cstheme="minorHAnsi"/>
                        <w:b w:val="0"/>
                        <w:bCs w:val="0"/>
                        <w:i/>
                        <w:sz w:val="24"/>
                        <w:szCs w:val="24"/>
                      </w:rPr>
                    </m:ctrlPr>
                  </m:dPr>
                  <m:e>
                    <m:r>
                      <m:rPr>
                        <m:sty m:val="bi"/>
                      </m:rPr>
                      <w:rPr>
                        <w:rFonts w:ascii="Cambria Math" w:hAnsi="Cambria Math" w:cstheme="minorHAnsi"/>
                        <w:sz w:val="24"/>
                        <w:szCs w:val="24"/>
                      </w:rPr>
                      <m:t>k</m:t>
                    </m:r>
                  </m:e>
                </m:d>
                <m:r>
                  <m:rPr>
                    <m:sty m:val="bi"/>
                  </m:rPr>
                  <w:rPr>
                    <w:rFonts w:ascii="Cambria Math" w:hAnsi="Cambria Math" w:cstheme="minorHAnsi"/>
                    <w:sz w:val="24"/>
                    <w:szCs w:val="24"/>
                  </w:rPr>
                  <m:t>-y</m:t>
                </m:r>
                <m:d>
                  <m:dPr>
                    <m:ctrlPr>
                      <w:rPr>
                        <w:rFonts w:ascii="Cambria Math" w:hAnsi="Cambria Math" w:cstheme="minorHAnsi"/>
                        <w:b w:val="0"/>
                        <w:bCs w:val="0"/>
                        <w:i/>
                        <w:sz w:val="24"/>
                        <w:szCs w:val="24"/>
                      </w:rPr>
                    </m:ctrlPr>
                  </m:dPr>
                  <m:e>
                    <m:r>
                      <m:rPr>
                        <m:sty m:val="bi"/>
                      </m:rPr>
                      <w:rPr>
                        <w:rFonts w:ascii="Cambria Math" w:hAnsi="Cambria Math" w:cstheme="minorHAnsi"/>
                        <w:sz w:val="24"/>
                        <w:szCs w:val="24"/>
                      </w:rPr>
                      <m:t>k-1</m:t>
                    </m:r>
                  </m:e>
                </m:d>
              </m:num>
              <m:den>
                <m:r>
                  <m:rPr>
                    <m:sty m:val="bi"/>
                  </m:rPr>
                  <w:rPr>
                    <w:rFonts w:ascii="Cambria Math" w:hAnsi="Cambria Math" w:cstheme="minorHAnsi"/>
                    <w:sz w:val="24"/>
                    <w:szCs w:val="24"/>
                  </w:rPr>
                  <m:t>B</m:t>
                </m:r>
              </m:den>
            </m:f>
            <m:r>
              <m:rPr>
                <m:sty m:val="bi"/>
              </m:rPr>
              <w:rPr>
                <w:rFonts w:ascii="Cambria Math" w:hAnsi="Cambria Math" w:cstheme="minorHAnsi"/>
                <w:sz w:val="24"/>
                <w:szCs w:val="24"/>
              </w:rPr>
              <m:t>)</m:t>
            </m:r>
          </m:e>
        </m:nary>
        <m:r>
          <m:rPr>
            <m:sty m:val="bi"/>
          </m:rPr>
          <w:rPr>
            <w:rFonts w:ascii="Cambria Math" w:hAnsi="Cambria Math" w:cstheme="minorHAnsi"/>
            <w:sz w:val="24"/>
            <w:szCs w:val="24"/>
          </w:rPr>
          <m:t>; ∀</m:t>
        </m:r>
        <m:d>
          <m:dPr>
            <m:ctrlPr>
              <w:rPr>
                <w:rFonts w:ascii="Cambria Math" w:hAnsi="Cambria Math" w:cstheme="minorHAnsi"/>
                <w:b w:val="0"/>
                <w:bCs w:val="0"/>
                <w:i/>
                <w:sz w:val="24"/>
                <w:szCs w:val="24"/>
              </w:rPr>
            </m:ctrlPr>
          </m:dPr>
          <m:e>
            <m:r>
              <m:rPr>
                <m:sty m:val="bi"/>
              </m:rPr>
              <w:rPr>
                <w:rFonts w:ascii="Cambria Math" w:hAnsi="Cambria Math" w:cstheme="minorHAnsi"/>
                <w:sz w:val="24"/>
                <w:szCs w:val="24"/>
              </w:rPr>
              <m:t>k∈n</m:t>
            </m:r>
          </m:e>
        </m:d>
        <m:r>
          <m:rPr>
            <m:sty m:val="bi"/>
          </m:rPr>
          <w:rPr>
            <w:rFonts w:ascii="Cambria Math" w:hAnsi="Cambria Math" w:cstheme="minorHAnsi"/>
            <w:sz w:val="24"/>
            <w:szCs w:val="24"/>
          </w:rPr>
          <m:t xml:space="preserve">     </m:t>
        </m:r>
      </m:oMath>
      <w:r w:rsidRPr="00E27D3B">
        <w:rPr>
          <w:rFonts w:asciiTheme="minorHAnsi" w:hAnsiTheme="minorHAnsi" w:cstheme="minorHAnsi"/>
          <w:b w:val="0"/>
          <w:bCs w:val="0"/>
          <w:sz w:val="24"/>
          <w:szCs w:val="24"/>
        </w:rPr>
        <w:t xml:space="preserve">                                    </w:t>
      </w:r>
      <w:r w:rsidR="0020002C">
        <w:rPr>
          <w:rFonts w:asciiTheme="minorHAnsi" w:hAnsiTheme="minorHAnsi" w:cstheme="minorHAnsi"/>
          <w:b w:val="0"/>
          <w:bCs w:val="0"/>
          <w:sz w:val="24"/>
          <w:szCs w:val="24"/>
        </w:rPr>
        <w:t xml:space="preserve">                               </w:t>
      </w:r>
      <w:r w:rsidRPr="00E27D3B">
        <w:rPr>
          <w:rFonts w:asciiTheme="minorHAnsi" w:hAnsiTheme="minorHAnsi" w:cstheme="minorHAnsi"/>
          <w:b w:val="0"/>
          <w:bCs w:val="0"/>
          <w:sz w:val="24"/>
          <w:szCs w:val="24"/>
        </w:rPr>
        <w:t xml:space="preserve">        (A.2)</w:t>
      </w:r>
    </w:p>
    <w:p w14:paraId="2A3E2BEB" w14:textId="77777777" w:rsidR="003424D3" w:rsidRPr="00E27D3B" w:rsidRDefault="003424D3" w:rsidP="00CD4F3A">
      <w:pPr>
        <w:pStyle w:val="Abstract"/>
        <w:spacing w:after="0"/>
        <w:ind w:right="-22" w:firstLine="0"/>
        <w:rPr>
          <w:rFonts w:asciiTheme="minorHAnsi" w:hAnsiTheme="minorHAnsi" w:cstheme="minorHAnsi"/>
          <w:b w:val="0"/>
          <w:bCs w:val="0"/>
          <w:sz w:val="24"/>
          <w:szCs w:val="24"/>
        </w:rPr>
      </w:pPr>
    </w:p>
    <w:p w14:paraId="2E27A007" w14:textId="77777777" w:rsidR="003424D3" w:rsidRPr="00E27D3B" w:rsidRDefault="003424D3" w:rsidP="00CD4F3A">
      <w:pPr>
        <w:pStyle w:val="Abstract"/>
        <w:spacing w:after="0"/>
        <w:ind w:right="-22" w:firstLine="0"/>
        <w:rPr>
          <w:rFonts w:asciiTheme="minorHAnsi" w:hAnsiTheme="minorHAnsi" w:cstheme="minorHAnsi"/>
          <w:b w:val="0"/>
          <w:bCs w:val="0"/>
          <w:sz w:val="24"/>
          <w:szCs w:val="24"/>
          <w:lang w:val="en-AU"/>
        </w:rPr>
      </w:pPr>
      <w:r w:rsidRPr="00E27D3B">
        <w:rPr>
          <w:rFonts w:asciiTheme="minorHAnsi" w:hAnsiTheme="minorHAnsi" w:cstheme="minorHAnsi"/>
          <w:b w:val="0"/>
          <w:bCs w:val="0"/>
          <w:sz w:val="24"/>
          <w:szCs w:val="24"/>
        </w:rPr>
        <w:t xml:space="preserve">where </w:t>
      </w:r>
      <w:proofErr w:type="gramStart"/>
      <w:r w:rsidRPr="00E27D3B">
        <w:rPr>
          <w:rFonts w:asciiTheme="minorHAnsi" w:hAnsiTheme="minorHAnsi" w:cstheme="minorHAnsi"/>
          <w:b w:val="0"/>
          <w:bCs w:val="0"/>
          <w:i/>
          <w:iCs/>
          <w:sz w:val="24"/>
          <w:szCs w:val="24"/>
          <w:lang w:val="en-AU"/>
        </w:rPr>
        <w:t>K(</w:t>
      </w:r>
      <w:proofErr w:type="gramEnd"/>
      <w:r w:rsidRPr="00E27D3B">
        <w:rPr>
          <w:rFonts w:ascii="Cambria Math" w:hAnsi="Cambria Math" w:cs="Cambria Math"/>
          <w:b w:val="0"/>
          <w:bCs w:val="0"/>
          <w:i/>
          <w:iCs/>
          <w:sz w:val="24"/>
          <w:szCs w:val="24"/>
          <w:lang w:val="en-AU"/>
        </w:rPr>
        <w:t>⋅</w:t>
      </w:r>
      <w:r w:rsidRPr="00E27D3B">
        <w:rPr>
          <w:rFonts w:asciiTheme="minorHAnsi" w:hAnsiTheme="minorHAnsi" w:cstheme="minorHAnsi"/>
          <w:b w:val="0"/>
          <w:bCs w:val="0"/>
          <w:i/>
          <w:iCs/>
          <w:sz w:val="24"/>
          <w:szCs w:val="24"/>
          <w:lang w:val="en-AU"/>
        </w:rPr>
        <w:t>)</w:t>
      </w:r>
      <w:r w:rsidRPr="00E27D3B">
        <w:rPr>
          <w:rFonts w:asciiTheme="minorHAnsi" w:hAnsiTheme="minorHAnsi" w:cstheme="minorHAnsi"/>
          <w:b w:val="0"/>
          <w:bCs w:val="0"/>
          <w:sz w:val="24"/>
          <w:szCs w:val="24"/>
          <w:lang w:val="en-AU"/>
        </w:rPr>
        <w:t xml:space="preserve"> denotes the kernel function, while K[y] represents the resulting </w:t>
      </w:r>
      <w:r w:rsidRPr="00E27D3B">
        <w:rPr>
          <w:rFonts w:asciiTheme="minorHAnsi" w:hAnsiTheme="minorHAnsi" w:cstheme="minorHAnsi"/>
          <w:b w:val="0"/>
          <w:bCs w:val="0"/>
          <w:i/>
          <w:iCs/>
          <w:sz w:val="24"/>
          <w:szCs w:val="24"/>
          <w:lang w:val="en-AU"/>
        </w:rPr>
        <w:t>KDE</w:t>
      </w:r>
      <w:r w:rsidRPr="00E27D3B">
        <w:rPr>
          <w:rFonts w:asciiTheme="minorHAnsi" w:hAnsiTheme="minorHAnsi" w:cstheme="minorHAnsi"/>
          <w:b w:val="0"/>
          <w:bCs w:val="0"/>
          <w:sz w:val="24"/>
          <w:szCs w:val="24"/>
          <w:lang w:val="en-AU"/>
        </w:rPr>
        <w:t xml:space="preserve">. The kernel is symmetric, though it is not necessarily strictly positive. The parameter B&gt;0 defines the bandwidth and plays a critical role in controlling the smoothness of the estimated density; smaller bandwidth values generally yield finer resolution, and in this study, B is selected as 100 of the data spans [k=1…n]. Although multiple kernel functions are available in practice, a normal kernel function is adopted here to construct the PDFs of the </w:t>
      </w:r>
      <w:proofErr w:type="spellStart"/>
      <w:r w:rsidRPr="00E27D3B">
        <w:rPr>
          <w:rFonts w:asciiTheme="minorHAnsi" w:hAnsiTheme="minorHAnsi" w:cstheme="minorHAnsi"/>
          <w:b w:val="0"/>
          <w:bCs w:val="0"/>
          <w:sz w:val="24"/>
          <w:szCs w:val="24"/>
          <w:lang w:val="en-AU"/>
        </w:rPr>
        <w:t>mSD</w:t>
      </w:r>
      <w:proofErr w:type="spellEnd"/>
      <w:r w:rsidRPr="00E27D3B">
        <w:rPr>
          <w:rFonts w:asciiTheme="minorHAnsi" w:hAnsiTheme="minorHAnsi" w:cstheme="minorHAnsi"/>
          <w:b w:val="0"/>
          <w:bCs w:val="0"/>
          <w:sz w:val="24"/>
          <w:szCs w:val="24"/>
          <w:lang w:val="en-AU"/>
        </w:rPr>
        <w:t xml:space="preserve"> associated with the vector </w:t>
      </w:r>
      <w:r w:rsidRPr="00E27D3B">
        <w:rPr>
          <w:rFonts w:asciiTheme="minorHAnsi" w:hAnsiTheme="minorHAnsi" w:cstheme="minorHAnsi"/>
          <w:b w:val="0"/>
          <w:bCs w:val="0"/>
          <w:i/>
          <w:iCs/>
          <w:sz w:val="24"/>
          <w:szCs w:val="24"/>
          <w:lang w:val="en-AU"/>
        </w:rPr>
        <w:t>y</w:t>
      </w:r>
      <w:r w:rsidRPr="00E27D3B">
        <w:rPr>
          <w:rFonts w:asciiTheme="minorHAnsi" w:hAnsiTheme="minorHAnsi" w:cstheme="minorHAnsi"/>
          <w:b w:val="0"/>
          <w:bCs w:val="0"/>
          <w:sz w:val="24"/>
          <w:szCs w:val="24"/>
          <w:lang w:val="en-AU"/>
        </w:rPr>
        <w:t xml:space="preserve">. The normal kernel function is chosen because of smooth and continuous density estimation of the vector </w:t>
      </w:r>
      <w:r w:rsidRPr="00E27D3B">
        <w:rPr>
          <w:rFonts w:asciiTheme="minorHAnsi" w:hAnsiTheme="minorHAnsi" w:cstheme="minorHAnsi"/>
          <w:b w:val="0"/>
          <w:bCs w:val="0"/>
          <w:i/>
          <w:iCs/>
          <w:sz w:val="24"/>
          <w:szCs w:val="24"/>
          <w:lang w:val="en-AU"/>
        </w:rPr>
        <w:t>y</w:t>
      </w:r>
      <w:r w:rsidRPr="00E27D3B">
        <w:rPr>
          <w:rFonts w:asciiTheme="minorHAnsi" w:hAnsiTheme="minorHAnsi" w:cstheme="minorHAnsi"/>
          <w:b w:val="0"/>
          <w:bCs w:val="0"/>
          <w:sz w:val="24"/>
          <w:szCs w:val="24"/>
          <w:lang w:val="en-AU"/>
        </w:rPr>
        <w:t>, which is a prerequisite for calculating CDF. The density estimates are evaluated at 500 uniformly spaced points over a 5-second interval covering the range of y.</w:t>
      </w:r>
    </w:p>
    <w:p w14:paraId="4132F539" w14:textId="77777777" w:rsidR="003424D3" w:rsidRPr="00E27D3B" w:rsidRDefault="003424D3" w:rsidP="00CD4F3A">
      <w:pPr>
        <w:pStyle w:val="Abstract"/>
        <w:spacing w:after="0"/>
        <w:ind w:right="-22" w:firstLine="0"/>
        <w:rPr>
          <w:rFonts w:asciiTheme="minorHAnsi" w:hAnsiTheme="minorHAnsi" w:cstheme="minorHAnsi"/>
          <w:b w:val="0"/>
          <w:bCs w:val="0"/>
          <w:sz w:val="24"/>
          <w:szCs w:val="24"/>
        </w:rPr>
      </w:pPr>
      <w:r w:rsidRPr="00E27D3B">
        <w:rPr>
          <w:rFonts w:asciiTheme="minorHAnsi" w:hAnsiTheme="minorHAnsi" w:cstheme="minorHAnsi"/>
          <w:b w:val="0"/>
          <w:bCs w:val="0"/>
          <w:sz w:val="24"/>
          <w:szCs w:val="24"/>
        </w:rPr>
        <w:t xml:space="preserve"> </w:t>
      </w:r>
    </w:p>
    <w:p w14:paraId="5AF66CE3" w14:textId="77777777" w:rsidR="003424D3" w:rsidRPr="00E27D3B" w:rsidRDefault="003424D3" w:rsidP="00CD4F3A">
      <w:pPr>
        <w:pStyle w:val="Abstract"/>
        <w:spacing w:after="0"/>
        <w:ind w:right="-22" w:firstLine="0"/>
        <w:rPr>
          <w:rFonts w:asciiTheme="minorHAnsi" w:hAnsiTheme="minorHAnsi" w:cstheme="minorHAnsi"/>
          <w:b w:val="0"/>
          <w:bCs w:val="0"/>
          <w:sz w:val="24"/>
          <w:szCs w:val="24"/>
        </w:rPr>
      </w:pPr>
      <w:r w:rsidRPr="00E27D3B">
        <w:rPr>
          <w:rFonts w:asciiTheme="minorHAnsi" w:hAnsiTheme="minorHAnsi" w:cstheme="minorHAnsi"/>
          <w:b w:val="0"/>
          <w:bCs w:val="0"/>
          <w:sz w:val="24"/>
          <w:szCs w:val="24"/>
        </w:rPr>
        <w:t>Finally</w:t>
      </w:r>
      <w:r w:rsidRPr="00E27D3B">
        <w:rPr>
          <w:rFonts w:asciiTheme="minorHAnsi" w:hAnsiTheme="minorHAnsi" w:cstheme="minorHAnsi"/>
          <w:b w:val="0"/>
          <w:bCs w:val="0"/>
          <w:i/>
          <w:iCs/>
          <w:sz w:val="24"/>
          <w:szCs w:val="24"/>
        </w:rPr>
        <w:t xml:space="preserve">, </w:t>
      </w:r>
      <w:r w:rsidRPr="00E27D3B">
        <w:rPr>
          <w:rFonts w:asciiTheme="minorHAnsi" w:hAnsiTheme="minorHAnsi" w:cstheme="minorHAnsi"/>
          <w:b w:val="0"/>
          <w:bCs w:val="0"/>
          <w:sz w:val="24"/>
          <w:szCs w:val="24"/>
        </w:rPr>
        <w:t>the CDF shown in (A.3) of the PDF calculated from (A.2) as:</w:t>
      </w:r>
    </w:p>
    <w:p w14:paraId="3ABC30DC" w14:textId="77777777" w:rsidR="003424D3" w:rsidRPr="00E27D3B" w:rsidRDefault="003424D3" w:rsidP="00CD4F3A">
      <w:pPr>
        <w:pStyle w:val="Abstract"/>
        <w:spacing w:after="0"/>
        <w:ind w:right="-22" w:firstLine="0"/>
        <w:rPr>
          <w:rFonts w:asciiTheme="minorHAnsi" w:hAnsiTheme="minorHAnsi" w:cstheme="minorHAnsi"/>
          <w:b w:val="0"/>
          <w:bCs w:val="0"/>
          <w:sz w:val="24"/>
          <w:szCs w:val="24"/>
        </w:rPr>
      </w:pPr>
    </w:p>
    <w:p w14:paraId="60AB2D14" w14:textId="77777777" w:rsidR="003424D3" w:rsidRPr="00E27D3B" w:rsidRDefault="003424D3" w:rsidP="00CD4F3A">
      <w:pPr>
        <w:pStyle w:val="Abstract"/>
        <w:spacing w:after="0"/>
        <w:ind w:right="-22" w:firstLine="0"/>
        <w:rPr>
          <w:rFonts w:asciiTheme="minorHAnsi" w:hAnsiTheme="minorHAnsi" w:cstheme="minorHAnsi"/>
          <w:sz w:val="24"/>
          <w:szCs w:val="24"/>
        </w:rPr>
      </w:pPr>
    </w:p>
    <w:p w14:paraId="21ED4B35" w14:textId="31D0D4F9" w:rsidR="003424D3" w:rsidRPr="00E27D3B" w:rsidRDefault="003424D3" w:rsidP="00CD4F3A">
      <w:pPr>
        <w:pStyle w:val="Abstract"/>
        <w:spacing w:after="0"/>
        <w:ind w:right="-22" w:firstLine="0"/>
      </w:pPr>
      <m:oMath>
        <m:r>
          <m:rPr>
            <m:sty m:val="bi"/>
          </m:rPr>
          <w:rPr>
            <w:rFonts w:ascii="Cambria Math" w:hAnsi="Cambria Math" w:cstheme="minorHAnsi"/>
            <w:sz w:val="24"/>
            <w:szCs w:val="24"/>
          </w:rPr>
          <m:t>CDF</m:t>
        </m:r>
        <m:d>
          <m:dPr>
            <m:begChr m:val="{"/>
            <m:endChr m:val="}"/>
            <m:ctrlPr>
              <w:rPr>
                <w:rFonts w:ascii="Cambria Math" w:hAnsi="Cambria Math" w:cstheme="minorHAnsi"/>
                <w:b w:val="0"/>
                <w:bCs w:val="0"/>
                <w:i/>
                <w:sz w:val="24"/>
                <w:szCs w:val="24"/>
              </w:rPr>
            </m:ctrlPr>
          </m:dPr>
          <m:e>
            <m:r>
              <m:rPr>
                <m:sty m:val="bi"/>
              </m:rPr>
              <w:rPr>
                <w:rFonts w:ascii="Cambria Math" w:hAnsi="Cambria Math" w:cstheme="minorHAnsi"/>
                <w:sz w:val="24"/>
                <w:szCs w:val="24"/>
              </w:rPr>
              <m:t>K</m:t>
            </m:r>
            <m:d>
              <m:dPr>
                <m:begChr m:val="["/>
                <m:endChr m:val="]"/>
                <m:ctrlPr>
                  <w:rPr>
                    <w:rFonts w:ascii="Cambria Math" w:hAnsi="Cambria Math" w:cstheme="minorHAnsi"/>
                    <w:b w:val="0"/>
                    <w:bCs w:val="0"/>
                    <w:i/>
                    <w:sz w:val="24"/>
                    <w:szCs w:val="24"/>
                  </w:rPr>
                </m:ctrlPr>
              </m:dPr>
              <m:e>
                <m:r>
                  <m:rPr>
                    <m:sty m:val="bi"/>
                  </m:rPr>
                  <w:rPr>
                    <w:rFonts w:ascii="Cambria Math" w:hAnsi="Cambria Math" w:cstheme="minorHAnsi"/>
                    <w:sz w:val="24"/>
                    <w:szCs w:val="24"/>
                  </w:rPr>
                  <m:t>y</m:t>
                </m:r>
              </m:e>
            </m:d>
          </m:e>
        </m:d>
        <m:r>
          <m:rPr>
            <m:sty m:val="bi"/>
          </m:rPr>
          <w:rPr>
            <w:rFonts w:ascii="Cambria Math" w:hAnsi="Cambria Math" w:cstheme="minorHAnsi"/>
            <w:sz w:val="24"/>
            <w:szCs w:val="24"/>
          </w:rPr>
          <m:t>=</m:t>
        </m:r>
        <m:nary>
          <m:naryPr>
            <m:chr m:val="∑"/>
            <m:limLoc m:val="undOvr"/>
            <m:ctrlPr>
              <w:rPr>
                <w:rFonts w:ascii="Cambria Math" w:hAnsi="Cambria Math" w:cstheme="minorHAnsi"/>
                <w:b w:val="0"/>
                <w:bCs w:val="0"/>
                <w:i/>
                <w:sz w:val="24"/>
                <w:szCs w:val="24"/>
              </w:rPr>
            </m:ctrlPr>
          </m:naryPr>
          <m:sub>
            <m:r>
              <m:rPr>
                <m:sty m:val="bi"/>
              </m:rPr>
              <w:rPr>
                <w:rFonts w:ascii="Cambria Math" w:hAnsi="Cambria Math" w:cstheme="minorHAnsi"/>
                <w:sz w:val="24"/>
                <w:szCs w:val="24"/>
              </w:rPr>
              <m:t>k=1</m:t>
            </m:r>
          </m:sub>
          <m:sup>
            <m:r>
              <m:rPr>
                <m:sty m:val="bi"/>
              </m:rPr>
              <w:rPr>
                <w:rFonts w:ascii="Cambria Math" w:hAnsi="Cambria Math" w:cstheme="minorHAnsi"/>
                <w:sz w:val="24"/>
                <w:szCs w:val="24"/>
              </w:rPr>
              <m:t>n</m:t>
            </m:r>
          </m:sup>
          <m:e>
            <m:nary>
              <m:naryPr>
                <m:limLoc m:val="subSup"/>
                <m:ctrlPr>
                  <w:rPr>
                    <w:rFonts w:ascii="Cambria Math" w:hAnsi="Cambria Math" w:cstheme="minorHAnsi"/>
                    <w:b w:val="0"/>
                    <w:bCs w:val="0"/>
                    <w:i/>
                    <w:sz w:val="24"/>
                    <w:szCs w:val="24"/>
                  </w:rPr>
                </m:ctrlPr>
              </m:naryPr>
              <m:sub>
                <m:r>
                  <m:rPr>
                    <m:sty m:val="bi"/>
                  </m:rPr>
                  <w:rPr>
                    <w:rFonts w:ascii="Cambria Math" w:hAnsi="Cambria Math" w:cstheme="minorHAnsi"/>
                    <w:sz w:val="24"/>
                    <w:szCs w:val="24"/>
                  </w:rPr>
                  <m:t>k=1</m:t>
                </m:r>
              </m:sub>
              <m:sup>
                <m:r>
                  <m:rPr>
                    <m:sty m:val="bi"/>
                  </m:rPr>
                  <w:rPr>
                    <w:rFonts w:ascii="Cambria Math" w:hAnsi="Cambria Math" w:cstheme="minorHAnsi"/>
                    <w:sz w:val="24"/>
                    <w:szCs w:val="24"/>
                  </w:rPr>
                  <m:t>n</m:t>
                </m:r>
              </m:sup>
              <m:e>
                <m:r>
                  <m:rPr>
                    <m:sty m:val="bi"/>
                  </m:rPr>
                  <w:rPr>
                    <w:rFonts w:ascii="Cambria Math" w:hAnsi="Cambria Math" w:cstheme="minorHAnsi"/>
                    <w:sz w:val="24"/>
                    <w:szCs w:val="24"/>
                  </w:rPr>
                  <m:t>K[y]dk</m:t>
                </m:r>
              </m:e>
            </m:nary>
            <m:r>
              <m:rPr>
                <m:sty m:val="bi"/>
              </m:rPr>
              <w:rPr>
                <w:rFonts w:ascii="Cambria Math" w:hAnsi="Cambria Math" w:cstheme="minorHAnsi"/>
                <w:sz w:val="24"/>
                <w:szCs w:val="24"/>
              </w:rPr>
              <m:t xml:space="preserve">     ; </m:t>
            </m:r>
          </m:e>
        </m:nary>
        <m:r>
          <m:rPr>
            <m:sty m:val="bi"/>
          </m:rPr>
          <w:rPr>
            <w:rFonts w:ascii="Cambria Math" w:hAnsi="Cambria Math" w:cstheme="minorHAnsi"/>
            <w:sz w:val="24"/>
            <w:szCs w:val="24"/>
          </w:rPr>
          <m:t>∀</m:t>
        </m:r>
        <m:d>
          <m:dPr>
            <m:ctrlPr>
              <w:rPr>
                <w:rFonts w:ascii="Cambria Math" w:hAnsi="Cambria Math" w:cstheme="minorHAnsi"/>
                <w:b w:val="0"/>
                <w:bCs w:val="0"/>
                <w:i/>
                <w:sz w:val="24"/>
                <w:szCs w:val="24"/>
              </w:rPr>
            </m:ctrlPr>
          </m:dPr>
          <m:e>
            <m:r>
              <m:rPr>
                <m:sty m:val="bi"/>
              </m:rPr>
              <w:rPr>
                <w:rFonts w:ascii="Cambria Math" w:hAnsi="Cambria Math" w:cstheme="minorHAnsi"/>
                <w:sz w:val="24"/>
                <w:szCs w:val="24"/>
              </w:rPr>
              <m:t>k∈n</m:t>
            </m:r>
          </m:e>
        </m:d>
      </m:oMath>
      <w:r w:rsidRPr="00E27D3B">
        <w:t xml:space="preserve">                            </w:t>
      </w:r>
      <w:r w:rsidR="0020002C">
        <w:t xml:space="preserve">                                                    </w:t>
      </w:r>
      <w:r w:rsidRPr="00E27D3B">
        <w:t xml:space="preserve">          </w:t>
      </w:r>
      <w:r w:rsidRPr="00E27D3B">
        <w:rPr>
          <w:rFonts w:asciiTheme="minorHAnsi" w:hAnsiTheme="minorHAnsi" w:cstheme="minorHAnsi"/>
          <w:b w:val="0"/>
          <w:bCs w:val="0"/>
          <w:sz w:val="24"/>
          <w:szCs w:val="24"/>
        </w:rPr>
        <w:t>(A.3)</w:t>
      </w:r>
    </w:p>
    <w:p w14:paraId="276AFC28" w14:textId="77777777" w:rsidR="003424D3" w:rsidRPr="00E27D3B" w:rsidRDefault="003424D3" w:rsidP="00CD4F3A">
      <w:pPr>
        <w:pStyle w:val="Abstract"/>
        <w:spacing w:after="0"/>
        <w:ind w:right="-22" w:firstLine="0"/>
        <w:rPr>
          <w:rFonts w:asciiTheme="minorHAnsi" w:hAnsiTheme="minorHAnsi" w:cstheme="minorHAnsi"/>
          <w:b w:val="0"/>
          <w:bCs w:val="0"/>
          <w:sz w:val="24"/>
          <w:szCs w:val="24"/>
        </w:rPr>
      </w:pPr>
    </w:p>
    <w:p w14:paraId="4E586472" w14:textId="76598D3E" w:rsidR="003424D3" w:rsidRPr="00EB3978" w:rsidRDefault="003424D3" w:rsidP="00EB3978">
      <w:pPr>
        <w:spacing w:after="0"/>
        <w:rPr>
          <w:sz w:val="24"/>
          <w:szCs w:val="24"/>
        </w:rPr>
        <w:sectPr w:rsidR="003424D3" w:rsidRPr="00EB3978" w:rsidSect="003424D3">
          <w:footerReference w:type="even" r:id="rId171"/>
          <w:footerReference w:type="default" r:id="rId172"/>
          <w:pgSz w:w="11906" w:h="16838" w:code="9"/>
          <w:pgMar w:top="1134" w:right="1134" w:bottom="1134" w:left="1134" w:header="510" w:footer="624" w:gutter="0"/>
          <w:cols w:space="284"/>
          <w:docGrid w:linePitch="360"/>
        </w:sectPr>
      </w:pPr>
      <w:r w:rsidRPr="00EB3978">
        <w:rPr>
          <w:sz w:val="24"/>
          <w:szCs w:val="24"/>
        </w:rPr>
        <w:t xml:space="preserve">The </w:t>
      </w:r>
      <w:r w:rsidRPr="00EB3978">
        <w:rPr>
          <w:i/>
          <w:iCs/>
          <w:sz w:val="24"/>
          <w:szCs w:val="24"/>
        </w:rPr>
        <w:t>CDFs</w:t>
      </w:r>
      <w:r w:rsidRPr="00EB3978">
        <w:rPr>
          <w:sz w:val="24"/>
          <w:szCs w:val="24"/>
        </w:rPr>
        <w:t xml:space="preserve"> derived from (A.3) are illustrated in </w:t>
      </w:r>
      <w:proofErr w:type="spellStart"/>
      <w:r w:rsidRPr="00EB3978">
        <w:rPr>
          <w:sz w:val="24"/>
          <w:szCs w:val="24"/>
        </w:rPr>
        <w:t>Apx</w:t>
      </w:r>
      <w:proofErr w:type="spellEnd"/>
      <w:r w:rsidRPr="00EB3978">
        <w:rPr>
          <w:sz w:val="24"/>
          <w:szCs w:val="24"/>
        </w:rPr>
        <w:t xml:space="preserve"> Figure 3(b), where the blue curve corresponds to ORVW and the red curve represents NRVW. Based on these distributions, a numerical distinction between ORVW and NRVW can be achieved by evaluating the aggregated CDF measure, denoted as </w:t>
      </w:r>
      <m:oMath>
        <m:nary>
          <m:naryPr>
            <m:chr m:val="∑"/>
            <m:limLoc m:val="undOvr"/>
            <m:subHide m:val="1"/>
            <m:supHide m:val="1"/>
            <m:ctrlPr>
              <w:rPr>
                <w:rFonts w:ascii="Cambria Math" w:hAnsi="Cambria Math"/>
                <w:i/>
                <w:sz w:val="24"/>
                <w:szCs w:val="24"/>
              </w:rPr>
            </m:ctrlPr>
          </m:naryPr>
          <m:sub/>
          <m:sup/>
          <m:e>
            <m:r>
              <m:rPr>
                <m:sty m:val="bi"/>
              </m:rPr>
              <w:rPr>
                <w:rFonts w:ascii="Cambria Math" w:hAnsi="Cambria Math"/>
                <w:sz w:val="24"/>
                <w:szCs w:val="24"/>
              </w:rPr>
              <m:t>CDF</m:t>
            </m:r>
          </m:e>
        </m:nary>
      </m:oMath>
      <w:r w:rsidRPr="00EB3978">
        <w:rPr>
          <w:sz w:val="24"/>
          <w:szCs w:val="24"/>
        </w:rPr>
        <w:t>, which is defined in Eq. (</w:t>
      </w:r>
      <w:r w:rsidR="00374CF9" w:rsidRPr="00EB3978">
        <w:rPr>
          <w:sz w:val="24"/>
          <w:szCs w:val="24"/>
        </w:rPr>
        <w:t>7</w:t>
      </w:r>
      <w:r w:rsidR="001437E6" w:rsidRPr="00EB3978">
        <w:rPr>
          <w:sz w:val="24"/>
          <w:szCs w:val="24"/>
        </w:rPr>
        <w:t>).</w:t>
      </w:r>
    </w:p>
    <w:p w14:paraId="3CF3798A" w14:textId="39E979C2" w:rsidR="00A943B2" w:rsidRPr="00E27D3B" w:rsidRDefault="00A943B2" w:rsidP="00CD4F3A">
      <w:pPr>
        <w:pStyle w:val="Heading1notnumbered"/>
        <w:spacing w:line="240" w:lineRule="auto"/>
      </w:pPr>
      <w:bookmarkStart w:id="483" w:name="_Toc233734344"/>
      <w:bookmarkEnd w:id="468"/>
      <w:r w:rsidRPr="00E27D3B">
        <w:lastRenderedPageBreak/>
        <w:t>Glossary</w:t>
      </w:r>
      <w:bookmarkEnd w:id="469"/>
      <w:bookmarkEnd w:id="483"/>
      <w:r w:rsidRPr="00E27D3B">
        <w:t xml:space="preserve"> </w:t>
      </w:r>
    </w:p>
    <w:p w14:paraId="5AA2BFDD" w14:textId="770F63DA" w:rsidR="00261A5C" w:rsidRDefault="00337F9F" w:rsidP="006165EA">
      <w:pPr>
        <w:pStyle w:val="BodyText"/>
        <w:spacing w:after="0"/>
        <w:rPr>
          <w:b/>
          <w:bCs/>
        </w:rPr>
      </w:pPr>
      <w:r w:rsidRPr="00E27D3B">
        <w:rPr>
          <w:b/>
          <w:bCs/>
        </w:rPr>
        <w:t>AI</w:t>
      </w:r>
      <w:r w:rsidRPr="00E27D3B">
        <w:t xml:space="preserve"> – Artificial Intelligence</w:t>
      </w:r>
      <w:r w:rsidRPr="00E27D3B">
        <w:br/>
      </w:r>
      <w:r w:rsidRPr="00E27D3B">
        <w:rPr>
          <w:b/>
          <w:bCs/>
        </w:rPr>
        <w:t>AI Data Centre</w:t>
      </w:r>
      <w:r w:rsidRPr="00E27D3B">
        <w:t xml:space="preserve"> – Artificial Intelligence Data Centre</w:t>
      </w:r>
      <w:r w:rsidRPr="00E27D3B">
        <w:br/>
      </w:r>
      <w:r w:rsidRPr="00E27D3B">
        <w:rPr>
          <w:b/>
          <w:bCs/>
        </w:rPr>
        <w:t>APC</w:t>
      </w:r>
      <w:r w:rsidRPr="00E27D3B">
        <w:t xml:space="preserve"> – Active Power Control</w:t>
      </w:r>
      <w:r w:rsidRPr="00E27D3B">
        <w:br/>
      </w:r>
      <w:r w:rsidR="00261A5C" w:rsidRPr="00261A5C">
        <w:rPr>
          <w:b/>
          <w:bCs/>
        </w:rPr>
        <w:t>AC</w:t>
      </w:r>
      <w:r w:rsidR="0052041F">
        <w:rPr>
          <w:b/>
          <w:bCs/>
        </w:rPr>
        <w:t>P</w:t>
      </w:r>
      <w:r w:rsidR="00261A5C" w:rsidRPr="00261A5C">
        <w:rPr>
          <w:b/>
          <w:bCs/>
        </w:rPr>
        <w:t>F</w:t>
      </w:r>
      <w:r w:rsidR="00261A5C" w:rsidRPr="00E27D3B">
        <w:t xml:space="preserve">– </w:t>
      </w:r>
      <w:r w:rsidR="00261A5C">
        <w:t>A</w:t>
      </w:r>
      <w:r w:rsidR="00261A5C" w:rsidRPr="00261A5C">
        <w:t xml:space="preserve">daptive </w:t>
      </w:r>
      <w:r w:rsidR="00261A5C">
        <w:t>C</w:t>
      </w:r>
      <w:r w:rsidR="00261A5C" w:rsidRPr="00261A5C">
        <w:t xml:space="preserve">ontinuation </w:t>
      </w:r>
      <w:r w:rsidR="0052041F">
        <w:t>Power</w:t>
      </w:r>
      <w:r w:rsidR="00261A5C" w:rsidRPr="00261A5C">
        <w:t xml:space="preserve"> </w:t>
      </w:r>
      <w:r w:rsidR="00261A5C">
        <w:t>F</w:t>
      </w:r>
      <w:r w:rsidR="00261A5C" w:rsidRPr="00261A5C">
        <w:t>low</w:t>
      </w:r>
    </w:p>
    <w:p w14:paraId="46835C0C" w14:textId="736F752F" w:rsidR="00BB72A5" w:rsidRDefault="00337F9F" w:rsidP="006165EA">
      <w:pPr>
        <w:pStyle w:val="BodyText"/>
        <w:spacing w:before="0" w:after="0"/>
        <w:rPr>
          <w:b/>
          <w:bCs/>
        </w:rPr>
      </w:pPr>
      <w:r w:rsidRPr="00E27D3B">
        <w:rPr>
          <w:b/>
          <w:bCs/>
        </w:rPr>
        <w:t>AR-PST</w:t>
      </w:r>
      <w:r w:rsidRPr="00E27D3B">
        <w:t xml:space="preserve"> – Australian Research in Power Systems T</w:t>
      </w:r>
      <w:r w:rsidR="00BB72A5">
        <w:t>ransition</w:t>
      </w:r>
      <w:r w:rsidRPr="00E27D3B">
        <w:br/>
      </w:r>
      <w:r w:rsidRPr="00E27D3B">
        <w:rPr>
          <w:b/>
          <w:bCs/>
        </w:rPr>
        <w:t>AVR</w:t>
      </w:r>
      <w:r w:rsidRPr="00E27D3B">
        <w:t xml:space="preserve"> – Automatic Voltage Regulation</w:t>
      </w:r>
      <w:r w:rsidRPr="00E27D3B">
        <w:br/>
      </w:r>
      <w:r w:rsidRPr="00E27D3B">
        <w:rPr>
          <w:b/>
          <w:bCs/>
        </w:rPr>
        <w:t>BESS</w:t>
      </w:r>
      <w:r w:rsidRPr="00E27D3B">
        <w:t xml:space="preserve"> – Battery Energy Storage System</w:t>
      </w:r>
      <w:r w:rsidRPr="00E27D3B">
        <w:br/>
      </w:r>
      <w:r w:rsidR="00BB72A5" w:rsidRPr="00E27D3B">
        <w:rPr>
          <w:b/>
          <w:bCs/>
        </w:rPr>
        <w:t>C</w:t>
      </w:r>
      <w:r w:rsidR="00310692">
        <w:rPr>
          <w:b/>
          <w:bCs/>
        </w:rPr>
        <w:t>DF</w:t>
      </w:r>
      <w:r w:rsidR="00BB72A5" w:rsidRPr="00E27D3B">
        <w:t xml:space="preserve"> – </w:t>
      </w:r>
      <w:r w:rsidR="00504234">
        <w:t>C</w:t>
      </w:r>
      <w:r w:rsidR="00504234" w:rsidRPr="00504234">
        <w:t>umulative distribution function</w:t>
      </w:r>
      <w:r w:rsidR="00BB72A5" w:rsidRPr="00E27D3B">
        <w:rPr>
          <w:b/>
          <w:bCs/>
        </w:rPr>
        <w:t xml:space="preserve"> </w:t>
      </w:r>
    </w:p>
    <w:p w14:paraId="4ECB4701" w14:textId="298C8D64" w:rsidR="00504234" w:rsidRDefault="00504234" w:rsidP="006165EA">
      <w:pPr>
        <w:pStyle w:val="BodyText"/>
        <w:spacing w:before="0" w:after="0"/>
        <w:rPr>
          <w:b/>
          <w:bCs/>
        </w:rPr>
      </w:pPr>
      <w:r w:rsidRPr="00E27D3B">
        <w:rPr>
          <w:b/>
          <w:bCs/>
        </w:rPr>
        <w:t>CNN</w:t>
      </w:r>
      <w:r w:rsidRPr="00E27D3B">
        <w:t xml:space="preserve"> – Convolutional Neural Network</w:t>
      </w:r>
    </w:p>
    <w:p w14:paraId="29631F78" w14:textId="31BE2016" w:rsidR="000131A4" w:rsidRDefault="00337F9F" w:rsidP="006165EA">
      <w:pPr>
        <w:pStyle w:val="BodyText"/>
        <w:spacing w:before="0" w:after="0"/>
        <w:rPr>
          <w:b/>
          <w:bCs/>
        </w:rPr>
      </w:pPr>
      <w:r w:rsidRPr="00E27D3B">
        <w:rPr>
          <w:b/>
          <w:bCs/>
        </w:rPr>
        <w:t>CPF</w:t>
      </w:r>
      <w:r w:rsidRPr="00E27D3B">
        <w:t xml:space="preserve"> – Continuation Power Flow</w:t>
      </w:r>
      <w:r w:rsidRPr="00E27D3B">
        <w:br/>
      </w:r>
      <w:r w:rsidR="00310692" w:rsidRPr="00E27D3B">
        <w:rPr>
          <w:b/>
          <w:bCs/>
        </w:rPr>
        <w:t>D</w:t>
      </w:r>
      <w:r w:rsidR="00310692">
        <w:rPr>
          <w:b/>
          <w:bCs/>
        </w:rPr>
        <w:t>DTD</w:t>
      </w:r>
      <w:r w:rsidR="00310692" w:rsidRPr="00E27D3B">
        <w:t xml:space="preserve"> – D</w:t>
      </w:r>
      <w:r w:rsidR="00310692">
        <w:t>ata-Drive Time Domain</w:t>
      </w:r>
      <w:r w:rsidR="00310692" w:rsidRPr="00E27D3B">
        <w:br/>
      </w:r>
      <w:r w:rsidRPr="00E27D3B">
        <w:rPr>
          <w:b/>
          <w:bCs/>
        </w:rPr>
        <w:t>DER</w:t>
      </w:r>
      <w:r w:rsidRPr="00E27D3B">
        <w:t xml:space="preserve"> – Distributed Energy Resource</w:t>
      </w:r>
      <w:r w:rsidRPr="00E27D3B">
        <w:br/>
      </w:r>
      <w:r w:rsidR="000131A4" w:rsidRPr="00E27D3B">
        <w:rPr>
          <w:b/>
          <w:bCs/>
        </w:rPr>
        <w:t>DRL</w:t>
      </w:r>
      <w:r w:rsidR="000131A4" w:rsidRPr="00E27D3B">
        <w:t xml:space="preserve"> – Deep Reinforcement Learning</w:t>
      </w:r>
      <w:r w:rsidR="000131A4" w:rsidRPr="00E27D3B">
        <w:rPr>
          <w:b/>
          <w:bCs/>
        </w:rPr>
        <w:t xml:space="preserve"> </w:t>
      </w:r>
    </w:p>
    <w:p w14:paraId="05AE3DD5" w14:textId="77777777" w:rsidR="00310692" w:rsidRDefault="00337F9F" w:rsidP="006165EA">
      <w:pPr>
        <w:pStyle w:val="BodyText"/>
        <w:spacing w:before="0" w:after="0"/>
      </w:pPr>
      <w:r w:rsidRPr="00E27D3B">
        <w:rPr>
          <w:b/>
          <w:bCs/>
        </w:rPr>
        <w:t>DVRI</w:t>
      </w:r>
      <w:r w:rsidRPr="00E27D3B">
        <w:t xml:space="preserve"> – Dynamic Voltage Resilience Index</w:t>
      </w:r>
      <w:r w:rsidRPr="00E27D3B">
        <w:br/>
      </w:r>
      <w:r w:rsidRPr="00E27D3B">
        <w:rPr>
          <w:b/>
          <w:bCs/>
        </w:rPr>
        <w:t>EMT</w:t>
      </w:r>
      <w:r w:rsidRPr="00E27D3B">
        <w:t xml:space="preserve"> – Electromagnetic Transient</w:t>
      </w:r>
      <w:r w:rsidRPr="00E27D3B">
        <w:br/>
      </w:r>
      <w:r w:rsidRPr="00E27D3B">
        <w:rPr>
          <w:b/>
          <w:bCs/>
        </w:rPr>
        <w:t>FVC</w:t>
      </w:r>
      <w:r w:rsidRPr="00E27D3B">
        <w:t xml:space="preserve"> – Fixed Voltage Control</w:t>
      </w:r>
      <w:r w:rsidRPr="00E27D3B">
        <w:br/>
      </w:r>
      <w:r w:rsidRPr="00E27D3B">
        <w:rPr>
          <w:b/>
          <w:bCs/>
        </w:rPr>
        <w:t>GFL</w:t>
      </w:r>
      <w:r w:rsidRPr="00E27D3B">
        <w:t xml:space="preserve"> – Grid-Following</w:t>
      </w:r>
      <w:r w:rsidRPr="00E27D3B">
        <w:br/>
      </w:r>
      <w:r w:rsidRPr="00E27D3B">
        <w:rPr>
          <w:b/>
          <w:bCs/>
        </w:rPr>
        <w:t>GFLI</w:t>
      </w:r>
      <w:r w:rsidRPr="00E27D3B">
        <w:t xml:space="preserve"> – Grid-Following Inverter</w:t>
      </w:r>
      <w:r w:rsidRPr="00E27D3B">
        <w:br/>
      </w:r>
      <w:r w:rsidRPr="00E27D3B">
        <w:rPr>
          <w:b/>
          <w:bCs/>
        </w:rPr>
        <w:t>GFM</w:t>
      </w:r>
      <w:r w:rsidRPr="00E27D3B">
        <w:t xml:space="preserve"> – Grid-Forming</w:t>
      </w:r>
      <w:r w:rsidRPr="00E27D3B">
        <w:br/>
      </w:r>
      <w:r w:rsidRPr="00E27D3B">
        <w:rPr>
          <w:b/>
          <w:bCs/>
        </w:rPr>
        <w:t>GFMI</w:t>
      </w:r>
      <w:r w:rsidRPr="00E27D3B">
        <w:t xml:space="preserve"> – Grid-Forming Inverter</w:t>
      </w:r>
    </w:p>
    <w:p w14:paraId="69DAC729" w14:textId="15EF8A68" w:rsidR="00261A5C" w:rsidRDefault="00310692" w:rsidP="006165EA">
      <w:pPr>
        <w:pStyle w:val="BodyText"/>
        <w:spacing w:before="0" w:after="0"/>
      </w:pPr>
      <w:r w:rsidRPr="00310692">
        <w:rPr>
          <w:b/>
          <w:bCs/>
        </w:rPr>
        <w:t xml:space="preserve">GPR </w:t>
      </w:r>
      <w:r w:rsidRPr="00E27D3B">
        <w:t xml:space="preserve">– </w:t>
      </w:r>
      <w:r w:rsidRPr="00310692">
        <w:t>Gaussian Process Regression</w:t>
      </w:r>
      <w:r w:rsidR="00337F9F" w:rsidRPr="00E27D3B">
        <w:br/>
      </w:r>
      <w:r w:rsidR="00337F9F" w:rsidRPr="00E27D3B">
        <w:rPr>
          <w:b/>
          <w:bCs/>
        </w:rPr>
        <w:t>IBR</w:t>
      </w:r>
      <w:r w:rsidR="00337F9F" w:rsidRPr="00E27D3B">
        <w:t xml:space="preserve"> – Inverter-Based Resource</w:t>
      </w:r>
      <w:r w:rsidR="00337F9F" w:rsidRPr="00E27D3B">
        <w:br/>
      </w:r>
      <w:r w:rsidR="00337F9F" w:rsidRPr="00E27D3B">
        <w:rPr>
          <w:b/>
          <w:bCs/>
        </w:rPr>
        <w:t>LDVS</w:t>
      </w:r>
      <w:r w:rsidR="00337F9F" w:rsidRPr="00E27D3B">
        <w:t xml:space="preserve"> – Large-Disturbance Voltage Stability</w:t>
      </w:r>
      <w:r w:rsidR="00337F9F" w:rsidRPr="00E27D3B">
        <w:br/>
      </w:r>
      <w:r w:rsidR="00337F9F" w:rsidRPr="00E27D3B">
        <w:rPr>
          <w:b/>
          <w:bCs/>
        </w:rPr>
        <w:t>LSTM</w:t>
      </w:r>
      <w:r w:rsidR="00337F9F" w:rsidRPr="00E27D3B">
        <w:t xml:space="preserve"> – Long Short-Term Memory (neural network)</w:t>
      </w:r>
    </w:p>
    <w:p w14:paraId="556276BB" w14:textId="77777777" w:rsidR="00261A5C" w:rsidRDefault="00261A5C" w:rsidP="006165EA">
      <w:pPr>
        <w:pStyle w:val="BodyText"/>
        <w:spacing w:before="0" w:after="0"/>
      </w:pPr>
      <w:r w:rsidRPr="00261A5C">
        <w:rPr>
          <w:b/>
          <w:bCs/>
        </w:rPr>
        <w:t xml:space="preserve">LTVS </w:t>
      </w:r>
      <w:r w:rsidRPr="00E27D3B">
        <w:t xml:space="preserve">– </w:t>
      </w:r>
      <w:r>
        <w:t>L</w:t>
      </w:r>
      <w:r w:rsidRPr="00261A5C">
        <w:t>ong-term voltage stability</w:t>
      </w:r>
      <w:r w:rsidR="00337F9F" w:rsidRPr="00E27D3B">
        <w:br/>
      </w:r>
      <w:r w:rsidR="00337F9F" w:rsidRPr="00E27D3B">
        <w:rPr>
          <w:b/>
          <w:bCs/>
        </w:rPr>
        <w:t>NEM</w:t>
      </w:r>
      <w:r w:rsidR="00337F9F" w:rsidRPr="00E27D3B">
        <w:t xml:space="preserve"> – National Electricity Market</w:t>
      </w:r>
      <w:r w:rsidR="00337F9F" w:rsidRPr="00E27D3B">
        <w:br/>
      </w:r>
      <w:r w:rsidR="00337F9F" w:rsidRPr="00E27D3B">
        <w:rPr>
          <w:b/>
          <w:bCs/>
        </w:rPr>
        <w:t>NER</w:t>
      </w:r>
      <w:r w:rsidR="00337F9F" w:rsidRPr="00E27D3B">
        <w:t xml:space="preserve"> – National Electricity Rules</w:t>
      </w:r>
      <w:r w:rsidR="00337F9F" w:rsidRPr="00E27D3B">
        <w:br/>
      </w:r>
      <w:r w:rsidR="00337F9F" w:rsidRPr="00E27D3B">
        <w:rPr>
          <w:b/>
          <w:bCs/>
        </w:rPr>
        <w:t>NM</w:t>
      </w:r>
      <w:r w:rsidR="00337F9F" w:rsidRPr="00E27D3B">
        <w:t xml:space="preserve"> – Normal Mode</w:t>
      </w:r>
      <w:r w:rsidR="00337F9F" w:rsidRPr="00E27D3B">
        <w:br/>
      </w:r>
      <w:r w:rsidR="00337F9F" w:rsidRPr="00E27D3B">
        <w:rPr>
          <w:b/>
          <w:bCs/>
        </w:rPr>
        <w:t>NR</w:t>
      </w:r>
      <w:r w:rsidR="00337F9F" w:rsidRPr="00E27D3B">
        <w:t xml:space="preserve"> – Newton-Raphson</w:t>
      </w:r>
      <w:r w:rsidR="00337F9F" w:rsidRPr="00E27D3B">
        <w:br/>
      </w:r>
      <w:r w:rsidR="00337F9F" w:rsidRPr="00E27D3B">
        <w:rPr>
          <w:b/>
          <w:bCs/>
        </w:rPr>
        <w:t>PCC / POC</w:t>
      </w:r>
      <w:r w:rsidR="00337F9F" w:rsidRPr="00E27D3B">
        <w:t xml:space="preserve"> – Point of Common Coupling</w:t>
      </w:r>
      <w:r w:rsidR="00337F9F" w:rsidRPr="00E27D3B">
        <w:br/>
      </w:r>
      <w:r w:rsidR="00337F9F" w:rsidRPr="00E27D3B">
        <w:rPr>
          <w:b/>
          <w:bCs/>
        </w:rPr>
        <w:t>PI</w:t>
      </w:r>
      <w:r w:rsidR="00337F9F" w:rsidRPr="00E27D3B">
        <w:t xml:space="preserve"> – Proportional Integral</w:t>
      </w:r>
      <w:r w:rsidR="00337F9F" w:rsidRPr="00E27D3B">
        <w:br/>
      </w:r>
      <w:r w:rsidR="00337F9F" w:rsidRPr="00E27D3B">
        <w:rPr>
          <w:b/>
          <w:bCs/>
        </w:rPr>
        <w:t>PVC</w:t>
      </w:r>
      <w:r w:rsidR="00337F9F" w:rsidRPr="00E27D3B">
        <w:t xml:space="preserve"> – Primary Voltage Control</w:t>
      </w:r>
      <w:r w:rsidR="00337F9F" w:rsidRPr="00E27D3B">
        <w:br/>
      </w:r>
      <w:r w:rsidR="00337F9F" w:rsidRPr="00E27D3B">
        <w:rPr>
          <w:b/>
          <w:bCs/>
        </w:rPr>
        <w:t>PLL</w:t>
      </w:r>
      <w:r w:rsidR="00337F9F" w:rsidRPr="00E27D3B">
        <w:t xml:space="preserve"> – Phase-Locked Loop</w:t>
      </w:r>
      <w:r w:rsidR="00337F9F" w:rsidRPr="00E27D3B">
        <w:br/>
      </w:r>
      <w:r w:rsidR="00337F9F" w:rsidRPr="00E27D3B">
        <w:rPr>
          <w:b/>
          <w:bCs/>
        </w:rPr>
        <w:t>RMS</w:t>
      </w:r>
      <w:r w:rsidR="00337F9F" w:rsidRPr="00E27D3B">
        <w:t xml:space="preserve"> – Root Mean Square</w:t>
      </w:r>
      <w:r w:rsidR="00337F9F" w:rsidRPr="00E27D3B">
        <w:br/>
      </w:r>
      <w:r w:rsidR="00337F9F" w:rsidRPr="00E27D3B">
        <w:rPr>
          <w:b/>
          <w:bCs/>
        </w:rPr>
        <w:t>SDVS</w:t>
      </w:r>
      <w:r w:rsidR="00337F9F" w:rsidRPr="00E27D3B">
        <w:t xml:space="preserve"> – Small-Disturbance Voltage Stability</w:t>
      </w:r>
    </w:p>
    <w:p w14:paraId="1B2B7F58" w14:textId="17E57421" w:rsidR="00261A5C" w:rsidRDefault="00261A5C" w:rsidP="006165EA">
      <w:pPr>
        <w:pStyle w:val="BodyText"/>
        <w:spacing w:before="0" w:after="0"/>
      </w:pPr>
      <w:r w:rsidRPr="00261A5C">
        <w:rPr>
          <w:b/>
          <w:bCs/>
        </w:rPr>
        <w:t>SDVPI</w:t>
      </w:r>
      <w:r w:rsidRPr="00E27D3B">
        <w:t xml:space="preserve">– </w:t>
      </w:r>
      <w:r w:rsidRPr="00261A5C">
        <w:t>Small-Disturbance Voltage Proximity Index</w:t>
      </w:r>
      <w:r w:rsidR="00337F9F" w:rsidRPr="00E27D3B">
        <w:br/>
      </w:r>
      <w:r w:rsidR="00337F9F" w:rsidRPr="00E27D3B">
        <w:rPr>
          <w:b/>
          <w:bCs/>
        </w:rPr>
        <w:t>SG</w:t>
      </w:r>
      <w:r w:rsidR="00337F9F" w:rsidRPr="00E27D3B">
        <w:t xml:space="preserve"> – Synchronous Generator</w:t>
      </w:r>
      <w:r w:rsidR="00337F9F" w:rsidRPr="00E27D3B">
        <w:br/>
      </w:r>
      <w:r w:rsidR="00337F9F" w:rsidRPr="00E27D3B">
        <w:rPr>
          <w:b/>
          <w:bCs/>
        </w:rPr>
        <w:t>SMIB</w:t>
      </w:r>
      <w:r w:rsidR="00337F9F" w:rsidRPr="00E27D3B">
        <w:t xml:space="preserve"> – Single Machine Infinite Bus</w:t>
      </w:r>
    </w:p>
    <w:p w14:paraId="351812BD" w14:textId="2C65A831" w:rsidR="00261A5C" w:rsidRDefault="00261A5C" w:rsidP="006165EA">
      <w:pPr>
        <w:pStyle w:val="BodyText"/>
        <w:spacing w:before="0" w:after="0"/>
      </w:pPr>
      <w:r w:rsidRPr="00261A5C">
        <w:rPr>
          <w:b/>
          <w:bCs/>
        </w:rPr>
        <w:t>SSOASI</w:t>
      </w:r>
      <w:r w:rsidRPr="00E27D3B">
        <w:t xml:space="preserve">– </w:t>
      </w:r>
      <w:r w:rsidRPr="00261A5C">
        <w:t>Small-Signal Operating Area Security Index</w:t>
      </w:r>
    </w:p>
    <w:p w14:paraId="7F19CB18" w14:textId="490551FB" w:rsidR="00310692" w:rsidRDefault="00310692" w:rsidP="006165EA">
      <w:pPr>
        <w:pStyle w:val="BodyText"/>
        <w:spacing w:before="0" w:after="0"/>
      </w:pPr>
      <w:r w:rsidRPr="00261A5C">
        <w:rPr>
          <w:b/>
          <w:bCs/>
        </w:rPr>
        <w:t>SS</w:t>
      </w:r>
      <w:r>
        <w:rPr>
          <w:b/>
          <w:bCs/>
        </w:rPr>
        <w:t>S</w:t>
      </w:r>
      <w:r w:rsidRPr="00E27D3B">
        <w:t xml:space="preserve">– </w:t>
      </w:r>
      <w:r w:rsidRPr="00261A5C">
        <w:t xml:space="preserve">Small-Signal </w:t>
      </w:r>
      <w:r>
        <w:t>Stability</w:t>
      </w:r>
    </w:p>
    <w:p w14:paraId="4FDB514E" w14:textId="2F7DFDE9" w:rsidR="00595936" w:rsidRPr="00E27D3B" w:rsidRDefault="00261A5C" w:rsidP="006165EA">
      <w:pPr>
        <w:pStyle w:val="BodyText"/>
        <w:spacing w:before="0" w:after="0"/>
      </w:pPr>
      <w:r w:rsidRPr="00261A5C">
        <w:rPr>
          <w:b/>
          <w:bCs/>
        </w:rPr>
        <w:lastRenderedPageBreak/>
        <w:t xml:space="preserve">STVS </w:t>
      </w:r>
      <w:r w:rsidRPr="00E27D3B">
        <w:t xml:space="preserve">– </w:t>
      </w:r>
      <w:r>
        <w:t>S</w:t>
      </w:r>
      <w:r w:rsidRPr="00261A5C">
        <w:t>hort-term voltage stability</w:t>
      </w:r>
      <w:r w:rsidR="00337F9F" w:rsidRPr="00E27D3B">
        <w:br/>
      </w:r>
      <w:r w:rsidR="00337F9F" w:rsidRPr="00E27D3B">
        <w:rPr>
          <w:b/>
          <w:bCs/>
        </w:rPr>
        <w:t>THD</w:t>
      </w:r>
      <w:r w:rsidR="00337F9F" w:rsidRPr="00E27D3B">
        <w:t xml:space="preserve"> – Total Harmonic Distortion</w:t>
      </w:r>
      <w:r w:rsidR="00337F9F" w:rsidRPr="00E27D3B">
        <w:br/>
      </w:r>
      <w:r w:rsidR="00337F9F" w:rsidRPr="00E27D3B">
        <w:rPr>
          <w:b/>
          <w:bCs/>
        </w:rPr>
        <w:t>TNSP</w:t>
      </w:r>
      <w:r w:rsidR="00337F9F" w:rsidRPr="00E27D3B">
        <w:t xml:space="preserve"> – Transmission Network Service Provider</w:t>
      </w:r>
      <w:r w:rsidR="00337F9F" w:rsidRPr="00E27D3B">
        <w:br/>
      </w:r>
      <w:r w:rsidR="00337F9F" w:rsidRPr="00E27D3B">
        <w:rPr>
          <w:b/>
          <w:bCs/>
        </w:rPr>
        <w:t>TS</w:t>
      </w:r>
      <w:r w:rsidR="00337F9F" w:rsidRPr="00E27D3B">
        <w:t xml:space="preserve"> – Transient Stability</w:t>
      </w:r>
      <w:r w:rsidR="00337F9F" w:rsidRPr="00E27D3B">
        <w:br/>
      </w:r>
      <w:r w:rsidR="00337F9F" w:rsidRPr="00E27D3B">
        <w:rPr>
          <w:b/>
          <w:bCs/>
        </w:rPr>
        <w:t>VC</w:t>
      </w:r>
      <w:r w:rsidR="00337F9F" w:rsidRPr="00E27D3B">
        <w:t xml:space="preserve"> – Voltage Control</w:t>
      </w:r>
      <w:r w:rsidR="00337F9F" w:rsidRPr="00E27D3B">
        <w:br/>
      </w:r>
      <w:r w:rsidR="00337F9F" w:rsidRPr="00E27D3B">
        <w:rPr>
          <w:b/>
          <w:bCs/>
        </w:rPr>
        <w:t>VSC</w:t>
      </w:r>
      <w:r w:rsidR="00337F9F" w:rsidRPr="00E27D3B">
        <w:t xml:space="preserve"> – Voltage Source Converter</w:t>
      </w:r>
      <w:r w:rsidR="00337F9F" w:rsidRPr="00E27D3B">
        <w:br/>
      </w:r>
      <w:r w:rsidR="00337F9F" w:rsidRPr="00E27D3B">
        <w:rPr>
          <w:b/>
          <w:bCs/>
        </w:rPr>
        <w:t>VSG</w:t>
      </w:r>
      <w:r w:rsidR="00337F9F" w:rsidRPr="00E27D3B">
        <w:t xml:space="preserve"> – Virtual Synchronous Generator</w:t>
      </w:r>
      <w:r w:rsidR="00337F9F" w:rsidRPr="00E27D3B">
        <w:br/>
      </w:r>
      <w:r w:rsidR="00337F9F" w:rsidRPr="00E27D3B">
        <w:rPr>
          <w:b/>
          <w:bCs/>
        </w:rPr>
        <w:t>WMZ</w:t>
      </w:r>
      <w:r w:rsidR="00337F9F" w:rsidRPr="00E27D3B">
        <w:t xml:space="preserve"> – West Murray Zone</w:t>
      </w:r>
    </w:p>
    <w:p w14:paraId="2A2151AD" w14:textId="2F6B221F" w:rsidR="00026EF1" w:rsidRPr="00E27D3B" w:rsidRDefault="00A943B2" w:rsidP="00CD4F3A">
      <w:pPr>
        <w:pStyle w:val="Heading1notnumbered"/>
        <w:spacing w:line="240" w:lineRule="auto"/>
      </w:pPr>
      <w:bookmarkStart w:id="484" w:name="_Toc315694433"/>
      <w:bookmarkStart w:id="485" w:name="_Toc233734345"/>
      <w:r w:rsidRPr="00E27D3B">
        <w:lastRenderedPageBreak/>
        <w:t>References</w:t>
      </w:r>
      <w:bookmarkEnd w:id="484"/>
      <w:bookmarkEnd w:id="485"/>
    </w:p>
    <w:p w14:paraId="5B47327D"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86" w:name="_Ref223637497"/>
      <w:r w:rsidRPr="00E27D3B">
        <w:rPr>
          <w:rFonts w:asciiTheme="minorHAnsi" w:hAnsiTheme="minorHAnsi" w:cstheme="minorHAnsi"/>
          <w:szCs w:val="24"/>
        </w:rPr>
        <w:t xml:space="preserve">N. </w:t>
      </w:r>
      <w:proofErr w:type="spellStart"/>
      <w:r w:rsidRPr="00E27D3B">
        <w:rPr>
          <w:rFonts w:asciiTheme="minorHAnsi" w:hAnsiTheme="minorHAnsi" w:cstheme="minorHAnsi"/>
          <w:szCs w:val="24"/>
        </w:rPr>
        <w:t>Hatziargyriou</w:t>
      </w:r>
      <w:proofErr w:type="spellEnd"/>
      <w:r w:rsidRPr="00E27D3B">
        <w:rPr>
          <w:rFonts w:asciiTheme="minorHAnsi" w:hAnsiTheme="minorHAnsi" w:cstheme="minorHAnsi"/>
          <w:szCs w:val="24"/>
        </w:rPr>
        <w:t>, et al., “Definition and Classification of Power System Stability – Revisited &amp; Extended,” in</w:t>
      </w:r>
      <w:r w:rsidRPr="00F12E16">
        <w:rPr>
          <w:rFonts w:asciiTheme="minorHAnsi" w:hAnsiTheme="minorHAnsi" w:cstheme="minorHAnsi"/>
          <w:i/>
          <w:iCs/>
          <w:szCs w:val="24"/>
        </w:rPr>
        <w:t xml:space="preserve"> IEEE Transactions on Power Systems</w:t>
      </w:r>
      <w:r w:rsidRPr="00E27D3B">
        <w:rPr>
          <w:rFonts w:asciiTheme="minorHAnsi" w:hAnsiTheme="minorHAnsi" w:cstheme="minorHAnsi"/>
          <w:szCs w:val="24"/>
        </w:rPr>
        <w:t>, vol. 36, no. 4, pp. 3271-3281, July 2021.</w:t>
      </w:r>
      <w:bookmarkEnd w:id="486"/>
    </w:p>
    <w:p w14:paraId="5568BAAD" w14:textId="219D74DA"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87" w:name="_Ref223637509"/>
      <w:r w:rsidRPr="00E27D3B">
        <w:rPr>
          <w:rFonts w:asciiTheme="minorHAnsi" w:hAnsiTheme="minorHAnsi" w:cstheme="minorHAnsi"/>
          <w:szCs w:val="24"/>
        </w:rPr>
        <w:t xml:space="preserve">L. Meegahapola, et al., “Power System Stability with Power-Electronic Converter Interfaced Renewable Power Generation: Present Issues and Future Trends,” in </w:t>
      </w:r>
      <w:r w:rsidRPr="00F12E16">
        <w:rPr>
          <w:rFonts w:asciiTheme="minorHAnsi" w:hAnsiTheme="minorHAnsi" w:cstheme="minorHAnsi"/>
          <w:i/>
          <w:iCs/>
          <w:szCs w:val="24"/>
        </w:rPr>
        <w:t>Energies</w:t>
      </w:r>
      <w:r w:rsidRPr="00E27D3B">
        <w:rPr>
          <w:rFonts w:asciiTheme="minorHAnsi" w:hAnsiTheme="minorHAnsi" w:cstheme="minorHAnsi"/>
          <w:szCs w:val="24"/>
        </w:rPr>
        <w:t xml:space="preserve">, </w:t>
      </w:r>
      <w:r w:rsidR="00E8026B">
        <w:rPr>
          <w:rFonts w:asciiTheme="minorHAnsi" w:hAnsiTheme="minorHAnsi" w:cstheme="minorHAnsi"/>
          <w:szCs w:val="24"/>
        </w:rPr>
        <w:t xml:space="preserve">vol. </w:t>
      </w:r>
      <w:r w:rsidRPr="00E27D3B">
        <w:rPr>
          <w:rFonts w:asciiTheme="minorHAnsi" w:hAnsiTheme="minorHAnsi" w:cstheme="minorHAnsi"/>
          <w:szCs w:val="24"/>
        </w:rPr>
        <w:t xml:space="preserve">13, </w:t>
      </w:r>
      <w:r w:rsidR="00E8026B">
        <w:rPr>
          <w:rFonts w:asciiTheme="minorHAnsi" w:hAnsiTheme="minorHAnsi" w:cstheme="minorHAnsi"/>
          <w:szCs w:val="24"/>
        </w:rPr>
        <w:t xml:space="preserve">p. </w:t>
      </w:r>
      <w:r w:rsidRPr="00E27D3B">
        <w:rPr>
          <w:rFonts w:asciiTheme="minorHAnsi" w:hAnsiTheme="minorHAnsi" w:cstheme="minorHAnsi"/>
          <w:szCs w:val="24"/>
        </w:rPr>
        <w:t>3441, 2021</w:t>
      </w:r>
      <w:bookmarkEnd w:id="487"/>
      <w:r w:rsidRPr="00E27D3B">
        <w:rPr>
          <w:rFonts w:asciiTheme="minorHAnsi" w:hAnsiTheme="minorHAnsi" w:cstheme="minorHAnsi"/>
          <w:szCs w:val="24"/>
        </w:rPr>
        <w:t>.</w:t>
      </w:r>
    </w:p>
    <w:p w14:paraId="2DCE73D0"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88" w:name="_Ref223639880"/>
      <w:r w:rsidRPr="00E27D3B">
        <w:rPr>
          <w:rFonts w:asciiTheme="minorHAnsi" w:hAnsiTheme="minorHAnsi" w:cstheme="minorHAnsi"/>
          <w:szCs w:val="24"/>
        </w:rPr>
        <w:t xml:space="preserve">M. Amin and M. Molinas, "Small-Signal Stability Assessment of Power Electronics Based Power Systems: A Discussion of Impedance- and Eigenvalue-Based Methods," in </w:t>
      </w:r>
      <w:r w:rsidRPr="00F12E16">
        <w:rPr>
          <w:rFonts w:asciiTheme="minorHAnsi" w:hAnsiTheme="minorHAnsi" w:cstheme="minorHAnsi"/>
          <w:i/>
          <w:iCs/>
          <w:szCs w:val="24"/>
        </w:rPr>
        <w:t>IEEE Transactions on Industry Applications</w:t>
      </w:r>
      <w:r w:rsidRPr="00E27D3B">
        <w:rPr>
          <w:rFonts w:asciiTheme="minorHAnsi" w:hAnsiTheme="minorHAnsi" w:cstheme="minorHAnsi"/>
          <w:szCs w:val="24"/>
        </w:rPr>
        <w:t>, vol. 53, no. 5, pp. 5014-5030, Sept.-Oct. 2017.</w:t>
      </w:r>
      <w:bookmarkEnd w:id="488"/>
      <w:r w:rsidRPr="00E27D3B">
        <w:rPr>
          <w:rFonts w:asciiTheme="minorHAnsi" w:hAnsiTheme="minorHAnsi" w:cstheme="minorHAnsi"/>
          <w:szCs w:val="24"/>
        </w:rPr>
        <w:t xml:space="preserve"> </w:t>
      </w:r>
    </w:p>
    <w:p w14:paraId="643DBACB"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89" w:name="_Ref223639897"/>
      <w:r w:rsidRPr="00E27D3B">
        <w:rPr>
          <w:rFonts w:asciiTheme="minorHAnsi" w:hAnsiTheme="minorHAnsi" w:cstheme="minorHAnsi"/>
          <w:szCs w:val="24"/>
        </w:rPr>
        <w:t>Y. Li, Y. Gu and T. C. Green, "Revisiting Grid-Forming and Grid-Following Inverters: A Duality Theory," in</w:t>
      </w:r>
      <w:r w:rsidRPr="00F12E16">
        <w:rPr>
          <w:rFonts w:asciiTheme="minorHAnsi" w:hAnsiTheme="minorHAnsi" w:cstheme="minorHAnsi"/>
          <w:i/>
          <w:iCs/>
          <w:szCs w:val="24"/>
        </w:rPr>
        <w:t xml:space="preserve"> IEEE Transactions on Power Systems</w:t>
      </w:r>
      <w:r w:rsidRPr="00E27D3B">
        <w:rPr>
          <w:rFonts w:asciiTheme="minorHAnsi" w:hAnsiTheme="minorHAnsi" w:cstheme="minorHAnsi"/>
          <w:szCs w:val="24"/>
        </w:rPr>
        <w:t>, vol. 37, no. 6, pp. 4541-4554, Nov. 2022</w:t>
      </w:r>
      <w:bookmarkEnd w:id="489"/>
    </w:p>
    <w:p w14:paraId="2F33DB7C"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0" w:name="_Ref223639956"/>
      <w:r w:rsidRPr="00E27D3B">
        <w:rPr>
          <w:rFonts w:asciiTheme="minorHAnsi" w:hAnsiTheme="minorHAnsi" w:cstheme="minorHAnsi"/>
          <w:szCs w:val="24"/>
        </w:rPr>
        <w:t xml:space="preserve">N. Mohammed, W. Zhou and B. Bahrani, "Comparison of PLL-Based and PLL-Less Control Strategies for Grid-Following Inverters Considering Time and Frequency Domain Analysis," in </w:t>
      </w:r>
      <w:r w:rsidRPr="00F12E16">
        <w:rPr>
          <w:rFonts w:asciiTheme="minorHAnsi" w:hAnsiTheme="minorHAnsi" w:cstheme="minorHAnsi"/>
          <w:i/>
          <w:iCs/>
          <w:szCs w:val="24"/>
        </w:rPr>
        <w:t>IEEE Access</w:t>
      </w:r>
      <w:r w:rsidRPr="00E27D3B">
        <w:rPr>
          <w:rFonts w:asciiTheme="minorHAnsi" w:hAnsiTheme="minorHAnsi" w:cstheme="minorHAnsi"/>
          <w:szCs w:val="24"/>
        </w:rPr>
        <w:t>, vol. 10, pp. 80518-80538, 2022</w:t>
      </w:r>
      <w:bookmarkEnd w:id="490"/>
    </w:p>
    <w:p w14:paraId="7377E070" w14:textId="30988419"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1" w:name="_Ref223637805"/>
      <w:r w:rsidRPr="00E27D3B">
        <w:rPr>
          <w:rFonts w:asciiTheme="minorHAnsi" w:hAnsiTheme="minorHAnsi" w:cstheme="minorHAnsi"/>
          <w:szCs w:val="24"/>
        </w:rPr>
        <w:t>K. Rahman, et.al., “Reviewing Control Paradigms and Emerging Trends of Grid-Forming Inverters—A Comparative Study,”</w:t>
      </w:r>
      <w:r w:rsidR="00E8026B">
        <w:rPr>
          <w:rFonts w:asciiTheme="minorHAnsi" w:hAnsiTheme="minorHAnsi" w:cstheme="minorHAnsi"/>
          <w:szCs w:val="24"/>
        </w:rPr>
        <w:t xml:space="preserve"> in</w:t>
      </w:r>
      <w:r w:rsidRPr="00F12E16">
        <w:rPr>
          <w:rFonts w:asciiTheme="minorHAnsi" w:hAnsiTheme="minorHAnsi" w:cstheme="minorHAnsi"/>
          <w:i/>
          <w:iCs/>
          <w:szCs w:val="24"/>
        </w:rPr>
        <w:t xml:space="preserve"> Energies</w:t>
      </w:r>
      <w:r w:rsidRPr="00E27D3B">
        <w:rPr>
          <w:rFonts w:asciiTheme="minorHAnsi" w:hAnsiTheme="minorHAnsi" w:cstheme="minorHAnsi"/>
          <w:szCs w:val="24"/>
        </w:rPr>
        <w:t xml:space="preserve">, vol. 17, </w:t>
      </w:r>
      <w:r w:rsidR="00E8026B">
        <w:rPr>
          <w:rFonts w:asciiTheme="minorHAnsi" w:hAnsiTheme="minorHAnsi" w:cstheme="minorHAnsi"/>
          <w:szCs w:val="24"/>
        </w:rPr>
        <w:t>p</w:t>
      </w:r>
      <w:r w:rsidRPr="00E27D3B">
        <w:rPr>
          <w:rFonts w:asciiTheme="minorHAnsi" w:hAnsiTheme="minorHAnsi" w:cstheme="minorHAnsi"/>
          <w:szCs w:val="24"/>
        </w:rPr>
        <w:t>. 2400, 2024.</w:t>
      </w:r>
      <w:bookmarkEnd w:id="491"/>
      <w:r w:rsidRPr="00E27D3B">
        <w:rPr>
          <w:rFonts w:asciiTheme="minorHAnsi" w:hAnsiTheme="minorHAnsi" w:cstheme="minorHAnsi"/>
          <w:szCs w:val="24"/>
        </w:rPr>
        <w:t xml:space="preserve">  </w:t>
      </w:r>
    </w:p>
    <w:p w14:paraId="58EA11F6" w14:textId="2A48A55D"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2" w:name="_Ref223637980"/>
      <w:r w:rsidRPr="00E27D3B">
        <w:rPr>
          <w:rFonts w:asciiTheme="minorHAnsi" w:hAnsiTheme="minorHAnsi" w:cstheme="minorHAnsi"/>
          <w:szCs w:val="24"/>
        </w:rPr>
        <w:t>P. Li, Y. Wei, J. Qi et al., “A closed-form formulation of eigenvalue sensitivity based on matrix calculus for small-signal stability analysis in power system,”</w:t>
      </w:r>
      <w:r w:rsidR="00E8026B">
        <w:rPr>
          <w:rFonts w:asciiTheme="minorHAnsi" w:hAnsiTheme="minorHAnsi" w:cstheme="minorHAnsi"/>
          <w:szCs w:val="24"/>
        </w:rPr>
        <w:t xml:space="preserve"> in</w:t>
      </w:r>
      <w:r w:rsidRPr="00F12E16">
        <w:rPr>
          <w:rFonts w:asciiTheme="minorHAnsi" w:hAnsiTheme="minorHAnsi" w:cstheme="minorHAnsi"/>
          <w:i/>
          <w:iCs/>
          <w:szCs w:val="24"/>
        </w:rPr>
        <w:t xml:space="preserve"> Journal of Modern Power Systems and Clean Energy</w:t>
      </w:r>
      <w:r w:rsidRPr="00E27D3B">
        <w:rPr>
          <w:rFonts w:asciiTheme="minorHAnsi" w:hAnsiTheme="minorHAnsi" w:cstheme="minorHAnsi"/>
          <w:szCs w:val="24"/>
        </w:rPr>
        <w:t>, vol. 9, no.6, pp. 1436-1445, Nov. 2021.</w:t>
      </w:r>
      <w:bookmarkEnd w:id="492"/>
    </w:p>
    <w:p w14:paraId="26BFEC27" w14:textId="7B364DD2"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3" w:name="_Ref223640990"/>
      <w:r w:rsidRPr="00E27D3B">
        <w:rPr>
          <w:rFonts w:asciiTheme="minorHAnsi" w:hAnsiTheme="minorHAnsi" w:cstheme="minorHAnsi"/>
          <w:szCs w:val="24"/>
        </w:rPr>
        <w:t xml:space="preserve">M. Khodayar, G. Liu, J. Wang, and M. E. Khodayar, “Deep learning in power systems research: A review,” </w:t>
      </w:r>
      <w:r w:rsidR="00E8026B">
        <w:rPr>
          <w:rFonts w:asciiTheme="minorHAnsi" w:hAnsiTheme="minorHAnsi" w:cstheme="minorHAnsi"/>
          <w:szCs w:val="24"/>
        </w:rPr>
        <w:t xml:space="preserve">in </w:t>
      </w:r>
      <w:r w:rsidRPr="00F12E16">
        <w:rPr>
          <w:rFonts w:asciiTheme="minorHAnsi" w:hAnsiTheme="minorHAnsi" w:cstheme="minorHAnsi"/>
          <w:i/>
          <w:iCs/>
          <w:szCs w:val="24"/>
        </w:rPr>
        <w:t>CSEE J. Power Energy Syst.</w:t>
      </w:r>
      <w:r w:rsidRPr="00E27D3B">
        <w:rPr>
          <w:rFonts w:asciiTheme="minorHAnsi" w:hAnsiTheme="minorHAnsi" w:cstheme="minorHAnsi"/>
          <w:szCs w:val="24"/>
        </w:rPr>
        <w:t>, vol.7, no. 2, pp. 209–220, Mar. 2021.</w:t>
      </w:r>
      <w:bookmarkEnd w:id="493"/>
    </w:p>
    <w:p w14:paraId="2BD34938" w14:textId="66106FB2"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4" w:name="_Ref223641036"/>
      <w:r w:rsidRPr="00E27D3B">
        <w:rPr>
          <w:rFonts w:asciiTheme="minorHAnsi" w:hAnsiTheme="minorHAnsi" w:cstheme="minorHAnsi"/>
          <w:szCs w:val="24"/>
        </w:rPr>
        <w:t xml:space="preserve">N. Mohammed, W. Zhou, B. Bahrani, D.J. Hill, Support vector machines for predicting the impedance model of inverter-based resources, </w:t>
      </w:r>
      <w:r w:rsidR="00E8026B">
        <w:rPr>
          <w:rFonts w:asciiTheme="minorHAnsi" w:hAnsiTheme="minorHAnsi" w:cstheme="minorHAnsi"/>
          <w:szCs w:val="24"/>
        </w:rPr>
        <w:t xml:space="preserve">in </w:t>
      </w:r>
      <w:r w:rsidRPr="00F12E16">
        <w:rPr>
          <w:rFonts w:asciiTheme="minorHAnsi" w:hAnsiTheme="minorHAnsi" w:cstheme="minorHAnsi"/>
          <w:i/>
          <w:iCs/>
          <w:szCs w:val="24"/>
        </w:rPr>
        <w:t>IEEE Trans. Power Syst.</w:t>
      </w:r>
      <w:r w:rsidR="00E8026B">
        <w:rPr>
          <w:rFonts w:asciiTheme="minorHAnsi" w:hAnsiTheme="minorHAnsi" w:cstheme="minorHAnsi"/>
          <w:szCs w:val="24"/>
        </w:rPr>
        <w:t>,</w:t>
      </w:r>
      <w:r w:rsidRPr="00E27D3B">
        <w:rPr>
          <w:rFonts w:asciiTheme="minorHAnsi" w:hAnsiTheme="minorHAnsi" w:cstheme="minorHAnsi"/>
          <w:szCs w:val="24"/>
        </w:rPr>
        <w:t xml:space="preserve"> vol. 39, no. 6, pp. 7359-7375, Nov. 2024.</w:t>
      </w:r>
      <w:bookmarkEnd w:id="494"/>
    </w:p>
    <w:p w14:paraId="63ACB3E5"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5" w:name="_Ref223641056"/>
      <w:r w:rsidRPr="00E27D3B">
        <w:rPr>
          <w:rFonts w:asciiTheme="minorHAnsi" w:hAnsiTheme="minorHAnsi" w:cstheme="minorHAnsi"/>
          <w:szCs w:val="24"/>
        </w:rPr>
        <w:t xml:space="preserve">D. Sun, H. Liu, M. Gong, Z. Chen and P. Hart, "A Stability Analysis Tool for Bulk Power Systems Using Black-Box Models of Inverter-Based Resources," in </w:t>
      </w:r>
      <w:r w:rsidRPr="00F12E16">
        <w:rPr>
          <w:rFonts w:asciiTheme="minorHAnsi" w:hAnsiTheme="minorHAnsi" w:cstheme="minorHAnsi"/>
          <w:i/>
          <w:iCs/>
          <w:szCs w:val="24"/>
        </w:rPr>
        <w:t>IEEE Transactions on Industry Applications,</w:t>
      </w:r>
      <w:r w:rsidRPr="00E27D3B">
        <w:rPr>
          <w:rFonts w:asciiTheme="minorHAnsi" w:hAnsiTheme="minorHAnsi" w:cstheme="minorHAnsi"/>
          <w:szCs w:val="24"/>
        </w:rPr>
        <w:t xml:space="preserve"> vol. 59, no. 6, pp. 7318-7327, Nov.-Dec. 2023.</w:t>
      </w:r>
      <w:bookmarkEnd w:id="495"/>
    </w:p>
    <w:p w14:paraId="737E4E20" w14:textId="62F136FC"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6" w:name="_Ref223641071"/>
      <w:r w:rsidRPr="00E27D3B">
        <w:rPr>
          <w:rFonts w:asciiTheme="minorHAnsi" w:hAnsiTheme="minorHAnsi" w:cstheme="minorHAnsi"/>
          <w:szCs w:val="24"/>
        </w:rPr>
        <w:t xml:space="preserve">S. Shahil, et al. "Impedance Methods for Analyzing Stability Impacts of Inverter-Based Resources: Stability Analysis Tools for Modern Power Systems." </w:t>
      </w:r>
      <w:r w:rsidR="00E8026B">
        <w:rPr>
          <w:rFonts w:asciiTheme="minorHAnsi" w:hAnsiTheme="minorHAnsi" w:cstheme="minorHAnsi"/>
          <w:szCs w:val="24"/>
        </w:rPr>
        <w:t>In</w:t>
      </w:r>
      <w:r w:rsidR="00E8026B" w:rsidRPr="00F12E16">
        <w:rPr>
          <w:rFonts w:asciiTheme="minorHAnsi" w:hAnsiTheme="minorHAnsi" w:cstheme="minorHAnsi"/>
          <w:i/>
          <w:iCs/>
          <w:szCs w:val="24"/>
        </w:rPr>
        <w:t xml:space="preserve"> </w:t>
      </w:r>
      <w:r w:rsidRPr="00F12E16">
        <w:rPr>
          <w:rFonts w:asciiTheme="minorHAnsi" w:hAnsiTheme="minorHAnsi" w:cstheme="minorHAnsi"/>
          <w:i/>
          <w:iCs/>
          <w:szCs w:val="24"/>
        </w:rPr>
        <w:t>IEEE Electrification Magazine</w:t>
      </w:r>
      <w:r w:rsidRPr="00E27D3B">
        <w:rPr>
          <w:rFonts w:asciiTheme="minorHAnsi" w:hAnsiTheme="minorHAnsi" w:cstheme="minorHAnsi"/>
          <w:szCs w:val="24"/>
        </w:rPr>
        <w:t>, vol. 9, no. 1, pp. 53-65, Mar. 2021.</w:t>
      </w:r>
      <w:bookmarkEnd w:id="496"/>
    </w:p>
    <w:p w14:paraId="4F881E15" w14:textId="4E258BA5"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7" w:name="_Ref223641097"/>
      <w:r w:rsidRPr="00E27D3B">
        <w:rPr>
          <w:rFonts w:asciiTheme="minorHAnsi" w:hAnsiTheme="minorHAnsi" w:cstheme="minorHAnsi"/>
          <w:szCs w:val="24"/>
        </w:rPr>
        <w:t xml:space="preserve">B. Wen, D. Dong, D. </w:t>
      </w:r>
      <w:proofErr w:type="spellStart"/>
      <w:r w:rsidRPr="00E27D3B">
        <w:rPr>
          <w:rFonts w:asciiTheme="minorHAnsi" w:hAnsiTheme="minorHAnsi" w:cstheme="minorHAnsi"/>
          <w:szCs w:val="24"/>
        </w:rPr>
        <w:t>Boroyevich</w:t>
      </w:r>
      <w:proofErr w:type="spellEnd"/>
      <w:r w:rsidRPr="00E27D3B">
        <w:rPr>
          <w:rFonts w:asciiTheme="minorHAnsi" w:hAnsiTheme="minorHAnsi" w:cstheme="minorHAnsi"/>
          <w:szCs w:val="24"/>
        </w:rPr>
        <w:t xml:space="preserve">, R. Burgos, P. Mattavelli, and Z. Shen, “Impedance-based analysis of grid-synchronization stability for three phase paralleled converters,” </w:t>
      </w:r>
      <w:r w:rsidR="00E8026B">
        <w:rPr>
          <w:rFonts w:asciiTheme="minorHAnsi" w:hAnsiTheme="minorHAnsi" w:cstheme="minorHAnsi"/>
          <w:szCs w:val="24"/>
        </w:rPr>
        <w:t xml:space="preserve">in </w:t>
      </w:r>
      <w:r w:rsidRPr="00F12E16">
        <w:rPr>
          <w:rFonts w:asciiTheme="minorHAnsi" w:hAnsiTheme="minorHAnsi" w:cstheme="minorHAnsi"/>
          <w:i/>
          <w:iCs/>
          <w:szCs w:val="24"/>
        </w:rPr>
        <w:t>IEEE Trans. Power Electron</w:t>
      </w:r>
      <w:r w:rsidRPr="00E27D3B">
        <w:rPr>
          <w:rFonts w:asciiTheme="minorHAnsi" w:hAnsiTheme="minorHAnsi" w:cstheme="minorHAnsi"/>
          <w:szCs w:val="24"/>
        </w:rPr>
        <w:t>., vol. 31, no.1, pp. 26–38, Jan. 2016.</w:t>
      </w:r>
      <w:bookmarkEnd w:id="497"/>
    </w:p>
    <w:p w14:paraId="33F6DA3B" w14:textId="1F99FDD8"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8" w:name="_Ref223641099"/>
      <w:r w:rsidRPr="00E27D3B">
        <w:rPr>
          <w:rFonts w:asciiTheme="minorHAnsi" w:hAnsiTheme="minorHAnsi" w:cstheme="minorHAnsi"/>
          <w:szCs w:val="24"/>
        </w:rPr>
        <w:t xml:space="preserve">Y. Liao and X. Wang, "Impedance-Based Stability Analysis for Interconnected Converter Systems </w:t>
      </w:r>
      <w:r w:rsidR="00E8026B" w:rsidRPr="00E27D3B">
        <w:rPr>
          <w:rFonts w:asciiTheme="minorHAnsi" w:hAnsiTheme="minorHAnsi" w:cstheme="minorHAnsi"/>
          <w:szCs w:val="24"/>
        </w:rPr>
        <w:t>with</w:t>
      </w:r>
      <w:r w:rsidRPr="00E27D3B">
        <w:rPr>
          <w:rFonts w:asciiTheme="minorHAnsi" w:hAnsiTheme="minorHAnsi" w:cstheme="minorHAnsi"/>
          <w:szCs w:val="24"/>
        </w:rPr>
        <w:t xml:space="preserve"> Open-Loop RHP Poles," </w:t>
      </w:r>
      <w:r w:rsidR="00E8026B">
        <w:rPr>
          <w:rFonts w:asciiTheme="minorHAnsi" w:hAnsiTheme="minorHAnsi" w:cstheme="minorHAnsi"/>
          <w:szCs w:val="24"/>
        </w:rPr>
        <w:t>in</w:t>
      </w:r>
      <w:r w:rsidR="00E8026B" w:rsidRPr="00F12E16">
        <w:rPr>
          <w:rFonts w:asciiTheme="minorHAnsi" w:hAnsiTheme="minorHAnsi" w:cstheme="minorHAnsi"/>
          <w:i/>
          <w:iCs/>
          <w:szCs w:val="24"/>
        </w:rPr>
        <w:t xml:space="preserve"> </w:t>
      </w:r>
      <w:r w:rsidRPr="00F12E16">
        <w:rPr>
          <w:rFonts w:asciiTheme="minorHAnsi" w:hAnsiTheme="minorHAnsi" w:cstheme="minorHAnsi"/>
          <w:i/>
          <w:iCs/>
          <w:szCs w:val="24"/>
        </w:rPr>
        <w:t>IEEE Transactions on Power Electronics</w:t>
      </w:r>
      <w:r w:rsidRPr="00E27D3B">
        <w:rPr>
          <w:rFonts w:asciiTheme="minorHAnsi" w:hAnsiTheme="minorHAnsi" w:cstheme="minorHAnsi"/>
          <w:szCs w:val="24"/>
        </w:rPr>
        <w:t>, vol. 35, no. 4, pp. 4388-4397, April 2020.</w:t>
      </w:r>
      <w:bookmarkEnd w:id="498"/>
    </w:p>
    <w:p w14:paraId="201ED1AB" w14:textId="21C13722"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499" w:name="_Ref223641129"/>
      <w:r w:rsidRPr="00E27D3B">
        <w:rPr>
          <w:rFonts w:asciiTheme="minorHAnsi" w:hAnsiTheme="minorHAnsi" w:cstheme="minorHAnsi"/>
          <w:szCs w:val="24"/>
        </w:rPr>
        <w:t xml:space="preserve">A. </w:t>
      </w:r>
      <w:proofErr w:type="spellStart"/>
      <w:r w:rsidRPr="00E27D3B">
        <w:rPr>
          <w:rFonts w:asciiTheme="minorHAnsi" w:hAnsiTheme="minorHAnsi" w:cstheme="minorHAnsi"/>
          <w:szCs w:val="24"/>
        </w:rPr>
        <w:t>Hadjileonidas</w:t>
      </w:r>
      <w:proofErr w:type="spellEnd"/>
      <w:r w:rsidRPr="00E27D3B">
        <w:rPr>
          <w:rFonts w:asciiTheme="minorHAnsi" w:hAnsiTheme="minorHAnsi" w:cstheme="minorHAnsi"/>
          <w:szCs w:val="24"/>
        </w:rPr>
        <w:t xml:space="preserve">, Y. Zhu and T. C. Green, "Admittance Margin: A Guideline for Placement of Grid-Following and Grid-Forming Inverters Regarding Small-Signal </w:t>
      </w:r>
      <w:r w:rsidRPr="00E27D3B">
        <w:rPr>
          <w:rFonts w:asciiTheme="minorHAnsi" w:hAnsiTheme="minorHAnsi" w:cstheme="minorHAnsi"/>
          <w:szCs w:val="24"/>
        </w:rPr>
        <w:lastRenderedPageBreak/>
        <w:t xml:space="preserve">Stability," </w:t>
      </w:r>
      <w:r w:rsidR="00E8026B">
        <w:rPr>
          <w:rFonts w:asciiTheme="minorHAnsi" w:hAnsiTheme="minorHAnsi" w:cstheme="minorHAnsi"/>
          <w:szCs w:val="24"/>
        </w:rPr>
        <w:t xml:space="preserve">in </w:t>
      </w:r>
      <w:r w:rsidRPr="00F12E16">
        <w:rPr>
          <w:rFonts w:asciiTheme="minorHAnsi" w:hAnsiTheme="minorHAnsi" w:cstheme="minorHAnsi"/>
          <w:i/>
          <w:iCs/>
          <w:szCs w:val="24"/>
        </w:rPr>
        <w:t xml:space="preserve">IECON 2024 - 50th Annual Conference of the IEEE Industrial Electronics </w:t>
      </w:r>
      <w:r w:rsidRPr="00E27D3B">
        <w:rPr>
          <w:rFonts w:asciiTheme="minorHAnsi" w:hAnsiTheme="minorHAnsi" w:cstheme="minorHAnsi"/>
          <w:szCs w:val="24"/>
        </w:rPr>
        <w:t>Society, Chicago, IL, USA, 2024, pp. 1-6.</w:t>
      </w:r>
      <w:bookmarkEnd w:id="499"/>
    </w:p>
    <w:p w14:paraId="595E447E" w14:textId="71AC1CCF"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0" w:name="_Ref223641149"/>
      <w:r w:rsidRPr="00E27D3B">
        <w:rPr>
          <w:rFonts w:asciiTheme="minorHAnsi" w:hAnsiTheme="minorHAnsi" w:cstheme="minorHAnsi"/>
          <w:szCs w:val="24"/>
        </w:rPr>
        <w:t xml:space="preserve">H. Yuan, X. Qin, L. Su, G. Shen and H. Xin, "Assessing Grid-Accommodable Capacity of Grid-Following Inverter-Based Resources with Small Signal Stability Constraint," </w:t>
      </w:r>
      <w:proofErr w:type="gramStart"/>
      <w:r w:rsidR="00E8026B">
        <w:rPr>
          <w:rFonts w:asciiTheme="minorHAnsi" w:hAnsiTheme="minorHAnsi" w:cstheme="minorHAnsi"/>
          <w:szCs w:val="24"/>
        </w:rPr>
        <w:t xml:space="preserve">in </w:t>
      </w:r>
      <w:r w:rsidRPr="00E27D3B">
        <w:rPr>
          <w:rFonts w:asciiTheme="minorHAnsi" w:hAnsiTheme="minorHAnsi" w:cstheme="minorHAnsi"/>
          <w:szCs w:val="24"/>
        </w:rPr>
        <w:t xml:space="preserve"> </w:t>
      </w:r>
      <w:r w:rsidRPr="00F12E16">
        <w:rPr>
          <w:rFonts w:asciiTheme="minorHAnsi" w:hAnsiTheme="minorHAnsi" w:cstheme="minorHAnsi"/>
          <w:i/>
          <w:iCs/>
          <w:szCs w:val="24"/>
        </w:rPr>
        <w:t>IEEE</w:t>
      </w:r>
      <w:proofErr w:type="gramEnd"/>
      <w:r w:rsidRPr="00F12E16">
        <w:rPr>
          <w:rFonts w:asciiTheme="minorHAnsi" w:hAnsiTheme="minorHAnsi" w:cstheme="minorHAnsi"/>
          <w:i/>
          <w:iCs/>
          <w:szCs w:val="24"/>
        </w:rPr>
        <w:t xml:space="preserve"> 1st International Power Electronics and Application Symposium (PEAS)</w:t>
      </w:r>
      <w:r w:rsidRPr="00E27D3B">
        <w:rPr>
          <w:rFonts w:asciiTheme="minorHAnsi" w:hAnsiTheme="minorHAnsi" w:cstheme="minorHAnsi"/>
          <w:szCs w:val="24"/>
        </w:rPr>
        <w:t>, Shanghai, China, 2021, pp. 1-5.</w:t>
      </w:r>
      <w:bookmarkEnd w:id="500"/>
    </w:p>
    <w:p w14:paraId="10767888" w14:textId="72DA2D21"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1" w:name="_Ref223641168"/>
      <w:r w:rsidRPr="00E27D3B">
        <w:rPr>
          <w:rFonts w:asciiTheme="minorHAnsi" w:hAnsiTheme="minorHAnsi" w:cstheme="minorHAnsi"/>
          <w:szCs w:val="24"/>
        </w:rPr>
        <w:t xml:space="preserve">Y. Xu, H. Cui, R. Yan and T. K. Saha, "Capacity Planning for Virtual Synchronous Generator Batteries to Enhance Small-Signal Stability of Grid-Following Converters," </w:t>
      </w:r>
      <w:r w:rsidR="00E8026B">
        <w:rPr>
          <w:rFonts w:asciiTheme="minorHAnsi" w:hAnsiTheme="minorHAnsi" w:cstheme="minorHAnsi"/>
          <w:szCs w:val="24"/>
        </w:rPr>
        <w:t>in</w:t>
      </w:r>
      <w:r w:rsidRPr="00E27D3B">
        <w:rPr>
          <w:rFonts w:asciiTheme="minorHAnsi" w:hAnsiTheme="minorHAnsi" w:cstheme="minorHAnsi"/>
          <w:szCs w:val="24"/>
        </w:rPr>
        <w:t xml:space="preserve"> </w:t>
      </w:r>
      <w:r w:rsidRPr="00F12E16">
        <w:rPr>
          <w:rFonts w:asciiTheme="minorHAnsi" w:hAnsiTheme="minorHAnsi" w:cstheme="minorHAnsi"/>
          <w:i/>
          <w:iCs/>
          <w:szCs w:val="24"/>
        </w:rPr>
        <w:t>IEEE 34th Australasian Universities Power Engineering Conference (AUPEC)</w:t>
      </w:r>
      <w:r w:rsidRPr="00E27D3B">
        <w:rPr>
          <w:rFonts w:asciiTheme="minorHAnsi" w:hAnsiTheme="minorHAnsi" w:cstheme="minorHAnsi"/>
          <w:szCs w:val="24"/>
        </w:rPr>
        <w:t>, Sydney, Australia, 2024, pp. 1-6.</w:t>
      </w:r>
      <w:bookmarkEnd w:id="501"/>
    </w:p>
    <w:p w14:paraId="2BFABC52" w14:textId="31BB68A8"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2" w:name="_Ref223641188"/>
      <w:r w:rsidRPr="00E27D3B">
        <w:rPr>
          <w:rFonts w:asciiTheme="minorHAnsi" w:hAnsiTheme="minorHAnsi" w:cstheme="minorHAnsi"/>
          <w:szCs w:val="24"/>
        </w:rPr>
        <w:t xml:space="preserve">L. Ding, X. Lu and J. Tan, "Comparative Small-Signal Stability Analysis of Grid-Forming and Grid-Following Inverters in Low-Inertia Power Systems," </w:t>
      </w:r>
      <w:r w:rsidR="00E8026B">
        <w:rPr>
          <w:rFonts w:asciiTheme="minorHAnsi" w:hAnsiTheme="minorHAnsi" w:cstheme="minorHAnsi"/>
          <w:szCs w:val="24"/>
        </w:rPr>
        <w:t xml:space="preserve">in </w:t>
      </w:r>
      <w:r w:rsidRPr="00F12E16">
        <w:rPr>
          <w:rFonts w:asciiTheme="minorHAnsi" w:hAnsiTheme="minorHAnsi" w:cstheme="minorHAnsi"/>
          <w:i/>
          <w:iCs/>
          <w:szCs w:val="24"/>
        </w:rPr>
        <w:t>IECON 2021 – 47th Annual Conference of the IEEE Industrial Electronics Society</w:t>
      </w:r>
      <w:r w:rsidRPr="00E27D3B">
        <w:rPr>
          <w:rFonts w:asciiTheme="minorHAnsi" w:hAnsiTheme="minorHAnsi" w:cstheme="minorHAnsi"/>
          <w:szCs w:val="24"/>
        </w:rPr>
        <w:t>, Toronto, ON, Canada, 2021, pp. 1-6.</w:t>
      </w:r>
      <w:bookmarkEnd w:id="502"/>
    </w:p>
    <w:p w14:paraId="4D175122" w14:textId="72D60905"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3" w:name="_Ref223641207"/>
      <w:r w:rsidRPr="00E27D3B">
        <w:rPr>
          <w:rFonts w:asciiTheme="minorHAnsi" w:hAnsiTheme="minorHAnsi" w:cstheme="minorHAnsi"/>
          <w:szCs w:val="24"/>
        </w:rPr>
        <w:t xml:space="preserve">Q. Peng, Q. Jiang, Y. Yang, T. Liu, H. Wang and F. Blaabjerg, "On the Stability of Power Electronics-Dominated Systems: Challenges and Potential Solutions," </w:t>
      </w:r>
      <w:r w:rsidR="00E8026B">
        <w:rPr>
          <w:rFonts w:asciiTheme="minorHAnsi" w:hAnsiTheme="minorHAnsi" w:cstheme="minorHAnsi"/>
          <w:szCs w:val="24"/>
        </w:rPr>
        <w:t xml:space="preserve">in </w:t>
      </w:r>
      <w:r w:rsidRPr="00F12E16">
        <w:rPr>
          <w:rFonts w:asciiTheme="minorHAnsi" w:hAnsiTheme="minorHAnsi" w:cstheme="minorHAnsi"/>
          <w:i/>
          <w:iCs/>
          <w:szCs w:val="24"/>
        </w:rPr>
        <w:t>IEEE Trans. Industry Appl</w:t>
      </w:r>
      <w:r w:rsidRPr="00E27D3B">
        <w:rPr>
          <w:rFonts w:asciiTheme="minorHAnsi" w:hAnsiTheme="minorHAnsi" w:cstheme="minorHAnsi"/>
          <w:szCs w:val="24"/>
        </w:rPr>
        <w:t>., vol. 55, no. 6, pp. 7657-7670, 2019.</w:t>
      </w:r>
      <w:bookmarkEnd w:id="503"/>
    </w:p>
    <w:p w14:paraId="129059CD" w14:textId="3B48BF1C"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4" w:name="_Ref223641226"/>
      <w:r w:rsidRPr="00E27D3B">
        <w:rPr>
          <w:rFonts w:asciiTheme="minorHAnsi" w:hAnsiTheme="minorHAnsi" w:cstheme="minorHAnsi"/>
          <w:szCs w:val="24"/>
        </w:rPr>
        <w:t xml:space="preserve">K. Kawabe and K. Tanaka, "Impact of Dynamic Behavior of Photovoltaic Power Generation Systems on Short-Term Voltage Stability,"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Power Syst.,</w:t>
      </w:r>
      <w:r w:rsidRPr="00E27D3B">
        <w:rPr>
          <w:rFonts w:asciiTheme="minorHAnsi" w:hAnsiTheme="minorHAnsi" w:cstheme="minorHAnsi"/>
          <w:szCs w:val="24"/>
        </w:rPr>
        <w:t xml:space="preserve"> vol. 30, no. 6, pp. 3416-3424, 2015.</w:t>
      </w:r>
      <w:bookmarkEnd w:id="504"/>
    </w:p>
    <w:p w14:paraId="46D1B5C9" w14:textId="1C86F752"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5" w:name="_Ref223641248"/>
      <w:r w:rsidRPr="00E27D3B">
        <w:rPr>
          <w:rFonts w:asciiTheme="minorHAnsi" w:hAnsiTheme="minorHAnsi" w:cstheme="minorHAnsi"/>
          <w:szCs w:val="24"/>
        </w:rPr>
        <w:t xml:space="preserve">D. Gautam, V. Vittal and T. Harbour, "Impact of Increased Penetration of DFIGURE-Based Wind Turbine Generators on Transient and Small Signal Stability of Power Systems,"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Power Syst.,</w:t>
      </w:r>
      <w:r w:rsidRPr="00E27D3B">
        <w:rPr>
          <w:rFonts w:asciiTheme="minorHAnsi" w:hAnsiTheme="minorHAnsi" w:cstheme="minorHAnsi"/>
          <w:szCs w:val="24"/>
        </w:rPr>
        <w:t xml:space="preserve"> vol. 24, no. 3, pp. 1426-1434, 2009.</w:t>
      </w:r>
      <w:bookmarkEnd w:id="505"/>
    </w:p>
    <w:p w14:paraId="7637AF37" w14:textId="6ACF8DCB"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6" w:name="_Ref223641261"/>
      <w:r w:rsidRPr="00E27D3B">
        <w:rPr>
          <w:rFonts w:asciiTheme="minorHAnsi" w:hAnsiTheme="minorHAnsi" w:cstheme="minorHAnsi"/>
          <w:szCs w:val="24"/>
        </w:rPr>
        <w:t xml:space="preserve">A. Sharma, P. D. </w:t>
      </w:r>
      <w:proofErr w:type="spellStart"/>
      <w:r w:rsidRPr="00E27D3B">
        <w:rPr>
          <w:rFonts w:asciiTheme="minorHAnsi" w:hAnsiTheme="minorHAnsi" w:cstheme="minorHAnsi"/>
          <w:szCs w:val="24"/>
        </w:rPr>
        <w:t>Achlerkar</w:t>
      </w:r>
      <w:proofErr w:type="spellEnd"/>
      <w:r w:rsidRPr="00E27D3B">
        <w:rPr>
          <w:rFonts w:asciiTheme="minorHAnsi" w:hAnsiTheme="minorHAnsi" w:cstheme="minorHAnsi"/>
          <w:szCs w:val="24"/>
        </w:rPr>
        <w:t xml:space="preserve">, and B. K. Panigrahi, “Dynamically Aggregated Small-Signal Impedance Model of Inverter-Based Resources”,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Energy conve</w:t>
      </w:r>
      <w:r w:rsidR="008519F0" w:rsidRPr="00F12E16">
        <w:rPr>
          <w:rFonts w:asciiTheme="minorHAnsi" w:hAnsiTheme="minorHAnsi" w:cstheme="minorHAnsi"/>
          <w:i/>
          <w:iCs/>
          <w:szCs w:val="24"/>
        </w:rPr>
        <w:t>rsion</w:t>
      </w:r>
      <w:r w:rsidRPr="00E27D3B">
        <w:rPr>
          <w:rFonts w:asciiTheme="minorHAnsi" w:hAnsiTheme="minorHAnsi" w:cstheme="minorHAnsi"/>
          <w:szCs w:val="24"/>
        </w:rPr>
        <w:t xml:space="preserve">, vol. 40, no. 1, </w:t>
      </w:r>
      <w:r w:rsidR="008519F0">
        <w:rPr>
          <w:rFonts w:asciiTheme="minorHAnsi" w:hAnsiTheme="minorHAnsi" w:cstheme="minorHAnsi"/>
          <w:szCs w:val="24"/>
        </w:rPr>
        <w:t xml:space="preserve">pp. 360-370, </w:t>
      </w:r>
      <w:r w:rsidRPr="00E27D3B">
        <w:rPr>
          <w:rFonts w:asciiTheme="minorHAnsi" w:hAnsiTheme="minorHAnsi" w:cstheme="minorHAnsi"/>
          <w:szCs w:val="24"/>
        </w:rPr>
        <w:t>Mar. 2025.</w:t>
      </w:r>
      <w:bookmarkEnd w:id="506"/>
      <w:r w:rsidRPr="00E27D3B">
        <w:rPr>
          <w:rFonts w:asciiTheme="minorHAnsi" w:hAnsiTheme="minorHAnsi" w:cstheme="minorHAnsi"/>
          <w:szCs w:val="24"/>
        </w:rPr>
        <w:t xml:space="preserve"> </w:t>
      </w:r>
    </w:p>
    <w:p w14:paraId="5149D0F5"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7" w:name="_Ref223641677"/>
      <w:r w:rsidRPr="00E27D3B">
        <w:rPr>
          <w:rFonts w:asciiTheme="minorHAnsi" w:hAnsiTheme="minorHAnsi" w:cstheme="minorHAnsi"/>
          <w:szCs w:val="24"/>
        </w:rPr>
        <w:t>H. Yuan, H. Xin, Z. Li, S. Li, J. Dai and H. Gao, "Enhancing the Small-Signal Stability of Power Grids via Optimally Coordinating Inverter-Based Resources," in</w:t>
      </w:r>
      <w:r w:rsidRPr="00F12E16">
        <w:rPr>
          <w:rFonts w:asciiTheme="minorHAnsi" w:hAnsiTheme="minorHAnsi" w:cstheme="minorHAnsi"/>
          <w:i/>
          <w:iCs/>
          <w:szCs w:val="24"/>
        </w:rPr>
        <w:t xml:space="preserve"> IEEE Transactions on Sustainable Energy</w:t>
      </w:r>
      <w:r w:rsidRPr="00E27D3B">
        <w:rPr>
          <w:rFonts w:asciiTheme="minorHAnsi" w:hAnsiTheme="minorHAnsi" w:cstheme="minorHAnsi"/>
          <w:szCs w:val="24"/>
        </w:rPr>
        <w:t>, vol. 16, no. 1, pp. 17-31, Jan. 2025</w:t>
      </w:r>
      <w:bookmarkEnd w:id="507"/>
    </w:p>
    <w:p w14:paraId="17E22A23" w14:textId="441F94A4"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8" w:name="_Ref223641694"/>
      <w:r w:rsidRPr="00E27D3B">
        <w:rPr>
          <w:rFonts w:asciiTheme="minorHAnsi" w:hAnsiTheme="minorHAnsi" w:cstheme="minorHAnsi"/>
          <w:szCs w:val="24"/>
        </w:rPr>
        <w:t xml:space="preserve">W. Dong, H. Xin, and et. al., “Small-signal stability analysis of </w:t>
      </w:r>
      <w:proofErr w:type="spellStart"/>
      <w:r w:rsidRPr="00E27D3B">
        <w:rPr>
          <w:rFonts w:asciiTheme="minorHAnsi" w:hAnsiTheme="minorHAnsi" w:cstheme="minorHAnsi"/>
          <w:szCs w:val="24"/>
        </w:rPr>
        <w:t>multiinfeed</w:t>
      </w:r>
      <w:proofErr w:type="spellEnd"/>
      <w:r w:rsidRPr="00E27D3B">
        <w:rPr>
          <w:rFonts w:asciiTheme="minorHAnsi" w:hAnsiTheme="minorHAnsi" w:cstheme="minorHAnsi"/>
          <w:szCs w:val="24"/>
        </w:rPr>
        <w:t xml:space="preserve"> power electronic systems based on grid strength assessment,”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Power syst</w:t>
      </w:r>
      <w:r w:rsidRPr="00E27D3B">
        <w:rPr>
          <w:rFonts w:asciiTheme="minorHAnsi" w:hAnsiTheme="minorHAnsi" w:cstheme="minorHAnsi"/>
          <w:szCs w:val="24"/>
        </w:rPr>
        <w:t>., vol. 34, no. 2, pp. 1393–1403, May. 2019.</w:t>
      </w:r>
      <w:bookmarkEnd w:id="508"/>
    </w:p>
    <w:p w14:paraId="5A77401A" w14:textId="4B4E9910"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09" w:name="_Ref223641721"/>
      <w:r w:rsidRPr="00E27D3B">
        <w:rPr>
          <w:rFonts w:asciiTheme="minorHAnsi" w:hAnsiTheme="minorHAnsi" w:cstheme="minorHAnsi"/>
          <w:szCs w:val="24"/>
        </w:rPr>
        <w:t xml:space="preserve">J. Zhou, H. Ding, S. Fan, Y. Zhang, and A. Gole, “Impact of short-circuit ratio and phase-locked-loop parameters on the small-signal behavior of a VSC-HVDC converter,”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Power Del</w:t>
      </w:r>
      <w:r w:rsidRPr="00E27D3B">
        <w:rPr>
          <w:rFonts w:asciiTheme="minorHAnsi" w:hAnsiTheme="minorHAnsi" w:cstheme="minorHAnsi"/>
          <w:szCs w:val="24"/>
        </w:rPr>
        <w:t>., vol. 29, no. 5, pp. 2287–2296, Oct. 2014.</w:t>
      </w:r>
      <w:bookmarkEnd w:id="509"/>
    </w:p>
    <w:p w14:paraId="2BE318E9" w14:textId="449C5C39"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0" w:name="_Ref223641723"/>
      <w:r w:rsidRPr="00E27D3B">
        <w:rPr>
          <w:rFonts w:asciiTheme="minorHAnsi" w:hAnsiTheme="minorHAnsi" w:cstheme="minorHAnsi"/>
          <w:szCs w:val="24"/>
        </w:rPr>
        <w:t xml:space="preserve">Y. Zhou, H. Xin, D. Wu, </w:t>
      </w:r>
      <w:proofErr w:type="gramStart"/>
      <w:r w:rsidRPr="00E27D3B">
        <w:rPr>
          <w:rFonts w:asciiTheme="minorHAnsi" w:hAnsiTheme="minorHAnsi" w:cstheme="minorHAnsi"/>
          <w:szCs w:val="24"/>
        </w:rPr>
        <w:t>and et al.</w:t>
      </w:r>
      <w:proofErr w:type="gramEnd"/>
      <w:r w:rsidRPr="00E27D3B">
        <w:rPr>
          <w:rFonts w:asciiTheme="minorHAnsi" w:hAnsiTheme="minorHAnsi" w:cstheme="minorHAnsi"/>
          <w:szCs w:val="24"/>
        </w:rPr>
        <w:t xml:space="preserve">, "Small-signal stability assessment of heterogeneous grid-following converter power systems based on grid strength analysis," </w:t>
      </w:r>
      <w:r w:rsidR="008519F0">
        <w:rPr>
          <w:rFonts w:asciiTheme="minorHAnsi" w:hAnsiTheme="minorHAnsi" w:cstheme="minorHAnsi"/>
          <w:szCs w:val="24"/>
        </w:rPr>
        <w:t xml:space="preserve">in </w:t>
      </w:r>
      <w:r w:rsidRPr="00F12E16">
        <w:rPr>
          <w:rFonts w:asciiTheme="minorHAnsi" w:hAnsiTheme="minorHAnsi" w:cstheme="minorHAnsi"/>
          <w:i/>
          <w:iCs/>
          <w:szCs w:val="24"/>
        </w:rPr>
        <w:t>IEEE Trans. Power syst.</w:t>
      </w:r>
      <w:r w:rsidRPr="00E27D3B">
        <w:rPr>
          <w:rFonts w:asciiTheme="minorHAnsi" w:hAnsiTheme="minorHAnsi" w:cstheme="minorHAnsi"/>
          <w:szCs w:val="24"/>
        </w:rPr>
        <w:t>, vol. 38, no. 3, pp. 2566–2579, May 2023.</w:t>
      </w:r>
      <w:bookmarkEnd w:id="510"/>
    </w:p>
    <w:p w14:paraId="423F78F6"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1" w:name="_Ref223641762"/>
      <w:r w:rsidRPr="00E27D3B">
        <w:rPr>
          <w:rFonts w:asciiTheme="minorHAnsi" w:hAnsiTheme="minorHAnsi" w:cstheme="minorHAnsi"/>
          <w:szCs w:val="24"/>
        </w:rPr>
        <w:t xml:space="preserve">C. Liu, H. Xin, et al, “Generalized Operational Short-Circuit Ratio for Grid Strength Assessment in Renewable Power Systems under Non-Rated Operating Conditions,” </w:t>
      </w:r>
      <w:proofErr w:type="spellStart"/>
      <w:r w:rsidRPr="00E27D3B">
        <w:rPr>
          <w:rFonts w:asciiTheme="minorHAnsi" w:hAnsiTheme="minorHAnsi" w:cstheme="minorHAnsi"/>
          <w:szCs w:val="24"/>
        </w:rPr>
        <w:t>TechRxiv</w:t>
      </w:r>
      <w:proofErr w:type="spellEnd"/>
      <w:r w:rsidRPr="00E27D3B">
        <w:rPr>
          <w:rFonts w:asciiTheme="minorHAnsi" w:hAnsiTheme="minorHAnsi" w:cstheme="minorHAnsi"/>
          <w:szCs w:val="24"/>
        </w:rPr>
        <w:t>. Preprint. https://doi.org/10.36227/techrxiv.20692483.v1.</w:t>
      </w:r>
      <w:bookmarkEnd w:id="511"/>
    </w:p>
    <w:p w14:paraId="181058CD" w14:textId="377F82B5"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2" w:name="_Ref223641782"/>
      <w:r w:rsidRPr="00E27D3B">
        <w:rPr>
          <w:rFonts w:asciiTheme="minorHAnsi" w:hAnsiTheme="minorHAnsi" w:cstheme="minorHAnsi"/>
          <w:szCs w:val="24"/>
        </w:rPr>
        <w:t xml:space="preserve">M. Tayyab and S. K. E. Awadallah, " Investigation of virtual synchronous generator control parameters for small signal stability at different levels of renewable resource </w:t>
      </w:r>
      <w:r w:rsidRPr="00E27D3B">
        <w:rPr>
          <w:rFonts w:asciiTheme="minorHAnsi" w:hAnsiTheme="minorHAnsi" w:cstheme="minorHAnsi"/>
          <w:szCs w:val="24"/>
        </w:rPr>
        <w:lastRenderedPageBreak/>
        <w:t xml:space="preserve">penetration," </w:t>
      </w:r>
      <w:proofErr w:type="gramStart"/>
      <w:r w:rsidR="00A63E56">
        <w:rPr>
          <w:rFonts w:asciiTheme="minorHAnsi" w:hAnsiTheme="minorHAnsi" w:cstheme="minorHAnsi"/>
          <w:szCs w:val="24"/>
        </w:rPr>
        <w:t xml:space="preserve">in </w:t>
      </w:r>
      <w:r w:rsidRPr="00F12E16">
        <w:rPr>
          <w:rFonts w:asciiTheme="minorHAnsi" w:hAnsiTheme="minorHAnsi" w:cstheme="minorHAnsi"/>
          <w:i/>
          <w:iCs/>
          <w:szCs w:val="24"/>
        </w:rPr>
        <w:t xml:space="preserve"> 4</w:t>
      </w:r>
      <w:proofErr w:type="gramEnd"/>
      <w:r w:rsidRPr="00F12E16">
        <w:rPr>
          <w:rFonts w:asciiTheme="minorHAnsi" w:hAnsiTheme="minorHAnsi" w:cstheme="minorHAnsi"/>
          <w:i/>
          <w:iCs/>
          <w:szCs w:val="24"/>
        </w:rPr>
        <w:t>th International Conference on Smart Grid and Renewable Energy (SGRE)</w:t>
      </w:r>
      <w:r w:rsidRPr="00E27D3B">
        <w:rPr>
          <w:rFonts w:asciiTheme="minorHAnsi" w:hAnsiTheme="minorHAnsi" w:cstheme="minorHAnsi"/>
          <w:szCs w:val="24"/>
        </w:rPr>
        <w:t>, Doha, Qatar, 2024, pp. 1-6.</w:t>
      </w:r>
      <w:bookmarkEnd w:id="512"/>
    </w:p>
    <w:p w14:paraId="462B655F" w14:textId="31C62B34"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3" w:name="_Ref223641802"/>
      <w:r w:rsidRPr="00E27D3B">
        <w:rPr>
          <w:rFonts w:asciiTheme="minorHAnsi" w:hAnsiTheme="minorHAnsi" w:cstheme="minorHAnsi"/>
          <w:szCs w:val="24"/>
        </w:rPr>
        <w:t xml:space="preserve">H. Nguyen-Duc, H. </w:t>
      </w:r>
      <w:proofErr w:type="gramStart"/>
      <w:r w:rsidRPr="00E27D3B">
        <w:rPr>
          <w:rFonts w:asciiTheme="minorHAnsi" w:hAnsiTheme="minorHAnsi" w:cstheme="minorHAnsi"/>
          <w:szCs w:val="24"/>
        </w:rPr>
        <w:t>Nguyen-Van</w:t>
      </w:r>
      <w:proofErr w:type="gramEnd"/>
      <w:r w:rsidRPr="00E27D3B">
        <w:rPr>
          <w:rFonts w:asciiTheme="minorHAnsi" w:hAnsiTheme="minorHAnsi" w:cstheme="minorHAnsi"/>
          <w:szCs w:val="24"/>
        </w:rPr>
        <w:t xml:space="preserve"> and Q. Nguyen-Gia, "Modeling and Small-signal Stability of Microgrid with Virtual Synchronous Generators," </w:t>
      </w:r>
      <w:r w:rsidR="00302FAC">
        <w:rPr>
          <w:rFonts w:asciiTheme="minorHAnsi" w:hAnsiTheme="minorHAnsi" w:cstheme="minorHAnsi"/>
          <w:szCs w:val="24"/>
        </w:rPr>
        <w:t>i</w:t>
      </w:r>
      <w:r w:rsidR="00A63E56">
        <w:rPr>
          <w:rFonts w:asciiTheme="minorHAnsi" w:hAnsiTheme="minorHAnsi" w:cstheme="minorHAnsi"/>
          <w:szCs w:val="24"/>
        </w:rPr>
        <w:t>n</w:t>
      </w:r>
      <w:r w:rsidRPr="00E27D3B">
        <w:rPr>
          <w:rFonts w:asciiTheme="minorHAnsi" w:hAnsiTheme="minorHAnsi" w:cstheme="minorHAnsi"/>
          <w:szCs w:val="24"/>
        </w:rPr>
        <w:t xml:space="preserve"> </w:t>
      </w:r>
      <w:r w:rsidRPr="00F12E16">
        <w:rPr>
          <w:rFonts w:asciiTheme="minorHAnsi" w:hAnsiTheme="minorHAnsi" w:cstheme="minorHAnsi"/>
          <w:i/>
          <w:iCs/>
          <w:szCs w:val="24"/>
        </w:rPr>
        <w:t>11th International Conference on Power and Energy Systems Engineering (CPESE),</w:t>
      </w:r>
      <w:r w:rsidRPr="00E27D3B">
        <w:rPr>
          <w:rFonts w:asciiTheme="minorHAnsi" w:hAnsiTheme="minorHAnsi" w:cstheme="minorHAnsi"/>
          <w:szCs w:val="24"/>
        </w:rPr>
        <w:t xml:space="preserve"> Nara City, Japan, 2024, pp. 1-7</w:t>
      </w:r>
      <w:bookmarkEnd w:id="513"/>
    </w:p>
    <w:p w14:paraId="09DCD07F" w14:textId="1A742E61" w:rsidR="00026EF1" w:rsidRPr="00E27D3B" w:rsidRDefault="00026EF1" w:rsidP="00CD4F3A">
      <w:pPr>
        <w:pStyle w:val="BodyText"/>
        <w:numPr>
          <w:ilvl w:val="0"/>
          <w:numId w:val="47"/>
        </w:numPr>
        <w:spacing w:line="240" w:lineRule="auto"/>
        <w:rPr>
          <w:rFonts w:asciiTheme="minorHAnsi" w:hAnsiTheme="minorHAnsi" w:cstheme="minorHAnsi"/>
          <w:szCs w:val="24"/>
        </w:rPr>
      </w:pPr>
      <w:r w:rsidRPr="00E27D3B">
        <w:rPr>
          <w:rFonts w:asciiTheme="minorHAnsi" w:hAnsiTheme="minorHAnsi" w:cstheme="minorHAnsi"/>
          <w:szCs w:val="24"/>
        </w:rPr>
        <w:t xml:space="preserve">L. Ding et al., "Quantitative Small-signal Stability Analysis of Grid-forming Inverters in Large-scale Power Systems," </w:t>
      </w:r>
      <w:r w:rsidR="00302FAC">
        <w:rPr>
          <w:rFonts w:asciiTheme="minorHAnsi" w:hAnsiTheme="minorHAnsi" w:cstheme="minorHAnsi"/>
          <w:szCs w:val="24"/>
        </w:rPr>
        <w:t>i</w:t>
      </w:r>
      <w:r w:rsidR="00A63E56">
        <w:rPr>
          <w:rFonts w:asciiTheme="minorHAnsi" w:hAnsiTheme="minorHAnsi" w:cstheme="minorHAnsi"/>
          <w:szCs w:val="24"/>
        </w:rPr>
        <w:t>n</w:t>
      </w:r>
      <w:r w:rsidRPr="00E27D3B">
        <w:rPr>
          <w:rFonts w:asciiTheme="minorHAnsi" w:hAnsiTheme="minorHAnsi" w:cstheme="minorHAnsi"/>
          <w:szCs w:val="24"/>
        </w:rPr>
        <w:t xml:space="preserve"> </w:t>
      </w:r>
      <w:r w:rsidRPr="00F12E16">
        <w:rPr>
          <w:rFonts w:asciiTheme="minorHAnsi" w:hAnsiTheme="minorHAnsi" w:cstheme="minorHAnsi"/>
          <w:i/>
          <w:iCs/>
          <w:szCs w:val="24"/>
        </w:rPr>
        <w:t>IEEE Energy Conversion Congress and Exposition (ECCE)</w:t>
      </w:r>
      <w:r w:rsidRPr="00E27D3B">
        <w:rPr>
          <w:rFonts w:asciiTheme="minorHAnsi" w:hAnsiTheme="minorHAnsi" w:cstheme="minorHAnsi"/>
          <w:szCs w:val="24"/>
        </w:rPr>
        <w:t>, Nashville, TN, USA, 2023, pp. 112-119</w:t>
      </w:r>
    </w:p>
    <w:p w14:paraId="77374996"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4" w:name="_Ref223640276"/>
      <w:r w:rsidRPr="00E27D3B">
        <w:rPr>
          <w:rFonts w:asciiTheme="minorHAnsi" w:hAnsiTheme="minorHAnsi" w:cstheme="minorHAnsi"/>
          <w:szCs w:val="24"/>
        </w:rPr>
        <w:t xml:space="preserve">P. </w:t>
      </w:r>
      <w:proofErr w:type="spellStart"/>
      <w:r w:rsidRPr="00E27D3B">
        <w:rPr>
          <w:rFonts w:asciiTheme="minorHAnsi" w:hAnsiTheme="minorHAnsi" w:cstheme="minorHAnsi"/>
          <w:szCs w:val="24"/>
        </w:rPr>
        <w:t>Kundur</w:t>
      </w:r>
      <w:proofErr w:type="spellEnd"/>
      <w:r w:rsidRPr="00E27D3B">
        <w:rPr>
          <w:rFonts w:asciiTheme="minorHAnsi" w:hAnsiTheme="minorHAnsi" w:cstheme="minorHAnsi"/>
          <w:szCs w:val="24"/>
        </w:rPr>
        <w:t>, Power system stability and control. New York, NY, USA: McGraw-Hill, 1994.</w:t>
      </w:r>
      <w:bookmarkEnd w:id="514"/>
    </w:p>
    <w:p w14:paraId="1F0EFB33" w14:textId="5C3FE6DC"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5" w:name="_Ref223641851"/>
      <w:r w:rsidRPr="00E27D3B">
        <w:rPr>
          <w:rFonts w:asciiTheme="minorHAnsi" w:hAnsiTheme="minorHAnsi" w:cstheme="minorHAnsi"/>
          <w:szCs w:val="24"/>
        </w:rPr>
        <w:t xml:space="preserve">A. </w:t>
      </w:r>
      <w:r w:rsidR="00302FAC">
        <w:rPr>
          <w:rFonts w:asciiTheme="minorHAnsi" w:hAnsiTheme="minorHAnsi" w:cstheme="minorHAnsi"/>
          <w:szCs w:val="24"/>
        </w:rPr>
        <w:t xml:space="preserve">Clark </w:t>
      </w:r>
      <w:r w:rsidRPr="00E27D3B">
        <w:rPr>
          <w:rFonts w:asciiTheme="minorHAnsi" w:hAnsiTheme="minorHAnsi" w:cstheme="minorHAnsi"/>
          <w:szCs w:val="24"/>
        </w:rPr>
        <w:t>et. al., ‘Small Signal Stability Analysis of Power Systems with a Very High Penetration of Converter Based Generation’,</w:t>
      </w:r>
      <w:r w:rsidR="00302FAC">
        <w:rPr>
          <w:rFonts w:asciiTheme="minorHAnsi" w:hAnsiTheme="minorHAnsi" w:cstheme="minorHAnsi"/>
          <w:szCs w:val="24"/>
        </w:rPr>
        <w:t xml:space="preserve"> in</w:t>
      </w:r>
      <w:r w:rsidRPr="00E27D3B">
        <w:rPr>
          <w:rFonts w:asciiTheme="minorHAnsi" w:hAnsiTheme="minorHAnsi" w:cstheme="minorHAnsi"/>
          <w:szCs w:val="24"/>
        </w:rPr>
        <w:t xml:space="preserve"> C</w:t>
      </w:r>
      <w:r w:rsidR="00302FAC">
        <w:rPr>
          <w:rFonts w:asciiTheme="minorHAnsi" w:hAnsiTheme="minorHAnsi" w:cstheme="minorHAnsi"/>
          <w:szCs w:val="24"/>
        </w:rPr>
        <w:t xml:space="preserve">IGRE Science and </w:t>
      </w:r>
      <w:proofErr w:type="gramStart"/>
      <w:r w:rsidR="00302FAC">
        <w:rPr>
          <w:rFonts w:asciiTheme="minorHAnsi" w:hAnsiTheme="minorHAnsi" w:cstheme="minorHAnsi"/>
          <w:szCs w:val="24"/>
        </w:rPr>
        <w:t xml:space="preserve">Engineering, </w:t>
      </w:r>
      <w:r w:rsidRPr="00E27D3B">
        <w:rPr>
          <w:rFonts w:asciiTheme="minorHAnsi" w:hAnsiTheme="minorHAnsi" w:cstheme="minorHAnsi"/>
          <w:szCs w:val="24"/>
        </w:rPr>
        <w:t xml:space="preserve"> </w:t>
      </w:r>
      <w:r w:rsidR="00302FAC">
        <w:rPr>
          <w:rFonts w:asciiTheme="minorHAnsi" w:hAnsiTheme="minorHAnsi" w:cstheme="minorHAnsi"/>
          <w:szCs w:val="24"/>
        </w:rPr>
        <w:t>no</w:t>
      </w:r>
      <w:proofErr w:type="gramEnd"/>
      <w:r w:rsidR="00302FAC">
        <w:rPr>
          <w:rFonts w:asciiTheme="minorHAnsi" w:hAnsiTheme="minorHAnsi" w:cstheme="minorHAnsi"/>
          <w:szCs w:val="24"/>
        </w:rPr>
        <w:t xml:space="preserve">, </w:t>
      </w:r>
      <w:r w:rsidRPr="00E27D3B">
        <w:rPr>
          <w:rFonts w:asciiTheme="minorHAnsi" w:hAnsiTheme="minorHAnsi" w:cstheme="minorHAnsi"/>
          <w:szCs w:val="24"/>
        </w:rPr>
        <w:t>37</w:t>
      </w:r>
      <w:r w:rsidR="00302FAC">
        <w:rPr>
          <w:rFonts w:asciiTheme="minorHAnsi" w:hAnsiTheme="minorHAnsi" w:cstheme="minorHAnsi"/>
          <w:szCs w:val="24"/>
        </w:rPr>
        <w:t>, pp. 1-</w:t>
      </w:r>
      <w:proofErr w:type="gramStart"/>
      <w:r w:rsidR="00302FAC">
        <w:rPr>
          <w:rFonts w:asciiTheme="minorHAnsi" w:hAnsiTheme="minorHAnsi" w:cstheme="minorHAnsi"/>
          <w:szCs w:val="24"/>
        </w:rPr>
        <w:t xml:space="preserve">26, </w:t>
      </w:r>
      <w:r w:rsidRPr="00E27D3B">
        <w:rPr>
          <w:rFonts w:asciiTheme="minorHAnsi" w:hAnsiTheme="minorHAnsi" w:cstheme="minorHAnsi"/>
          <w:szCs w:val="24"/>
        </w:rPr>
        <w:t xml:space="preserve"> June</w:t>
      </w:r>
      <w:proofErr w:type="gramEnd"/>
      <w:r w:rsidRPr="00E27D3B">
        <w:rPr>
          <w:rFonts w:asciiTheme="minorHAnsi" w:hAnsiTheme="minorHAnsi" w:cstheme="minorHAnsi"/>
          <w:szCs w:val="24"/>
        </w:rPr>
        <w:t xml:space="preserve"> 2025.</w:t>
      </w:r>
      <w:bookmarkEnd w:id="515"/>
    </w:p>
    <w:p w14:paraId="1CC7A92C"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6" w:name="_Ref223641862"/>
      <w:r w:rsidRPr="00E27D3B">
        <w:rPr>
          <w:rFonts w:asciiTheme="minorHAnsi" w:hAnsiTheme="minorHAnsi" w:cstheme="minorHAnsi"/>
          <w:szCs w:val="24"/>
        </w:rPr>
        <w:t xml:space="preserve">Q. Chen, S. Bu and C. Y. Chung, "Small-Signal Stability Criteria in Power Electronics-Dominated Power Systems: A Comparative Review," in </w:t>
      </w:r>
      <w:r w:rsidRPr="00F12E16">
        <w:rPr>
          <w:rFonts w:asciiTheme="minorHAnsi" w:hAnsiTheme="minorHAnsi" w:cstheme="minorHAnsi"/>
          <w:i/>
          <w:iCs/>
          <w:szCs w:val="24"/>
        </w:rPr>
        <w:t>Journal of Modern Power Systems and Clean Energy</w:t>
      </w:r>
      <w:r w:rsidRPr="00E27D3B">
        <w:rPr>
          <w:rFonts w:asciiTheme="minorHAnsi" w:hAnsiTheme="minorHAnsi" w:cstheme="minorHAnsi"/>
          <w:szCs w:val="24"/>
        </w:rPr>
        <w:t>, vol. 12, no. 4, pp. 1003-1018, July 2024</w:t>
      </w:r>
      <w:bookmarkEnd w:id="516"/>
    </w:p>
    <w:p w14:paraId="32B1C810" w14:textId="76D48640"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7" w:name="_Ref223640786"/>
      <w:r w:rsidRPr="00E27D3B">
        <w:rPr>
          <w:rFonts w:asciiTheme="minorHAnsi" w:hAnsiTheme="minorHAnsi" w:cstheme="minorHAnsi"/>
          <w:szCs w:val="24"/>
        </w:rPr>
        <w:t xml:space="preserve">J. Sun, Impedance-based stability criterion for grid-connected inverters, </w:t>
      </w:r>
      <w:r w:rsidR="00302FAC">
        <w:rPr>
          <w:rFonts w:asciiTheme="minorHAnsi" w:hAnsiTheme="minorHAnsi" w:cstheme="minorHAnsi"/>
          <w:szCs w:val="24"/>
        </w:rPr>
        <w:t xml:space="preserve">in </w:t>
      </w:r>
      <w:r w:rsidRPr="00F12E16">
        <w:rPr>
          <w:rFonts w:asciiTheme="minorHAnsi" w:hAnsiTheme="minorHAnsi" w:cstheme="minorHAnsi"/>
          <w:i/>
          <w:iCs/>
          <w:szCs w:val="24"/>
        </w:rPr>
        <w:t>IEEE Trans. Power Electron</w:t>
      </w:r>
      <w:r w:rsidRPr="00E27D3B">
        <w:rPr>
          <w:rFonts w:asciiTheme="minorHAnsi" w:hAnsiTheme="minorHAnsi" w:cstheme="minorHAnsi"/>
          <w:szCs w:val="24"/>
        </w:rPr>
        <w:t>., vol. 26, no.  11, pp. 3073–3078, 2011.</w:t>
      </w:r>
      <w:bookmarkEnd w:id="517"/>
    </w:p>
    <w:p w14:paraId="6954E7CD" w14:textId="1A885C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8" w:name="_Ref223641957"/>
      <w:r w:rsidRPr="00E27D3B">
        <w:rPr>
          <w:rFonts w:asciiTheme="minorHAnsi" w:hAnsiTheme="minorHAnsi" w:cstheme="minorHAnsi"/>
          <w:szCs w:val="24"/>
        </w:rPr>
        <w:t xml:space="preserve">T. </w:t>
      </w:r>
      <w:proofErr w:type="spellStart"/>
      <w:r w:rsidRPr="00E27D3B">
        <w:rPr>
          <w:rFonts w:asciiTheme="minorHAnsi" w:hAnsiTheme="minorHAnsi" w:cstheme="minorHAnsi"/>
          <w:szCs w:val="24"/>
        </w:rPr>
        <w:t>Roinila</w:t>
      </w:r>
      <w:proofErr w:type="spellEnd"/>
      <w:r w:rsidRPr="00E27D3B">
        <w:rPr>
          <w:rFonts w:asciiTheme="minorHAnsi" w:hAnsiTheme="minorHAnsi" w:cstheme="minorHAnsi"/>
          <w:szCs w:val="24"/>
        </w:rPr>
        <w:t>, H. Abdollahi, E. Santi, “Frequency-domain identification based on pseudorandom sequences in analysis and control of DC power distribution systems: A review,</w:t>
      </w:r>
      <w:r w:rsidR="00302FAC">
        <w:rPr>
          <w:rFonts w:asciiTheme="minorHAnsi" w:hAnsiTheme="minorHAnsi" w:cstheme="minorHAnsi"/>
          <w:szCs w:val="24"/>
        </w:rPr>
        <w:t>”</w:t>
      </w:r>
      <w:r w:rsidRPr="00E27D3B">
        <w:rPr>
          <w:rFonts w:asciiTheme="minorHAnsi" w:hAnsiTheme="minorHAnsi" w:cstheme="minorHAnsi"/>
          <w:szCs w:val="24"/>
        </w:rPr>
        <w:t xml:space="preserve"> </w:t>
      </w:r>
      <w:r w:rsidR="00302FAC">
        <w:rPr>
          <w:rFonts w:asciiTheme="minorHAnsi" w:hAnsiTheme="minorHAnsi" w:cstheme="minorHAnsi"/>
          <w:szCs w:val="24"/>
        </w:rPr>
        <w:t xml:space="preserve">in </w:t>
      </w:r>
      <w:r w:rsidRPr="00F12E16">
        <w:rPr>
          <w:rFonts w:asciiTheme="minorHAnsi" w:hAnsiTheme="minorHAnsi" w:cstheme="minorHAnsi"/>
          <w:i/>
          <w:iCs/>
          <w:szCs w:val="24"/>
        </w:rPr>
        <w:t>IEEE Trans. Power Electron</w:t>
      </w:r>
      <w:r w:rsidRPr="00E27D3B">
        <w:rPr>
          <w:rFonts w:asciiTheme="minorHAnsi" w:hAnsiTheme="minorHAnsi" w:cstheme="minorHAnsi"/>
          <w:szCs w:val="24"/>
        </w:rPr>
        <w:t>., vol. 36, no. 4, pp. 3744–3756, 2020.</w:t>
      </w:r>
      <w:bookmarkEnd w:id="518"/>
    </w:p>
    <w:p w14:paraId="794D8314" w14:textId="7C501333"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19" w:name="_Ref223641971"/>
      <w:r w:rsidRPr="00E27D3B">
        <w:rPr>
          <w:rFonts w:asciiTheme="minorHAnsi" w:hAnsiTheme="minorHAnsi" w:cstheme="minorHAnsi"/>
          <w:szCs w:val="24"/>
        </w:rPr>
        <w:t xml:space="preserve">J. Shair, Y. Zhan, L. Wang, X. Xie, “Impedance network-based oscillatory stability </w:t>
      </w:r>
      <w:proofErr w:type="spellStart"/>
      <w:r w:rsidRPr="00E27D3B">
        <w:rPr>
          <w:rFonts w:asciiTheme="minorHAnsi" w:hAnsiTheme="minorHAnsi" w:cstheme="minorHAnsi"/>
          <w:szCs w:val="24"/>
        </w:rPr>
        <w:t>analyzer</w:t>
      </w:r>
      <w:proofErr w:type="spellEnd"/>
      <w:r w:rsidRPr="00E27D3B">
        <w:rPr>
          <w:rFonts w:asciiTheme="minorHAnsi" w:hAnsiTheme="minorHAnsi" w:cstheme="minorHAnsi"/>
          <w:szCs w:val="24"/>
        </w:rPr>
        <w:t xml:space="preserve"> (INOSA)–a frequency domain tool for investigating IBR-grid interactions,</w:t>
      </w:r>
      <w:r w:rsidR="00302FAC">
        <w:rPr>
          <w:rFonts w:asciiTheme="minorHAnsi" w:hAnsiTheme="minorHAnsi" w:cstheme="minorHAnsi"/>
          <w:szCs w:val="24"/>
        </w:rPr>
        <w:t>”</w:t>
      </w:r>
      <w:r w:rsidRPr="00E27D3B">
        <w:rPr>
          <w:rFonts w:asciiTheme="minorHAnsi" w:hAnsiTheme="minorHAnsi" w:cstheme="minorHAnsi"/>
          <w:szCs w:val="24"/>
        </w:rPr>
        <w:t xml:space="preserve"> </w:t>
      </w:r>
      <w:r w:rsidR="00302FAC">
        <w:rPr>
          <w:rFonts w:asciiTheme="minorHAnsi" w:hAnsiTheme="minorHAnsi" w:cstheme="minorHAnsi"/>
          <w:szCs w:val="24"/>
        </w:rPr>
        <w:t xml:space="preserve">in </w:t>
      </w:r>
      <w:r w:rsidRPr="00F12E16">
        <w:rPr>
          <w:rFonts w:asciiTheme="minorHAnsi" w:hAnsiTheme="minorHAnsi" w:cstheme="minorHAnsi"/>
          <w:i/>
          <w:iCs/>
          <w:szCs w:val="24"/>
        </w:rPr>
        <w:t xml:space="preserve">Int. J. </w:t>
      </w:r>
      <w:proofErr w:type="spellStart"/>
      <w:r w:rsidRPr="00F12E16">
        <w:rPr>
          <w:rFonts w:asciiTheme="minorHAnsi" w:hAnsiTheme="minorHAnsi" w:cstheme="minorHAnsi"/>
          <w:i/>
          <w:iCs/>
          <w:szCs w:val="24"/>
        </w:rPr>
        <w:t>Electr</w:t>
      </w:r>
      <w:proofErr w:type="spellEnd"/>
      <w:r w:rsidRPr="00F12E16">
        <w:rPr>
          <w:rFonts w:asciiTheme="minorHAnsi" w:hAnsiTheme="minorHAnsi" w:cstheme="minorHAnsi"/>
          <w:i/>
          <w:iCs/>
          <w:szCs w:val="24"/>
        </w:rPr>
        <w:t>. Power Energy Syst.</w:t>
      </w:r>
      <w:r w:rsidRPr="00E27D3B">
        <w:rPr>
          <w:rFonts w:asciiTheme="minorHAnsi" w:hAnsiTheme="minorHAnsi" w:cstheme="minorHAnsi"/>
          <w:szCs w:val="24"/>
        </w:rPr>
        <w:t>, vol. 155, art. no. 109480, 2024.</w:t>
      </w:r>
      <w:bookmarkEnd w:id="519"/>
    </w:p>
    <w:p w14:paraId="2DAA8DC7" w14:textId="16F8C52A"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0" w:name="_Ref223641984"/>
      <w:r w:rsidRPr="00E27D3B">
        <w:rPr>
          <w:rFonts w:asciiTheme="minorHAnsi" w:hAnsiTheme="minorHAnsi" w:cstheme="minorHAnsi"/>
          <w:szCs w:val="24"/>
        </w:rPr>
        <w:t xml:space="preserve">P. Xiao, G.K. Venayagamoorthy, K.A. Corzine, J. Huang, Recurrent neural networks-based impedance measurement technique for power electronic systems, </w:t>
      </w:r>
      <w:r w:rsidR="00302FAC">
        <w:rPr>
          <w:rFonts w:asciiTheme="minorHAnsi" w:hAnsiTheme="minorHAnsi" w:cstheme="minorHAnsi"/>
          <w:szCs w:val="24"/>
        </w:rPr>
        <w:t xml:space="preserve">in </w:t>
      </w:r>
      <w:r w:rsidRPr="00F12E16">
        <w:rPr>
          <w:rFonts w:asciiTheme="minorHAnsi" w:hAnsiTheme="minorHAnsi" w:cstheme="minorHAnsi"/>
          <w:i/>
          <w:iCs/>
          <w:szCs w:val="24"/>
        </w:rPr>
        <w:t>IEEE Trans. Power Electron.</w:t>
      </w:r>
      <w:r w:rsidRPr="00E27D3B">
        <w:rPr>
          <w:rFonts w:asciiTheme="minorHAnsi" w:hAnsiTheme="minorHAnsi" w:cstheme="minorHAnsi"/>
          <w:szCs w:val="24"/>
        </w:rPr>
        <w:t>, vol. 25, no. 2, pp. 382–390, 2009.</w:t>
      </w:r>
      <w:bookmarkEnd w:id="520"/>
    </w:p>
    <w:p w14:paraId="030DDA59" w14:textId="0857D8DD"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1" w:name="_Ref223642001"/>
      <w:r w:rsidRPr="00E27D3B">
        <w:rPr>
          <w:rFonts w:asciiTheme="minorHAnsi" w:hAnsiTheme="minorHAnsi" w:cstheme="minorHAnsi"/>
          <w:szCs w:val="24"/>
        </w:rPr>
        <w:t xml:space="preserve">Y. Liao et al., “Neural Network Design for Impedance Modeling of Power Electronic Systems Based on Latent Features,” </w:t>
      </w:r>
      <w:r w:rsidR="00302FAC">
        <w:rPr>
          <w:rFonts w:asciiTheme="minorHAnsi" w:hAnsiTheme="minorHAnsi" w:cstheme="minorHAnsi"/>
          <w:szCs w:val="24"/>
        </w:rPr>
        <w:t xml:space="preserve">in </w:t>
      </w:r>
      <w:r w:rsidRPr="00F12E16">
        <w:rPr>
          <w:rFonts w:asciiTheme="minorHAnsi" w:hAnsiTheme="minorHAnsi" w:cstheme="minorHAnsi"/>
          <w:i/>
          <w:iCs/>
          <w:szCs w:val="24"/>
        </w:rPr>
        <w:t>IEEE Trans. Neural Networks and Learning Systems</w:t>
      </w:r>
      <w:r w:rsidRPr="00E27D3B">
        <w:rPr>
          <w:rFonts w:asciiTheme="minorHAnsi" w:hAnsiTheme="minorHAnsi" w:cstheme="minorHAnsi"/>
          <w:szCs w:val="24"/>
        </w:rPr>
        <w:t>, vol. 35, no. 5, pp. 5968–5980, May 2024.</w:t>
      </w:r>
      <w:bookmarkEnd w:id="521"/>
    </w:p>
    <w:p w14:paraId="457E2DA5"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2" w:name="_Ref223642013"/>
      <w:r w:rsidRPr="00E27D3B">
        <w:rPr>
          <w:rFonts w:asciiTheme="minorHAnsi" w:hAnsiTheme="minorHAnsi" w:cstheme="minorHAnsi"/>
          <w:szCs w:val="24"/>
        </w:rPr>
        <w:t xml:space="preserve">Y. Li, et. al., “Neural network models and transfer learning for impedance modeling of grid-tied inverters”, in </w:t>
      </w:r>
      <w:r w:rsidRPr="00F12E16">
        <w:rPr>
          <w:rFonts w:asciiTheme="minorHAnsi" w:hAnsiTheme="minorHAnsi" w:cstheme="minorHAnsi"/>
          <w:i/>
          <w:iCs/>
          <w:szCs w:val="24"/>
        </w:rPr>
        <w:t>Proc. IEEE 13th International Symposium on Power Electronics for Distributed Generation Systems</w:t>
      </w:r>
      <w:r w:rsidRPr="00E27D3B">
        <w:rPr>
          <w:rFonts w:asciiTheme="minorHAnsi" w:hAnsiTheme="minorHAnsi" w:cstheme="minorHAnsi"/>
          <w:szCs w:val="24"/>
        </w:rPr>
        <w:t>, PEDG, IEEE, 2022, pp. 1–6.</w:t>
      </w:r>
      <w:bookmarkEnd w:id="522"/>
    </w:p>
    <w:p w14:paraId="14A9FE52" w14:textId="2F6CF346"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3" w:name="_Ref223642025"/>
      <w:r w:rsidRPr="00E27D3B">
        <w:rPr>
          <w:rFonts w:asciiTheme="minorHAnsi" w:hAnsiTheme="minorHAnsi" w:cstheme="minorHAnsi"/>
          <w:szCs w:val="24"/>
        </w:rPr>
        <w:t xml:space="preserve">M. Zhang, Y. Zhang and Q. Xu, “Transfer Learning Based Online Impedance Identification for Modular Multilevel Converters,” </w:t>
      </w:r>
      <w:r w:rsidR="00302FAC">
        <w:rPr>
          <w:rFonts w:asciiTheme="minorHAnsi" w:hAnsiTheme="minorHAnsi" w:cstheme="minorHAnsi"/>
          <w:szCs w:val="24"/>
        </w:rPr>
        <w:t xml:space="preserve">in </w:t>
      </w:r>
      <w:r w:rsidRPr="00F12E16">
        <w:rPr>
          <w:rFonts w:asciiTheme="minorHAnsi" w:hAnsiTheme="minorHAnsi" w:cstheme="minorHAnsi"/>
          <w:i/>
          <w:iCs/>
          <w:szCs w:val="24"/>
        </w:rPr>
        <w:t>IEEE Trans. Power Electron.</w:t>
      </w:r>
      <w:r w:rsidRPr="00E27D3B">
        <w:rPr>
          <w:rFonts w:asciiTheme="minorHAnsi" w:hAnsiTheme="minorHAnsi" w:cstheme="minorHAnsi"/>
          <w:szCs w:val="24"/>
        </w:rPr>
        <w:t>, vol. 38, no. 10, pp. 12207–12218, Oct. 2023.</w:t>
      </w:r>
      <w:bookmarkEnd w:id="523"/>
    </w:p>
    <w:p w14:paraId="588E3F11" w14:textId="26FD80CB" w:rsidR="00026EF1" w:rsidRPr="00227453" w:rsidRDefault="00026EF1" w:rsidP="00CD4F3A">
      <w:pPr>
        <w:pStyle w:val="ListParagraph0"/>
        <w:numPr>
          <w:ilvl w:val="0"/>
          <w:numId w:val="47"/>
        </w:numPr>
        <w:spacing w:line="240" w:lineRule="auto"/>
        <w:rPr>
          <w:rFonts w:asciiTheme="minorHAnsi" w:hAnsiTheme="minorHAnsi" w:cstheme="minorHAnsi"/>
        </w:rPr>
      </w:pPr>
      <w:bookmarkStart w:id="524" w:name="_Ref230778118"/>
      <w:bookmarkStart w:id="525" w:name="_Ref223642065"/>
      <w:r w:rsidRPr="00227453">
        <w:rPr>
          <w:rFonts w:asciiTheme="minorHAnsi" w:hAnsiTheme="minorHAnsi" w:cstheme="minorHAnsi"/>
        </w:rPr>
        <w:t>L. Fan and Z. Miao, "Time-Domain Measurement-</w:t>
      </w:r>
      <w:r w:rsidR="00302FAC" w:rsidRPr="00227453">
        <w:rPr>
          <w:rFonts w:asciiTheme="minorHAnsi" w:hAnsiTheme="minorHAnsi" w:cstheme="minorHAnsi"/>
        </w:rPr>
        <w:t>Based DQ</w:t>
      </w:r>
      <w:r w:rsidRPr="00227453">
        <w:rPr>
          <w:rFonts w:asciiTheme="minorHAnsi" w:hAnsiTheme="minorHAnsi" w:cstheme="minorHAnsi"/>
        </w:rPr>
        <w:t xml:space="preserve"> -Frame Admittance Model Identification for Inverter-Based Resources," in </w:t>
      </w:r>
      <w:r w:rsidRPr="00F12E16">
        <w:rPr>
          <w:rFonts w:asciiTheme="minorHAnsi" w:hAnsiTheme="minorHAnsi" w:cstheme="minorHAnsi"/>
          <w:i/>
          <w:iCs/>
        </w:rPr>
        <w:t>IEEE Transactions on Power Systems</w:t>
      </w:r>
      <w:r w:rsidRPr="00227453">
        <w:rPr>
          <w:rFonts w:asciiTheme="minorHAnsi" w:hAnsiTheme="minorHAnsi" w:cstheme="minorHAnsi"/>
        </w:rPr>
        <w:t>, vol. 36, no. 3, pp. 2211-2221, May 2021</w:t>
      </w:r>
      <w:bookmarkEnd w:id="524"/>
    </w:p>
    <w:p w14:paraId="6416609E" w14:textId="6642A98F"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6" w:name="_Ref230778220"/>
      <w:r w:rsidRPr="00E27D3B">
        <w:rPr>
          <w:rFonts w:asciiTheme="minorHAnsi" w:hAnsiTheme="minorHAnsi" w:cstheme="minorHAnsi"/>
          <w:szCs w:val="24"/>
        </w:rPr>
        <w:t>N. Mohammed et al., “Data-driven estimation of impedance of inverter-based resources for efficient stability evaluation,</w:t>
      </w:r>
      <w:r w:rsidR="00302FAC">
        <w:rPr>
          <w:rFonts w:asciiTheme="minorHAnsi" w:hAnsiTheme="minorHAnsi" w:cstheme="minorHAnsi"/>
          <w:szCs w:val="24"/>
        </w:rPr>
        <w:t>”</w:t>
      </w:r>
      <w:r w:rsidRPr="00E27D3B">
        <w:rPr>
          <w:rFonts w:asciiTheme="minorHAnsi" w:hAnsiTheme="minorHAnsi" w:cstheme="minorHAnsi"/>
          <w:szCs w:val="24"/>
        </w:rPr>
        <w:t xml:space="preserve"> </w:t>
      </w:r>
      <w:r w:rsidR="00302FAC">
        <w:rPr>
          <w:rFonts w:asciiTheme="minorHAnsi" w:hAnsiTheme="minorHAnsi" w:cstheme="minorHAnsi"/>
          <w:szCs w:val="24"/>
        </w:rPr>
        <w:t xml:space="preserve">in </w:t>
      </w:r>
      <w:r w:rsidRPr="00F12E16">
        <w:rPr>
          <w:rFonts w:asciiTheme="minorHAnsi" w:hAnsiTheme="minorHAnsi" w:cstheme="minorHAnsi"/>
          <w:i/>
          <w:iCs/>
          <w:szCs w:val="24"/>
        </w:rPr>
        <w:t>Electric Power Systems Research</w:t>
      </w:r>
      <w:r w:rsidRPr="00E27D3B">
        <w:rPr>
          <w:rFonts w:asciiTheme="minorHAnsi" w:hAnsiTheme="minorHAnsi" w:cstheme="minorHAnsi"/>
          <w:szCs w:val="24"/>
        </w:rPr>
        <w:t>, vol. 244, art. no. 111559, 2025.</w:t>
      </w:r>
      <w:bookmarkEnd w:id="525"/>
      <w:bookmarkEnd w:id="526"/>
    </w:p>
    <w:p w14:paraId="49856763" w14:textId="266FCD89" w:rsidR="00026EF1" w:rsidRPr="00E27D3B" w:rsidRDefault="00026EF1" w:rsidP="00CD4F3A">
      <w:pPr>
        <w:pStyle w:val="BodyText"/>
        <w:numPr>
          <w:ilvl w:val="0"/>
          <w:numId w:val="47"/>
        </w:numPr>
        <w:spacing w:line="240" w:lineRule="auto"/>
        <w:ind w:left="1077"/>
        <w:rPr>
          <w:rFonts w:asciiTheme="minorHAnsi" w:hAnsiTheme="minorHAnsi" w:cstheme="minorHAnsi"/>
          <w:szCs w:val="24"/>
        </w:rPr>
      </w:pPr>
      <w:bookmarkStart w:id="527" w:name="_Ref223642080"/>
      <w:r w:rsidRPr="00E27D3B">
        <w:rPr>
          <w:rFonts w:asciiTheme="minorHAnsi" w:hAnsiTheme="minorHAnsi" w:cstheme="minorHAnsi"/>
          <w:szCs w:val="24"/>
        </w:rPr>
        <w:lastRenderedPageBreak/>
        <w:t xml:space="preserve">A. Intriago, A. </w:t>
      </w:r>
      <w:proofErr w:type="spellStart"/>
      <w:r w:rsidRPr="00E27D3B">
        <w:rPr>
          <w:rFonts w:asciiTheme="minorHAnsi" w:hAnsiTheme="minorHAnsi" w:cstheme="minorHAnsi"/>
          <w:szCs w:val="24"/>
        </w:rPr>
        <w:t>Paspatis</w:t>
      </w:r>
      <w:proofErr w:type="spellEnd"/>
      <w:r w:rsidRPr="00E27D3B">
        <w:rPr>
          <w:rFonts w:asciiTheme="minorHAnsi" w:hAnsiTheme="minorHAnsi" w:cstheme="minorHAnsi"/>
          <w:szCs w:val="24"/>
        </w:rPr>
        <w:t>, F. Liberati, and C. Konstantinou, “Admittance Identification of Grid-Forming Inverters Using Time and Frequency-Domain Techniques,</w:t>
      </w:r>
      <w:r w:rsidR="00302FAC">
        <w:rPr>
          <w:rFonts w:asciiTheme="minorHAnsi" w:hAnsiTheme="minorHAnsi" w:cstheme="minorHAnsi"/>
          <w:szCs w:val="24"/>
        </w:rPr>
        <w:t>”</w:t>
      </w:r>
      <w:r w:rsidRPr="00E27D3B">
        <w:rPr>
          <w:rFonts w:asciiTheme="minorHAnsi" w:hAnsiTheme="minorHAnsi" w:cstheme="minorHAnsi"/>
          <w:szCs w:val="24"/>
        </w:rPr>
        <w:t xml:space="preserve"> </w:t>
      </w:r>
      <w:r w:rsidR="00302FAC">
        <w:rPr>
          <w:rFonts w:asciiTheme="minorHAnsi" w:hAnsiTheme="minorHAnsi" w:cstheme="minorHAnsi"/>
          <w:szCs w:val="24"/>
        </w:rPr>
        <w:t xml:space="preserve">in </w:t>
      </w:r>
      <w:r w:rsidRPr="00F12E16">
        <w:rPr>
          <w:rFonts w:asciiTheme="minorHAnsi" w:hAnsiTheme="minorHAnsi" w:cstheme="minorHAnsi"/>
          <w:i/>
          <w:iCs/>
          <w:szCs w:val="24"/>
        </w:rPr>
        <w:t>Electrical Engineering and Systems Science</w:t>
      </w:r>
      <w:r w:rsidRPr="00E27D3B">
        <w:rPr>
          <w:rFonts w:asciiTheme="minorHAnsi" w:hAnsiTheme="minorHAnsi" w:cstheme="minorHAnsi"/>
          <w:szCs w:val="24"/>
        </w:rPr>
        <w:t>, arXiv:2504.17512 [eess.SY], Apr. 2025.</w:t>
      </w:r>
      <w:bookmarkEnd w:id="527"/>
    </w:p>
    <w:p w14:paraId="1DDC2093"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8" w:name="_Ref223642090"/>
      <w:r w:rsidRPr="00E27D3B">
        <w:rPr>
          <w:rFonts w:asciiTheme="minorHAnsi" w:hAnsiTheme="minorHAnsi" w:cstheme="minorHAnsi"/>
          <w:szCs w:val="24"/>
        </w:rPr>
        <w:t xml:space="preserve">O. Bertozzi et al., “A data-driven advisory tool for mixed-generation power systems,” in </w:t>
      </w:r>
      <w:r w:rsidRPr="00F12E16">
        <w:rPr>
          <w:rFonts w:asciiTheme="minorHAnsi" w:hAnsiTheme="minorHAnsi" w:cstheme="minorHAnsi"/>
          <w:i/>
          <w:iCs/>
          <w:szCs w:val="24"/>
        </w:rPr>
        <w:t>Proc. 2024 IEEE Energy Conversion Congress and Exposition</w:t>
      </w:r>
      <w:r w:rsidRPr="00E27D3B">
        <w:rPr>
          <w:rFonts w:asciiTheme="minorHAnsi" w:hAnsiTheme="minorHAnsi" w:cstheme="minorHAnsi"/>
          <w:szCs w:val="24"/>
        </w:rPr>
        <w:t>, 2024, pp. 1695–1701.</w:t>
      </w:r>
      <w:bookmarkEnd w:id="528"/>
    </w:p>
    <w:p w14:paraId="20DA788D" w14:textId="01AFC6AF"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29" w:name="_Ref223642099"/>
      <w:r w:rsidRPr="00E27D3B">
        <w:rPr>
          <w:rFonts w:asciiTheme="minorHAnsi" w:hAnsiTheme="minorHAnsi" w:cstheme="minorHAnsi"/>
          <w:szCs w:val="24"/>
        </w:rPr>
        <w:t xml:space="preserve">O. Bertozzi et al., “Data-driven planning of mixed-generation power systems: Towards 100% RES-based grids,” </w:t>
      </w:r>
      <w:r w:rsidR="00302FAC">
        <w:rPr>
          <w:rFonts w:asciiTheme="minorHAnsi" w:hAnsiTheme="minorHAnsi" w:cstheme="minorHAnsi"/>
          <w:szCs w:val="24"/>
        </w:rPr>
        <w:t xml:space="preserve">in </w:t>
      </w:r>
      <w:r w:rsidRPr="00F12E16">
        <w:rPr>
          <w:rFonts w:asciiTheme="minorHAnsi" w:hAnsiTheme="minorHAnsi" w:cstheme="minorHAnsi"/>
          <w:i/>
          <w:iCs/>
          <w:szCs w:val="24"/>
        </w:rPr>
        <w:t>Electric Power Energy Syst</w:t>
      </w:r>
      <w:r w:rsidRPr="00E27D3B">
        <w:rPr>
          <w:rFonts w:asciiTheme="minorHAnsi" w:hAnsiTheme="minorHAnsi" w:cstheme="minorHAnsi"/>
          <w:szCs w:val="24"/>
        </w:rPr>
        <w:t>., vol. 172, art. no. 111207, 2025.</w:t>
      </w:r>
      <w:bookmarkEnd w:id="529"/>
    </w:p>
    <w:p w14:paraId="784F8832"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30" w:name="_Ref223642165"/>
      <w:r w:rsidRPr="00E27D3B">
        <w:rPr>
          <w:rFonts w:asciiTheme="minorHAnsi" w:hAnsiTheme="minorHAnsi" w:cstheme="minorHAnsi"/>
          <w:szCs w:val="24"/>
        </w:rPr>
        <w:t xml:space="preserve">G. S. </w:t>
      </w:r>
      <w:proofErr w:type="spellStart"/>
      <w:r w:rsidRPr="00E27D3B">
        <w:rPr>
          <w:rFonts w:asciiTheme="minorHAnsi" w:hAnsiTheme="minorHAnsi" w:cstheme="minorHAnsi"/>
          <w:szCs w:val="24"/>
        </w:rPr>
        <w:t>Misyris</w:t>
      </w:r>
      <w:proofErr w:type="spellEnd"/>
      <w:r w:rsidRPr="00E27D3B">
        <w:rPr>
          <w:rFonts w:asciiTheme="minorHAnsi" w:hAnsiTheme="minorHAnsi" w:cstheme="minorHAnsi"/>
          <w:szCs w:val="24"/>
        </w:rPr>
        <w:t xml:space="preserve">, A. Venzke, and S. </w:t>
      </w:r>
      <w:proofErr w:type="spellStart"/>
      <w:r w:rsidRPr="00E27D3B">
        <w:rPr>
          <w:rFonts w:asciiTheme="minorHAnsi" w:hAnsiTheme="minorHAnsi" w:cstheme="minorHAnsi"/>
          <w:szCs w:val="24"/>
        </w:rPr>
        <w:t>Chatzivasileiadis</w:t>
      </w:r>
      <w:proofErr w:type="spellEnd"/>
      <w:r w:rsidRPr="00E27D3B">
        <w:rPr>
          <w:rFonts w:asciiTheme="minorHAnsi" w:hAnsiTheme="minorHAnsi" w:cstheme="minorHAnsi"/>
          <w:szCs w:val="24"/>
        </w:rPr>
        <w:t xml:space="preserve">, “Physics-informed neural networks for power systems,” in </w:t>
      </w:r>
      <w:r w:rsidRPr="00F12E16">
        <w:rPr>
          <w:rFonts w:asciiTheme="minorHAnsi" w:hAnsiTheme="minorHAnsi" w:cstheme="minorHAnsi"/>
          <w:i/>
          <w:iCs/>
          <w:szCs w:val="24"/>
        </w:rPr>
        <w:t>Proc. 2020 IEEE Power &amp; Energy Soc. Gen. Meeting</w:t>
      </w:r>
      <w:r w:rsidRPr="00E27D3B">
        <w:rPr>
          <w:rFonts w:asciiTheme="minorHAnsi" w:hAnsiTheme="minorHAnsi" w:cstheme="minorHAnsi"/>
          <w:szCs w:val="24"/>
        </w:rPr>
        <w:t>, 2020, pp. 1–5.</w:t>
      </w:r>
      <w:bookmarkEnd w:id="530"/>
    </w:p>
    <w:p w14:paraId="1E28D13D"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31" w:name="_Ref223640809"/>
      <w:r w:rsidRPr="00E27D3B">
        <w:rPr>
          <w:rFonts w:asciiTheme="minorHAnsi" w:hAnsiTheme="minorHAnsi" w:cstheme="minorHAnsi"/>
          <w:szCs w:val="24"/>
        </w:rPr>
        <w:t xml:space="preserve">J. et al., “Hybrid data-driven modeling for an AC/DC power system considering renewable energy uncertainty,” in </w:t>
      </w:r>
      <w:r w:rsidRPr="00F12E16">
        <w:rPr>
          <w:rFonts w:asciiTheme="minorHAnsi" w:hAnsiTheme="minorHAnsi" w:cstheme="minorHAnsi"/>
          <w:i/>
          <w:iCs/>
          <w:szCs w:val="24"/>
        </w:rPr>
        <w:t>Proc. 2022 Frontiers in Energy Research</w:t>
      </w:r>
      <w:r w:rsidRPr="00E27D3B">
        <w:rPr>
          <w:rFonts w:asciiTheme="minorHAnsi" w:hAnsiTheme="minorHAnsi" w:cstheme="minorHAnsi"/>
          <w:szCs w:val="24"/>
        </w:rPr>
        <w:t>, 2022, art. no. 830833.</w:t>
      </w:r>
      <w:bookmarkEnd w:id="531"/>
    </w:p>
    <w:p w14:paraId="1EEFDA5E" w14:textId="39E5C7F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32" w:name="_Ref224033116"/>
      <w:r w:rsidRPr="00E27D3B">
        <w:rPr>
          <w:rFonts w:asciiTheme="minorHAnsi" w:hAnsiTheme="minorHAnsi" w:cstheme="minorHAnsi"/>
          <w:szCs w:val="24"/>
        </w:rPr>
        <w:t>N. Mohammed, R. Shah and N. Amjady, "Impact of Different Voltage Control Strategies on Small-Signal Stability of Grid-Forming Inverters," </w:t>
      </w:r>
      <w:r w:rsidR="000974EB">
        <w:rPr>
          <w:rFonts w:asciiTheme="minorHAnsi" w:hAnsiTheme="minorHAnsi" w:cstheme="minorHAnsi"/>
          <w:szCs w:val="24"/>
        </w:rPr>
        <w:t xml:space="preserve">in </w:t>
      </w:r>
      <w:r w:rsidRPr="00E27D3B">
        <w:rPr>
          <w:rFonts w:asciiTheme="minorHAnsi" w:hAnsiTheme="minorHAnsi" w:cstheme="minorHAnsi"/>
          <w:i/>
          <w:iCs/>
          <w:szCs w:val="24"/>
        </w:rPr>
        <w:t>2025 IEEE International Conference on Energy Technologies for Future Grids (ETFG)</w:t>
      </w:r>
      <w:r w:rsidRPr="00E27D3B">
        <w:rPr>
          <w:rFonts w:asciiTheme="minorHAnsi" w:hAnsiTheme="minorHAnsi" w:cstheme="minorHAnsi"/>
          <w:szCs w:val="24"/>
        </w:rPr>
        <w:t>, Wollongong, Australia, 2025, pp. 1-6</w:t>
      </w:r>
      <w:bookmarkEnd w:id="532"/>
    </w:p>
    <w:p w14:paraId="72990D61"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33" w:name="_Ref223642241"/>
      <w:r w:rsidRPr="00E27D3B">
        <w:rPr>
          <w:rFonts w:asciiTheme="minorHAnsi" w:hAnsiTheme="minorHAnsi" w:cstheme="minorHAnsi"/>
          <w:szCs w:val="24"/>
        </w:rPr>
        <w:t>WECC Energy Storage System Model- Phase II, April 2015.</w:t>
      </w:r>
      <w:bookmarkEnd w:id="533"/>
    </w:p>
    <w:p w14:paraId="74A33C25" w14:textId="77777777" w:rsidR="00026EF1" w:rsidRPr="00E27D3B" w:rsidRDefault="00026EF1" w:rsidP="00CD4F3A">
      <w:pPr>
        <w:pStyle w:val="BodyText"/>
        <w:numPr>
          <w:ilvl w:val="0"/>
          <w:numId w:val="47"/>
        </w:numPr>
        <w:spacing w:line="240" w:lineRule="auto"/>
        <w:rPr>
          <w:rFonts w:asciiTheme="minorHAnsi" w:hAnsiTheme="minorHAnsi" w:cstheme="minorHAnsi"/>
          <w:szCs w:val="24"/>
        </w:rPr>
      </w:pPr>
      <w:bookmarkStart w:id="534" w:name="_Ref223642257"/>
      <w:r w:rsidRPr="00E27D3B">
        <w:rPr>
          <w:rFonts w:asciiTheme="minorHAnsi" w:hAnsiTheme="minorHAnsi" w:cstheme="minorHAnsi"/>
          <w:szCs w:val="24"/>
        </w:rPr>
        <w:t xml:space="preserve">DIgSILENT Grid-forming converter templates (droop-controlled converter, Synchronverter, Virtual Synchronous Machine), DIgSILENT </w:t>
      </w:r>
      <w:proofErr w:type="spellStart"/>
      <w:r w:rsidRPr="00E27D3B">
        <w:rPr>
          <w:rFonts w:asciiTheme="minorHAnsi" w:hAnsiTheme="minorHAnsi" w:cstheme="minorHAnsi"/>
          <w:szCs w:val="24"/>
        </w:rPr>
        <w:t>PowerFactory</w:t>
      </w:r>
      <w:proofErr w:type="spellEnd"/>
      <w:r w:rsidRPr="00E27D3B">
        <w:rPr>
          <w:rFonts w:asciiTheme="minorHAnsi" w:hAnsiTheme="minorHAnsi" w:cstheme="minorHAnsi"/>
          <w:szCs w:val="24"/>
        </w:rPr>
        <w:t xml:space="preserve"> 2024, Technical reference, 2024.</w:t>
      </w:r>
      <w:bookmarkEnd w:id="534"/>
    </w:p>
    <w:p w14:paraId="354745A9" w14:textId="2ED549DD" w:rsidR="00026EF1" w:rsidRPr="001E3719" w:rsidRDefault="00026EF1" w:rsidP="00CD4F3A">
      <w:pPr>
        <w:pStyle w:val="BodyText"/>
        <w:numPr>
          <w:ilvl w:val="0"/>
          <w:numId w:val="47"/>
        </w:numPr>
        <w:spacing w:line="240" w:lineRule="auto"/>
        <w:rPr>
          <w:rFonts w:asciiTheme="minorHAnsi" w:hAnsiTheme="minorHAnsi" w:cstheme="minorHAnsi"/>
          <w:szCs w:val="24"/>
        </w:rPr>
      </w:pPr>
      <w:bookmarkStart w:id="535" w:name="_Ref223642274"/>
      <w:r w:rsidRPr="00E27D3B">
        <w:rPr>
          <w:rFonts w:asciiTheme="minorHAnsi" w:hAnsiTheme="minorHAnsi" w:cstheme="minorHAnsi"/>
          <w:szCs w:val="24"/>
          <w:lang w:val="de-DE"/>
        </w:rPr>
        <w:t>S. Eberlein and K. Rudion</w:t>
      </w:r>
      <w:r w:rsidR="000974EB">
        <w:rPr>
          <w:rFonts w:asciiTheme="minorHAnsi" w:hAnsiTheme="minorHAnsi" w:cstheme="minorHAnsi"/>
          <w:szCs w:val="24"/>
          <w:lang w:val="de-DE"/>
        </w:rPr>
        <w:t>,</w:t>
      </w:r>
      <w:r w:rsidRPr="00E27D3B">
        <w:rPr>
          <w:rFonts w:asciiTheme="minorHAnsi" w:hAnsiTheme="minorHAnsi" w:cstheme="minorHAnsi"/>
          <w:szCs w:val="24"/>
          <w:lang w:val="de-DE"/>
        </w:rPr>
        <w:t xml:space="preserve"> </w:t>
      </w:r>
      <w:r w:rsidR="000974EB">
        <w:rPr>
          <w:rFonts w:asciiTheme="minorHAnsi" w:hAnsiTheme="minorHAnsi" w:cstheme="minorHAnsi"/>
          <w:szCs w:val="24"/>
        </w:rPr>
        <w:t>“S</w:t>
      </w:r>
      <w:r w:rsidRPr="00E27D3B">
        <w:rPr>
          <w:rFonts w:asciiTheme="minorHAnsi" w:hAnsiTheme="minorHAnsi" w:cstheme="minorHAnsi"/>
          <w:szCs w:val="24"/>
        </w:rPr>
        <w:t xml:space="preserve">mall-signal stability modelling, sensitivity analysis and optimization of droop-controlled inverters in </w:t>
      </w:r>
      <w:r w:rsidR="000974EB">
        <w:rPr>
          <w:rFonts w:asciiTheme="minorHAnsi" w:hAnsiTheme="minorHAnsi" w:cstheme="minorHAnsi"/>
          <w:szCs w:val="24"/>
        </w:rPr>
        <w:t>LV</w:t>
      </w:r>
      <w:r w:rsidRPr="00E27D3B">
        <w:rPr>
          <w:rFonts w:asciiTheme="minorHAnsi" w:hAnsiTheme="minorHAnsi" w:cstheme="minorHAnsi"/>
          <w:szCs w:val="24"/>
        </w:rPr>
        <w:t xml:space="preserve"> microgrids</w:t>
      </w:r>
      <w:r w:rsidR="000974EB">
        <w:rPr>
          <w:rFonts w:asciiTheme="minorHAnsi" w:hAnsiTheme="minorHAnsi" w:cstheme="minorHAnsi"/>
          <w:szCs w:val="24"/>
        </w:rPr>
        <w:t>,”</w:t>
      </w:r>
      <w:r w:rsidRPr="00E27D3B">
        <w:rPr>
          <w:rFonts w:asciiTheme="minorHAnsi" w:hAnsiTheme="minorHAnsi" w:cstheme="minorHAnsi"/>
          <w:szCs w:val="24"/>
        </w:rPr>
        <w:t xml:space="preserve"> </w:t>
      </w:r>
      <w:r w:rsidR="000974EB">
        <w:rPr>
          <w:rFonts w:asciiTheme="minorHAnsi" w:hAnsiTheme="minorHAnsi" w:cstheme="minorHAnsi"/>
          <w:szCs w:val="24"/>
        </w:rPr>
        <w:t xml:space="preserve">in </w:t>
      </w:r>
      <w:r w:rsidRPr="00F12E16">
        <w:rPr>
          <w:rFonts w:asciiTheme="minorHAnsi" w:hAnsiTheme="minorHAnsi" w:cstheme="minorHAnsi"/>
          <w:i/>
          <w:iCs/>
          <w:szCs w:val="24"/>
        </w:rPr>
        <w:t>International Journal of Electrical Power &amp; Energy Systems</w:t>
      </w:r>
      <w:r w:rsidRPr="00E27D3B">
        <w:rPr>
          <w:rFonts w:asciiTheme="minorHAnsi" w:hAnsiTheme="minorHAnsi" w:cstheme="minorHAnsi"/>
          <w:szCs w:val="24"/>
        </w:rPr>
        <w:t xml:space="preserve">, </w:t>
      </w:r>
      <w:r w:rsidR="000974EB">
        <w:rPr>
          <w:rFonts w:asciiTheme="minorHAnsi" w:hAnsiTheme="minorHAnsi" w:cstheme="minorHAnsi"/>
          <w:szCs w:val="24"/>
        </w:rPr>
        <w:t xml:space="preserve">vol. </w:t>
      </w:r>
      <w:r w:rsidRPr="00E27D3B">
        <w:rPr>
          <w:rFonts w:asciiTheme="minorHAnsi" w:hAnsiTheme="minorHAnsi" w:cstheme="minorHAnsi"/>
          <w:szCs w:val="24"/>
        </w:rPr>
        <w:t xml:space="preserve">125, </w:t>
      </w:r>
      <w:r w:rsidR="000974EB">
        <w:rPr>
          <w:rFonts w:asciiTheme="minorHAnsi" w:hAnsiTheme="minorHAnsi" w:cstheme="minorHAnsi"/>
          <w:szCs w:val="24"/>
        </w:rPr>
        <w:t xml:space="preserve">p. 106404, </w:t>
      </w:r>
      <w:r w:rsidRPr="00E27D3B">
        <w:rPr>
          <w:rFonts w:asciiTheme="minorHAnsi" w:hAnsiTheme="minorHAnsi" w:cstheme="minorHAnsi"/>
          <w:szCs w:val="24"/>
        </w:rPr>
        <w:t>2021.</w:t>
      </w:r>
      <w:bookmarkStart w:id="536" w:name="_Ref224203223"/>
      <w:bookmarkEnd w:id="535"/>
    </w:p>
    <w:p w14:paraId="0A4845BB" w14:textId="1F0412CB"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37" w:name="_Ref230197092"/>
      <w:r w:rsidRPr="001E3719">
        <w:rPr>
          <w:rFonts w:asciiTheme="minorHAnsi" w:eastAsia="Times New Roman" w:hAnsiTheme="minorHAnsi" w:cstheme="minorHAnsi"/>
          <w:color w:val="auto"/>
          <w:lang w:val="en-US" w:eastAsia="en-US"/>
        </w:rPr>
        <w:t xml:space="preserve">A. Alshareef, R. Shah, N. Mithulananthan, and S. Alzahrani, “A new global index for short-term voltage stability assessment,”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Access</w:t>
      </w:r>
      <w:r w:rsidRPr="001E3719">
        <w:rPr>
          <w:rFonts w:asciiTheme="minorHAnsi" w:eastAsia="Times New Roman" w:hAnsiTheme="minorHAnsi" w:cstheme="minorHAnsi"/>
          <w:color w:val="auto"/>
          <w:lang w:val="en-US" w:eastAsia="en-US"/>
        </w:rPr>
        <w:t>, vol. 9, pp. 36114–36124, 2021.</w:t>
      </w:r>
      <w:bookmarkEnd w:id="537"/>
    </w:p>
    <w:p w14:paraId="11A7C88A" w14:textId="77777777"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38" w:name="_Ref230197111"/>
      <w:r w:rsidRPr="001E3719">
        <w:rPr>
          <w:rFonts w:asciiTheme="minorHAnsi" w:eastAsia="Times New Roman" w:hAnsiTheme="minorHAnsi" w:cstheme="minorHAnsi"/>
          <w:color w:val="auto"/>
          <w:lang w:val="en-US" w:eastAsia="en-US"/>
        </w:rPr>
        <w:t>S. Rodríguez-Romero et al., “Analysis of advanced non-isolated topologies for vehicle-integrated photovoltaic (</w:t>
      </w:r>
      <w:proofErr w:type="spellStart"/>
      <w:r w:rsidRPr="001E3719">
        <w:rPr>
          <w:rFonts w:asciiTheme="minorHAnsi" w:eastAsia="Times New Roman" w:hAnsiTheme="minorHAnsi" w:cstheme="minorHAnsi"/>
          <w:color w:val="auto"/>
          <w:lang w:val="en-US" w:eastAsia="en-US"/>
        </w:rPr>
        <w:t>ViPV</w:t>
      </w:r>
      <w:proofErr w:type="spellEnd"/>
      <w:r w:rsidRPr="001E3719">
        <w:rPr>
          <w:rFonts w:asciiTheme="minorHAnsi" w:eastAsia="Times New Roman" w:hAnsiTheme="minorHAnsi" w:cstheme="minorHAnsi"/>
          <w:color w:val="auto"/>
          <w:lang w:val="en-US" w:eastAsia="en-US"/>
        </w:rPr>
        <w:t xml:space="preserve">) systems in urban electric transport buses,” in </w:t>
      </w:r>
      <w:r w:rsidRPr="00F12E16">
        <w:rPr>
          <w:rFonts w:asciiTheme="minorHAnsi" w:eastAsia="Times New Roman" w:hAnsiTheme="minorHAnsi" w:cstheme="minorHAnsi"/>
          <w:i/>
          <w:iCs/>
          <w:color w:val="auto"/>
          <w:lang w:val="en-US" w:eastAsia="en-US"/>
        </w:rPr>
        <w:t>Proc. IEEE 53rd Photovoltaic Specialists Conf. (PVSC)</w:t>
      </w:r>
      <w:r w:rsidRPr="001E3719">
        <w:rPr>
          <w:rFonts w:asciiTheme="minorHAnsi" w:eastAsia="Times New Roman" w:hAnsiTheme="minorHAnsi" w:cstheme="minorHAnsi"/>
          <w:color w:val="auto"/>
          <w:lang w:val="en-US" w:eastAsia="en-US"/>
        </w:rPr>
        <w:t>, Jun. 2025, pp. 492–498.</w:t>
      </w:r>
      <w:bookmarkEnd w:id="538"/>
    </w:p>
    <w:p w14:paraId="6CC5130C" w14:textId="477F7A20"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39" w:name="_Ref230197122"/>
      <w:r w:rsidRPr="001E3719">
        <w:rPr>
          <w:rFonts w:asciiTheme="minorHAnsi" w:eastAsia="Times New Roman" w:hAnsiTheme="minorHAnsi" w:cstheme="minorHAnsi"/>
          <w:color w:val="auto"/>
          <w:lang w:val="en-US" w:eastAsia="en-US"/>
        </w:rPr>
        <w:t xml:space="preserve">M. R. </w:t>
      </w:r>
      <w:proofErr w:type="spellStart"/>
      <w:r w:rsidRPr="001E3719">
        <w:rPr>
          <w:rFonts w:asciiTheme="minorHAnsi" w:eastAsia="Times New Roman" w:hAnsiTheme="minorHAnsi" w:cstheme="minorHAnsi"/>
          <w:color w:val="auto"/>
          <w:lang w:val="en-US" w:eastAsia="en-US"/>
        </w:rPr>
        <w:t>Maghami</w:t>
      </w:r>
      <w:proofErr w:type="spellEnd"/>
      <w:r w:rsidRPr="001E3719">
        <w:rPr>
          <w:rFonts w:asciiTheme="minorHAnsi" w:eastAsia="Times New Roman" w:hAnsiTheme="minorHAnsi" w:cstheme="minorHAnsi"/>
          <w:color w:val="auto"/>
          <w:lang w:val="en-US" w:eastAsia="en-US"/>
        </w:rPr>
        <w:t xml:space="preserve">, A. G. O. Mutambara, and C. Gomes, “Assessing </w:t>
      </w:r>
      <w:r w:rsidR="000974EB" w:rsidRPr="001E3719">
        <w:rPr>
          <w:rFonts w:asciiTheme="minorHAnsi" w:eastAsia="Times New Roman" w:hAnsiTheme="minorHAnsi" w:cstheme="minorHAnsi"/>
          <w:color w:val="auto"/>
          <w:lang w:val="en-US" w:eastAsia="en-US"/>
        </w:rPr>
        <w:t>cyber-attack</w:t>
      </w:r>
      <w:r w:rsidRPr="001E3719">
        <w:rPr>
          <w:rFonts w:asciiTheme="minorHAnsi" w:eastAsia="Times New Roman" w:hAnsiTheme="minorHAnsi" w:cstheme="minorHAnsi"/>
          <w:color w:val="auto"/>
          <w:lang w:val="en-US" w:eastAsia="en-US"/>
        </w:rPr>
        <w:t xml:space="preserve"> vulnerabilities of distributed generation in grid-connected systems,”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Environ. Develop. Sustain</w:t>
      </w:r>
      <w:r w:rsidRPr="001E3719">
        <w:rPr>
          <w:rFonts w:asciiTheme="minorHAnsi" w:eastAsia="Times New Roman" w:hAnsiTheme="minorHAnsi" w:cstheme="minorHAnsi"/>
          <w:color w:val="auto"/>
          <w:lang w:val="en-US" w:eastAsia="en-US"/>
        </w:rPr>
        <w:t>., pp. 1–27, 2025.</w:t>
      </w:r>
      <w:bookmarkEnd w:id="539"/>
    </w:p>
    <w:p w14:paraId="5F78A70C" w14:textId="7C4ED137"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0" w:name="_Ref230197131"/>
      <w:r w:rsidRPr="001E3719">
        <w:rPr>
          <w:rFonts w:asciiTheme="minorHAnsi" w:eastAsia="Times New Roman" w:hAnsiTheme="minorHAnsi" w:cstheme="minorHAnsi"/>
          <w:color w:val="auto"/>
          <w:lang w:val="en-US" w:eastAsia="en-US"/>
        </w:rPr>
        <w:t xml:space="preserve">M. B. Hossain, M. R. Islam, K. M. Muttaqi, D. Sutanto, and A. P. </w:t>
      </w:r>
      <w:proofErr w:type="spellStart"/>
      <w:r w:rsidRPr="001E3719">
        <w:rPr>
          <w:rFonts w:asciiTheme="minorHAnsi" w:eastAsia="Times New Roman" w:hAnsiTheme="minorHAnsi" w:cstheme="minorHAnsi"/>
          <w:color w:val="auto"/>
          <w:lang w:val="en-US" w:eastAsia="en-US"/>
        </w:rPr>
        <w:t>Agalgaonkar</w:t>
      </w:r>
      <w:proofErr w:type="spellEnd"/>
      <w:r w:rsidRPr="001E3719">
        <w:rPr>
          <w:rFonts w:asciiTheme="minorHAnsi" w:eastAsia="Times New Roman" w:hAnsiTheme="minorHAnsi" w:cstheme="minorHAnsi"/>
          <w:color w:val="auto"/>
          <w:lang w:val="en-US" w:eastAsia="en-US"/>
        </w:rPr>
        <w:t xml:space="preserve">, “A power dispatch allocation strategy to produce green hydrogen in a grid-integrated offshore hybrid energy system,”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Int. J. Hydrogen Energy,</w:t>
      </w:r>
      <w:r w:rsidRPr="001E3719">
        <w:rPr>
          <w:rFonts w:asciiTheme="minorHAnsi" w:eastAsia="Times New Roman" w:hAnsiTheme="minorHAnsi" w:cstheme="minorHAnsi"/>
          <w:color w:val="auto"/>
          <w:lang w:val="en-US" w:eastAsia="en-US"/>
        </w:rPr>
        <w:t xml:space="preserve"> vol. 62, pp. 1103–1112, 2024.</w:t>
      </w:r>
      <w:bookmarkEnd w:id="540"/>
    </w:p>
    <w:p w14:paraId="32AD6295" w14:textId="77777777"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1" w:name="_Ref230197151"/>
      <w:r w:rsidRPr="001E3719">
        <w:rPr>
          <w:rFonts w:asciiTheme="minorHAnsi" w:eastAsia="Times New Roman" w:hAnsiTheme="minorHAnsi" w:cstheme="minorHAnsi"/>
          <w:color w:val="auto"/>
          <w:lang w:val="en-US" w:eastAsia="en-US"/>
        </w:rPr>
        <w:t>Australian Energy Market Operator (AEMO), Black System South Australia 28 September 2016—Final Report, Melbourne, VIC, Australia, 2017.</w:t>
      </w:r>
      <w:bookmarkEnd w:id="541"/>
    </w:p>
    <w:p w14:paraId="40ABC532" w14:textId="31462970"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2" w:name="_Ref230197163"/>
      <w:r w:rsidRPr="001E3719">
        <w:rPr>
          <w:rFonts w:asciiTheme="minorHAnsi" w:eastAsia="Times New Roman" w:hAnsiTheme="minorHAnsi" w:cstheme="minorHAnsi"/>
          <w:color w:val="auto"/>
          <w:lang w:val="en-US" w:eastAsia="en-US"/>
        </w:rPr>
        <w:t xml:space="preserve">S. Alzahrani, R. Shah, and N. Mithulananthan, “Exploring the dynamic voltage signature of renewable rich weak power system,”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Access</w:t>
      </w:r>
      <w:r w:rsidRPr="001E3719">
        <w:rPr>
          <w:rFonts w:asciiTheme="minorHAnsi" w:eastAsia="Times New Roman" w:hAnsiTheme="minorHAnsi" w:cstheme="minorHAnsi"/>
          <w:color w:val="auto"/>
          <w:lang w:val="en-US" w:eastAsia="en-US"/>
        </w:rPr>
        <w:t>, vol. 8, pp. 216529–216542, 2020.</w:t>
      </w:r>
      <w:bookmarkEnd w:id="542"/>
    </w:p>
    <w:p w14:paraId="18B8EB8E" w14:textId="77777777"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3" w:name="_Ref230197187"/>
      <w:r w:rsidRPr="001E3719">
        <w:rPr>
          <w:rFonts w:asciiTheme="minorHAnsi" w:eastAsia="Times New Roman" w:hAnsiTheme="minorHAnsi" w:cstheme="minorHAnsi"/>
          <w:color w:val="auto"/>
          <w:lang w:val="en-US" w:eastAsia="en-US"/>
        </w:rPr>
        <w:t xml:space="preserve">N. Amjady and M. R. Ansari, “Small disturbance voltage stability evaluation of power systems,” in </w:t>
      </w:r>
      <w:r w:rsidRPr="00F12E16">
        <w:rPr>
          <w:rFonts w:asciiTheme="minorHAnsi" w:eastAsia="Times New Roman" w:hAnsiTheme="minorHAnsi" w:cstheme="minorHAnsi"/>
          <w:i/>
          <w:iCs/>
          <w:color w:val="auto"/>
          <w:lang w:val="en-US" w:eastAsia="en-US"/>
        </w:rPr>
        <w:t>Proc. IEEE/PES Transmission and Distribution Conf. Expo.</w:t>
      </w:r>
      <w:r w:rsidRPr="001E3719">
        <w:rPr>
          <w:rFonts w:asciiTheme="minorHAnsi" w:eastAsia="Times New Roman" w:hAnsiTheme="minorHAnsi" w:cstheme="minorHAnsi"/>
          <w:color w:val="auto"/>
          <w:lang w:val="en-US" w:eastAsia="en-US"/>
        </w:rPr>
        <w:t>, Apr. 2008, pp. 1–9.</w:t>
      </w:r>
      <w:bookmarkEnd w:id="543"/>
    </w:p>
    <w:p w14:paraId="093158A4" w14:textId="4D9425FB" w:rsidR="00026EF1" w:rsidRPr="001E3719"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4" w:name="_Ref230197252"/>
      <w:r w:rsidRPr="001E3719">
        <w:rPr>
          <w:rFonts w:asciiTheme="minorHAnsi" w:eastAsia="Times New Roman" w:hAnsiTheme="minorHAnsi" w:cstheme="minorHAnsi"/>
          <w:color w:val="auto"/>
          <w:lang w:val="en-US" w:eastAsia="en-US"/>
        </w:rPr>
        <w:t xml:space="preserve">M. Cui, F. Li, H. Cui, S. Bu, and D. Shi, “Data-driven joint voltage stability assessment considering load uncertainty: A variational Bayes inference integrated with multi-CNNs,”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1E3719">
        <w:rPr>
          <w:rFonts w:asciiTheme="minorHAnsi" w:eastAsia="Times New Roman" w:hAnsiTheme="minorHAnsi" w:cstheme="minorHAnsi"/>
          <w:color w:val="auto"/>
          <w:lang w:val="en-US" w:eastAsia="en-US"/>
        </w:rPr>
        <w:t>., vol. 37, no. 3, pp. 1904–1915, 2021.</w:t>
      </w:r>
      <w:bookmarkEnd w:id="544"/>
    </w:p>
    <w:p w14:paraId="45224BF1" w14:textId="1D17513D" w:rsidR="00026EF1" w:rsidRPr="00C147DD" w:rsidRDefault="00AD7324"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r w:rsidRPr="00C147DD">
        <w:rPr>
          <w:rFonts w:asciiTheme="minorHAnsi" w:eastAsia="Times New Roman" w:hAnsiTheme="minorHAnsi" w:cstheme="minorHAnsi"/>
          <w:color w:val="auto"/>
          <w:lang w:val="en-US" w:eastAsia="en-US"/>
        </w:rPr>
        <w:lastRenderedPageBreak/>
        <w:t xml:space="preserve">M. Hasan, N. A. Zarin, M. R. Ahmed, and O. Farrok, “Global pathways for hybrid renewable energy systems: challenges, solutions, policy, and regulatory frameworks,” </w:t>
      </w:r>
      <w:r w:rsidR="000974EB">
        <w:rPr>
          <w:rFonts w:asciiTheme="minorHAnsi" w:eastAsia="Times New Roman" w:hAnsiTheme="minorHAnsi" w:cstheme="minorHAnsi"/>
          <w:color w:val="auto"/>
          <w:lang w:val="en-US" w:eastAsia="en-US"/>
        </w:rPr>
        <w:t xml:space="preserve">in </w:t>
      </w:r>
      <w:r w:rsidRPr="00C147DD">
        <w:rPr>
          <w:rFonts w:asciiTheme="minorHAnsi" w:eastAsia="Times New Roman" w:hAnsiTheme="minorHAnsi" w:cstheme="minorHAnsi"/>
          <w:i/>
          <w:iCs/>
          <w:color w:val="auto"/>
          <w:lang w:val="en-US" w:eastAsia="en-US"/>
        </w:rPr>
        <w:t>Energy Convers. Manag.: X</w:t>
      </w:r>
      <w:r w:rsidRPr="00C147DD">
        <w:rPr>
          <w:rFonts w:asciiTheme="minorHAnsi" w:eastAsia="Times New Roman" w:hAnsiTheme="minorHAnsi" w:cstheme="minorHAnsi"/>
          <w:color w:val="auto"/>
          <w:lang w:val="en-US" w:eastAsia="en-US"/>
        </w:rPr>
        <w:t>, p. 101534, 2026.</w:t>
      </w:r>
    </w:p>
    <w:p w14:paraId="4FC83783" w14:textId="2B4AB49B"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r w:rsidRPr="00C147DD">
        <w:rPr>
          <w:rFonts w:asciiTheme="minorHAnsi" w:eastAsia="Times New Roman" w:hAnsiTheme="minorHAnsi" w:cstheme="minorHAnsi"/>
          <w:color w:val="auto"/>
          <w:lang w:val="en-US" w:eastAsia="en-US"/>
        </w:rPr>
        <w:t xml:space="preserve">J. J. Q. Yu, D. J. Hill, A. Y. Lam, J. Gu, and V. O. K. Li, “Intelligent time-adaptive transient stability assessment system,”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33, no. 1, pp. 1049–1058, 2017.</w:t>
      </w:r>
    </w:p>
    <w:p w14:paraId="4F068A0F" w14:textId="569824FE"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5" w:name="_Ref230197303"/>
      <w:r w:rsidRPr="00C147DD">
        <w:rPr>
          <w:rFonts w:asciiTheme="minorHAnsi" w:eastAsia="Times New Roman" w:hAnsiTheme="minorHAnsi" w:cstheme="minorHAnsi"/>
          <w:color w:val="auto"/>
          <w:lang w:val="en-US" w:eastAsia="en-US"/>
        </w:rPr>
        <w:t xml:space="preserve">Y. Wang, V. Vittal, M. Abdi-Khorsand, and C. Singh, “Probabilistic reliability evaluation including adequacy and dynamic security assessment,” </w:t>
      </w:r>
      <w:r w:rsidR="000974EB">
        <w:rPr>
          <w:rFonts w:asciiTheme="minorHAnsi" w:eastAsia="Times New Roman" w:hAnsiTheme="minorHAnsi" w:cstheme="minorHAnsi"/>
          <w:color w:val="auto"/>
          <w:lang w:val="en-US" w:eastAsia="en-US"/>
        </w:rPr>
        <w:t>in</w:t>
      </w:r>
      <w:r w:rsidR="000974EB" w:rsidRPr="00F12E16">
        <w:rPr>
          <w:rFonts w:asciiTheme="minorHAnsi" w:eastAsia="Times New Roman" w:hAnsiTheme="minorHAnsi" w:cstheme="minorHAnsi"/>
          <w:i/>
          <w:iCs/>
          <w:color w:val="auto"/>
          <w:lang w:val="en-US" w:eastAsia="en-US"/>
        </w:rPr>
        <w:t xml:space="preserve">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35, no. 1, pp. 551–559, 2019.</w:t>
      </w:r>
      <w:bookmarkEnd w:id="545"/>
    </w:p>
    <w:p w14:paraId="48EB49C0" w14:textId="40B6EEED"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6" w:name="_Ref230197312"/>
      <w:r w:rsidRPr="00C147DD">
        <w:rPr>
          <w:rFonts w:asciiTheme="minorHAnsi" w:eastAsia="Times New Roman" w:hAnsiTheme="minorHAnsi" w:cstheme="minorHAnsi"/>
          <w:color w:val="auto"/>
          <w:lang w:val="en-US" w:eastAsia="en-US"/>
        </w:rPr>
        <w:t xml:space="preserve">W. D. Oliveira, J. P. Vieira, U. H. Bezerra, D. A. Martins, and B. D. G. Rodrigues, “Power system security assessment for multiple contingencies using multiway decision tree,”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Elect. Power Syst. Res.,</w:t>
      </w:r>
      <w:r w:rsidRPr="00C147DD">
        <w:rPr>
          <w:rFonts w:asciiTheme="minorHAnsi" w:eastAsia="Times New Roman" w:hAnsiTheme="minorHAnsi" w:cstheme="minorHAnsi"/>
          <w:color w:val="auto"/>
          <w:lang w:val="en-US" w:eastAsia="en-US"/>
        </w:rPr>
        <w:t xml:space="preserve"> vol. 148, pp. 264–272, 2017.</w:t>
      </w:r>
      <w:bookmarkEnd w:id="546"/>
    </w:p>
    <w:p w14:paraId="05791E99" w14:textId="3A2AF818"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7" w:name="_Ref230197584"/>
      <w:r w:rsidRPr="00C147DD">
        <w:rPr>
          <w:rFonts w:asciiTheme="minorHAnsi" w:eastAsia="Times New Roman" w:hAnsiTheme="minorHAnsi" w:cstheme="minorHAnsi"/>
          <w:color w:val="auto"/>
          <w:lang w:val="en-US" w:eastAsia="en-US"/>
        </w:rPr>
        <w:t xml:space="preserve">Y. Xue, T. Xu, B. Liu, and Y. Li, “Quantitative assessments for transient voltage security,”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15, no. 3, pp. 1077–1083, 2000.</w:t>
      </w:r>
      <w:bookmarkEnd w:id="547"/>
    </w:p>
    <w:p w14:paraId="129790E0" w14:textId="24C0837E"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r w:rsidRPr="00C147DD">
        <w:rPr>
          <w:rFonts w:asciiTheme="minorHAnsi" w:eastAsia="Times New Roman" w:hAnsiTheme="minorHAnsi" w:cstheme="minorHAnsi"/>
          <w:color w:val="auto"/>
          <w:lang w:val="en-US" w:eastAsia="en-US"/>
        </w:rPr>
        <w:t xml:space="preserve">A. Tiwari and V. </w:t>
      </w:r>
      <w:proofErr w:type="spellStart"/>
      <w:r w:rsidRPr="00C147DD">
        <w:rPr>
          <w:rFonts w:asciiTheme="minorHAnsi" w:eastAsia="Times New Roman" w:hAnsiTheme="minorHAnsi" w:cstheme="minorHAnsi"/>
          <w:color w:val="auto"/>
          <w:lang w:val="en-US" w:eastAsia="en-US"/>
        </w:rPr>
        <w:t>Ajjarapu</w:t>
      </w:r>
      <w:proofErr w:type="spellEnd"/>
      <w:r w:rsidRPr="00C147DD">
        <w:rPr>
          <w:rFonts w:asciiTheme="minorHAnsi" w:eastAsia="Times New Roman" w:hAnsiTheme="minorHAnsi" w:cstheme="minorHAnsi"/>
          <w:color w:val="auto"/>
          <w:lang w:val="en-US" w:eastAsia="en-US"/>
        </w:rPr>
        <w:t xml:space="preserve">, “Optimal allocation of dynamic VAR support using mixed integer dynamic optimization,” </w:t>
      </w:r>
      <w:r w:rsidR="000974EB">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26, no. 1, pp. 305–314, 2010.</w:t>
      </w:r>
    </w:p>
    <w:p w14:paraId="5B9DAB2E"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r w:rsidRPr="00C147DD">
        <w:rPr>
          <w:rFonts w:asciiTheme="minorHAnsi" w:eastAsia="Times New Roman" w:hAnsiTheme="minorHAnsi" w:cstheme="minorHAnsi"/>
          <w:color w:val="auto"/>
          <w:lang w:val="en-US" w:eastAsia="en-US"/>
        </w:rPr>
        <w:t xml:space="preserve">M. Ismail et al., “Stability indices for modern power systems integrated with IBRs and composite load models: A review,” in </w:t>
      </w:r>
      <w:r w:rsidRPr="00F12E16">
        <w:rPr>
          <w:rFonts w:asciiTheme="minorHAnsi" w:eastAsia="Times New Roman" w:hAnsiTheme="minorHAnsi" w:cstheme="minorHAnsi"/>
          <w:i/>
          <w:iCs/>
          <w:color w:val="auto"/>
          <w:lang w:val="en-US" w:eastAsia="en-US"/>
        </w:rPr>
        <w:t>Proc. IEEE Australasian Universities Power Engineering Conf. (AUPEC),</w:t>
      </w:r>
      <w:r w:rsidRPr="00C147DD">
        <w:rPr>
          <w:rFonts w:asciiTheme="minorHAnsi" w:eastAsia="Times New Roman" w:hAnsiTheme="minorHAnsi" w:cstheme="minorHAnsi"/>
          <w:color w:val="auto"/>
          <w:lang w:val="en-US" w:eastAsia="en-US"/>
        </w:rPr>
        <w:t xml:space="preserve"> Nov. 2024, pp. 1–6.</w:t>
      </w:r>
    </w:p>
    <w:p w14:paraId="4ABCDA54" w14:textId="09571FAD"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8" w:name="_Ref230895645"/>
      <w:r w:rsidRPr="00C147DD">
        <w:rPr>
          <w:rFonts w:asciiTheme="minorHAnsi" w:eastAsia="Times New Roman" w:hAnsiTheme="minorHAnsi" w:cstheme="minorHAnsi"/>
          <w:color w:val="auto"/>
          <w:lang w:val="en-US" w:eastAsia="en-US"/>
        </w:rPr>
        <w:t xml:space="preserve">X. Zhang, D. J. Hill, and Y. Song, “A load dynamic stability index for short-term voltage stability assessment and control,” </w:t>
      </w:r>
      <w:r w:rsidR="009C27E8">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38, no. 4, pp. 3304–3316, 2022.</w:t>
      </w:r>
      <w:bookmarkEnd w:id="548"/>
    </w:p>
    <w:p w14:paraId="4A10A175" w14:textId="7FE0B32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r w:rsidRPr="00C147DD">
        <w:rPr>
          <w:rFonts w:asciiTheme="minorHAnsi" w:eastAsia="Times New Roman" w:hAnsiTheme="minorHAnsi" w:cstheme="minorHAnsi"/>
          <w:color w:val="auto"/>
          <w:lang w:val="en-US" w:eastAsia="en-US"/>
        </w:rPr>
        <w:t xml:space="preserve">Y. Chi, Y. Xu, and T. Ding, “Coordinated VAR planning for voltage stability enhancement of a wind-energy power system considering multiple resilience indices,” </w:t>
      </w:r>
      <w:r w:rsidR="009C27E8">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Sustain. Energy</w:t>
      </w:r>
      <w:r w:rsidRPr="00C147DD">
        <w:rPr>
          <w:rFonts w:asciiTheme="minorHAnsi" w:eastAsia="Times New Roman" w:hAnsiTheme="minorHAnsi" w:cstheme="minorHAnsi"/>
          <w:color w:val="auto"/>
          <w:lang w:val="en-US" w:eastAsia="en-US"/>
        </w:rPr>
        <w:t>, vol. 11, no. 4, pp. 2367–2379, 2019.</w:t>
      </w:r>
    </w:p>
    <w:p w14:paraId="7B0ED047" w14:textId="4BBB10EA"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49" w:name="_Ref230197603"/>
      <w:r w:rsidRPr="00C147DD">
        <w:rPr>
          <w:rFonts w:asciiTheme="minorHAnsi" w:eastAsia="Times New Roman" w:hAnsiTheme="minorHAnsi" w:cstheme="minorHAnsi"/>
          <w:color w:val="auto"/>
          <w:lang w:val="en-US" w:eastAsia="en-US"/>
        </w:rPr>
        <w:t xml:space="preserve">H. N. V. Pico and B. B. Johnson, “Transient stability assessment of multi-machine multi-converter power systems,” </w:t>
      </w:r>
      <w:r w:rsidR="009C27E8">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Power Syst.</w:t>
      </w:r>
      <w:r w:rsidRPr="00C147DD">
        <w:rPr>
          <w:rFonts w:asciiTheme="minorHAnsi" w:eastAsia="Times New Roman" w:hAnsiTheme="minorHAnsi" w:cstheme="minorHAnsi"/>
          <w:color w:val="auto"/>
          <w:lang w:val="en-US" w:eastAsia="en-US"/>
        </w:rPr>
        <w:t>, vol. 34, no. 5, pp. 3504–3514, 2019.</w:t>
      </w:r>
      <w:bookmarkEnd w:id="549"/>
    </w:p>
    <w:p w14:paraId="02593EA4"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0" w:name="_Ref230197777"/>
      <w:r w:rsidRPr="00C147DD">
        <w:rPr>
          <w:rFonts w:asciiTheme="minorHAnsi" w:eastAsia="Times New Roman" w:hAnsiTheme="minorHAnsi" w:cstheme="minorHAnsi"/>
          <w:color w:val="auto"/>
          <w:lang w:val="en-US" w:eastAsia="en-US"/>
        </w:rPr>
        <w:t>Siemens Industry, Inc., Model Library PSS®E 35.6.1, Siemens Power Technologies International, Schenectady, NY, USA.</w:t>
      </w:r>
      <w:bookmarkEnd w:id="550"/>
    </w:p>
    <w:p w14:paraId="34C4BD05"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1" w:name="_Ref230197786"/>
      <w:r w:rsidRPr="00C147DD">
        <w:rPr>
          <w:rFonts w:asciiTheme="minorHAnsi" w:eastAsia="Times New Roman" w:hAnsiTheme="minorHAnsi" w:cstheme="minorHAnsi"/>
          <w:color w:val="auto"/>
          <w:lang w:val="en-US" w:eastAsia="en-US"/>
        </w:rPr>
        <w:t>PJM Interconnection, PJM Dynamic Model Development Guidelines for Interconnection Analysis, Sep. 2024.</w:t>
      </w:r>
      <w:bookmarkEnd w:id="551"/>
    </w:p>
    <w:p w14:paraId="7A943F6F" w14:textId="4A7E0FD9"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2" w:name="_Ref230197801"/>
      <w:r w:rsidRPr="00C147DD">
        <w:rPr>
          <w:rFonts w:asciiTheme="minorHAnsi" w:eastAsia="Times New Roman" w:hAnsiTheme="minorHAnsi" w:cstheme="minorHAnsi"/>
          <w:color w:val="auto"/>
          <w:lang w:val="en-US" w:eastAsia="en-US"/>
        </w:rPr>
        <w:t xml:space="preserve">S. Sakib, M. B. Hossain, M. A. </w:t>
      </w:r>
      <w:proofErr w:type="spellStart"/>
      <w:r w:rsidRPr="00C147DD">
        <w:rPr>
          <w:rFonts w:asciiTheme="minorHAnsi" w:eastAsia="Times New Roman" w:hAnsiTheme="minorHAnsi" w:cstheme="minorHAnsi"/>
          <w:color w:val="auto"/>
          <w:lang w:val="en-US" w:eastAsia="en-US"/>
        </w:rPr>
        <w:t>Zamee</w:t>
      </w:r>
      <w:proofErr w:type="spellEnd"/>
      <w:r w:rsidRPr="00C147DD">
        <w:rPr>
          <w:rFonts w:asciiTheme="minorHAnsi" w:eastAsia="Times New Roman" w:hAnsiTheme="minorHAnsi" w:cstheme="minorHAnsi"/>
          <w:color w:val="auto"/>
          <w:lang w:val="en-US" w:eastAsia="en-US"/>
        </w:rPr>
        <w:t xml:space="preserve">, M. J. Hossain, and M. A. Habib, “Strengthening renewable-rich weak grids through improved voltage stability and fault-ride through capability,” </w:t>
      </w:r>
      <w:r w:rsidR="009C27E8">
        <w:rPr>
          <w:rFonts w:asciiTheme="minorHAnsi" w:eastAsia="Times New Roman" w:hAnsiTheme="minorHAnsi" w:cstheme="minorHAnsi"/>
          <w:color w:val="auto"/>
          <w:lang w:val="en-US" w:eastAsia="en-US"/>
        </w:rPr>
        <w:t xml:space="preserve">in </w:t>
      </w:r>
      <w:r w:rsidRPr="00C147DD">
        <w:rPr>
          <w:rFonts w:asciiTheme="minorHAnsi" w:eastAsia="Times New Roman" w:hAnsiTheme="minorHAnsi" w:cstheme="minorHAnsi"/>
          <w:color w:val="auto"/>
          <w:lang w:val="en-US" w:eastAsia="en-US"/>
        </w:rPr>
        <w:t xml:space="preserve">IET Renew. Power Gener., </w:t>
      </w:r>
      <w:r w:rsidR="009C27E8">
        <w:rPr>
          <w:rFonts w:asciiTheme="minorHAnsi" w:eastAsia="Times New Roman" w:hAnsiTheme="minorHAnsi" w:cstheme="minorHAnsi"/>
          <w:color w:val="auto"/>
          <w:lang w:val="en-US" w:eastAsia="en-US"/>
        </w:rPr>
        <w:t>vol. 99, pp. 1-12, (</w:t>
      </w:r>
      <w:r w:rsidRPr="00C147DD">
        <w:rPr>
          <w:rFonts w:asciiTheme="minorHAnsi" w:eastAsia="Times New Roman" w:hAnsiTheme="minorHAnsi" w:cstheme="minorHAnsi"/>
          <w:color w:val="auto"/>
          <w:lang w:val="en-US" w:eastAsia="en-US"/>
        </w:rPr>
        <w:t>accepted</w:t>
      </w:r>
      <w:r w:rsidR="009C27E8">
        <w:rPr>
          <w:rFonts w:asciiTheme="minorHAnsi" w:eastAsia="Times New Roman" w:hAnsiTheme="minorHAnsi" w:cstheme="minorHAnsi"/>
          <w:color w:val="auto"/>
          <w:lang w:val="en-US" w:eastAsia="en-US"/>
        </w:rPr>
        <w:t>)</w:t>
      </w:r>
      <w:r w:rsidRPr="00C147DD">
        <w:rPr>
          <w:rFonts w:asciiTheme="minorHAnsi" w:eastAsia="Times New Roman" w:hAnsiTheme="minorHAnsi" w:cstheme="minorHAnsi"/>
          <w:color w:val="auto"/>
          <w:lang w:val="en-US" w:eastAsia="en-US"/>
        </w:rPr>
        <w:t>, 2026.</w:t>
      </w:r>
      <w:bookmarkEnd w:id="552"/>
    </w:p>
    <w:p w14:paraId="24527545"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3" w:name="_Ref230197873"/>
      <w:r w:rsidRPr="00C147DD">
        <w:rPr>
          <w:rFonts w:asciiTheme="minorHAnsi" w:eastAsia="Times New Roman" w:hAnsiTheme="minorHAnsi" w:cstheme="minorHAnsi"/>
          <w:color w:val="auto"/>
          <w:lang w:val="en-US" w:eastAsia="en-US"/>
        </w:rPr>
        <w:t>Western Electricity Coordinating Council (WECC), WECC Composite Load Model Specification, 2024.</w:t>
      </w:r>
      <w:bookmarkEnd w:id="553"/>
    </w:p>
    <w:p w14:paraId="0A6999EF"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4" w:name="_Ref230197881"/>
      <w:r w:rsidRPr="00C147DD">
        <w:rPr>
          <w:rFonts w:asciiTheme="minorHAnsi" w:eastAsia="Times New Roman" w:hAnsiTheme="minorHAnsi" w:cstheme="minorHAnsi"/>
          <w:color w:val="auto"/>
          <w:lang w:val="en-US" w:eastAsia="en-US"/>
        </w:rPr>
        <w:t>Australian Energy Market Operator (AEMO), Developing Dynamic Load Models for the Australian Eastern Interconnected System, 2020.</w:t>
      </w:r>
      <w:bookmarkEnd w:id="554"/>
    </w:p>
    <w:p w14:paraId="10430C57"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5" w:name="_Ref230197946"/>
      <w:r w:rsidRPr="00C147DD">
        <w:rPr>
          <w:rFonts w:asciiTheme="minorHAnsi" w:eastAsia="Times New Roman" w:hAnsiTheme="minorHAnsi" w:cstheme="minorHAnsi"/>
          <w:color w:val="auto"/>
          <w:lang w:val="en-US" w:eastAsia="en-US"/>
        </w:rPr>
        <w:t>H. Saadat, “Balanced fault,” in Power System Analysis. New York, NY, USA: McGraw-Hill, 1999, pp. 363–366.</w:t>
      </w:r>
      <w:bookmarkEnd w:id="555"/>
    </w:p>
    <w:p w14:paraId="773D2704"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6" w:name="_Ref230197958"/>
      <w:r w:rsidRPr="00C147DD">
        <w:rPr>
          <w:rFonts w:asciiTheme="minorHAnsi" w:eastAsia="Times New Roman" w:hAnsiTheme="minorHAnsi" w:cstheme="minorHAnsi"/>
          <w:color w:val="auto"/>
          <w:lang w:val="en-US" w:eastAsia="en-US"/>
        </w:rPr>
        <w:t>Reactive Reserve Working Group (RRWG), Guide to WECC/NERC Planning Standards I.D: Voltage Support and Reactive Power, Mar. 30, 2006.</w:t>
      </w:r>
      <w:bookmarkEnd w:id="556"/>
    </w:p>
    <w:p w14:paraId="000EB440" w14:textId="0A1C80A5"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7" w:name="_Ref230198481"/>
      <w:r w:rsidRPr="00C147DD">
        <w:rPr>
          <w:rFonts w:asciiTheme="minorHAnsi" w:eastAsia="Times New Roman" w:hAnsiTheme="minorHAnsi" w:cstheme="minorHAnsi"/>
          <w:color w:val="auto"/>
          <w:lang w:val="en-US" w:eastAsia="en-US"/>
        </w:rPr>
        <w:t xml:space="preserve">M. B. Hossain, M. R. Islam, K. M. Muttaqi, D. Sutanto, and A. P. </w:t>
      </w:r>
      <w:proofErr w:type="spellStart"/>
      <w:r w:rsidRPr="00C147DD">
        <w:rPr>
          <w:rFonts w:asciiTheme="minorHAnsi" w:eastAsia="Times New Roman" w:hAnsiTheme="minorHAnsi" w:cstheme="minorHAnsi"/>
          <w:color w:val="auto"/>
          <w:lang w:val="en-US" w:eastAsia="en-US"/>
        </w:rPr>
        <w:t>Agalgaonkar</w:t>
      </w:r>
      <w:proofErr w:type="spellEnd"/>
      <w:r w:rsidRPr="00C147DD">
        <w:rPr>
          <w:rFonts w:asciiTheme="minorHAnsi" w:eastAsia="Times New Roman" w:hAnsiTheme="minorHAnsi" w:cstheme="minorHAnsi"/>
          <w:color w:val="auto"/>
          <w:lang w:val="en-US" w:eastAsia="en-US"/>
        </w:rPr>
        <w:t xml:space="preserve">, “Component sizing and energy management for a supercapacitor and hydrogen storage-based hybrid energy storage system to improve power dispatch scheduling of a wind energy system,” </w:t>
      </w:r>
      <w:r w:rsidR="009C27E8">
        <w:rPr>
          <w:rFonts w:asciiTheme="minorHAnsi" w:eastAsia="Times New Roman" w:hAnsiTheme="minorHAnsi" w:cstheme="minorHAnsi"/>
          <w:color w:val="auto"/>
          <w:lang w:val="en-US" w:eastAsia="en-US"/>
        </w:rPr>
        <w:t xml:space="preserve">in </w:t>
      </w:r>
      <w:r w:rsidRPr="00F12E16">
        <w:rPr>
          <w:rFonts w:asciiTheme="minorHAnsi" w:eastAsia="Times New Roman" w:hAnsiTheme="minorHAnsi" w:cstheme="minorHAnsi"/>
          <w:i/>
          <w:iCs/>
          <w:color w:val="auto"/>
          <w:lang w:val="en-US" w:eastAsia="en-US"/>
        </w:rPr>
        <w:t>IEEE Trans. Ind. Appl.</w:t>
      </w:r>
      <w:r w:rsidRPr="00C147DD">
        <w:rPr>
          <w:rFonts w:asciiTheme="minorHAnsi" w:eastAsia="Times New Roman" w:hAnsiTheme="minorHAnsi" w:cstheme="minorHAnsi"/>
          <w:color w:val="auto"/>
          <w:lang w:val="en-US" w:eastAsia="en-US"/>
        </w:rPr>
        <w:t xml:space="preserve">, </w:t>
      </w:r>
      <w:r w:rsidR="009C27E8">
        <w:rPr>
          <w:rFonts w:asciiTheme="minorHAnsi" w:eastAsia="Times New Roman" w:hAnsiTheme="minorHAnsi" w:cstheme="minorHAnsi"/>
          <w:color w:val="auto"/>
          <w:lang w:val="en-US" w:eastAsia="en-US"/>
        </w:rPr>
        <w:t xml:space="preserve">vol. 61, no. 1, pp. 872-883, </w:t>
      </w:r>
      <w:r w:rsidRPr="00C147DD">
        <w:rPr>
          <w:rFonts w:asciiTheme="minorHAnsi" w:eastAsia="Times New Roman" w:hAnsiTheme="minorHAnsi" w:cstheme="minorHAnsi"/>
          <w:color w:val="auto"/>
          <w:lang w:val="en-US" w:eastAsia="en-US"/>
        </w:rPr>
        <w:t>2024.</w:t>
      </w:r>
      <w:bookmarkEnd w:id="557"/>
    </w:p>
    <w:p w14:paraId="4F25AF06" w14:textId="77777777" w:rsidR="00026EF1" w:rsidRPr="00C147DD" w:rsidRDefault="00026EF1" w:rsidP="00CD4F3A">
      <w:pPr>
        <w:pStyle w:val="ListParagraph0"/>
        <w:numPr>
          <w:ilvl w:val="0"/>
          <w:numId w:val="47"/>
        </w:numPr>
        <w:spacing w:before="100" w:beforeAutospacing="1" w:after="100" w:afterAutospacing="1" w:line="240" w:lineRule="auto"/>
        <w:rPr>
          <w:rFonts w:asciiTheme="minorHAnsi" w:eastAsia="Times New Roman" w:hAnsiTheme="minorHAnsi" w:cstheme="minorHAnsi"/>
          <w:color w:val="auto"/>
          <w:lang w:val="en-US" w:eastAsia="en-US"/>
        </w:rPr>
      </w:pPr>
      <w:bookmarkStart w:id="558" w:name="_Ref230198335"/>
      <w:r w:rsidRPr="00C147DD">
        <w:rPr>
          <w:rFonts w:asciiTheme="minorHAnsi" w:eastAsia="Times New Roman" w:hAnsiTheme="minorHAnsi" w:cstheme="minorHAnsi"/>
          <w:color w:val="auto"/>
          <w:lang w:val="en-US" w:eastAsia="en-US"/>
        </w:rPr>
        <w:lastRenderedPageBreak/>
        <w:t xml:space="preserve">U. Kerin, N. T. Trinh, E. Lerch, and G. Bizjak, “Small signal security index for contingency classification in dynamic security assessment,” in </w:t>
      </w:r>
      <w:r w:rsidRPr="00F12E16">
        <w:rPr>
          <w:rFonts w:asciiTheme="minorHAnsi" w:eastAsia="Times New Roman" w:hAnsiTheme="minorHAnsi" w:cstheme="minorHAnsi"/>
          <w:i/>
          <w:iCs/>
          <w:color w:val="auto"/>
          <w:lang w:val="en-US" w:eastAsia="en-US"/>
        </w:rPr>
        <w:t xml:space="preserve">Proc. IEEE Trondheim </w:t>
      </w:r>
      <w:proofErr w:type="spellStart"/>
      <w:r w:rsidRPr="00F12E16">
        <w:rPr>
          <w:rFonts w:asciiTheme="minorHAnsi" w:eastAsia="Times New Roman" w:hAnsiTheme="minorHAnsi" w:cstheme="minorHAnsi"/>
          <w:i/>
          <w:iCs/>
          <w:color w:val="auto"/>
          <w:lang w:val="en-US" w:eastAsia="en-US"/>
        </w:rPr>
        <w:t>PowerTech</w:t>
      </w:r>
      <w:proofErr w:type="spellEnd"/>
      <w:r w:rsidRPr="00C147DD">
        <w:rPr>
          <w:rFonts w:asciiTheme="minorHAnsi" w:eastAsia="Times New Roman" w:hAnsiTheme="minorHAnsi" w:cstheme="minorHAnsi"/>
          <w:color w:val="auto"/>
          <w:lang w:val="en-US" w:eastAsia="en-US"/>
        </w:rPr>
        <w:t>, Jun. 2011, pp. 1–6.</w:t>
      </w:r>
      <w:bookmarkEnd w:id="558"/>
    </w:p>
    <w:p w14:paraId="0C3A5000" w14:textId="77777777" w:rsidR="00026EF1" w:rsidRDefault="00026EF1" w:rsidP="00CD4F3A">
      <w:pPr>
        <w:pStyle w:val="EndNoteBibliography"/>
        <w:spacing w:after="0"/>
        <w:rPr>
          <w:rFonts w:asciiTheme="minorHAnsi" w:hAnsiTheme="minorHAnsi" w:cstheme="minorHAnsi"/>
          <w:sz w:val="24"/>
          <w:szCs w:val="24"/>
        </w:rPr>
      </w:pPr>
    </w:p>
    <w:p w14:paraId="341BC99F" w14:textId="007D0B79"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59" w:name="_Ref230445245"/>
      <w:r w:rsidRPr="00E27D3B">
        <w:rPr>
          <w:rFonts w:asciiTheme="minorHAnsi" w:hAnsiTheme="minorHAnsi" w:cstheme="minorHAnsi"/>
          <w:sz w:val="24"/>
          <w:szCs w:val="24"/>
        </w:rPr>
        <w:t>P. Kundur</w:t>
      </w:r>
      <w:r w:rsidRPr="00E27D3B">
        <w:rPr>
          <w:rFonts w:asciiTheme="minorHAnsi" w:hAnsiTheme="minorHAnsi" w:cstheme="minorHAnsi"/>
          <w:i/>
          <w:sz w:val="24"/>
          <w:szCs w:val="24"/>
        </w:rPr>
        <w:t xml:space="preserve"> et al.</w:t>
      </w:r>
      <w:r w:rsidRPr="00E27D3B">
        <w:rPr>
          <w:rFonts w:asciiTheme="minorHAnsi" w:hAnsiTheme="minorHAnsi" w:cstheme="minorHAnsi"/>
          <w:sz w:val="24"/>
          <w:szCs w:val="24"/>
        </w:rPr>
        <w:t xml:space="preserve">, "Definition and classification of power system stability IEEE/CIGRE joint task force on stability terms and definitions," </w:t>
      </w:r>
      <w:r w:rsidR="009C27E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19, no. 3, pp. 1387-1401, 2004</w:t>
      </w:r>
      <w:r w:rsidR="009C27E8">
        <w:rPr>
          <w:rFonts w:asciiTheme="minorHAnsi" w:hAnsiTheme="minorHAnsi" w:cstheme="minorHAnsi"/>
          <w:sz w:val="24"/>
          <w:szCs w:val="24"/>
        </w:rPr>
        <w:t>.</w:t>
      </w:r>
      <w:bookmarkEnd w:id="536"/>
      <w:bookmarkEnd w:id="559"/>
    </w:p>
    <w:p w14:paraId="2912A664" w14:textId="7777777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0" w:name="_Ref224203595"/>
      <w:r w:rsidRPr="00E27D3B">
        <w:rPr>
          <w:rFonts w:asciiTheme="minorHAnsi" w:hAnsiTheme="minorHAnsi" w:cstheme="minorHAnsi"/>
          <w:sz w:val="24"/>
          <w:szCs w:val="24"/>
        </w:rPr>
        <w:t>O. Australian Energy Market, "Power System Stability Guidelines," in "Power System Stability Guidelines," Australian Energy Market Operator (AEMO), Melbourne, VIC, Australia, 2022/12/01 2022, vol. 2.0. Accessed: 2022/09/27. [Online]. Available: https://www.aemo.com.au/</w:t>
      </w:r>
      <w:bookmarkEnd w:id="560"/>
    </w:p>
    <w:p w14:paraId="6F6F0D9B" w14:textId="582DDF5F"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1" w:name="_Ref230443608"/>
      <w:r w:rsidRPr="00E27D3B">
        <w:rPr>
          <w:rFonts w:asciiTheme="minorHAnsi" w:hAnsiTheme="minorHAnsi" w:cstheme="minorHAnsi"/>
          <w:sz w:val="24"/>
          <w:szCs w:val="24"/>
        </w:rPr>
        <w:t xml:space="preserve">S. Eftekharnejad, V. Vittal, G. T. Heydt, B. Keel, and J. Loehr, "Impact of increased penetration of photovoltaic generation on power systems," </w:t>
      </w:r>
      <w:r w:rsidR="009C27E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28, no. 2, pp. 893-901, 2013</w:t>
      </w:r>
      <w:r w:rsidR="009C27E8">
        <w:rPr>
          <w:rFonts w:asciiTheme="minorHAnsi" w:hAnsiTheme="minorHAnsi" w:cstheme="minorHAnsi"/>
          <w:sz w:val="24"/>
          <w:szCs w:val="24"/>
        </w:rPr>
        <w:t>.</w:t>
      </w:r>
      <w:bookmarkEnd w:id="561"/>
    </w:p>
    <w:p w14:paraId="1269F78F" w14:textId="7777777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2" w:name="_Ref230443643"/>
      <w:r w:rsidRPr="00E27D3B">
        <w:rPr>
          <w:rFonts w:asciiTheme="minorHAnsi" w:hAnsiTheme="minorHAnsi" w:cstheme="minorHAnsi"/>
          <w:i/>
          <w:sz w:val="24"/>
          <w:szCs w:val="24"/>
        </w:rPr>
        <w:t>Use of Voltage Stability Assessment and Transient Stability Assessment Tools in Grid Operations</w:t>
      </w:r>
      <w:r w:rsidRPr="00E27D3B">
        <w:rPr>
          <w:rFonts w:asciiTheme="minorHAnsi" w:hAnsiTheme="minorHAnsi" w:cstheme="minorHAnsi"/>
          <w:sz w:val="24"/>
          <w:szCs w:val="24"/>
        </w:rPr>
        <w:t>, S. N. Nuthalapati, ed.: Springer, 2021. [Online]. Available: https://link.springer.com/book/10.1007/978-3-030-67482-3.</w:t>
      </w:r>
      <w:bookmarkEnd w:id="562"/>
    </w:p>
    <w:p w14:paraId="064AF35B" w14:textId="72DF251D"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3" w:name="_Ref230445391"/>
      <w:r w:rsidRPr="00E27D3B">
        <w:rPr>
          <w:rFonts w:asciiTheme="minorHAnsi" w:hAnsiTheme="minorHAnsi" w:cstheme="minorHAnsi"/>
          <w:sz w:val="24"/>
          <w:szCs w:val="24"/>
        </w:rPr>
        <w:t xml:space="preserve">G. Lammert, D. Premm, L. D. P. Ospina, J. C. Boemer, M. Braun, and T. V. Cutsem, "Control of Photovoltaic Systems for Enhanced Short-Term Voltage Stability and Recovery," </w:t>
      </w:r>
      <w:r w:rsidR="009C27E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Energy Conversion, </w:t>
      </w:r>
      <w:r w:rsidRPr="00E27D3B">
        <w:rPr>
          <w:rFonts w:asciiTheme="minorHAnsi" w:hAnsiTheme="minorHAnsi" w:cstheme="minorHAnsi"/>
          <w:sz w:val="24"/>
          <w:szCs w:val="24"/>
        </w:rPr>
        <w:t>vol. 34, no. 1, pp. 243-254, 2019.</w:t>
      </w:r>
      <w:bookmarkEnd w:id="563"/>
    </w:p>
    <w:p w14:paraId="0466ABB3" w14:textId="7777777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4" w:name="_Ref230445467"/>
      <w:r w:rsidRPr="00E27D3B">
        <w:rPr>
          <w:rFonts w:asciiTheme="minorHAnsi" w:hAnsiTheme="minorHAnsi" w:cstheme="minorHAnsi"/>
          <w:sz w:val="24"/>
          <w:szCs w:val="24"/>
        </w:rPr>
        <w:t>S. Achilles, S. Schramm, and J. Bebic, "Transmission System Performance Analysis for High-Penetration Photovoltaics," National Renewable Energy Laboratory (NREL), Golden, CO, 2008, vol. SR-581-42300. [Online]. Available: http://www.nrel.gov/docs/fy08osti/42300.pdf</w:t>
      </w:r>
      <w:bookmarkEnd w:id="564"/>
    </w:p>
    <w:p w14:paraId="71D5A9FF" w14:textId="759FBA86"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5" w:name="_Ref230445499"/>
      <w:r w:rsidRPr="00E27D3B">
        <w:rPr>
          <w:rFonts w:asciiTheme="minorHAnsi" w:hAnsiTheme="minorHAnsi" w:cstheme="minorHAnsi"/>
          <w:sz w:val="24"/>
          <w:szCs w:val="24"/>
        </w:rPr>
        <w:t xml:space="preserve">B. Li, S. Xu, W. Li, P. Chao, X. Liang, and Z. Li, "Fast analytical calculation-based modeling method and fault ride-through parameters selection to enhance short-term voltage stability of grids with large-scale photovoltaic power plants," </w:t>
      </w:r>
      <w:r w:rsidR="009C27E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164, p. 110414, 2025.</w:t>
      </w:r>
      <w:bookmarkEnd w:id="565"/>
    </w:p>
    <w:p w14:paraId="2CE78FC7" w14:textId="0BC3A39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6" w:name="_Ref230445568"/>
      <w:r w:rsidRPr="00E27D3B">
        <w:rPr>
          <w:rFonts w:asciiTheme="minorHAnsi" w:hAnsiTheme="minorHAnsi" w:cstheme="minorHAnsi"/>
          <w:sz w:val="24"/>
          <w:szCs w:val="24"/>
        </w:rPr>
        <w:t xml:space="preserve">Y. Sun, Z. Wang, Y. Liu, Y. Jiang, and Y. Li, "Distributed PV Bearing Capacity Assessment Method Based on Source–Load Coupling Scenarios,"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Energies</w:t>
      </w:r>
      <w:r w:rsidRPr="00E27D3B">
        <w:rPr>
          <w:rFonts w:asciiTheme="minorHAnsi" w:hAnsiTheme="minorHAnsi" w:cstheme="minorHAnsi"/>
          <w:sz w:val="24"/>
          <w:szCs w:val="24"/>
        </w:rPr>
        <w:t>, vol. 18, no. 20</w:t>
      </w:r>
      <w:r w:rsidRPr="00E27D3B">
        <w:rPr>
          <w:rFonts w:asciiTheme="minorHAnsi" w:hAnsiTheme="minorHAnsi" w:cstheme="minorHAnsi"/>
          <w:i/>
          <w:sz w:val="24"/>
          <w:szCs w:val="24"/>
        </w:rPr>
        <w:t xml:space="preserve">, </w:t>
      </w:r>
      <w:r w:rsidRPr="00E27D3B">
        <w:rPr>
          <w:rFonts w:asciiTheme="minorHAnsi" w:hAnsiTheme="minorHAnsi" w:cstheme="minorHAnsi"/>
          <w:sz w:val="24"/>
          <w:szCs w:val="24"/>
        </w:rPr>
        <w:t>p. 5520.</w:t>
      </w:r>
      <w:bookmarkEnd w:id="566"/>
    </w:p>
    <w:p w14:paraId="4A838DC0" w14:textId="6B678389"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7" w:name="_Ref230445612"/>
      <w:r w:rsidRPr="00E27D3B">
        <w:rPr>
          <w:rFonts w:asciiTheme="minorHAnsi" w:hAnsiTheme="minorHAnsi" w:cstheme="minorHAnsi"/>
          <w:sz w:val="24"/>
          <w:szCs w:val="24"/>
        </w:rPr>
        <w:t xml:space="preserve">V. V. Vineeth and V. J. Vijayalakshmi, "A novel deep learning approach for estimating and classifying short-term voltage stability events in modern power systems with composite load and distributed energy resources,"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Electrical Engineering, </w:t>
      </w:r>
      <w:r w:rsidRPr="00E27D3B">
        <w:rPr>
          <w:rFonts w:asciiTheme="minorHAnsi" w:hAnsiTheme="minorHAnsi" w:cstheme="minorHAnsi"/>
          <w:sz w:val="24"/>
          <w:szCs w:val="24"/>
        </w:rPr>
        <w:t>vol. 107, no. 2, pp. 1783-1795, 2025.</w:t>
      </w:r>
      <w:bookmarkEnd w:id="567"/>
    </w:p>
    <w:p w14:paraId="33E1CB07" w14:textId="7D2E1AFF"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8" w:name="_Ref230445648"/>
      <w:r w:rsidRPr="00E27D3B">
        <w:rPr>
          <w:rFonts w:asciiTheme="minorHAnsi" w:hAnsiTheme="minorHAnsi" w:cstheme="minorHAnsi"/>
          <w:sz w:val="24"/>
          <w:szCs w:val="24"/>
        </w:rPr>
        <w:t xml:space="preserve">E. Vittal and A. Keane, "Identification of Critical Wind Farm Locations for Improved Stability and System Planning,"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28, no. 3, pp. 2950-2958, 2013.</w:t>
      </w:r>
      <w:bookmarkEnd w:id="568"/>
    </w:p>
    <w:p w14:paraId="7836A1EF" w14:textId="6CCEAF2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69" w:name="_Ref230445677"/>
      <w:r w:rsidRPr="00E27D3B">
        <w:rPr>
          <w:rFonts w:asciiTheme="minorHAnsi" w:hAnsiTheme="minorHAnsi" w:cstheme="minorHAnsi"/>
          <w:sz w:val="24"/>
          <w:szCs w:val="24"/>
        </w:rPr>
        <w:lastRenderedPageBreak/>
        <w:t xml:space="preserve">M. Alzubaidi, K. N. Hasan, and L. Meegahapola, "Probabilistic steady-state and short-term voltage stability assessment considering correlated system uncertainties,"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Electric Power Systems Research, </w:t>
      </w:r>
      <w:r w:rsidRPr="00E27D3B">
        <w:rPr>
          <w:rFonts w:asciiTheme="minorHAnsi" w:hAnsiTheme="minorHAnsi" w:cstheme="minorHAnsi"/>
          <w:sz w:val="24"/>
          <w:szCs w:val="24"/>
        </w:rPr>
        <w:t>vol. 228, p. 110008, 2024.</w:t>
      </w:r>
      <w:bookmarkEnd w:id="569"/>
    </w:p>
    <w:p w14:paraId="62EF3838" w14:textId="014943C4"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0" w:name="_Ref230445723"/>
      <w:r w:rsidRPr="00E27D3B">
        <w:rPr>
          <w:rFonts w:asciiTheme="minorHAnsi" w:hAnsiTheme="minorHAnsi" w:cstheme="minorHAnsi"/>
          <w:sz w:val="24"/>
          <w:szCs w:val="24"/>
        </w:rPr>
        <w:t>AEMO, "W</w:t>
      </w:r>
      <w:r w:rsidR="00347BC0">
        <w:rPr>
          <w:rFonts w:asciiTheme="minorHAnsi" w:hAnsiTheme="minorHAnsi" w:cstheme="minorHAnsi"/>
          <w:sz w:val="24"/>
          <w:szCs w:val="24"/>
        </w:rPr>
        <w:t>ind</w:t>
      </w:r>
      <w:r w:rsidRPr="00E27D3B">
        <w:rPr>
          <w:rFonts w:asciiTheme="minorHAnsi" w:hAnsiTheme="minorHAnsi" w:cstheme="minorHAnsi"/>
          <w:sz w:val="24"/>
          <w:szCs w:val="24"/>
        </w:rPr>
        <w:t xml:space="preserve"> T</w:t>
      </w:r>
      <w:r w:rsidR="00347BC0">
        <w:rPr>
          <w:rFonts w:asciiTheme="minorHAnsi" w:hAnsiTheme="minorHAnsi" w:cstheme="minorHAnsi"/>
          <w:sz w:val="24"/>
          <w:szCs w:val="24"/>
        </w:rPr>
        <w:t>urbine</w:t>
      </w:r>
      <w:r w:rsidRPr="00E27D3B">
        <w:rPr>
          <w:rFonts w:asciiTheme="minorHAnsi" w:hAnsiTheme="minorHAnsi" w:cstheme="minorHAnsi"/>
          <w:sz w:val="24"/>
          <w:szCs w:val="24"/>
        </w:rPr>
        <w:t xml:space="preserve"> P</w:t>
      </w:r>
      <w:r w:rsidR="00347BC0">
        <w:rPr>
          <w:rFonts w:asciiTheme="minorHAnsi" w:hAnsiTheme="minorHAnsi" w:cstheme="minorHAnsi"/>
          <w:sz w:val="24"/>
          <w:szCs w:val="24"/>
        </w:rPr>
        <w:t>lant</w:t>
      </w:r>
      <w:r w:rsidRPr="00E27D3B">
        <w:rPr>
          <w:rFonts w:asciiTheme="minorHAnsi" w:hAnsiTheme="minorHAnsi" w:cstheme="minorHAnsi"/>
          <w:sz w:val="24"/>
          <w:szCs w:val="24"/>
        </w:rPr>
        <w:t xml:space="preserve"> C</w:t>
      </w:r>
      <w:r w:rsidR="00347BC0">
        <w:rPr>
          <w:rFonts w:asciiTheme="minorHAnsi" w:hAnsiTheme="minorHAnsi" w:cstheme="minorHAnsi"/>
          <w:sz w:val="24"/>
          <w:szCs w:val="24"/>
        </w:rPr>
        <w:t>apabilities</w:t>
      </w:r>
      <w:r w:rsidRPr="00E27D3B">
        <w:rPr>
          <w:rFonts w:asciiTheme="minorHAnsi" w:hAnsiTheme="minorHAnsi" w:cstheme="minorHAnsi"/>
          <w:sz w:val="24"/>
          <w:szCs w:val="24"/>
        </w:rPr>
        <w:t xml:space="preserve"> R</w:t>
      </w:r>
      <w:r w:rsidR="00347BC0">
        <w:rPr>
          <w:rFonts w:asciiTheme="minorHAnsi" w:hAnsiTheme="minorHAnsi" w:cstheme="minorHAnsi"/>
          <w:sz w:val="24"/>
          <w:szCs w:val="24"/>
        </w:rPr>
        <w:t>eport</w:t>
      </w:r>
      <w:r w:rsidRPr="00E27D3B">
        <w:rPr>
          <w:rFonts w:asciiTheme="minorHAnsi" w:hAnsiTheme="minorHAnsi" w:cstheme="minorHAnsi"/>
          <w:sz w:val="24"/>
          <w:szCs w:val="24"/>
        </w:rPr>
        <w:t xml:space="preserve"> 2013 Wind Integration Studies," 2013. [Online]. Available: https://www.aemo.com.au/-/media/files/electricity/nem/security_and_reliability/reports/wind_turbine_plant_capabilities_report.pdf</w:t>
      </w:r>
      <w:bookmarkEnd w:id="570"/>
    </w:p>
    <w:p w14:paraId="0E4CB9DA" w14:textId="7777777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1" w:name="_Ref230446008"/>
      <w:r w:rsidRPr="00E27D3B">
        <w:rPr>
          <w:rFonts w:asciiTheme="minorHAnsi" w:hAnsiTheme="minorHAnsi" w:cstheme="minorHAnsi"/>
          <w:sz w:val="24"/>
          <w:szCs w:val="24"/>
        </w:rPr>
        <w:t xml:space="preserve">L. Meegahapola, E. Munkhchuluun, and K. Amarasekara, "Voltage Stability with Wind Power Generation," in </w:t>
      </w:r>
      <w:r w:rsidRPr="00E27D3B">
        <w:rPr>
          <w:rFonts w:asciiTheme="minorHAnsi" w:hAnsiTheme="minorHAnsi" w:cstheme="minorHAnsi"/>
          <w:i/>
          <w:sz w:val="24"/>
          <w:szCs w:val="24"/>
        </w:rPr>
        <w:t>Handbook of Renewable Energy Technology &amp; Systems</w:t>
      </w:r>
      <w:r w:rsidRPr="00E27D3B">
        <w:rPr>
          <w:rFonts w:asciiTheme="minorHAnsi" w:hAnsiTheme="minorHAnsi" w:cstheme="minorHAnsi"/>
          <w:sz w:val="24"/>
          <w:szCs w:val="24"/>
        </w:rPr>
        <w:t>: WORLD SCIENTIFIC (EUROPE), 2020, pp. 73-90.</w:t>
      </w:r>
      <w:bookmarkEnd w:id="571"/>
    </w:p>
    <w:p w14:paraId="30829D30" w14:textId="4C1E20A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2" w:name="_Ref230446026"/>
      <w:r w:rsidRPr="00E27D3B">
        <w:rPr>
          <w:rFonts w:asciiTheme="minorHAnsi" w:hAnsiTheme="minorHAnsi" w:cstheme="minorHAnsi"/>
          <w:sz w:val="24"/>
          <w:szCs w:val="24"/>
        </w:rPr>
        <w:t xml:space="preserve">S. Kabir, O. Krause, R. Bansal, and J. Ravishanker, "Dynamic voltage stability analysis of sub-transmission networks with large-scale photovoltaic systems," in </w:t>
      </w:r>
      <w:r w:rsidRPr="00E27D3B">
        <w:rPr>
          <w:rFonts w:asciiTheme="minorHAnsi" w:hAnsiTheme="minorHAnsi" w:cstheme="minorHAnsi"/>
          <w:i/>
          <w:sz w:val="24"/>
          <w:szCs w:val="24"/>
        </w:rPr>
        <w:t xml:space="preserve"> IEEE PES General Meeting | Conference &amp; Exposition</w:t>
      </w:r>
      <w:r w:rsidRPr="00E27D3B">
        <w:rPr>
          <w:rFonts w:asciiTheme="minorHAnsi" w:hAnsiTheme="minorHAnsi" w:cstheme="minorHAnsi"/>
          <w:sz w:val="24"/>
          <w:szCs w:val="24"/>
        </w:rPr>
        <w:t>, 27-31 July 2014 2014, pp. 1-5.</w:t>
      </w:r>
      <w:bookmarkEnd w:id="572"/>
      <w:r w:rsidRPr="00E27D3B">
        <w:rPr>
          <w:rFonts w:asciiTheme="minorHAnsi" w:hAnsiTheme="minorHAnsi" w:cstheme="minorHAnsi"/>
          <w:sz w:val="24"/>
          <w:szCs w:val="24"/>
        </w:rPr>
        <w:t xml:space="preserve"> </w:t>
      </w:r>
    </w:p>
    <w:p w14:paraId="1DD50EBC" w14:textId="07C039FA"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3" w:name="_Ref230446050"/>
      <w:r w:rsidRPr="00E27D3B">
        <w:rPr>
          <w:rFonts w:asciiTheme="minorHAnsi" w:hAnsiTheme="minorHAnsi" w:cstheme="minorHAnsi"/>
          <w:sz w:val="24"/>
          <w:szCs w:val="24"/>
        </w:rPr>
        <w:t xml:space="preserve">E. Munkhchuluun and L. Meegahapola, "Impact of the solar photovoltaic (PV) generation on long-term voltage stability of a power network," in </w:t>
      </w:r>
      <w:r w:rsidR="00347BC0">
        <w:rPr>
          <w:rFonts w:asciiTheme="minorHAnsi" w:hAnsiTheme="minorHAnsi" w:cstheme="minorHAnsi"/>
          <w:i/>
          <w:sz w:val="24"/>
          <w:szCs w:val="24"/>
        </w:rPr>
        <w:t>wI</w:t>
      </w:r>
      <w:r w:rsidRPr="00E27D3B">
        <w:rPr>
          <w:rFonts w:asciiTheme="minorHAnsi" w:hAnsiTheme="minorHAnsi" w:cstheme="minorHAnsi"/>
          <w:i/>
          <w:sz w:val="24"/>
          <w:szCs w:val="24"/>
        </w:rPr>
        <w:t>EEE Innovative Smart Grid Technologies - Asia (ISGT-Asia)</w:t>
      </w:r>
      <w:r w:rsidRPr="00E27D3B">
        <w:rPr>
          <w:rFonts w:asciiTheme="minorHAnsi" w:hAnsiTheme="minorHAnsi" w:cstheme="minorHAnsi"/>
          <w:sz w:val="24"/>
          <w:szCs w:val="24"/>
        </w:rPr>
        <w:t>, 4-7 Dec. 2017 2017, pp. 1-6.</w:t>
      </w:r>
      <w:bookmarkEnd w:id="573"/>
      <w:r w:rsidRPr="00E27D3B">
        <w:rPr>
          <w:rFonts w:asciiTheme="minorHAnsi" w:hAnsiTheme="minorHAnsi" w:cstheme="minorHAnsi"/>
          <w:sz w:val="24"/>
          <w:szCs w:val="24"/>
        </w:rPr>
        <w:t xml:space="preserve"> </w:t>
      </w:r>
    </w:p>
    <w:p w14:paraId="11A3030A" w14:textId="10C651B3"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4" w:name="_Ref230446062"/>
      <w:r w:rsidRPr="00E27D3B">
        <w:rPr>
          <w:rFonts w:asciiTheme="minorHAnsi" w:hAnsiTheme="minorHAnsi" w:cstheme="minorHAnsi"/>
          <w:sz w:val="24"/>
          <w:szCs w:val="24"/>
        </w:rPr>
        <w:t>M. Alzubaidi, K. N. Hasan, and L. Meegahapola, "Identification of the Impact of Wind Speed and Load Uncertainties on Short-term Voltage Stability," in</w:t>
      </w:r>
      <w:r w:rsidRPr="00E27D3B">
        <w:rPr>
          <w:rFonts w:asciiTheme="minorHAnsi" w:hAnsiTheme="minorHAnsi" w:cstheme="minorHAnsi"/>
          <w:i/>
          <w:sz w:val="24"/>
          <w:szCs w:val="24"/>
        </w:rPr>
        <w:t>IEEE PES 14th Asia-Pacific Power and Energy Engineering Conference (APPEEC)</w:t>
      </w:r>
      <w:r w:rsidRPr="00E27D3B">
        <w:rPr>
          <w:rFonts w:asciiTheme="minorHAnsi" w:hAnsiTheme="minorHAnsi" w:cstheme="minorHAnsi"/>
          <w:sz w:val="24"/>
          <w:szCs w:val="24"/>
        </w:rPr>
        <w:t>, 20-23 Nov. 2022.</w:t>
      </w:r>
      <w:bookmarkEnd w:id="574"/>
      <w:r w:rsidRPr="00E27D3B">
        <w:rPr>
          <w:rFonts w:asciiTheme="minorHAnsi" w:hAnsiTheme="minorHAnsi" w:cstheme="minorHAnsi"/>
          <w:sz w:val="24"/>
          <w:szCs w:val="24"/>
        </w:rPr>
        <w:t xml:space="preserve"> </w:t>
      </w:r>
    </w:p>
    <w:p w14:paraId="35B847B6" w14:textId="5B55685C"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5" w:name="_Ref230446092"/>
      <w:r w:rsidRPr="00E27D3B">
        <w:rPr>
          <w:rFonts w:asciiTheme="minorHAnsi" w:hAnsiTheme="minorHAnsi" w:cstheme="minorHAnsi"/>
          <w:sz w:val="24"/>
          <w:szCs w:val="24"/>
        </w:rPr>
        <w:t xml:space="preserve">D. Bowman, R. A. McCann, and N. Bean, "Method of Assessing Voltage Response of Inverter-Based Generation Due to System Faults," in </w:t>
      </w:r>
      <w:r w:rsidRPr="00E27D3B">
        <w:rPr>
          <w:rFonts w:asciiTheme="minorHAnsi" w:hAnsiTheme="minorHAnsi" w:cstheme="minorHAnsi"/>
          <w:i/>
          <w:sz w:val="24"/>
          <w:szCs w:val="24"/>
        </w:rPr>
        <w:t xml:space="preserve"> IEEE Green Technologies Conference (GreenTech)</w:t>
      </w:r>
      <w:r w:rsidRPr="00E27D3B">
        <w:rPr>
          <w:rFonts w:asciiTheme="minorHAnsi" w:hAnsiTheme="minorHAnsi" w:cstheme="minorHAnsi"/>
          <w:sz w:val="24"/>
          <w:szCs w:val="24"/>
        </w:rPr>
        <w:t>, 7-9 April 2021 2021, pp. 489-493.</w:t>
      </w:r>
      <w:bookmarkEnd w:id="575"/>
      <w:r w:rsidRPr="00E27D3B">
        <w:rPr>
          <w:rFonts w:asciiTheme="minorHAnsi" w:hAnsiTheme="minorHAnsi" w:cstheme="minorHAnsi"/>
          <w:sz w:val="24"/>
          <w:szCs w:val="24"/>
        </w:rPr>
        <w:t xml:space="preserve"> </w:t>
      </w:r>
    </w:p>
    <w:p w14:paraId="79A3E9FB" w14:textId="47C64D3B"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6" w:name="_Ref230446109"/>
      <w:r w:rsidRPr="00E27D3B">
        <w:rPr>
          <w:rFonts w:asciiTheme="minorHAnsi" w:hAnsiTheme="minorHAnsi" w:cstheme="minorHAnsi"/>
          <w:sz w:val="24"/>
          <w:szCs w:val="24"/>
        </w:rPr>
        <w:t xml:space="preserve">H. Gao, D. Yang, Y. Lv, and L. Wang, "Short-Term Voltage Stability Prediction for Power Systems Based on a Dominant Koopman Operator-Enhanced MLE,"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Access, </w:t>
      </w:r>
      <w:r w:rsidRPr="00E27D3B">
        <w:rPr>
          <w:rFonts w:asciiTheme="minorHAnsi" w:hAnsiTheme="minorHAnsi" w:cstheme="minorHAnsi"/>
          <w:sz w:val="24"/>
          <w:szCs w:val="24"/>
        </w:rPr>
        <w:t>vol. 13, pp. 61056-61066, 2025.</w:t>
      </w:r>
      <w:bookmarkEnd w:id="576"/>
    </w:p>
    <w:p w14:paraId="20542C5C" w14:textId="1D8DA8C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7" w:name="_Ref230446139"/>
      <w:r w:rsidRPr="00E27D3B">
        <w:rPr>
          <w:rFonts w:asciiTheme="minorHAnsi" w:hAnsiTheme="minorHAnsi" w:cstheme="minorHAnsi"/>
          <w:sz w:val="24"/>
          <w:szCs w:val="24"/>
        </w:rPr>
        <w:t xml:space="preserve">K. Kawabe, Y. Ota, A. Yokoyama, and K. Tanaka, "Novel Dynamic Voltage Support Capability of Photovoltaic Systems for Improvement of Short-Term Voltage Stability in Power Systems,"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32, no. 3, pp. 1796-1804, 2017.</w:t>
      </w:r>
      <w:bookmarkEnd w:id="577"/>
    </w:p>
    <w:p w14:paraId="583687BB" w14:textId="5E9093B0"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8" w:name="_Ref230446172"/>
      <w:r w:rsidRPr="00E27D3B">
        <w:rPr>
          <w:rFonts w:asciiTheme="minorHAnsi" w:hAnsiTheme="minorHAnsi" w:cstheme="minorHAnsi"/>
          <w:sz w:val="24"/>
          <w:szCs w:val="24"/>
        </w:rPr>
        <w:t xml:space="preserve">K. Dharmapala, A. Rajapakse, and Y. Zhang, "Hierarchical-decentralized scheme for short-term voltage stability status prediction and localization," </w:t>
      </w:r>
      <w:r w:rsidR="00347BC0">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Electric Power Systems Research, </w:t>
      </w:r>
      <w:r w:rsidRPr="00E27D3B">
        <w:rPr>
          <w:rFonts w:asciiTheme="minorHAnsi" w:hAnsiTheme="minorHAnsi" w:cstheme="minorHAnsi"/>
          <w:sz w:val="24"/>
          <w:szCs w:val="24"/>
        </w:rPr>
        <w:t>vol. 247, p. 111767, 2025.</w:t>
      </w:r>
      <w:bookmarkEnd w:id="578"/>
    </w:p>
    <w:p w14:paraId="3F02079F" w14:textId="6B7EA60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79" w:name="_Ref230446187"/>
      <w:r w:rsidRPr="00E27D3B">
        <w:rPr>
          <w:rFonts w:asciiTheme="minorHAnsi" w:hAnsiTheme="minorHAnsi" w:cstheme="minorHAnsi"/>
          <w:sz w:val="24"/>
          <w:szCs w:val="24"/>
        </w:rPr>
        <w:t xml:space="preserve">N. Zhou, J. Guo, Y. Chi, X. Zheng, Q. Wang, Y. Luo, and J. Ye, "Candidate bus identification for voltage stability enhancement of wind-penetrated power system based on spectral learning technique,"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IET Generation, Transmission &amp; Distribution, </w:t>
      </w:r>
      <w:r w:rsidRPr="00E27D3B">
        <w:rPr>
          <w:rFonts w:asciiTheme="minorHAnsi" w:hAnsiTheme="minorHAnsi" w:cstheme="minorHAnsi"/>
          <w:sz w:val="24"/>
          <w:szCs w:val="24"/>
        </w:rPr>
        <w:t>vol. 19, no. 1, p. e13351, 2025.</w:t>
      </w:r>
      <w:bookmarkEnd w:id="579"/>
    </w:p>
    <w:p w14:paraId="4BEB2DD0" w14:textId="74B3FAE9"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0" w:name="_Ref230446198"/>
      <w:r w:rsidRPr="00E27D3B">
        <w:rPr>
          <w:rFonts w:asciiTheme="minorHAnsi" w:hAnsiTheme="minorHAnsi" w:cstheme="minorHAnsi"/>
          <w:sz w:val="24"/>
          <w:szCs w:val="24"/>
        </w:rPr>
        <w:t xml:space="preserve">B. Li, S. Xu, Z. Li, and H. Sun, "A Short-Term Voltage Stability Evaluation Method Combining Data-Driven and Mechanism Criterion,"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40, no. 2, pp. 1891-1902, 2025.</w:t>
      </w:r>
      <w:bookmarkEnd w:id="580"/>
    </w:p>
    <w:p w14:paraId="1849503E" w14:textId="37ADA878"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1" w:name="_Ref230446209"/>
      <w:r w:rsidRPr="00E27D3B">
        <w:rPr>
          <w:rFonts w:asciiTheme="minorHAnsi" w:hAnsiTheme="minorHAnsi" w:cstheme="minorHAnsi"/>
          <w:sz w:val="24"/>
          <w:szCs w:val="24"/>
        </w:rPr>
        <w:lastRenderedPageBreak/>
        <w:t xml:space="preserve">Y. Zhang, Y. Xu, Z. Y. Dong, and R. Zhang, "A Hierarchical Self-Adaptive Data-Analytics Method for Real-Time Power System Short-Term Voltage Stability Assessment,"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Industrial Informatics, </w:t>
      </w:r>
      <w:r w:rsidRPr="00E27D3B">
        <w:rPr>
          <w:rFonts w:asciiTheme="minorHAnsi" w:hAnsiTheme="minorHAnsi" w:cstheme="minorHAnsi"/>
          <w:sz w:val="24"/>
          <w:szCs w:val="24"/>
        </w:rPr>
        <w:t>vol. 15, no. 1, pp. 74-84, 2019.</w:t>
      </w:r>
      <w:bookmarkEnd w:id="581"/>
    </w:p>
    <w:p w14:paraId="4F981F88" w14:textId="49C365DD"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2" w:name="_Ref230446221"/>
      <w:r w:rsidRPr="00E27D3B">
        <w:rPr>
          <w:rFonts w:asciiTheme="minorHAnsi" w:hAnsiTheme="minorHAnsi" w:cstheme="minorHAnsi"/>
          <w:sz w:val="24"/>
          <w:szCs w:val="24"/>
        </w:rPr>
        <w:t xml:space="preserve">C. Ren, Y. Xu, J. Zhao, R. Zhang, and T. Wan, "A super-resolution perception-based incremental learning approach for power system voltage stability assessment with incomplete PMU measurements,"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CSEE Journal of Power and Energy Systems, </w:t>
      </w:r>
      <w:r w:rsidRPr="00E27D3B">
        <w:rPr>
          <w:rFonts w:asciiTheme="minorHAnsi" w:hAnsiTheme="minorHAnsi" w:cstheme="minorHAnsi"/>
          <w:sz w:val="24"/>
          <w:szCs w:val="24"/>
        </w:rPr>
        <w:t xml:space="preserve"> vol. 8, no. 1, pp. 76-85, 2022.</w:t>
      </w:r>
      <w:bookmarkEnd w:id="582"/>
    </w:p>
    <w:p w14:paraId="19FE896A" w14:textId="6827A693"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3" w:name="_Ref230446242"/>
      <w:r w:rsidRPr="00E27D3B">
        <w:rPr>
          <w:rFonts w:asciiTheme="minorHAnsi" w:hAnsiTheme="minorHAnsi" w:cstheme="minorHAnsi"/>
          <w:sz w:val="24"/>
          <w:szCs w:val="24"/>
        </w:rPr>
        <w:t xml:space="preserve">G. Cai, Z. Cao, C. Liu, H. Yang, Y. Cheng, and V. Terzija, "Online assessment of short-term voltage stability based on hybrid model and data-driven approach,"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158, p. 109930, 2024.</w:t>
      </w:r>
      <w:bookmarkEnd w:id="583"/>
    </w:p>
    <w:p w14:paraId="54EA554A" w14:textId="607224CF"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4" w:name="_Ref230446262"/>
      <w:r w:rsidRPr="00E27D3B">
        <w:rPr>
          <w:rFonts w:asciiTheme="minorHAnsi" w:hAnsiTheme="minorHAnsi" w:cstheme="minorHAnsi"/>
          <w:sz w:val="24"/>
          <w:szCs w:val="24"/>
        </w:rPr>
        <w:t xml:space="preserve">A. Adhikari, S. Naetiladdanon, and A. Sangswang, "Real-Time Short-Term Voltage Stability Assessment Using Combined Temporal Convolutional Neural Network and Long Short-Term Memory Neural Network,"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Applied Sciences</w:t>
      </w:r>
      <w:r w:rsidRPr="00E27D3B">
        <w:rPr>
          <w:rFonts w:asciiTheme="minorHAnsi" w:hAnsiTheme="minorHAnsi" w:cstheme="minorHAnsi"/>
          <w:sz w:val="24"/>
          <w:szCs w:val="24"/>
        </w:rPr>
        <w:t>, vol. 12, no. 13</w:t>
      </w:r>
      <w:r w:rsidRPr="00E27D3B">
        <w:rPr>
          <w:rFonts w:asciiTheme="minorHAnsi" w:hAnsiTheme="minorHAnsi" w:cstheme="minorHAnsi"/>
          <w:i/>
          <w:sz w:val="24"/>
          <w:szCs w:val="24"/>
        </w:rPr>
        <w:t>,</w:t>
      </w:r>
      <w:r w:rsidR="00D10CBF">
        <w:rPr>
          <w:rFonts w:asciiTheme="minorHAnsi" w:hAnsiTheme="minorHAnsi" w:cstheme="minorHAnsi"/>
          <w:i/>
          <w:sz w:val="24"/>
          <w:szCs w:val="24"/>
        </w:rPr>
        <w:t xml:space="preserve"> </w:t>
      </w:r>
      <w:r w:rsidR="00D10CBF">
        <w:rPr>
          <w:rFonts w:asciiTheme="minorHAnsi" w:hAnsiTheme="minorHAnsi" w:cstheme="minorHAnsi"/>
          <w:sz w:val="24"/>
          <w:szCs w:val="24"/>
        </w:rPr>
        <w:t>p.</w:t>
      </w:r>
      <w:r w:rsidRPr="00E27D3B">
        <w:rPr>
          <w:rFonts w:asciiTheme="minorHAnsi" w:hAnsiTheme="minorHAnsi" w:cstheme="minorHAnsi"/>
          <w:sz w:val="24"/>
          <w:szCs w:val="24"/>
        </w:rPr>
        <w:t xml:space="preserve"> 6333</w:t>
      </w:r>
      <w:r w:rsidR="00D10CBF">
        <w:rPr>
          <w:rFonts w:asciiTheme="minorHAnsi" w:hAnsiTheme="minorHAnsi" w:cstheme="minorHAnsi"/>
          <w:sz w:val="24"/>
          <w:szCs w:val="24"/>
        </w:rPr>
        <w:t>, 2022</w:t>
      </w:r>
      <w:r w:rsidRPr="00E27D3B">
        <w:rPr>
          <w:rFonts w:asciiTheme="minorHAnsi" w:hAnsiTheme="minorHAnsi" w:cstheme="minorHAnsi"/>
          <w:sz w:val="24"/>
          <w:szCs w:val="24"/>
        </w:rPr>
        <w:t>.</w:t>
      </w:r>
      <w:bookmarkEnd w:id="584"/>
    </w:p>
    <w:p w14:paraId="3CD6D10C" w14:textId="15FB071F"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5" w:name="_Ref230446275"/>
      <w:r w:rsidRPr="00E27D3B">
        <w:rPr>
          <w:rFonts w:asciiTheme="minorHAnsi" w:hAnsiTheme="minorHAnsi" w:cstheme="minorHAnsi"/>
          <w:sz w:val="24"/>
          <w:szCs w:val="24"/>
        </w:rPr>
        <w:t xml:space="preserve">M. Sarwar, V. Ajjarapu, A. R. R. Matavalam, S. Roy, and H. N. V. Pico, "Short-Term Voltage Stability Improvement in Power System Through Grid-Forming Hybrid PV Plants,"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Industry Applications, </w:t>
      </w:r>
      <w:r w:rsidRPr="00E27D3B">
        <w:rPr>
          <w:rFonts w:asciiTheme="minorHAnsi" w:hAnsiTheme="minorHAnsi" w:cstheme="minorHAnsi"/>
          <w:sz w:val="24"/>
          <w:szCs w:val="24"/>
        </w:rPr>
        <w:t>vol. 61, no. 5, pp. 7892-7902, 2025.</w:t>
      </w:r>
      <w:bookmarkEnd w:id="585"/>
    </w:p>
    <w:p w14:paraId="181E990C" w14:textId="5A4CF5A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6" w:name="_Ref230446286"/>
      <w:r w:rsidRPr="00E27D3B">
        <w:rPr>
          <w:rFonts w:asciiTheme="minorHAnsi" w:hAnsiTheme="minorHAnsi" w:cstheme="minorHAnsi"/>
          <w:sz w:val="24"/>
          <w:szCs w:val="24"/>
        </w:rPr>
        <w:t xml:space="preserve">J. A. d. Santos, J. M. Binotto, A. B. Piardi, A. P. G. Pavani, J. C. M. V. Junior, and R. A. Ramos, "Short-Term Voltage Stability Analysis Considering the Mandatory Disconnection of Distributed Energy Resources,"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Journal of Control, Automation and Electrical Systems, </w:t>
      </w:r>
      <w:r w:rsidRPr="00E27D3B">
        <w:rPr>
          <w:rFonts w:asciiTheme="minorHAnsi" w:hAnsiTheme="minorHAnsi" w:cstheme="minorHAnsi"/>
          <w:sz w:val="24"/>
          <w:szCs w:val="24"/>
        </w:rPr>
        <w:t>vol. 36, no. 6, pp. 1180-1195, 2025.</w:t>
      </w:r>
      <w:bookmarkEnd w:id="586"/>
    </w:p>
    <w:p w14:paraId="68E2131C" w14:textId="55789C6C"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7" w:name="_Ref230446298"/>
      <w:r w:rsidRPr="00E27D3B">
        <w:rPr>
          <w:rFonts w:asciiTheme="minorHAnsi" w:hAnsiTheme="minorHAnsi" w:cstheme="minorHAnsi"/>
          <w:sz w:val="24"/>
          <w:szCs w:val="24"/>
        </w:rPr>
        <w:t xml:space="preserve">Z. Cao, C. Liu, C. Jiang, S. Hao, S. Zhou, and G. Cai, "Mechanism-Guided Data-Driven assessment method for Multi-Scenario Short-Term voltage stability,"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171, p. 111062, 2025</w:t>
      </w:r>
      <w:r w:rsidR="00D10CBF">
        <w:rPr>
          <w:rFonts w:asciiTheme="minorHAnsi" w:hAnsiTheme="minorHAnsi" w:cstheme="minorHAnsi"/>
          <w:sz w:val="24"/>
          <w:szCs w:val="24"/>
        </w:rPr>
        <w:t xml:space="preserve">. </w:t>
      </w:r>
      <w:bookmarkEnd w:id="587"/>
    </w:p>
    <w:p w14:paraId="6A0F6369" w14:textId="0F15C124"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8" w:name="_Ref230446440"/>
      <w:r w:rsidRPr="00E27D3B">
        <w:rPr>
          <w:rFonts w:asciiTheme="minorHAnsi" w:hAnsiTheme="minorHAnsi" w:cstheme="minorHAnsi"/>
          <w:sz w:val="24"/>
          <w:szCs w:val="24"/>
        </w:rPr>
        <w:t xml:space="preserve">S. Adhikari, J. Schoene, N. Gurung, and A. Mogilevsky, "Fault Induced Delayed Voltage Recovery (FIDVR): Modeling and Guidelines," in </w:t>
      </w:r>
      <w:r w:rsidRPr="00E27D3B">
        <w:rPr>
          <w:rFonts w:asciiTheme="minorHAnsi" w:hAnsiTheme="minorHAnsi" w:cstheme="minorHAnsi"/>
          <w:i/>
          <w:sz w:val="24"/>
          <w:szCs w:val="24"/>
        </w:rPr>
        <w:t>2019 IEEE Power &amp; Energy Society General Meeting (PESGM)</w:t>
      </w:r>
      <w:r w:rsidRPr="00E27D3B">
        <w:rPr>
          <w:rFonts w:asciiTheme="minorHAnsi" w:hAnsiTheme="minorHAnsi" w:cstheme="minorHAnsi"/>
          <w:sz w:val="24"/>
          <w:szCs w:val="24"/>
        </w:rPr>
        <w:t>, 4-8 Aug. 2019 2019.</w:t>
      </w:r>
      <w:bookmarkEnd w:id="588"/>
      <w:r w:rsidRPr="00E27D3B">
        <w:rPr>
          <w:rFonts w:asciiTheme="minorHAnsi" w:hAnsiTheme="minorHAnsi" w:cstheme="minorHAnsi"/>
          <w:sz w:val="24"/>
          <w:szCs w:val="24"/>
        </w:rPr>
        <w:t xml:space="preserve"> </w:t>
      </w:r>
    </w:p>
    <w:p w14:paraId="6B659F1D" w14:textId="509F36C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89" w:name="_Ref230446585"/>
      <w:r w:rsidRPr="00E27D3B">
        <w:rPr>
          <w:rFonts w:asciiTheme="minorHAnsi" w:hAnsiTheme="minorHAnsi" w:cstheme="minorHAnsi"/>
          <w:sz w:val="24"/>
          <w:szCs w:val="24"/>
        </w:rPr>
        <w:t xml:space="preserve">Z. Dong, K. Feng, H. Wu, J. Li, C. Jiang, S. Ma, and X. Zhang, "Practical Criteria for Transient Voltage Stability: A Comprehensive Review," in </w:t>
      </w:r>
      <w:r w:rsidRPr="00E27D3B">
        <w:rPr>
          <w:rFonts w:asciiTheme="minorHAnsi" w:hAnsiTheme="minorHAnsi" w:cstheme="minorHAnsi"/>
          <w:i/>
          <w:sz w:val="24"/>
          <w:szCs w:val="24"/>
        </w:rPr>
        <w:t>2025 7th International Conference on Energy Systems and Electrical Power (ICESEP)</w:t>
      </w:r>
      <w:r w:rsidRPr="00E27D3B">
        <w:rPr>
          <w:rFonts w:asciiTheme="minorHAnsi" w:hAnsiTheme="minorHAnsi" w:cstheme="minorHAnsi"/>
          <w:sz w:val="24"/>
          <w:szCs w:val="24"/>
        </w:rPr>
        <w:t>, 20-22 June 2025</w:t>
      </w:r>
      <w:r w:rsidR="00D10CBF">
        <w:rPr>
          <w:rFonts w:asciiTheme="minorHAnsi" w:hAnsiTheme="minorHAnsi" w:cstheme="minorHAnsi"/>
          <w:sz w:val="24"/>
          <w:szCs w:val="24"/>
        </w:rPr>
        <w:t>.</w:t>
      </w:r>
      <w:bookmarkEnd w:id="589"/>
      <w:r w:rsidRPr="00E27D3B">
        <w:rPr>
          <w:rFonts w:asciiTheme="minorHAnsi" w:hAnsiTheme="minorHAnsi" w:cstheme="minorHAnsi"/>
          <w:sz w:val="24"/>
          <w:szCs w:val="24"/>
        </w:rPr>
        <w:t xml:space="preserve"> </w:t>
      </w:r>
    </w:p>
    <w:p w14:paraId="349611EC" w14:textId="07045831" w:rsidR="00026EF1" w:rsidRPr="00E93961" w:rsidRDefault="00026EF1" w:rsidP="00CD4F3A">
      <w:pPr>
        <w:pStyle w:val="EndNoteBibliography"/>
        <w:numPr>
          <w:ilvl w:val="0"/>
          <w:numId w:val="47"/>
        </w:numPr>
        <w:spacing w:after="0"/>
        <w:rPr>
          <w:rFonts w:asciiTheme="minorHAnsi" w:hAnsiTheme="minorHAnsi" w:cstheme="minorHAnsi"/>
          <w:sz w:val="24"/>
          <w:szCs w:val="24"/>
        </w:rPr>
      </w:pPr>
      <w:bookmarkStart w:id="590" w:name="_Ref230446574"/>
      <w:r w:rsidRPr="00E93961">
        <w:rPr>
          <w:rFonts w:asciiTheme="minorHAnsi" w:hAnsiTheme="minorHAnsi" w:cstheme="minorHAnsi"/>
          <w:sz w:val="24"/>
          <w:szCs w:val="24"/>
        </w:rPr>
        <w:t xml:space="preserve">Z. Lv, B. Wang, Q. Guo, H. Zhao, Z. Wang, and H. Sun, "Short-Term Voltage Stability Assessment Based on Heterogeneous Edge-Integrated Graph Attention Network," </w:t>
      </w:r>
      <w:r w:rsidR="00D10CBF" w:rsidRPr="00E93961">
        <w:rPr>
          <w:rFonts w:asciiTheme="minorHAnsi" w:hAnsiTheme="minorHAnsi" w:cstheme="minorHAnsi"/>
          <w:sz w:val="24"/>
          <w:szCs w:val="24"/>
        </w:rPr>
        <w:t xml:space="preserve">in </w:t>
      </w:r>
      <w:r w:rsidRPr="00E93961">
        <w:rPr>
          <w:rFonts w:asciiTheme="minorHAnsi" w:hAnsiTheme="minorHAnsi" w:cstheme="minorHAnsi"/>
          <w:i/>
          <w:sz w:val="24"/>
          <w:szCs w:val="24"/>
        </w:rPr>
        <w:t xml:space="preserve">IEEE Transactions on Power Systems, </w:t>
      </w:r>
      <w:r w:rsidRPr="00E93961">
        <w:rPr>
          <w:rFonts w:asciiTheme="minorHAnsi" w:hAnsiTheme="minorHAnsi" w:cstheme="minorHAnsi"/>
          <w:sz w:val="24"/>
          <w:szCs w:val="24"/>
        </w:rPr>
        <w:t>vol. 40, no. 1, pp. 421-434, 2025</w:t>
      </w:r>
      <w:bookmarkEnd w:id="590"/>
    </w:p>
    <w:p w14:paraId="7C3A6445" w14:textId="6D380088" w:rsidR="00026EF1" w:rsidRPr="00E93961" w:rsidRDefault="00026EF1" w:rsidP="00CD4F3A">
      <w:pPr>
        <w:pStyle w:val="EndNoteBibliography"/>
        <w:numPr>
          <w:ilvl w:val="0"/>
          <w:numId w:val="47"/>
        </w:numPr>
        <w:spacing w:after="0"/>
        <w:rPr>
          <w:rFonts w:asciiTheme="minorHAnsi" w:hAnsiTheme="minorHAnsi" w:cstheme="minorHAnsi"/>
          <w:sz w:val="24"/>
          <w:szCs w:val="24"/>
        </w:rPr>
      </w:pPr>
      <w:bookmarkStart w:id="591" w:name="_Ref230446641"/>
      <w:r w:rsidRPr="00E93961">
        <w:rPr>
          <w:rFonts w:asciiTheme="minorHAnsi" w:hAnsiTheme="minorHAnsi" w:cstheme="minorHAnsi"/>
          <w:sz w:val="24"/>
          <w:szCs w:val="24"/>
        </w:rPr>
        <w:t>W. Zhao</w:t>
      </w:r>
      <w:r w:rsidR="0019713B" w:rsidRPr="00E93961">
        <w:rPr>
          <w:rFonts w:asciiTheme="minorHAnsi" w:hAnsiTheme="minorHAnsi" w:cstheme="minorHAnsi"/>
          <w:sz w:val="24"/>
          <w:szCs w:val="24"/>
        </w:rPr>
        <w:t xml:space="preserve"> et. al., </w:t>
      </w:r>
      <w:r w:rsidRPr="00E93961">
        <w:rPr>
          <w:rFonts w:asciiTheme="minorHAnsi" w:hAnsiTheme="minorHAnsi" w:cstheme="minorHAnsi"/>
          <w:sz w:val="24"/>
          <w:szCs w:val="24"/>
        </w:rPr>
        <w:t xml:space="preserve"> "A Short-Term Voltage Stability Index and case studies," </w:t>
      </w:r>
      <w:r w:rsidR="002909A8" w:rsidRPr="00E93961">
        <w:rPr>
          <w:rFonts w:asciiTheme="minorHAnsi" w:hAnsiTheme="minorHAnsi" w:cstheme="minorHAnsi"/>
          <w:sz w:val="24"/>
          <w:szCs w:val="24"/>
        </w:rPr>
        <w:t xml:space="preserve">in </w:t>
      </w:r>
      <w:r w:rsidR="002909A8" w:rsidRPr="00E93961">
        <w:rPr>
          <w:rFonts w:asciiTheme="minorHAnsi" w:hAnsiTheme="minorHAnsi" w:cstheme="minorHAnsi"/>
          <w:i/>
          <w:iCs/>
          <w:sz w:val="24"/>
          <w:szCs w:val="24"/>
        </w:rPr>
        <w:t xml:space="preserve">IET Generation, Transmission and Distribution, </w:t>
      </w:r>
      <w:r w:rsidR="002909A8" w:rsidRPr="00E93961">
        <w:rPr>
          <w:rFonts w:asciiTheme="minorHAnsi" w:hAnsiTheme="minorHAnsi" w:cstheme="minorHAnsi"/>
          <w:sz w:val="24"/>
          <w:szCs w:val="24"/>
        </w:rPr>
        <w:t>vol. 12, pp. 4292-4300, 2018</w:t>
      </w:r>
      <w:r w:rsidRPr="00E93961">
        <w:rPr>
          <w:rFonts w:asciiTheme="minorHAnsi" w:hAnsiTheme="minorHAnsi" w:cstheme="minorHAnsi"/>
          <w:sz w:val="24"/>
          <w:szCs w:val="24"/>
        </w:rPr>
        <w:t>.</w:t>
      </w:r>
      <w:bookmarkEnd w:id="591"/>
    </w:p>
    <w:p w14:paraId="6725AD97" w14:textId="4BEF3A9E"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2" w:name="_Ref230446704"/>
      <w:r w:rsidRPr="00E27D3B">
        <w:rPr>
          <w:rFonts w:asciiTheme="minorHAnsi" w:hAnsiTheme="minorHAnsi" w:cstheme="minorHAnsi"/>
          <w:sz w:val="24"/>
          <w:szCs w:val="24"/>
        </w:rPr>
        <w:t xml:space="preserve">Y. Li, C. Ma, Y. Li, S. Li, Y. Chen, and Z. Dong, "QSTAformer: A quantum-enhanced Transformer for robust short-term voltage stability assessment against adversarial attacks," </w:t>
      </w:r>
      <w:r w:rsidRPr="00E27D3B">
        <w:rPr>
          <w:rFonts w:asciiTheme="minorHAnsi" w:hAnsiTheme="minorHAnsi" w:cstheme="minorHAnsi"/>
          <w:i/>
          <w:sz w:val="24"/>
          <w:szCs w:val="24"/>
        </w:rPr>
        <w:t xml:space="preserve">Applied Energy, </w:t>
      </w:r>
      <w:r w:rsidRPr="00E27D3B">
        <w:rPr>
          <w:rFonts w:asciiTheme="minorHAnsi" w:hAnsiTheme="minorHAnsi" w:cstheme="minorHAnsi"/>
          <w:sz w:val="24"/>
          <w:szCs w:val="24"/>
        </w:rPr>
        <w:t>vol. 405, p. 127196, 2026</w:t>
      </w:r>
      <w:r w:rsidR="00D10CBF">
        <w:rPr>
          <w:rFonts w:asciiTheme="minorHAnsi" w:hAnsiTheme="minorHAnsi" w:cstheme="minorHAnsi"/>
          <w:sz w:val="24"/>
          <w:szCs w:val="24"/>
        </w:rPr>
        <w:t>.</w:t>
      </w:r>
      <w:bookmarkEnd w:id="592"/>
    </w:p>
    <w:p w14:paraId="2B8163E1" w14:textId="49BBC5D7" w:rsidR="00026EF1" w:rsidRPr="00ED2603" w:rsidRDefault="00ED2603" w:rsidP="00CD4F3A">
      <w:pPr>
        <w:pStyle w:val="EndNoteBibliography"/>
        <w:numPr>
          <w:ilvl w:val="0"/>
          <w:numId w:val="47"/>
        </w:numPr>
        <w:spacing w:after="0"/>
        <w:rPr>
          <w:rFonts w:asciiTheme="minorHAnsi" w:hAnsiTheme="minorHAnsi" w:cstheme="minorHAnsi"/>
          <w:sz w:val="24"/>
          <w:szCs w:val="24"/>
        </w:rPr>
      </w:pPr>
      <w:bookmarkStart w:id="593" w:name="_Ref230446708"/>
      <w:r w:rsidRPr="00ED2603">
        <w:rPr>
          <w:rFonts w:asciiTheme="minorHAnsi" w:hAnsiTheme="minorHAnsi" w:cstheme="minorHAnsi"/>
          <w:sz w:val="24"/>
          <w:szCs w:val="24"/>
        </w:rPr>
        <w:t xml:space="preserve">J. L. Rueda-Torres et. al., </w:t>
      </w:r>
      <w:r w:rsidR="00026EF1" w:rsidRPr="00ED2603">
        <w:rPr>
          <w:rFonts w:asciiTheme="minorHAnsi" w:hAnsiTheme="minorHAnsi" w:cstheme="minorHAnsi"/>
          <w:sz w:val="24"/>
          <w:szCs w:val="24"/>
        </w:rPr>
        <w:t xml:space="preserve">"Evaluation of Voltage Stability Assessment Methodologies in Modern Power Systems with Increased Penetration of Inverter-Based Resources," CIGRE </w:t>
      </w:r>
      <w:r w:rsidR="00026EF1" w:rsidRPr="00ED2603">
        <w:rPr>
          <w:rFonts w:asciiTheme="minorHAnsi" w:hAnsiTheme="minorHAnsi" w:cstheme="minorHAnsi"/>
          <w:sz w:val="24"/>
          <w:szCs w:val="24"/>
        </w:rPr>
        <w:lastRenderedPageBreak/>
        <w:t>C4/C2.58/IEEE Joint Working Group on Evaluation of Voltage Stability Assessment Methodologies in Transmission Systems, 2024.</w:t>
      </w:r>
      <w:bookmarkEnd w:id="593"/>
      <w:r w:rsidR="00026EF1" w:rsidRPr="00ED2603">
        <w:rPr>
          <w:rFonts w:asciiTheme="minorHAnsi" w:hAnsiTheme="minorHAnsi" w:cstheme="minorHAnsi"/>
          <w:sz w:val="24"/>
          <w:szCs w:val="24"/>
        </w:rPr>
        <w:t xml:space="preserve"> </w:t>
      </w:r>
    </w:p>
    <w:p w14:paraId="1DE18967" w14:textId="66FCFFF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4" w:name="_Ref230446756"/>
      <w:r w:rsidRPr="00E27D3B">
        <w:rPr>
          <w:rFonts w:asciiTheme="minorHAnsi" w:hAnsiTheme="minorHAnsi" w:cstheme="minorHAnsi"/>
          <w:sz w:val="24"/>
          <w:szCs w:val="24"/>
        </w:rPr>
        <w:t xml:space="preserve">X. Li, Z. Li, L. Guan, L. Zhu, and F. Liu, "Review on Transient Voltage Stability of Power System," in </w:t>
      </w:r>
      <w:r w:rsidRPr="00E27D3B">
        <w:rPr>
          <w:rFonts w:asciiTheme="minorHAnsi" w:hAnsiTheme="minorHAnsi" w:cstheme="minorHAnsi"/>
          <w:i/>
          <w:sz w:val="24"/>
          <w:szCs w:val="24"/>
        </w:rPr>
        <w:t xml:space="preserve"> IEEE Sustainable Power and Energy Conference (iSPEC)</w:t>
      </w:r>
      <w:r w:rsidRPr="00E27D3B">
        <w:rPr>
          <w:rFonts w:asciiTheme="minorHAnsi" w:hAnsiTheme="minorHAnsi" w:cstheme="minorHAnsi"/>
          <w:sz w:val="24"/>
          <w:szCs w:val="24"/>
        </w:rPr>
        <w:t>, 23-25 Nov. 2020.</w:t>
      </w:r>
      <w:bookmarkEnd w:id="594"/>
      <w:r w:rsidRPr="00E27D3B">
        <w:rPr>
          <w:rFonts w:asciiTheme="minorHAnsi" w:hAnsiTheme="minorHAnsi" w:cstheme="minorHAnsi"/>
          <w:sz w:val="24"/>
          <w:szCs w:val="24"/>
        </w:rPr>
        <w:t xml:space="preserve"> </w:t>
      </w:r>
    </w:p>
    <w:p w14:paraId="553099E0" w14:textId="12F4A596"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5" w:name="_Ref230447050"/>
      <w:r w:rsidRPr="00E27D3B">
        <w:rPr>
          <w:rFonts w:asciiTheme="minorHAnsi" w:hAnsiTheme="minorHAnsi" w:cstheme="minorHAnsi"/>
          <w:sz w:val="24"/>
          <w:szCs w:val="24"/>
        </w:rPr>
        <w:t xml:space="preserve">C. Bi, D. Liu, L. Zhu, S. Li, X. Wu, and C. Lu, "Short-term voltage stability emergency control strategy pre-formulation for massive operating scenarios via adversarial reinforcement learning," </w:t>
      </w:r>
      <w:r w:rsidRPr="00E27D3B">
        <w:rPr>
          <w:rFonts w:asciiTheme="minorHAnsi" w:hAnsiTheme="minorHAnsi" w:cstheme="minorHAnsi"/>
          <w:i/>
          <w:sz w:val="24"/>
          <w:szCs w:val="24"/>
        </w:rPr>
        <w:t xml:space="preserve">Applied Energy, </w:t>
      </w:r>
      <w:r w:rsidRPr="00E27D3B">
        <w:rPr>
          <w:rFonts w:asciiTheme="minorHAnsi" w:hAnsiTheme="minorHAnsi" w:cstheme="minorHAnsi"/>
          <w:sz w:val="24"/>
          <w:szCs w:val="24"/>
        </w:rPr>
        <w:t>vol. 389, p. 125751, 2025</w:t>
      </w:r>
      <w:r w:rsidR="00D10CBF">
        <w:rPr>
          <w:rFonts w:asciiTheme="minorHAnsi" w:hAnsiTheme="minorHAnsi" w:cstheme="minorHAnsi"/>
          <w:sz w:val="24"/>
          <w:szCs w:val="24"/>
        </w:rPr>
        <w:t>.</w:t>
      </w:r>
      <w:bookmarkEnd w:id="595"/>
    </w:p>
    <w:p w14:paraId="448BF8B9" w14:textId="4E8132D3"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6" w:name="_Ref230447071"/>
      <w:r w:rsidRPr="00E27D3B">
        <w:rPr>
          <w:rFonts w:asciiTheme="minorHAnsi" w:hAnsiTheme="minorHAnsi" w:cstheme="minorHAnsi"/>
          <w:sz w:val="24"/>
          <w:szCs w:val="24"/>
        </w:rPr>
        <w:t xml:space="preserve">C. Bi, D. Liu, X. Zhang, S. Zhu, S. Li, C. Fu, and C. Lu, "Power System Short-Term Voltage Stability Assessment and Margin Estimation via Neural Barrier Function,"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Automation Science and Engineering, </w:t>
      </w:r>
      <w:r w:rsidRPr="00E27D3B">
        <w:rPr>
          <w:rFonts w:asciiTheme="minorHAnsi" w:hAnsiTheme="minorHAnsi" w:cstheme="minorHAnsi"/>
          <w:sz w:val="24"/>
          <w:szCs w:val="24"/>
        </w:rPr>
        <w:t>vol. 22, pp. 18416-18430, 2025.</w:t>
      </w:r>
      <w:bookmarkEnd w:id="596"/>
    </w:p>
    <w:p w14:paraId="48D19C96" w14:textId="4D879F7E"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7" w:name="_Ref230447079"/>
      <w:r w:rsidRPr="00E27D3B">
        <w:rPr>
          <w:rFonts w:asciiTheme="minorHAnsi" w:hAnsiTheme="minorHAnsi" w:cstheme="minorHAnsi"/>
          <w:sz w:val="24"/>
          <w:szCs w:val="24"/>
        </w:rPr>
        <w:t xml:space="preserve">H. Li, Z. Liang, D. Ma, S. Zhang, and W. Mo, "Power System Short-Term Voltage Stability Assessment Method Based on Spatial-Temporal Graph Attention Network,"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IET Generation, Transmission &amp; Distribution, </w:t>
      </w:r>
      <w:r w:rsidRPr="00E27D3B">
        <w:rPr>
          <w:rFonts w:asciiTheme="minorHAnsi" w:hAnsiTheme="minorHAnsi" w:cstheme="minorHAnsi"/>
          <w:sz w:val="24"/>
          <w:szCs w:val="24"/>
        </w:rPr>
        <w:t>vol. 19, no. 1, p. e70067, 2025.</w:t>
      </w:r>
      <w:bookmarkEnd w:id="597"/>
    </w:p>
    <w:p w14:paraId="2C70F5FE" w14:textId="66FE929E"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8" w:name="_Ref230447134"/>
      <w:r w:rsidRPr="00E27D3B">
        <w:rPr>
          <w:rFonts w:asciiTheme="minorHAnsi" w:hAnsiTheme="minorHAnsi" w:cstheme="minorHAnsi"/>
          <w:sz w:val="24"/>
          <w:szCs w:val="24"/>
        </w:rPr>
        <w:t xml:space="preserve">C. Ma, H. Wang, and J. Cao, "Federated learning and conditional diffusion model for privacy-preserving short-term voltage stability assessment in multi-region power systems,"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Energy Reports, </w:t>
      </w:r>
      <w:r w:rsidRPr="00E27D3B">
        <w:rPr>
          <w:rFonts w:asciiTheme="minorHAnsi" w:hAnsiTheme="minorHAnsi" w:cstheme="minorHAnsi"/>
          <w:sz w:val="24"/>
          <w:szCs w:val="24"/>
        </w:rPr>
        <w:t>vol. 14, pp. 17-30, 2025.</w:t>
      </w:r>
      <w:bookmarkEnd w:id="598"/>
    </w:p>
    <w:p w14:paraId="0499E067" w14:textId="4F4B9C2D"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599" w:name="_Ref230447158"/>
      <w:r w:rsidRPr="00E27D3B">
        <w:rPr>
          <w:rFonts w:asciiTheme="minorHAnsi" w:hAnsiTheme="minorHAnsi" w:cstheme="minorHAnsi"/>
          <w:sz w:val="24"/>
          <w:szCs w:val="24"/>
        </w:rPr>
        <w:t xml:space="preserve">Q. Li, C. Ren, R. Zhang, and Y. Xu, "A Multi-Task Learning-Based Approach for Power System Short-Term Voltage Stability Assessment With Missing PMU Data,"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Automation Science and Engineering, </w:t>
      </w:r>
      <w:r w:rsidRPr="00E27D3B">
        <w:rPr>
          <w:rFonts w:asciiTheme="minorHAnsi" w:hAnsiTheme="minorHAnsi" w:cstheme="minorHAnsi"/>
          <w:sz w:val="24"/>
          <w:szCs w:val="24"/>
        </w:rPr>
        <w:t>vol. 22, pp. 13187-13197, 2025.</w:t>
      </w:r>
      <w:bookmarkEnd w:id="599"/>
    </w:p>
    <w:p w14:paraId="1E427BB4" w14:textId="22B34FF4"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0" w:name="_Ref230447171"/>
      <w:r w:rsidRPr="00E27D3B">
        <w:rPr>
          <w:rFonts w:asciiTheme="minorHAnsi" w:hAnsiTheme="minorHAnsi" w:cstheme="minorHAnsi"/>
          <w:sz w:val="24"/>
          <w:szCs w:val="24"/>
        </w:rPr>
        <w:t xml:space="preserve">M. Zhang, J. Li, Y. Li, and R. Xu, "Deep Learning for Short-Term Voltage Stability Assessment of Power Systems,"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Access, </w:t>
      </w:r>
      <w:r w:rsidRPr="00E27D3B">
        <w:rPr>
          <w:rFonts w:asciiTheme="minorHAnsi" w:hAnsiTheme="minorHAnsi" w:cstheme="minorHAnsi"/>
          <w:sz w:val="24"/>
          <w:szCs w:val="24"/>
        </w:rPr>
        <w:t>vol. 9, pp. 29711-29718, 2021.</w:t>
      </w:r>
      <w:bookmarkEnd w:id="600"/>
    </w:p>
    <w:p w14:paraId="77906947" w14:textId="540F02CE"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1" w:name="_Ref230447261"/>
      <w:r w:rsidRPr="00E27D3B">
        <w:rPr>
          <w:rFonts w:asciiTheme="minorHAnsi" w:hAnsiTheme="minorHAnsi" w:cstheme="minorHAnsi"/>
          <w:sz w:val="24"/>
          <w:szCs w:val="24"/>
        </w:rPr>
        <w:t xml:space="preserve">Y. Li, M. Zhang, and C. Chen, "A Deep-Learning intelligent system incorporating data augmentation for Short-Term voltage stability assessment of power systems," </w:t>
      </w:r>
      <w:r w:rsidR="00D10CBF">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Applied Energy, </w:t>
      </w:r>
      <w:r w:rsidRPr="00E27D3B">
        <w:rPr>
          <w:rFonts w:asciiTheme="minorHAnsi" w:hAnsiTheme="minorHAnsi" w:cstheme="minorHAnsi"/>
          <w:sz w:val="24"/>
          <w:szCs w:val="24"/>
        </w:rPr>
        <w:t>vol. 308, p. 118347, 2022.</w:t>
      </w:r>
      <w:bookmarkEnd w:id="601"/>
    </w:p>
    <w:p w14:paraId="7A23AE2B" w14:textId="5EEB776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2" w:name="_Ref230447268"/>
      <w:r w:rsidRPr="00E27D3B">
        <w:rPr>
          <w:rFonts w:asciiTheme="minorHAnsi" w:hAnsiTheme="minorHAnsi" w:cstheme="minorHAnsi"/>
          <w:sz w:val="24"/>
          <w:szCs w:val="24"/>
        </w:rPr>
        <w:t xml:space="preserve">Y. Li, J. Cao, Y. Xu, L. Zhu, and Z. Y. Dong, "Deep learning based on Transformer architecture for power system short-term voltage stability assessment with class imbalance," </w:t>
      </w:r>
      <w:r w:rsidRPr="00E27D3B">
        <w:rPr>
          <w:rFonts w:asciiTheme="minorHAnsi" w:hAnsiTheme="minorHAnsi" w:cstheme="minorHAnsi"/>
          <w:i/>
          <w:sz w:val="24"/>
          <w:szCs w:val="24"/>
        </w:rPr>
        <w:t xml:space="preserve">Renewable and Sustainable Energy Reviews, </w:t>
      </w:r>
      <w:r w:rsidRPr="00E27D3B">
        <w:rPr>
          <w:rFonts w:asciiTheme="minorHAnsi" w:hAnsiTheme="minorHAnsi" w:cstheme="minorHAnsi"/>
          <w:sz w:val="24"/>
          <w:szCs w:val="24"/>
        </w:rPr>
        <w:t xml:space="preserve">vol. 189, p. 113913, </w:t>
      </w:r>
      <w:r w:rsidR="00876758">
        <w:rPr>
          <w:rFonts w:asciiTheme="minorHAnsi" w:hAnsiTheme="minorHAnsi" w:cstheme="minorHAnsi"/>
          <w:sz w:val="24"/>
          <w:szCs w:val="24"/>
        </w:rPr>
        <w:t>2024</w:t>
      </w:r>
      <w:r w:rsidRPr="00E27D3B">
        <w:rPr>
          <w:rFonts w:asciiTheme="minorHAnsi" w:hAnsiTheme="minorHAnsi" w:cstheme="minorHAnsi"/>
          <w:sz w:val="24"/>
          <w:szCs w:val="24"/>
        </w:rPr>
        <w:t>.</w:t>
      </w:r>
      <w:bookmarkEnd w:id="602"/>
    </w:p>
    <w:p w14:paraId="45DD9EAF" w14:textId="0A504060"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3" w:name="_Ref230447274"/>
      <w:r w:rsidRPr="00E27D3B">
        <w:rPr>
          <w:rFonts w:asciiTheme="minorHAnsi" w:hAnsiTheme="minorHAnsi" w:cstheme="minorHAnsi"/>
          <w:sz w:val="24"/>
          <w:szCs w:val="24"/>
        </w:rPr>
        <w:t xml:space="preserve">H. Yang, W. Zhang, J. Chen, and L. Wang, "PMU-based voltage stability prediction using least square support vector machine with online learning,"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Electric Power Systems Research, </w:t>
      </w:r>
      <w:r w:rsidRPr="00E27D3B">
        <w:rPr>
          <w:rFonts w:asciiTheme="minorHAnsi" w:hAnsiTheme="minorHAnsi" w:cstheme="minorHAnsi"/>
          <w:sz w:val="24"/>
          <w:szCs w:val="24"/>
        </w:rPr>
        <w:t>vol. 160, pp. 234-242, 2018.</w:t>
      </w:r>
      <w:bookmarkEnd w:id="603"/>
    </w:p>
    <w:p w14:paraId="621D6B2D" w14:textId="43C25ED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4" w:name="_Ref230447280"/>
      <w:r w:rsidRPr="00E27D3B">
        <w:rPr>
          <w:rFonts w:asciiTheme="minorHAnsi" w:hAnsiTheme="minorHAnsi" w:cstheme="minorHAnsi"/>
          <w:sz w:val="24"/>
          <w:szCs w:val="24"/>
        </w:rPr>
        <w:t xml:space="preserve">Y. Li, S. Zhang, Y. Li, J. Cao, and S. Jia, "PMU Measurements-Based Short-Term Voltage Stability Assessment of Power Systems via Deep Transfer Learning,"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Instrumentation and Measurement, </w:t>
      </w:r>
      <w:r w:rsidRPr="00E27D3B">
        <w:rPr>
          <w:rFonts w:asciiTheme="minorHAnsi" w:hAnsiTheme="minorHAnsi" w:cstheme="minorHAnsi"/>
          <w:sz w:val="24"/>
          <w:szCs w:val="24"/>
        </w:rPr>
        <w:t>vol. 72, pp. 1-11, 2023.</w:t>
      </w:r>
      <w:bookmarkEnd w:id="604"/>
    </w:p>
    <w:p w14:paraId="1DA581C1" w14:textId="554CA24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5" w:name="_Ref230447286"/>
      <w:r w:rsidRPr="00E27D3B">
        <w:rPr>
          <w:rFonts w:asciiTheme="minorHAnsi" w:hAnsiTheme="minorHAnsi" w:cstheme="minorHAnsi"/>
          <w:sz w:val="24"/>
          <w:szCs w:val="24"/>
        </w:rPr>
        <w:t xml:space="preserve">J. C. Cepeda, J. L. Rueda, D. G. Colomé, and I. Erlich, "Data-mining-based approach for predicting the power system post-contingency dynamic vulnerability status,"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Transactions on Electrical Energy Systems, </w:t>
      </w:r>
      <w:r w:rsidRPr="00E27D3B">
        <w:rPr>
          <w:rFonts w:asciiTheme="minorHAnsi" w:hAnsiTheme="minorHAnsi" w:cstheme="minorHAnsi"/>
          <w:sz w:val="24"/>
          <w:szCs w:val="24"/>
        </w:rPr>
        <w:t>vol. 25, no. 10, pp. 2515-2546, 2015</w:t>
      </w:r>
      <w:r w:rsidR="00876758">
        <w:rPr>
          <w:rFonts w:asciiTheme="minorHAnsi" w:hAnsiTheme="minorHAnsi" w:cstheme="minorHAnsi"/>
          <w:sz w:val="24"/>
          <w:szCs w:val="24"/>
        </w:rPr>
        <w:t>.</w:t>
      </w:r>
      <w:bookmarkEnd w:id="605"/>
    </w:p>
    <w:p w14:paraId="716F8BDF" w14:textId="77FA14DE"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6" w:name="_Ref230447363"/>
      <w:r w:rsidRPr="00E27D3B">
        <w:rPr>
          <w:rFonts w:asciiTheme="minorHAnsi" w:hAnsiTheme="minorHAnsi" w:cstheme="minorHAnsi"/>
          <w:sz w:val="24"/>
          <w:szCs w:val="24"/>
        </w:rPr>
        <w:t xml:space="preserve">M. Shahriyari, A. Safari, A. Quteishat, and H. Afsharirad, "A short-term voltage stability online assessment based on multi-layer perceptron learning,"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Electric Power Systems Research, </w:t>
      </w:r>
      <w:r w:rsidRPr="00E27D3B">
        <w:rPr>
          <w:rFonts w:asciiTheme="minorHAnsi" w:hAnsiTheme="minorHAnsi" w:cstheme="minorHAnsi"/>
          <w:sz w:val="24"/>
          <w:szCs w:val="24"/>
        </w:rPr>
        <w:t>vol. 223, p. 109562, 2023.</w:t>
      </w:r>
      <w:bookmarkEnd w:id="606"/>
    </w:p>
    <w:p w14:paraId="5F55E425" w14:textId="4FFF86C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7" w:name="_Ref230447583"/>
      <w:r w:rsidRPr="00E27D3B">
        <w:rPr>
          <w:rFonts w:asciiTheme="minorHAnsi" w:hAnsiTheme="minorHAnsi" w:cstheme="minorHAnsi"/>
          <w:sz w:val="24"/>
          <w:szCs w:val="24"/>
        </w:rPr>
        <w:lastRenderedPageBreak/>
        <w:t xml:space="preserve">C. Ren, Y. Xu, Y. Zhang, and R. Zhang, "A Hybrid Randomized Learning System for Temporal-Adaptive Voltage Stability Assessment of Power Systems,"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Industrial Informatics, </w:t>
      </w:r>
      <w:r w:rsidRPr="00E27D3B">
        <w:rPr>
          <w:rFonts w:asciiTheme="minorHAnsi" w:hAnsiTheme="minorHAnsi" w:cstheme="minorHAnsi"/>
          <w:sz w:val="24"/>
          <w:szCs w:val="24"/>
        </w:rPr>
        <w:t>vol. 16, no. 6, pp. 3672-3684, 2020.</w:t>
      </w:r>
      <w:bookmarkEnd w:id="607"/>
    </w:p>
    <w:p w14:paraId="7D1E3C46" w14:textId="18E1689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8" w:name="_Ref230447613"/>
      <w:r w:rsidRPr="00E27D3B">
        <w:rPr>
          <w:rFonts w:asciiTheme="minorHAnsi" w:hAnsiTheme="minorHAnsi" w:cstheme="minorHAnsi"/>
          <w:sz w:val="24"/>
          <w:szCs w:val="24"/>
        </w:rPr>
        <w:t xml:space="preserve">J. D. Pinzón and D. G. Colomé, "Real-time multi-state classification of short-term voltage stability based on multivariate time series machine learning,"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108, pp. 402-414, 2019.</w:t>
      </w:r>
      <w:bookmarkEnd w:id="608"/>
    </w:p>
    <w:p w14:paraId="0BFB4BA9" w14:textId="1A753CF9"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09" w:name="_Ref230447617"/>
      <w:r w:rsidRPr="00E27D3B">
        <w:rPr>
          <w:rFonts w:asciiTheme="minorHAnsi" w:hAnsiTheme="minorHAnsi" w:cstheme="minorHAnsi"/>
          <w:sz w:val="24"/>
          <w:szCs w:val="24"/>
        </w:rPr>
        <w:t xml:space="preserve">Y. Luo, C. Lu, L. Zhu, and J. Song, "Graph Convolutional Network-Based Interpretable Machine Learning Scheme in Smart Grids,"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Automation Science and Engineering, </w:t>
      </w:r>
      <w:r w:rsidRPr="00E27D3B">
        <w:rPr>
          <w:rFonts w:asciiTheme="minorHAnsi" w:hAnsiTheme="minorHAnsi" w:cstheme="minorHAnsi"/>
          <w:sz w:val="24"/>
          <w:szCs w:val="24"/>
        </w:rPr>
        <w:t>vol. 20, no. 1, pp. 47-58, 2023.</w:t>
      </w:r>
      <w:bookmarkEnd w:id="609"/>
    </w:p>
    <w:p w14:paraId="42923A2E" w14:textId="1EB0DC13"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0" w:name="_Ref230447624"/>
      <w:r w:rsidRPr="00E27D3B">
        <w:rPr>
          <w:rFonts w:asciiTheme="minorHAnsi" w:hAnsiTheme="minorHAnsi" w:cstheme="minorHAnsi"/>
          <w:sz w:val="24"/>
          <w:szCs w:val="24"/>
        </w:rPr>
        <w:t xml:space="preserve">S. M. H. Rizvi, S. K. Sadanandan, and A. K. Srivastava, "Data-Driven Short-Term Voltage Stability Assessment Using Convolutional Neural Networks Considering Data Anomalies and Localization,"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Access, </w:t>
      </w:r>
      <w:r w:rsidRPr="00E27D3B">
        <w:rPr>
          <w:rFonts w:asciiTheme="minorHAnsi" w:hAnsiTheme="minorHAnsi" w:cstheme="minorHAnsi"/>
          <w:sz w:val="24"/>
          <w:szCs w:val="24"/>
        </w:rPr>
        <w:t>vol. 9, pp. 128345-128358, 2021.</w:t>
      </w:r>
      <w:bookmarkEnd w:id="610"/>
    </w:p>
    <w:p w14:paraId="7ECEE1DB" w14:textId="01F7808D"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1" w:name="_Ref230447627"/>
      <w:r w:rsidRPr="00E27D3B">
        <w:rPr>
          <w:rFonts w:asciiTheme="minorHAnsi" w:hAnsiTheme="minorHAnsi" w:cstheme="minorHAnsi"/>
          <w:sz w:val="24"/>
          <w:szCs w:val="24"/>
        </w:rPr>
        <w:t xml:space="preserve">Z. Zhong, L. Guan, Y. Su, J. Yu, J. Huang, and M. Guo, "A method of multivariate short-term voltage stability assessment based on heterogeneous graph attention deep network,"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136, p. 107648, 2022.</w:t>
      </w:r>
      <w:bookmarkEnd w:id="611"/>
    </w:p>
    <w:p w14:paraId="61BB8505" w14:textId="0F0B44D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2" w:name="_Ref230447633"/>
      <w:r w:rsidRPr="00E27D3B">
        <w:rPr>
          <w:rFonts w:asciiTheme="minorHAnsi" w:hAnsiTheme="minorHAnsi" w:cstheme="minorHAnsi"/>
          <w:sz w:val="24"/>
          <w:szCs w:val="24"/>
        </w:rPr>
        <w:t xml:space="preserve">H. Cai and D. J. Hill, "A data-driven distributed and easy-to-transfer method for short-term voltage stability assessment,"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139, p. 107960, 2022.</w:t>
      </w:r>
      <w:bookmarkEnd w:id="612"/>
    </w:p>
    <w:p w14:paraId="5D3BB510" w14:textId="617F9A99" w:rsidR="00026EF1" w:rsidRDefault="00026EF1" w:rsidP="00CD4F3A">
      <w:pPr>
        <w:pStyle w:val="EndNoteBibliography"/>
        <w:numPr>
          <w:ilvl w:val="0"/>
          <w:numId w:val="47"/>
        </w:numPr>
        <w:spacing w:after="0"/>
        <w:rPr>
          <w:rFonts w:asciiTheme="minorHAnsi" w:hAnsiTheme="minorHAnsi" w:cstheme="minorHAnsi"/>
          <w:sz w:val="24"/>
          <w:szCs w:val="24"/>
        </w:rPr>
      </w:pPr>
      <w:bookmarkStart w:id="613" w:name="_Ref230447679"/>
      <w:r w:rsidRPr="00E27D3B">
        <w:rPr>
          <w:rFonts w:asciiTheme="minorHAnsi" w:hAnsiTheme="minorHAnsi" w:cstheme="minorHAnsi"/>
          <w:sz w:val="24"/>
          <w:szCs w:val="24"/>
        </w:rPr>
        <w:t xml:space="preserve">E. A. T. Suárez, D. G. Colomé, and J. L. R. Torres, "Real Time Adaptive Corrective Control of Short-Term Voltage Stability,"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Access, </w:t>
      </w:r>
      <w:r w:rsidR="00876758" w:rsidRPr="00F12E16">
        <w:rPr>
          <w:rFonts w:asciiTheme="minorHAnsi" w:hAnsiTheme="minorHAnsi" w:cstheme="minorHAnsi"/>
          <w:iCs/>
          <w:sz w:val="24"/>
          <w:szCs w:val="24"/>
        </w:rPr>
        <w:t>vol. 13,</w:t>
      </w:r>
      <w:r w:rsidR="00876758">
        <w:rPr>
          <w:rFonts w:asciiTheme="minorHAnsi" w:hAnsiTheme="minorHAnsi" w:cstheme="minorHAnsi"/>
          <w:i/>
          <w:sz w:val="24"/>
          <w:szCs w:val="24"/>
        </w:rPr>
        <w:t xml:space="preserve"> </w:t>
      </w:r>
      <w:r w:rsidRPr="00E27D3B">
        <w:rPr>
          <w:rFonts w:asciiTheme="minorHAnsi" w:hAnsiTheme="minorHAnsi" w:cstheme="minorHAnsi"/>
          <w:sz w:val="24"/>
          <w:szCs w:val="24"/>
        </w:rPr>
        <w:t xml:space="preserve">pp. </w:t>
      </w:r>
      <w:r w:rsidR="00876758">
        <w:rPr>
          <w:rFonts w:asciiTheme="minorHAnsi" w:hAnsiTheme="minorHAnsi" w:cstheme="minorHAnsi"/>
          <w:sz w:val="24"/>
          <w:szCs w:val="24"/>
        </w:rPr>
        <w:t>217644-216559</w:t>
      </w:r>
      <w:r w:rsidRPr="00E27D3B">
        <w:rPr>
          <w:rFonts w:asciiTheme="minorHAnsi" w:hAnsiTheme="minorHAnsi" w:cstheme="minorHAnsi"/>
          <w:sz w:val="24"/>
          <w:szCs w:val="24"/>
        </w:rPr>
        <w:t>, 2025.</w:t>
      </w:r>
      <w:bookmarkEnd w:id="613"/>
    </w:p>
    <w:p w14:paraId="0CE6EBD1" w14:textId="77777777" w:rsidR="006572CB" w:rsidRPr="00E27D3B" w:rsidRDefault="006572CB" w:rsidP="00F12E16">
      <w:pPr>
        <w:pStyle w:val="EndNoteBibliography"/>
        <w:spacing w:after="0"/>
        <w:rPr>
          <w:rFonts w:asciiTheme="minorHAnsi" w:hAnsiTheme="minorHAnsi" w:cstheme="minorHAnsi"/>
          <w:sz w:val="24"/>
          <w:szCs w:val="24"/>
        </w:rPr>
      </w:pPr>
    </w:p>
    <w:p w14:paraId="569E0CF0" w14:textId="775AC86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4" w:name="R60"/>
      <w:bookmarkStart w:id="615" w:name="_Ref230447791"/>
      <w:bookmarkEnd w:id="614"/>
      <w:r w:rsidRPr="00E27D3B">
        <w:rPr>
          <w:rFonts w:asciiTheme="minorHAnsi" w:hAnsiTheme="minorHAnsi" w:cstheme="minorHAnsi"/>
          <w:sz w:val="24"/>
          <w:szCs w:val="24"/>
        </w:rPr>
        <w:t xml:space="preserve">D. Nitsch and H. Vennegeerts, "Evaluation of Simulations for Short-Term Voltage Stability Assessment with Respect to Model Uncertainties,"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Eng, </w:t>
      </w:r>
      <w:r w:rsidRPr="00E27D3B">
        <w:rPr>
          <w:rFonts w:asciiTheme="minorHAnsi" w:hAnsiTheme="minorHAnsi" w:cstheme="minorHAnsi"/>
          <w:sz w:val="24"/>
          <w:szCs w:val="24"/>
        </w:rPr>
        <w:t xml:space="preserve">vol. 6, no. 3, p. 41, 2025. </w:t>
      </w:r>
      <w:bookmarkEnd w:id="615"/>
    </w:p>
    <w:p w14:paraId="08634322" w14:textId="70C71C0A"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6" w:name="_Ref230447797"/>
      <w:r w:rsidRPr="00E27D3B">
        <w:rPr>
          <w:rFonts w:asciiTheme="minorHAnsi" w:hAnsiTheme="minorHAnsi" w:cstheme="minorHAnsi"/>
          <w:sz w:val="24"/>
          <w:szCs w:val="24"/>
        </w:rPr>
        <w:t xml:space="preserve">Z. Chen and L. Guan, "Transient voltage stability of power systems with virtual synchronous generators or grid-following converters: analysis and enhanced control,"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172, p. 111122, 2025.</w:t>
      </w:r>
      <w:bookmarkEnd w:id="616"/>
    </w:p>
    <w:p w14:paraId="63133110" w14:textId="218B98F5"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7" w:name="_Ref230447803"/>
      <w:r w:rsidRPr="00E27D3B">
        <w:rPr>
          <w:rFonts w:asciiTheme="minorHAnsi" w:hAnsiTheme="minorHAnsi" w:cstheme="minorHAnsi"/>
          <w:sz w:val="24"/>
          <w:szCs w:val="24"/>
        </w:rPr>
        <w:t xml:space="preserve">X. Chen, L. Huo, and C. Sun, "Deep-Learning-Based Short-Term Voltage Stability Assessment with Topology-Adaptive Voltage Dynamic Feature and Domain Transfer," </w:t>
      </w:r>
      <w:r w:rsidR="00876758">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Journal of Modern Power Systems and Clean Energy, </w:t>
      </w:r>
      <w:r w:rsidRPr="00E27D3B">
        <w:rPr>
          <w:rFonts w:asciiTheme="minorHAnsi" w:hAnsiTheme="minorHAnsi" w:cstheme="minorHAnsi"/>
          <w:sz w:val="24"/>
          <w:szCs w:val="24"/>
        </w:rPr>
        <w:t>vol. 13, no. 5, pp. 1545-1555, 2025.</w:t>
      </w:r>
      <w:bookmarkEnd w:id="617"/>
    </w:p>
    <w:p w14:paraId="724E181D" w14:textId="1FB81953"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8" w:name="_Ref230447863"/>
      <w:r w:rsidRPr="00E27D3B">
        <w:rPr>
          <w:rFonts w:asciiTheme="minorHAnsi" w:hAnsiTheme="minorHAnsi" w:cstheme="minorHAnsi"/>
          <w:sz w:val="24"/>
          <w:szCs w:val="24"/>
        </w:rPr>
        <w:t xml:space="preserve">A. Joseph, M. Cvetković, and P. Palensky, "Predictive Mitigation of Short Term Voltage Instability Using a Faster Than Real-Time Digital Replica," in </w:t>
      </w:r>
      <w:r w:rsidRPr="00E27D3B">
        <w:rPr>
          <w:rFonts w:asciiTheme="minorHAnsi" w:hAnsiTheme="minorHAnsi" w:cstheme="minorHAnsi"/>
          <w:i/>
          <w:sz w:val="24"/>
          <w:szCs w:val="24"/>
        </w:rPr>
        <w:t xml:space="preserve"> IEEE PES Innovative Smart Grid Technologies Conference Europe (ISGT-Europe)</w:t>
      </w:r>
      <w:r w:rsidRPr="00E27D3B">
        <w:rPr>
          <w:rFonts w:asciiTheme="minorHAnsi" w:hAnsiTheme="minorHAnsi" w:cstheme="minorHAnsi"/>
          <w:sz w:val="24"/>
          <w:szCs w:val="24"/>
        </w:rPr>
        <w:t>, 21-25 Oct. 2018 2018, pp. 1-6.</w:t>
      </w:r>
      <w:bookmarkEnd w:id="618"/>
      <w:r w:rsidRPr="00E27D3B">
        <w:rPr>
          <w:rFonts w:asciiTheme="minorHAnsi" w:hAnsiTheme="minorHAnsi" w:cstheme="minorHAnsi"/>
          <w:sz w:val="24"/>
          <w:szCs w:val="24"/>
        </w:rPr>
        <w:t xml:space="preserve"> </w:t>
      </w:r>
    </w:p>
    <w:p w14:paraId="3900008E" w14:textId="74B03D92"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19" w:name="_Ref230447871"/>
      <w:r w:rsidRPr="00E27D3B">
        <w:rPr>
          <w:rFonts w:asciiTheme="minorHAnsi" w:hAnsiTheme="minorHAnsi" w:cstheme="minorHAnsi"/>
          <w:sz w:val="24"/>
          <w:szCs w:val="24"/>
        </w:rPr>
        <w:t xml:space="preserve">L. Zhu, C. Lu, Z. Y. Dong, and C. Hong, "Imbalance Learning Machine-Based Power System Short-Term Voltage Stability Assessment," </w:t>
      </w:r>
      <w:r w:rsidR="00FA313E">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Industrial Informatics, </w:t>
      </w:r>
      <w:r w:rsidRPr="00E27D3B">
        <w:rPr>
          <w:rFonts w:asciiTheme="minorHAnsi" w:hAnsiTheme="minorHAnsi" w:cstheme="minorHAnsi"/>
          <w:sz w:val="24"/>
          <w:szCs w:val="24"/>
        </w:rPr>
        <w:t>vol. 13, no. 5, pp. 2533-2543, 2017.</w:t>
      </w:r>
      <w:bookmarkEnd w:id="619"/>
    </w:p>
    <w:p w14:paraId="50221057" w14:textId="283701A0"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0" w:name="_Ref230447882"/>
      <w:r w:rsidRPr="00E27D3B">
        <w:rPr>
          <w:rFonts w:asciiTheme="minorHAnsi" w:hAnsiTheme="minorHAnsi" w:cstheme="minorHAnsi"/>
          <w:sz w:val="24"/>
          <w:szCs w:val="24"/>
        </w:rPr>
        <w:lastRenderedPageBreak/>
        <w:t xml:space="preserve">Y. Luo, C. Lu, L. Zhu, and J. Song, "Data-driven short-term voltage stability assessment based on spatial-temporal graph convolutional network," </w:t>
      </w:r>
      <w:r w:rsidR="00FA313E">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130, p. 106753, 2021.</w:t>
      </w:r>
      <w:bookmarkEnd w:id="620"/>
    </w:p>
    <w:p w14:paraId="45D9C1C1" w14:textId="61462D1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1" w:name="_Ref230447886"/>
      <w:r w:rsidRPr="00E27D3B">
        <w:rPr>
          <w:rFonts w:asciiTheme="minorHAnsi" w:hAnsiTheme="minorHAnsi" w:cstheme="minorHAnsi"/>
          <w:sz w:val="24"/>
          <w:szCs w:val="24"/>
        </w:rPr>
        <w:t xml:space="preserve">L. Zhu, C. Lu, I. Kamwa, and H. Zeng, "Spatial–Temporal Feature Learning in Smart Grids: A Case Study on Short-Term Voltage Stability Assessment," </w:t>
      </w:r>
      <w:r w:rsidR="00FA313E">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Industrial Informatics, </w:t>
      </w:r>
      <w:r w:rsidRPr="00E27D3B">
        <w:rPr>
          <w:rFonts w:asciiTheme="minorHAnsi" w:hAnsiTheme="minorHAnsi" w:cstheme="minorHAnsi"/>
          <w:sz w:val="24"/>
          <w:szCs w:val="24"/>
        </w:rPr>
        <w:t>vol. 16, no. 3, pp. 1470-1482, 2020.</w:t>
      </w:r>
      <w:bookmarkEnd w:id="621"/>
    </w:p>
    <w:p w14:paraId="4DEAF562" w14:textId="56E1DDE1"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2" w:name="_Ref230447891"/>
      <w:r w:rsidRPr="00E27D3B">
        <w:rPr>
          <w:rFonts w:asciiTheme="minorHAnsi" w:hAnsiTheme="minorHAnsi" w:cstheme="minorHAnsi"/>
          <w:sz w:val="24"/>
          <w:szCs w:val="24"/>
        </w:rPr>
        <w:t xml:space="preserve">K. Dharmapala and A. Rajapakse, "Short-term voltage instability prediction using pre-identified voltage templates and machine learning classifiers," </w:t>
      </w:r>
      <w:r w:rsidR="00C91384">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156, p. 109758, 2024</w:t>
      </w:r>
      <w:r w:rsidR="00C91384">
        <w:rPr>
          <w:rFonts w:asciiTheme="minorHAnsi" w:hAnsiTheme="minorHAnsi" w:cstheme="minorHAnsi"/>
          <w:sz w:val="24"/>
          <w:szCs w:val="24"/>
        </w:rPr>
        <w:t>.</w:t>
      </w:r>
      <w:bookmarkEnd w:id="622"/>
    </w:p>
    <w:p w14:paraId="49D49C7F" w14:textId="3209EA2A"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3" w:name="_Ref230448016"/>
      <w:r w:rsidRPr="00E27D3B">
        <w:rPr>
          <w:rFonts w:asciiTheme="minorHAnsi" w:hAnsiTheme="minorHAnsi" w:cstheme="minorHAnsi"/>
          <w:sz w:val="24"/>
          <w:szCs w:val="24"/>
        </w:rPr>
        <w:t xml:space="preserve">M. Jiang, Q. Guo, H. Sun, and H. Ge, "Short-Term Voltage Stability-Constrained Unit Commitment for Receiving-End Grid With Multi-Infeed HVDCs," </w:t>
      </w:r>
      <w:r w:rsidR="00C91384">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IEEE Transactions on Power Systems, </w:t>
      </w:r>
      <w:r w:rsidRPr="00E27D3B">
        <w:rPr>
          <w:rFonts w:asciiTheme="minorHAnsi" w:hAnsiTheme="minorHAnsi" w:cstheme="minorHAnsi"/>
          <w:sz w:val="24"/>
          <w:szCs w:val="24"/>
        </w:rPr>
        <w:t>vol. 36, no. 3, pp. 2603-2613, 2021</w:t>
      </w:r>
      <w:r w:rsidR="00C91384">
        <w:rPr>
          <w:rFonts w:asciiTheme="minorHAnsi" w:hAnsiTheme="minorHAnsi" w:cstheme="minorHAnsi"/>
          <w:sz w:val="24"/>
          <w:szCs w:val="24"/>
        </w:rPr>
        <w:t>.</w:t>
      </w:r>
      <w:bookmarkEnd w:id="623"/>
    </w:p>
    <w:p w14:paraId="7C84A38D" w14:textId="77777777"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4" w:name="_Ref230448034"/>
      <w:r w:rsidRPr="00E27D3B">
        <w:rPr>
          <w:rFonts w:asciiTheme="minorHAnsi" w:hAnsiTheme="minorHAnsi" w:cstheme="minorHAnsi"/>
          <w:sz w:val="24"/>
          <w:szCs w:val="24"/>
        </w:rPr>
        <w:t>Australian Energy Market Operator, "PSS®E composite load and distributed PV model updates," in "CMLD and DER model updates: An addendum to the 'PSS®E models for load and distributed PV in the NEM' report released 25/11/2022," Australian Energy Market Operator (AEMO), Australia, 2024/06 2024.</w:t>
      </w:r>
      <w:bookmarkEnd w:id="624"/>
      <w:r w:rsidRPr="00E27D3B">
        <w:rPr>
          <w:rFonts w:asciiTheme="minorHAnsi" w:hAnsiTheme="minorHAnsi" w:cstheme="minorHAnsi"/>
          <w:sz w:val="24"/>
          <w:szCs w:val="24"/>
        </w:rPr>
        <w:t xml:space="preserve"> </w:t>
      </w:r>
    </w:p>
    <w:p w14:paraId="07835C40" w14:textId="4169168A" w:rsidR="00026EF1" w:rsidRPr="00E27D3B" w:rsidRDefault="00026EF1" w:rsidP="00CD4F3A">
      <w:pPr>
        <w:pStyle w:val="EndNoteBibliography"/>
        <w:numPr>
          <w:ilvl w:val="0"/>
          <w:numId w:val="47"/>
        </w:numPr>
        <w:spacing w:after="0"/>
        <w:rPr>
          <w:rFonts w:asciiTheme="minorHAnsi" w:hAnsiTheme="minorHAnsi" w:cstheme="minorHAnsi"/>
          <w:sz w:val="24"/>
          <w:szCs w:val="24"/>
        </w:rPr>
      </w:pPr>
      <w:bookmarkStart w:id="625" w:name="_Ref230448127"/>
      <w:r w:rsidRPr="00E27D3B">
        <w:rPr>
          <w:rFonts w:asciiTheme="minorHAnsi" w:hAnsiTheme="minorHAnsi" w:cstheme="minorHAnsi"/>
          <w:sz w:val="24"/>
          <w:szCs w:val="24"/>
        </w:rPr>
        <w:t xml:space="preserve">C.-Y. Lee, S.-H. Tsai, and Y.-K. Wu, "A new approach to the assessment of steady-state voltage stability margins using the P–Q–V curve," </w:t>
      </w:r>
      <w:r w:rsidR="00C91384">
        <w:rPr>
          <w:rFonts w:asciiTheme="minorHAnsi" w:hAnsiTheme="minorHAnsi" w:cstheme="minorHAnsi"/>
          <w:sz w:val="24"/>
          <w:szCs w:val="24"/>
        </w:rPr>
        <w:t xml:space="preserve">in </w:t>
      </w:r>
      <w:r w:rsidRPr="00E27D3B">
        <w:rPr>
          <w:rFonts w:asciiTheme="minorHAnsi" w:hAnsiTheme="minorHAnsi" w:cstheme="minorHAnsi"/>
          <w:i/>
          <w:sz w:val="24"/>
          <w:szCs w:val="24"/>
        </w:rPr>
        <w:t xml:space="preserve">International Journal of Electrical Power &amp; Energy Systems, </w:t>
      </w:r>
      <w:r w:rsidRPr="00E27D3B">
        <w:rPr>
          <w:rFonts w:asciiTheme="minorHAnsi" w:hAnsiTheme="minorHAnsi" w:cstheme="minorHAnsi"/>
          <w:sz w:val="24"/>
          <w:szCs w:val="24"/>
        </w:rPr>
        <w:t>vol. 32, no. 10, pp. 1091-1098, 2010.</w:t>
      </w:r>
      <w:bookmarkEnd w:id="625"/>
    </w:p>
    <w:p w14:paraId="5576B8D3" w14:textId="77927855" w:rsidR="00026EF1" w:rsidRPr="00E27D3B" w:rsidRDefault="00026EF1" w:rsidP="00CD4F3A">
      <w:pPr>
        <w:pStyle w:val="Reference"/>
        <w:numPr>
          <w:ilvl w:val="0"/>
          <w:numId w:val="47"/>
        </w:numPr>
        <w:spacing w:line="240" w:lineRule="auto"/>
        <w:rPr>
          <w:color w:val="auto"/>
          <w:lang w:val="en-GB"/>
        </w:rPr>
      </w:pPr>
      <w:bookmarkStart w:id="626" w:name="_Ref223656934"/>
      <w:r w:rsidRPr="00E27D3B">
        <w:rPr>
          <w:color w:val="auto"/>
          <w:lang w:val="en-GB"/>
        </w:rPr>
        <w:t>NERC “Characteristics and Risks of Emerging Large Loads”, July 2025</w:t>
      </w:r>
      <w:r w:rsidR="00C91384">
        <w:rPr>
          <w:color w:val="auto"/>
          <w:lang w:val="en-GB"/>
        </w:rPr>
        <w:t>.</w:t>
      </w:r>
      <w:r w:rsidRPr="00E27D3B">
        <w:rPr>
          <w:color w:val="auto"/>
          <w:lang w:val="en-GB"/>
        </w:rPr>
        <w:t xml:space="preserve"> </w:t>
      </w:r>
      <w:r w:rsidR="00C91384">
        <w:rPr>
          <w:color w:val="auto"/>
          <w:lang w:val="en-GB"/>
        </w:rPr>
        <w:t xml:space="preserve">[Online]. </w:t>
      </w:r>
      <w:r w:rsidRPr="00E27D3B">
        <w:rPr>
          <w:color w:val="auto"/>
          <w:lang w:val="en-GB"/>
        </w:rPr>
        <w:t>Available: https://www.nerc.com/globalassets/who-we-are/standing-committees/rstc/whitepaper-characteristics-and-risks-of-emerging-large-loads.pdf</w:t>
      </w:r>
      <w:bookmarkEnd w:id="626"/>
    </w:p>
    <w:p w14:paraId="469D4B9F" w14:textId="491F4AAA" w:rsidR="00026EF1" w:rsidRPr="00E27D3B" w:rsidRDefault="00026EF1" w:rsidP="00CD4F3A">
      <w:pPr>
        <w:pStyle w:val="Reference"/>
        <w:numPr>
          <w:ilvl w:val="0"/>
          <w:numId w:val="47"/>
        </w:numPr>
        <w:spacing w:line="240" w:lineRule="auto"/>
        <w:rPr>
          <w:color w:val="auto"/>
          <w:lang w:val="en-GB"/>
        </w:rPr>
      </w:pPr>
      <w:bookmarkStart w:id="627" w:name="_Ref223656954"/>
      <w:r w:rsidRPr="00E27D3B">
        <w:rPr>
          <w:color w:val="auto"/>
          <w:lang w:val="en-GB"/>
        </w:rPr>
        <w:t>NERC “Reliability Guideline BPS-Connected Inverter-Based Resource Performance”, September 2018</w:t>
      </w:r>
      <w:r w:rsidR="00C91384">
        <w:rPr>
          <w:color w:val="auto"/>
          <w:lang w:val="en-GB"/>
        </w:rPr>
        <w:t xml:space="preserve">. [Online]. </w:t>
      </w:r>
      <w:r w:rsidRPr="00E27D3B">
        <w:rPr>
          <w:color w:val="auto"/>
          <w:lang w:val="en-GB"/>
        </w:rPr>
        <w:t xml:space="preserve">Available: </w:t>
      </w:r>
      <w:hyperlink r:id="rId173" w:history="1">
        <w:r w:rsidR="00C91384" w:rsidRPr="002F06D6">
          <w:rPr>
            <w:rStyle w:val="Hyperlink"/>
            <w:lang w:val="en-GB"/>
          </w:rPr>
          <w:t>https://www.nerc.com/globalassets/who-we-are/standing-committees/rstc/irpwg/inverter-based_resource_performance_guideline.pdf</w:t>
        </w:r>
      </w:hyperlink>
      <w:bookmarkEnd w:id="627"/>
      <w:r w:rsidR="00C91384">
        <w:rPr>
          <w:color w:val="auto"/>
          <w:lang w:val="en-GB"/>
        </w:rPr>
        <w:t xml:space="preserve"> </w:t>
      </w:r>
    </w:p>
    <w:p w14:paraId="1B6AEBDB" w14:textId="5AACC010" w:rsidR="00026EF1" w:rsidRPr="00E27D3B" w:rsidRDefault="00C91384" w:rsidP="00CD4F3A">
      <w:pPr>
        <w:pStyle w:val="Reference"/>
        <w:numPr>
          <w:ilvl w:val="0"/>
          <w:numId w:val="47"/>
        </w:numPr>
        <w:spacing w:line="240" w:lineRule="auto"/>
        <w:rPr>
          <w:color w:val="auto"/>
          <w:lang w:val="en-GB"/>
        </w:rPr>
      </w:pPr>
      <w:bookmarkStart w:id="628" w:name="_Ref223657004"/>
      <w:r>
        <w:rPr>
          <w:color w:val="auto"/>
          <w:lang w:val="en-GB"/>
        </w:rPr>
        <w:t xml:space="preserve">C. A. </w:t>
      </w:r>
      <w:r w:rsidR="00026EF1" w:rsidRPr="00E27D3B">
        <w:rPr>
          <w:color w:val="auto"/>
          <w:lang w:val="en-GB"/>
        </w:rPr>
        <w:t xml:space="preserve">Canizares, and </w:t>
      </w:r>
      <w:r>
        <w:rPr>
          <w:color w:val="auto"/>
          <w:lang w:val="en-GB"/>
        </w:rPr>
        <w:t xml:space="preserve">F. L. </w:t>
      </w:r>
      <w:r w:rsidR="00026EF1" w:rsidRPr="00E27D3B">
        <w:rPr>
          <w:color w:val="auto"/>
          <w:lang w:val="en-GB"/>
        </w:rPr>
        <w:t xml:space="preserve">Alvarado, </w:t>
      </w:r>
      <w:r>
        <w:rPr>
          <w:color w:val="auto"/>
          <w:lang w:val="en-GB"/>
        </w:rPr>
        <w:t>“</w:t>
      </w:r>
      <w:r w:rsidR="00026EF1" w:rsidRPr="00E27D3B">
        <w:rPr>
          <w:color w:val="auto"/>
          <w:lang w:val="en-GB"/>
        </w:rPr>
        <w:t>Point of collapse and continuation methods for large AC/DC systems</w:t>
      </w:r>
      <w:r>
        <w:rPr>
          <w:color w:val="auto"/>
          <w:lang w:val="en-GB"/>
        </w:rPr>
        <w:t>”</w:t>
      </w:r>
      <w:r w:rsidR="00026EF1" w:rsidRPr="00E27D3B">
        <w:rPr>
          <w:color w:val="auto"/>
          <w:lang w:val="en-GB"/>
        </w:rPr>
        <w:t xml:space="preserve"> </w:t>
      </w:r>
      <w:r>
        <w:rPr>
          <w:color w:val="auto"/>
          <w:lang w:val="en-GB"/>
        </w:rPr>
        <w:t xml:space="preserve">in </w:t>
      </w:r>
      <w:r w:rsidR="00026EF1" w:rsidRPr="00F12E16">
        <w:rPr>
          <w:i/>
          <w:iCs/>
          <w:color w:val="auto"/>
          <w:lang w:val="en-GB"/>
        </w:rPr>
        <w:t>IEEE transactions on Power Systems</w:t>
      </w:r>
      <w:r w:rsidR="00026EF1" w:rsidRPr="00E27D3B">
        <w:rPr>
          <w:color w:val="auto"/>
          <w:lang w:val="en-GB"/>
        </w:rPr>
        <w:t xml:space="preserve">, </w:t>
      </w:r>
      <w:r>
        <w:rPr>
          <w:color w:val="auto"/>
          <w:lang w:val="en-GB"/>
        </w:rPr>
        <w:t xml:space="preserve">vol. </w:t>
      </w:r>
      <w:r w:rsidR="00026EF1" w:rsidRPr="00E27D3B">
        <w:rPr>
          <w:color w:val="auto"/>
          <w:lang w:val="en-GB"/>
        </w:rPr>
        <w:t>8</w:t>
      </w:r>
      <w:r>
        <w:rPr>
          <w:color w:val="auto"/>
          <w:lang w:val="en-GB"/>
        </w:rPr>
        <w:t xml:space="preserve">, no. 1, </w:t>
      </w:r>
      <w:r w:rsidR="00026EF1" w:rsidRPr="00E27D3B">
        <w:rPr>
          <w:color w:val="auto"/>
          <w:lang w:val="en-GB"/>
        </w:rPr>
        <w:t>pp.1-8</w:t>
      </w:r>
      <w:r>
        <w:rPr>
          <w:color w:val="auto"/>
          <w:lang w:val="en-GB"/>
        </w:rPr>
        <w:t>, 2002</w:t>
      </w:r>
      <w:r w:rsidR="00026EF1" w:rsidRPr="00E27D3B">
        <w:rPr>
          <w:color w:val="auto"/>
          <w:lang w:val="en-GB"/>
        </w:rPr>
        <w:t>.</w:t>
      </w:r>
      <w:bookmarkEnd w:id="628"/>
    </w:p>
    <w:p w14:paraId="079BE0E3" w14:textId="2DAE827F" w:rsidR="00026EF1" w:rsidRPr="00E27D3B" w:rsidRDefault="00C91384" w:rsidP="00CD4F3A">
      <w:pPr>
        <w:pStyle w:val="Reference"/>
        <w:numPr>
          <w:ilvl w:val="0"/>
          <w:numId w:val="47"/>
        </w:numPr>
        <w:spacing w:line="240" w:lineRule="auto"/>
        <w:rPr>
          <w:color w:val="auto"/>
          <w:lang w:val="en-GB"/>
        </w:rPr>
      </w:pPr>
      <w:bookmarkStart w:id="629" w:name="_Ref223657079"/>
      <w:r>
        <w:rPr>
          <w:color w:val="auto"/>
          <w:lang w:val="en-GB"/>
        </w:rPr>
        <w:t xml:space="preserve">T. </w:t>
      </w:r>
      <w:r w:rsidR="00026EF1" w:rsidRPr="00E27D3B">
        <w:rPr>
          <w:color w:val="auto"/>
          <w:lang w:val="en-GB"/>
        </w:rPr>
        <w:t xml:space="preserve">Van Cutsem, </w:t>
      </w:r>
      <w:r>
        <w:rPr>
          <w:color w:val="auto"/>
          <w:lang w:val="en-GB"/>
        </w:rPr>
        <w:t>“</w:t>
      </w:r>
      <w:r w:rsidR="00026EF1" w:rsidRPr="00E27D3B">
        <w:rPr>
          <w:color w:val="auto"/>
          <w:lang w:val="en-GB"/>
        </w:rPr>
        <w:t>Voltage instability: phenomena, countermeasures, and analysis methods</w:t>
      </w:r>
      <w:r>
        <w:rPr>
          <w:color w:val="auto"/>
          <w:lang w:val="en-GB"/>
        </w:rPr>
        <w:t>,”</w:t>
      </w:r>
      <w:r w:rsidR="00026EF1" w:rsidRPr="00E27D3B">
        <w:rPr>
          <w:color w:val="auto"/>
          <w:lang w:val="en-GB"/>
        </w:rPr>
        <w:t xml:space="preserve"> </w:t>
      </w:r>
      <w:r>
        <w:rPr>
          <w:color w:val="auto"/>
          <w:lang w:val="en-GB"/>
        </w:rPr>
        <w:t xml:space="preserve">in </w:t>
      </w:r>
      <w:r w:rsidR="00026EF1" w:rsidRPr="00F12E16">
        <w:rPr>
          <w:i/>
          <w:iCs/>
          <w:color w:val="auto"/>
          <w:lang w:val="en-GB"/>
        </w:rPr>
        <w:t>Proceedings of the IEEE</w:t>
      </w:r>
      <w:r w:rsidR="00026EF1" w:rsidRPr="00E27D3B">
        <w:rPr>
          <w:color w:val="auto"/>
          <w:lang w:val="en-GB"/>
        </w:rPr>
        <w:t xml:space="preserve">, </w:t>
      </w:r>
      <w:r>
        <w:rPr>
          <w:color w:val="auto"/>
          <w:lang w:val="en-GB"/>
        </w:rPr>
        <w:t xml:space="preserve">vol. </w:t>
      </w:r>
      <w:r w:rsidR="00026EF1" w:rsidRPr="00E27D3B">
        <w:rPr>
          <w:color w:val="auto"/>
          <w:lang w:val="en-GB"/>
        </w:rPr>
        <w:t>88</w:t>
      </w:r>
      <w:r>
        <w:rPr>
          <w:color w:val="auto"/>
          <w:lang w:val="en-GB"/>
        </w:rPr>
        <w:t>, no. 2</w:t>
      </w:r>
      <w:r w:rsidR="00026EF1" w:rsidRPr="00E27D3B">
        <w:rPr>
          <w:color w:val="auto"/>
          <w:lang w:val="en-GB"/>
        </w:rPr>
        <w:t>, pp.208-227</w:t>
      </w:r>
      <w:r>
        <w:rPr>
          <w:color w:val="auto"/>
          <w:lang w:val="en-GB"/>
        </w:rPr>
        <w:t>, 2002</w:t>
      </w:r>
      <w:r w:rsidR="00026EF1" w:rsidRPr="00E27D3B">
        <w:rPr>
          <w:color w:val="auto"/>
          <w:lang w:val="en-GB"/>
        </w:rPr>
        <w:t>.</w:t>
      </w:r>
      <w:bookmarkEnd w:id="629"/>
    </w:p>
    <w:p w14:paraId="020F08A9" w14:textId="77777777" w:rsidR="00026EF1" w:rsidRPr="00E27D3B" w:rsidRDefault="00026EF1" w:rsidP="00CD4F3A">
      <w:pPr>
        <w:pStyle w:val="Reference"/>
        <w:numPr>
          <w:ilvl w:val="0"/>
          <w:numId w:val="47"/>
        </w:numPr>
        <w:spacing w:line="240" w:lineRule="auto"/>
        <w:rPr>
          <w:color w:val="auto"/>
          <w:lang w:val="en-GB"/>
        </w:rPr>
      </w:pPr>
      <w:bookmarkStart w:id="630" w:name="_Ref223657099"/>
      <w:r w:rsidRPr="00E27D3B">
        <w:rPr>
          <w:color w:val="auto"/>
          <w:lang w:val="en-GB"/>
        </w:rPr>
        <w:t>Gu, Y. and Green, T.C., 2022. Power system stability with a high penetration of inverter-based resources. Proceedings of the IEEE, 111(7), pp.832-853.</w:t>
      </w:r>
      <w:bookmarkEnd w:id="630"/>
    </w:p>
    <w:p w14:paraId="15CBE49C" w14:textId="39EE8579" w:rsidR="00026EF1" w:rsidRPr="00E27D3B" w:rsidRDefault="00CB6223" w:rsidP="00CD4F3A">
      <w:pPr>
        <w:pStyle w:val="Reference"/>
        <w:numPr>
          <w:ilvl w:val="0"/>
          <w:numId w:val="47"/>
        </w:numPr>
        <w:spacing w:line="240" w:lineRule="auto"/>
        <w:rPr>
          <w:color w:val="auto"/>
          <w:lang w:val="en-GB"/>
        </w:rPr>
      </w:pPr>
      <w:bookmarkStart w:id="631" w:name="_Ref223657168"/>
      <w:r>
        <w:rPr>
          <w:color w:val="auto"/>
          <w:lang w:val="en-GB"/>
        </w:rPr>
        <w:t xml:space="preserve">B.  </w:t>
      </w:r>
      <w:proofErr w:type="gramStart"/>
      <w:r w:rsidR="00026EF1" w:rsidRPr="00E27D3B">
        <w:rPr>
          <w:color w:val="auto"/>
          <w:lang w:val="en-GB"/>
        </w:rPr>
        <w:t xml:space="preserve">Gao,  </w:t>
      </w:r>
      <w:r>
        <w:rPr>
          <w:color w:val="auto"/>
          <w:lang w:val="en-GB"/>
        </w:rPr>
        <w:t>G.</w:t>
      </w:r>
      <w:proofErr w:type="gramEnd"/>
      <w:r>
        <w:rPr>
          <w:color w:val="auto"/>
          <w:lang w:val="en-GB"/>
        </w:rPr>
        <w:t xml:space="preserve"> K. </w:t>
      </w:r>
      <w:r w:rsidR="00026EF1" w:rsidRPr="00E27D3B">
        <w:rPr>
          <w:color w:val="auto"/>
          <w:lang w:val="en-GB"/>
        </w:rPr>
        <w:t xml:space="preserve">Morison, and </w:t>
      </w:r>
      <w:r>
        <w:rPr>
          <w:color w:val="auto"/>
          <w:lang w:val="en-GB"/>
        </w:rPr>
        <w:t xml:space="preserve">P. </w:t>
      </w:r>
      <w:proofErr w:type="spellStart"/>
      <w:proofErr w:type="gramStart"/>
      <w:r w:rsidR="00026EF1" w:rsidRPr="00E27D3B">
        <w:rPr>
          <w:color w:val="auto"/>
          <w:lang w:val="en-GB"/>
        </w:rPr>
        <w:t>Kundur</w:t>
      </w:r>
      <w:proofErr w:type="spellEnd"/>
      <w:r w:rsidR="00026EF1" w:rsidRPr="00E27D3B">
        <w:rPr>
          <w:color w:val="auto"/>
          <w:lang w:val="en-GB"/>
        </w:rPr>
        <w:t xml:space="preserve">,  </w:t>
      </w:r>
      <w:r>
        <w:rPr>
          <w:color w:val="auto"/>
          <w:lang w:val="en-GB"/>
        </w:rPr>
        <w:t>“</w:t>
      </w:r>
      <w:proofErr w:type="gramEnd"/>
      <w:r w:rsidR="00026EF1" w:rsidRPr="00E27D3B">
        <w:rPr>
          <w:color w:val="auto"/>
          <w:lang w:val="en-GB"/>
        </w:rPr>
        <w:t>Voltage stability evaluation using modal analysis</w:t>
      </w:r>
      <w:r>
        <w:rPr>
          <w:color w:val="auto"/>
          <w:lang w:val="en-GB"/>
        </w:rPr>
        <w:t>,”</w:t>
      </w:r>
      <w:r w:rsidR="00026EF1" w:rsidRPr="00E27D3B">
        <w:rPr>
          <w:color w:val="auto"/>
          <w:lang w:val="en-GB"/>
        </w:rPr>
        <w:t xml:space="preserve"> </w:t>
      </w:r>
      <w:r>
        <w:rPr>
          <w:color w:val="auto"/>
          <w:lang w:val="en-GB"/>
        </w:rPr>
        <w:t xml:space="preserve">in </w:t>
      </w:r>
      <w:r w:rsidR="00026EF1" w:rsidRPr="00F12E16">
        <w:rPr>
          <w:i/>
          <w:iCs/>
          <w:color w:val="auto"/>
          <w:lang w:val="en-GB"/>
        </w:rPr>
        <w:t>IEEE transactions on power systems</w:t>
      </w:r>
      <w:r w:rsidR="00026EF1" w:rsidRPr="00E27D3B">
        <w:rPr>
          <w:color w:val="auto"/>
          <w:lang w:val="en-GB"/>
        </w:rPr>
        <w:t xml:space="preserve">, </w:t>
      </w:r>
      <w:r>
        <w:rPr>
          <w:color w:val="auto"/>
          <w:lang w:val="en-GB"/>
        </w:rPr>
        <w:t xml:space="preserve">vol. </w:t>
      </w:r>
      <w:r w:rsidR="00026EF1" w:rsidRPr="00E27D3B">
        <w:rPr>
          <w:color w:val="auto"/>
          <w:lang w:val="en-GB"/>
        </w:rPr>
        <w:t>7</w:t>
      </w:r>
      <w:r>
        <w:rPr>
          <w:color w:val="auto"/>
          <w:lang w:val="en-GB"/>
        </w:rPr>
        <w:t xml:space="preserve">, no. </w:t>
      </w:r>
      <w:r w:rsidR="00026EF1" w:rsidRPr="00E27D3B">
        <w:rPr>
          <w:color w:val="auto"/>
          <w:lang w:val="en-GB"/>
        </w:rPr>
        <w:t>4, pp.1529-1542</w:t>
      </w:r>
      <w:r>
        <w:rPr>
          <w:color w:val="auto"/>
          <w:lang w:val="en-GB"/>
        </w:rPr>
        <w:t>, 2002</w:t>
      </w:r>
      <w:r w:rsidR="00026EF1" w:rsidRPr="00E27D3B">
        <w:rPr>
          <w:color w:val="auto"/>
          <w:lang w:val="en-GB"/>
        </w:rPr>
        <w:t>.</w:t>
      </w:r>
      <w:bookmarkEnd w:id="631"/>
    </w:p>
    <w:p w14:paraId="4A0DE467" w14:textId="41149099" w:rsidR="00026EF1" w:rsidRPr="00E27D3B" w:rsidRDefault="00C91384" w:rsidP="00CD4F3A">
      <w:pPr>
        <w:pStyle w:val="Reference"/>
        <w:numPr>
          <w:ilvl w:val="0"/>
          <w:numId w:val="47"/>
        </w:numPr>
        <w:spacing w:line="240" w:lineRule="auto"/>
        <w:rPr>
          <w:color w:val="auto"/>
          <w:lang w:val="en-GB"/>
        </w:rPr>
      </w:pPr>
      <w:bookmarkStart w:id="632" w:name="_Ref223657180"/>
      <w:r>
        <w:rPr>
          <w:color w:val="auto"/>
          <w:lang w:val="en-GB"/>
        </w:rPr>
        <w:t xml:space="preserve">P. A. </w:t>
      </w:r>
      <w:proofErr w:type="spellStart"/>
      <w:r w:rsidR="00026EF1" w:rsidRPr="00E27D3B">
        <w:rPr>
          <w:color w:val="auto"/>
          <w:lang w:val="en-GB"/>
        </w:rPr>
        <w:t>Lof</w:t>
      </w:r>
      <w:proofErr w:type="spellEnd"/>
      <w:r w:rsidR="00026EF1" w:rsidRPr="00E27D3B">
        <w:rPr>
          <w:color w:val="auto"/>
          <w:lang w:val="en-GB"/>
        </w:rPr>
        <w:t xml:space="preserve">, </w:t>
      </w:r>
      <w:r>
        <w:rPr>
          <w:color w:val="auto"/>
          <w:lang w:val="en-GB"/>
        </w:rPr>
        <w:t>T.</w:t>
      </w:r>
      <w:r w:rsidR="00026EF1" w:rsidRPr="00E27D3B">
        <w:rPr>
          <w:color w:val="auto"/>
          <w:lang w:val="en-GB"/>
        </w:rPr>
        <w:t xml:space="preserve"> </w:t>
      </w:r>
      <w:proofErr w:type="gramStart"/>
      <w:r w:rsidR="00026EF1" w:rsidRPr="00E27D3B">
        <w:rPr>
          <w:color w:val="auto"/>
          <w:lang w:val="en-GB"/>
        </w:rPr>
        <w:t xml:space="preserve">Smed,  </w:t>
      </w:r>
      <w:r>
        <w:rPr>
          <w:color w:val="auto"/>
          <w:lang w:val="en-GB"/>
        </w:rPr>
        <w:t>G.</w:t>
      </w:r>
      <w:proofErr w:type="gramEnd"/>
      <w:r>
        <w:rPr>
          <w:color w:val="auto"/>
          <w:lang w:val="en-GB"/>
        </w:rPr>
        <w:t xml:space="preserve"> </w:t>
      </w:r>
      <w:r w:rsidR="00026EF1" w:rsidRPr="00E27D3B">
        <w:rPr>
          <w:color w:val="auto"/>
          <w:lang w:val="en-GB"/>
        </w:rPr>
        <w:t xml:space="preserve">Andersson, and </w:t>
      </w:r>
      <w:r w:rsidRPr="00E27D3B">
        <w:rPr>
          <w:color w:val="auto"/>
          <w:lang w:val="en-GB"/>
        </w:rPr>
        <w:t>D.J.</w:t>
      </w:r>
      <w:r>
        <w:rPr>
          <w:color w:val="auto"/>
          <w:lang w:val="en-GB"/>
        </w:rPr>
        <w:t xml:space="preserve"> </w:t>
      </w:r>
      <w:r w:rsidR="00026EF1" w:rsidRPr="00E27D3B">
        <w:rPr>
          <w:color w:val="auto"/>
          <w:lang w:val="en-GB"/>
        </w:rPr>
        <w:t xml:space="preserve">Hill, </w:t>
      </w:r>
      <w:r>
        <w:rPr>
          <w:color w:val="auto"/>
          <w:lang w:val="en-GB"/>
        </w:rPr>
        <w:t>“</w:t>
      </w:r>
      <w:r w:rsidR="00026EF1" w:rsidRPr="00E27D3B">
        <w:rPr>
          <w:color w:val="auto"/>
          <w:lang w:val="en-GB"/>
        </w:rPr>
        <w:t>Fast calculation of a voltage stability inde</w:t>
      </w:r>
      <w:r>
        <w:rPr>
          <w:color w:val="auto"/>
          <w:lang w:val="en-GB"/>
        </w:rPr>
        <w:t>x,”</w:t>
      </w:r>
      <w:r w:rsidR="00026EF1" w:rsidRPr="00E27D3B">
        <w:rPr>
          <w:color w:val="auto"/>
          <w:lang w:val="en-GB"/>
        </w:rPr>
        <w:t xml:space="preserve"> </w:t>
      </w:r>
      <w:r>
        <w:rPr>
          <w:color w:val="auto"/>
          <w:lang w:val="en-GB"/>
        </w:rPr>
        <w:t xml:space="preserve">in </w:t>
      </w:r>
      <w:r w:rsidR="00026EF1" w:rsidRPr="00F12E16">
        <w:rPr>
          <w:i/>
          <w:iCs/>
          <w:color w:val="auto"/>
          <w:lang w:val="en-GB"/>
        </w:rPr>
        <w:t>IEEE Transactions on power systems</w:t>
      </w:r>
      <w:r w:rsidR="00026EF1" w:rsidRPr="00E27D3B">
        <w:rPr>
          <w:color w:val="auto"/>
          <w:lang w:val="en-GB"/>
        </w:rPr>
        <w:t xml:space="preserve">, </w:t>
      </w:r>
      <w:r>
        <w:rPr>
          <w:color w:val="auto"/>
          <w:lang w:val="en-GB"/>
        </w:rPr>
        <w:t xml:space="preserve">vol. </w:t>
      </w:r>
      <w:r w:rsidR="00026EF1" w:rsidRPr="00E27D3B">
        <w:rPr>
          <w:color w:val="auto"/>
          <w:lang w:val="en-GB"/>
        </w:rPr>
        <w:t>7</w:t>
      </w:r>
      <w:r>
        <w:rPr>
          <w:color w:val="auto"/>
          <w:lang w:val="en-GB"/>
        </w:rPr>
        <w:t xml:space="preserve">, no. </w:t>
      </w:r>
      <w:r w:rsidR="00026EF1" w:rsidRPr="00E27D3B">
        <w:rPr>
          <w:color w:val="auto"/>
          <w:lang w:val="en-GB"/>
        </w:rPr>
        <w:t>1, pp.</w:t>
      </w:r>
      <w:r>
        <w:rPr>
          <w:color w:val="auto"/>
          <w:lang w:val="en-GB"/>
        </w:rPr>
        <w:t xml:space="preserve"> </w:t>
      </w:r>
      <w:r w:rsidR="00026EF1" w:rsidRPr="00E27D3B">
        <w:rPr>
          <w:color w:val="auto"/>
          <w:lang w:val="en-GB"/>
        </w:rPr>
        <w:t>54-64</w:t>
      </w:r>
      <w:r>
        <w:rPr>
          <w:color w:val="auto"/>
          <w:lang w:val="en-GB"/>
        </w:rPr>
        <w:t>, 2002</w:t>
      </w:r>
      <w:r w:rsidR="00026EF1" w:rsidRPr="00E27D3B">
        <w:rPr>
          <w:color w:val="auto"/>
          <w:lang w:val="en-GB"/>
        </w:rPr>
        <w:t>.</w:t>
      </w:r>
      <w:bookmarkEnd w:id="632"/>
    </w:p>
    <w:p w14:paraId="120028F3" w14:textId="233017E5" w:rsidR="00026EF1" w:rsidRPr="00E27D3B" w:rsidRDefault="00C91384" w:rsidP="00CD4F3A">
      <w:pPr>
        <w:pStyle w:val="Reference"/>
        <w:numPr>
          <w:ilvl w:val="0"/>
          <w:numId w:val="47"/>
        </w:numPr>
        <w:spacing w:line="240" w:lineRule="auto"/>
        <w:rPr>
          <w:color w:val="auto"/>
          <w:lang w:val="en-GB"/>
        </w:rPr>
      </w:pPr>
      <w:bookmarkStart w:id="633" w:name="_Ref223657194"/>
      <w:r>
        <w:rPr>
          <w:color w:val="auto"/>
          <w:lang w:val="en-GB"/>
        </w:rPr>
        <w:t xml:space="preserve">B. C. </w:t>
      </w:r>
      <w:r w:rsidR="00026EF1" w:rsidRPr="00E27D3B">
        <w:rPr>
          <w:color w:val="auto"/>
          <w:lang w:val="en-GB"/>
        </w:rPr>
        <w:t xml:space="preserve">Karatas, </w:t>
      </w:r>
      <w:r>
        <w:rPr>
          <w:color w:val="auto"/>
          <w:lang w:val="en-GB"/>
        </w:rPr>
        <w:t xml:space="preserve">M. </w:t>
      </w:r>
      <w:r w:rsidR="00026EF1" w:rsidRPr="00E27D3B">
        <w:rPr>
          <w:color w:val="auto"/>
          <w:lang w:val="en-GB"/>
        </w:rPr>
        <w:t xml:space="preserve">Sarkar, </w:t>
      </w:r>
      <w:r>
        <w:rPr>
          <w:color w:val="auto"/>
          <w:lang w:val="en-GB"/>
        </w:rPr>
        <w:t xml:space="preserve">H, </w:t>
      </w:r>
      <w:r w:rsidR="00026EF1" w:rsidRPr="00E27D3B">
        <w:rPr>
          <w:color w:val="auto"/>
          <w:lang w:val="en-GB"/>
        </w:rPr>
        <w:t xml:space="preserve">Jóhannsson, </w:t>
      </w:r>
      <w:r>
        <w:rPr>
          <w:color w:val="auto"/>
          <w:lang w:val="en-GB"/>
        </w:rPr>
        <w:t xml:space="preserve">A. H. </w:t>
      </w:r>
      <w:proofErr w:type="gramStart"/>
      <w:r w:rsidR="00026EF1" w:rsidRPr="00E27D3B">
        <w:rPr>
          <w:color w:val="auto"/>
          <w:lang w:val="en-GB"/>
        </w:rPr>
        <w:t>Nielsen,  and</w:t>
      </w:r>
      <w:proofErr w:type="gramEnd"/>
      <w:r w:rsidR="00026EF1" w:rsidRPr="00E27D3B">
        <w:rPr>
          <w:color w:val="auto"/>
          <w:lang w:val="en-GB"/>
        </w:rPr>
        <w:t xml:space="preserve"> </w:t>
      </w:r>
      <w:r>
        <w:rPr>
          <w:color w:val="auto"/>
          <w:lang w:val="en-GB"/>
        </w:rPr>
        <w:t xml:space="preserve">P.E, </w:t>
      </w:r>
      <w:r w:rsidR="00026EF1" w:rsidRPr="00E27D3B">
        <w:rPr>
          <w:color w:val="auto"/>
          <w:lang w:val="en-GB"/>
        </w:rPr>
        <w:t xml:space="preserve">Sørensen, </w:t>
      </w:r>
      <w:r>
        <w:rPr>
          <w:color w:val="auto"/>
          <w:lang w:val="en-GB"/>
        </w:rPr>
        <w:t>“</w:t>
      </w:r>
      <w:r w:rsidR="00026EF1" w:rsidRPr="00E27D3B">
        <w:rPr>
          <w:color w:val="auto"/>
          <w:lang w:val="en-GB"/>
        </w:rPr>
        <w:t>Voltage stability assessment accounting for current-limited converters</w:t>
      </w:r>
      <w:r>
        <w:rPr>
          <w:color w:val="auto"/>
          <w:lang w:val="en-GB"/>
        </w:rPr>
        <w:t>,”</w:t>
      </w:r>
      <w:r w:rsidR="00026EF1" w:rsidRPr="00E27D3B">
        <w:rPr>
          <w:color w:val="auto"/>
          <w:lang w:val="en-GB"/>
        </w:rPr>
        <w:t xml:space="preserve"> Electric Power Systems Research, 189, p.106772</w:t>
      </w:r>
      <w:r>
        <w:rPr>
          <w:color w:val="auto"/>
          <w:lang w:val="en-GB"/>
        </w:rPr>
        <w:t>, 2020</w:t>
      </w:r>
      <w:r w:rsidR="00026EF1" w:rsidRPr="00E27D3B">
        <w:rPr>
          <w:color w:val="auto"/>
          <w:lang w:val="en-GB"/>
        </w:rPr>
        <w:t>.</w:t>
      </w:r>
      <w:bookmarkEnd w:id="633"/>
    </w:p>
    <w:p w14:paraId="2B2FAA7A" w14:textId="42647FB7" w:rsidR="00026EF1" w:rsidRPr="00E27D3B" w:rsidRDefault="003A69AA" w:rsidP="00CD4F3A">
      <w:pPr>
        <w:pStyle w:val="Reference"/>
        <w:numPr>
          <w:ilvl w:val="0"/>
          <w:numId w:val="47"/>
        </w:numPr>
        <w:spacing w:line="240" w:lineRule="auto"/>
        <w:rPr>
          <w:color w:val="auto"/>
          <w:lang w:val="en-GB"/>
        </w:rPr>
      </w:pPr>
      <w:bookmarkStart w:id="634" w:name="_Ref223657210"/>
      <w:r>
        <w:rPr>
          <w:color w:val="auto"/>
          <w:lang w:val="en-GB"/>
        </w:rPr>
        <w:t xml:space="preserve">M. </w:t>
      </w:r>
      <w:proofErr w:type="spellStart"/>
      <w:r w:rsidR="00026EF1" w:rsidRPr="00E27D3B">
        <w:rPr>
          <w:color w:val="auto"/>
          <w:lang w:val="en-GB"/>
        </w:rPr>
        <w:t>Glavic</w:t>
      </w:r>
      <w:proofErr w:type="spellEnd"/>
      <w:r w:rsidR="00026EF1" w:rsidRPr="00E27D3B">
        <w:rPr>
          <w:color w:val="auto"/>
          <w:lang w:val="en-GB"/>
        </w:rPr>
        <w:t xml:space="preserve">, </w:t>
      </w:r>
      <w:r>
        <w:rPr>
          <w:color w:val="auto"/>
          <w:lang w:val="en-GB"/>
        </w:rPr>
        <w:t>and D.</w:t>
      </w:r>
      <w:r w:rsidRPr="003A69AA">
        <w:rPr>
          <w:color w:val="auto"/>
        </w:rPr>
        <w:t xml:space="preserve"> Novosel</w:t>
      </w:r>
      <w:r w:rsidRPr="003A69AA" w:rsidDel="003A69AA">
        <w:rPr>
          <w:color w:val="auto"/>
          <w:lang w:val="en-GB"/>
        </w:rPr>
        <w:t xml:space="preserve"> </w:t>
      </w:r>
      <w:r w:rsidR="00026EF1" w:rsidRPr="00E27D3B">
        <w:rPr>
          <w:color w:val="auto"/>
          <w:lang w:val="en-GB"/>
        </w:rPr>
        <w:t>“Voltage Stability Monitoring Detection Control</w:t>
      </w:r>
      <w:r>
        <w:rPr>
          <w:color w:val="auto"/>
          <w:lang w:val="en-GB"/>
        </w:rPr>
        <w:t>,</w:t>
      </w:r>
      <w:r w:rsidR="00026EF1" w:rsidRPr="00E27D3B">
        <w:rPr>
          <w:color w:val="auto"/>
          <w:lang w:val="en-GB"/>
        </w:rPr>
        <w:t xml:space="preserve">” </w:t>
      </w:r>
      <w:r>
        <w:rPr>
          <w:color w:val="auto"/>
          <w:lang w:val="en-GB"/>
        </w:rPr>
        <w:t xml:space="preserve">2021. [Online]. </w:t>
      </w:r>
      <w:r w:rsidR="00026EF1" w:rsidRPr="00E27D3B">
        <w:rPr>
          <w:color w:val="auto"/>
          <w:lang w:val="en-GB"/>
        </w:rPr>
        <w:t xml:space="preserve">Available: </w:t>
      </w:r>
      <w:hyperlink r:id="rId174" w:history="1">
        <w:r w:rsidRPr="003A69AA">
          <w:rPr>
            <w:rStyle w:val="Hyperlink"/>
            <w:lang w:val="en-GB"/>
          </w:rPr>
          <w:t>https://orbi.uliege.be/bitstream/2268/211078/1/Voltage_Stability_Monitoring_Detection_Control.pdf</w:t>
        </w:r>
      </w:hyperlink>
      <w:bookmarkEnd w:id="634"/>
      <w:r>
        <w:rPr>
          <w:color w:val="auto"/>
          <w:lang w:val="en-GB"/>
        </w:rPr>
        <w:t xml:space="preserve"> </w:t>
      </w:r>
    </w:p>
    <w:p w14:paraId="5EABC6A3" w14:textId="77777777" w:rsidR="00026EF1" w:rsidRPr="00E27D3B" w:rsidRDefault="00026EF1" w:rsidP="00CD4F3A">
      <w:pPr>
        <w:pStyle w:val="Reference"/>
        <w:numPr>
          <w:ilvl w:val="0"/>
          <w:numId w:val="47"/>
        </w:numPr>
        <w:spacing w:line="240" w:lineRule="auto"/>
        <w:rPr>
          <w:color w:val="auto"/>
          <w:lang w:val="en-GB"/>
        </w:rPr>
      </w:pPr>
      <w:bookmarkStart w:id="635" w:name="_Ref223657279"/>
      <w:r w:rsidRPr="00E27D3B">
        <w:rPr>
          <w:color w:val="auto"/>
          <w:lang w:val="en-GB"/>
        </w:rPr>
        <w:t>“Transmission Network Tools” Available: https://www.digsilent.de/en/transmission-network-tools.html</w:t>
      </w:r>
      <w:bookmarkEnd w:id="635"/>
    </w:p>
    <w:p w14:paraId="7EF03D84" w14:textId="77777777" w:rsidR="00026EF1" w:rsidRPr="00E27D3B" w:rsidRDefault="00026EF1" w:rsidP="00CD4F3A">
      <w:pPr>
        <w:pStyle w:val="Reference"/>
        <w:numPr>
          <w:ilvl w:val="0"/>
          <w:numId w:val="47"/>
        </w:numPr>
        <w:spacing w:line="240" w:lineRule="auto"/>
        <w:rPr>
          <w:color w:val="auto"/>
          <w:lang w:val="en-GB"/>
        </w:rPr>
      </w:pPr>
      <w:bookmarkStart w:id="636" w:name="_Ref223657335"/>
      <w:r w:rsidRPr="00E27D3B">
        <w:rPr>
          <w:color w:val="auto"/>
          <w:lang w:val="en-GB"/>
        </w:rPr>
        <w:t>“Power System Analysis Toolbox (PSAT)” Available: https://www.ucg.ac.me/skladiste/blog_616054/objava_129015/fajlovi/PSAT_Power_System_Analysis_Toolbox.pdf</w:t>
      </w:r>
      <w:bookmarkEnd w:id="636"/>
    </w:p>
    <w:p w14:paraId="6174FD24" w14:textId="77777777" w:rsidR="00026EF1" w:rsidRPr="00E27D3B" w:rsidRDefault="00026EF1" w:rsidP="00CD4F3A">
      <w:pPr>
        <w:pStyle w:val="Reference"/>
        <w:numPr>
          <w:ilvl w:val="0"/>
          <w:numId w:val="47"/>
        </w:numPr>
        <w:spacing w:line="240" w:lineRule="auto"/>
        <w:rPr>
          <w:color w:val="auto"/>
          <w:lang w:val="en-GB"/>
        </w:rPr>
      </w:pPr>
      <w:bookmarkStart w:id="637" w:name="_Ref223657349"/>
      <w:r w:rsidRPr="00E27D3B">
        <w:rPr>
          <w:color w:val="auto"/>
          <w:lang w:val="en-GB"/>
        </w:rPr>
        <w:t>“MATPOWER” Available: https://zenodo.org/records/3251119</w:t>
      </w:r>
      <w:bookmarkEnd w:id="637"/>
    </w:p>
    <w:p w14:paraId="60204896" w14:textId="77777777" w:rsidR="00026EF1" w:rsidRPr="00E27D3B" w:rsidRDefault="00026EF1" w:rsidP="00CD4F3A">
      <w:pPr>
        <w:pStyle w:val="Reference"/>
        <w:numPr>
          <w:ilvl w:val="0"/>
          <w:numId w:val="47"/>
        </w:numPr>
        <w:spacing w:line="240" w:lineRule="auto"/>
        <w:rPr>
          <w:color w:val="auto"/>
          <w:lang w:val="en-GB"/>
        </w:rPr>
      </w:pPr>
      <w:bookmarkStart w:id="638" w:name="_Ref223657360"/>
      <w:r w:rsidRPr="00E27D3B">
        <w:rPr>
          <w:color w:val="auto"/>
          <w:lang w:val="en-GB"/>
        </w:rPr>
        <w:t>“Real-Time Simulation with the RTDS Simulator” Available: https://www.rtds.com/</w:t>
      </w:r>
      <w:bookmarkEnd w:id="638"/>
    </w:p>
    <w:p w14:paraId="518D7BA8" w14:textId="77777777" w:rsidR="00026EF1" w:rsidRPr="00E27D3B" w:rsidRDefault="00026EF1" w:rsidP="00CD4F3A">
      <w:pPr>
        <w:pStyle w:val="Reference"/>
        <w:numPr>
          <w:ilvl w:val="0"/>
          <w:numId w:val="47"/>
        </w:numPr>
        <w:spacing w:line="240" w:lineRule="auto"/>
        <w:rPr>
          <w:color w:val="auto"/>
          <w:lang w:val="en-GB"/>
        </w:rPr>
      </w:pPr>
      <w:bookmarkStart w:id="639" w:name="_Ref223657410"/>
      <w:r w:rsidRPr="00E27D3B">
        <w:rPr>
          <w:color w:val="auto"/>
          <w:lang w:val="en-GB"/>
        </w:rPr>
        <w:t>“Scripting and Automation” Available: https://www.digsilent.de/en/scripting-and-automation.html</w:t>
      </w:r>
      <w:bookmarkEnd w:id="639"/>
    </w:p>
    <w:p w14:paraId="3BCDBBB7" w14:textId="77777777" w:rsidR="00026EF1" w:rsidRPr="00E27D3B" w:rsidRDefault="00026EF1" w:rsidP="00CD4F3A">
      <w:pPr>
        <w:pStyle w:val="Reference"/>
        <w:numPr>
          <w:ilvl w:val="0"/>
          <w:numId w:val="47"/>
        </w:numPr>
        <w:spacing w:line="240" w:lineRule="auto"/>
        <w:rPr>
          <w:color w:val="auto"/>
          <w:lang w:val="en-GB"/>
        </w:rPr>
      </w:pPr>
      <w:bookmarkStart w:id="640" w:name="_Ref223657429"/>
      <w:r w:rsidRPr="00E27D3B">
        <w:rPr>
          <w:color w:val="auto"/>
          <w:lang w:val="en-GB"/>
        </w:rPr>
        <w:t>“New England IEEE 39-Bus System” Available: https://electricgrids.engr.tamu.edu/electric-grid-test-cases/new-england-ieee-39-bus-system/</w:t>
      </w:r>
      <w:bookmarkEnd w:id="640"/>
    </w:p>
    <w:p w14:paraId="5EA73398" w14:textId="77777777" w:rsidR="00026EF1" w:rsidRPr="00E27D3B" w:rsidRDefault="00026EF1" w:rsidP="00CD4F3A">
      <w:pPr>
        <w:pStyle w:val="ListParagraph0"/>
        <w:numPr>
          <w:ilvl w:val="0"/>
          <w:numId w:val="47"/>
        </w:numPr>
        <w:spacing w:before="0" w:after="160" w:line="240" w:lineRule="auto"/>
        <w:rPr>
          <w:rFonts w:cs="Calibri"/>
        </w:rPr>
      </w:pPr>
      <w:bookmarkStart w:id="641" w:name="_Ref224201036"/>
      <w:r w:rsidRPr="00E27D3B">
        <w:rPr>
          <w:rFonts w:cs="Calibri"/>
        </w:rPr>
        <w:t xml:space="preserve">Practical Guideline and Considerations for Large Load Interconnections, </w:t>
      </w:r>
      <w:proofErr w:type="spellStart"/>
      <w:r w:rsidRPr="00E27D3B">
        <w:rPr>
          <w:rFonts w:cs="Calibri"/>
        </w:rPr>
        <w:t>GridLab</w:t>
      </w:r>
      <w:proofErr w:type="spellEnd"/>
      <w:r w:rsidRPr="00E27D3B">
        <w:rPr>
          <w:rFonts w:cs="Calibri"/>
        </w:rPr>
        <w:t>, May 2025.</w:t>
      </w:r>
      <w:bookmarkEnd w:id="641"/>
    </w:p>
    <w:p w14:paraId="4F733F6F" w14:textId="77777777" w:rsidR="00026EF1" w:rsidRPr="00E27D3B" w:rsidRDefault="00026EF1" w:rsidP="00CD4F3A">
      <w:pPr>
        <w:pStyle w:val="ListParagraph0"/>
        <w:numPr>
          <w:ilvl w:val="0"/>
          <w:numId w:val="47"/>
        </w:numPr>
        <w:spacing w:before="0" w:after="160" w:line="240" w:lineRule="auto"/>
        <w:rPr>
          <w:rFonts w:cs="Calibri"/>
        </w:rPr>
      </w:pPr>
      <w:bookmarkStart w:id="642" w:name="_Ref224201054"/>
      <w:r w:rsidRPr="00E27D3B">
        <w:rPr>
          <w:rFonts w:cs="Calibri"/>
        </w:rPr>
        <w:t>Characteristics and Risks of Emerging Large Loads, Large Load Task Force, White Paper, Jul. 2025.</w:t>
      </w:r>
      <w:bookmarkEnd w:id="642"/>
    </w:p>
    <w:p w14:paraId="135570C6" w14:textId="63C45BC7" w:rsidR="00026EF1" w:rsidRPr="00E27D3B" w:rsidRDefault="00026EF1" w:rsidP="00CD4F3A">
      <w:pPr>
        <w:pStyle w:val="ListParagraph0"/>
        <w:numPr>
          <w:ilvl w:val="0"/>
          <w:numId w:val="47"/>
        </w:numPr>
        <w:spacing w:before="0" w:after="160" w:line="240" w:lineRule="auto"/>
        <w:rPr>
          <w:rFonts w:cs="Calibri"/>
        </w:rPr>
      </w:pPr>
      <w:bookmarkStart w:id="643" w:name="_Ref224201063"/>
      <w:r w:rsidRPr="00E27D3B">
        <w:rPr>
          <w:rFonts w:cs="Calibri"/>
        </w:rPr>
        <w:t xml:space="preserve">P. Mitra, J. Lu, and L. Sundaresh, “Emerging Loads: Modeling for Transmission Reliability Studies,” </w:t>
      </w:r>
      <w:r w:rsidR="00C91384">
        <w:rPr>
          <w:rFonts w:cs="Calibri"/>
        </w:rPr>
        <w:t xml:space="preserve">in </w:t>
      </w:r>
      <w:r w:rsidRPr="00E27D3B">
        <w:rPr>
          <w:rFonts w:cs="Calibri"/>
          <w:i/>
          <w:iCs/>
        </w:rPr>
        <w:t xml:space="preserve">IEEE Power and Energy Magazine, </w:t>
      </w:r>
      <w:r w:rsidRPr="00E27D3B">
        <w:rPr>
          <w:rFonts w:cs="Calibri"/>
        </w:rPr>
        <w:t>vol. 23, no. 5, pp. 33-43, Sept.  2025.</w:t>
      </w:r>
      <w:bookmarkEnd w:id="643"/>
    </w:p>
    <w:p w14:paraId="4FD4218A" w14:textId="77777777" w:rsidR="00026EF1" w:rsidRPr="00E27D3B" w:rsidRDefault="00026EF1" w:rsidP="00CD4F3A">
      <w:pPr>
        <w:pStyle w:val="ListParagraph0"/>
        <w:numPr>
          <w:ilvl w:val="0"/>
          <w:numId w:val="47"/>
        </w:numPr>
        <w:spacing w:before="0" w:after="160" w:line="240" w:lineRule="auto"/>
        <w:rPr>
          <w:rFonts w:cs="Calibri"/>
        </w:rPr>
      </w:pPr>
      <w:bookmarkStart w:id="644" w:name="_Ref224201203"/>
      <w:r w:rsidRPr="00E27D3B">
        <w:rPr>
          <w:rFonts w:cs="Calibri"/>
        </w:rPr>
        <w:t>Developing Dynamic Load Models for the Australian Eastern Interconnection System, Power and Energy Analysis, Consulting and Education, 2019,</w:t>
      </w:r>
      <w:bookmarkEnd w:id="644"/>
    </w:p>
    <w:p w14:paraId="18177B29" w14:textId="77777777" w:rsidR="00026EF1" w:rsidRPr="00E27D3B" w:rsidRDefault="00026EF1" w:rsidP="00CD4F3A">
      <w:pPr>
        <w:pStyle w:val="ListParagraph0"/>
        <w:numPr>
          <w:ilvl w:val="0"/>
          <w:numId w:val="47"/>
        </w:numPr>
        <w:spacing w:before="0" w:after="160" w:line="240" w:lineRule="auto"/>
        <w:rPr>
          <w:rFonts w:cs="Calibri"/>
        </w:rPr>
      </w:pPr>
      <w:bookmarkStart w:id="645" w:name="_Ref224201273"/>
      <w:r w:rsidRPr="00E27D3B">
        <w:rPr>
          <w:rFonts w:cs="Calibri"/>
        </w:rPr>
        <w:t xml:space="preserve">Dynamic Model Acceptance </w:t>
      </w:r>
      <w:proofErr w:type="spellStart"/>
      <w:r w:rsidRPr="00E27D3B">
        <w:rPr>
          <w:rFonts w:cs="Calibri"/>
        </w:rPr>
        <w:t>Gudineline</w:t>
      </w:r>
      <w:proofErr w:type="spellEnd"/>
      <w:r w:rsidRPr="00E27D3B">
        <w:rPr>
          <w:rFonts w:cs="Calibri"/>
        </w:rPr>
        <w:t>, AEMO, Nov. 2021.</w:t>
      </w:r>
      <w:bookmarkEnd w:id="645"/>
    </w:p>
    <w:p w14:paraId="57DC8712" w14:textId="380A7551" w:rsidR="00026EF1" w:rsidRPr="00E27D3B" w:rsidRDefault="00026EF1" w:rsidP="00CD4F3A">
      <w:pPr>
        <w:pStyle w:val="ListParagraph0"/>
        <w:numPr>
          <w:ilvl w:val="0"/>
          <w:numId w:val="47"/>
        </w:numPr>
        <w:spacing w:before="0" w:after="160" w:line="240" w:lineRule="auto"/>
        <w:rPr>
          <w:rFonts w:cs="Calibri"/>
        </w:rPr>
      </w:pPr>
      <w:bookmarkStart w:id="646" w:name="_Ref224201346"/>
      <w:r w:rsidRPr="00E27D3B">
        <w:rPr>
          <w:rFonts w:cs="Calibri"/>
        </w:rPr>
        <w:t xml:space="preserve">M. </w:t>
      </w:r>
      <w:proofErr w:type="spellStart"/>
      <w:r w:rsidRPr="00E27D3B">
        <w:rPr>
          <w:rFonts w:cs="Calibri"/>
        </w:rPr>
        <w:t>Garmroodi</w:t>
      </w:r>
      <w:proofErr w:type="spellEnd"/>
      <w:r w:rsidRPr="00E27D3B">
        <w:rPr>
          <w:rFonts w:cs="Calibri"/>
        </w:rPr>
        <w:t xml:space="preserve">, D. J. Hill, G. </w:t>
      </w:r>
      <w:proofErr w:type="spellStart"/>
      <w:r w:rsidRPr="00E27D3B">
        <w:rPr>
          <w:rFonts w:cs="Calibri"/>
        </w:rPr>
        <w:t>Vervic</w:t>
      </w:r>
      <w:proofErr w:type="spellEnd"/>
      <w:r w:rsidRPr="00E27D3B">
        <w:rPr>
          <w:rFonts w:cs="Calibri"/>
        </w:rPr>
        <w:t xml:space="preserve">, and J. Ma, “Impact of Load Dynamics on Electromechanical Oscillations of Power Systems,” </w:t>
      </w:r>
      <w:r w:rsidR="00C91384">
        <w:rPr>
          <w:rFonts w:cs="Calibri"/>
        </w:rPr>
        <w:t xml:space="preserve">in </w:t>
      </w:r>
      <w:r w:rsidRPr="00E27D3B">
        <w:rPr>
          <w:rFonts w:cs="Calibri"/>
          <w:i/>
          <w:iCs/>
        </w:rPr>
        <w:t xml:space="preserve">IEEE Trans. Power Systems, </w:t>
      </w:r>
      <w:r w:rsidRPr="00E27D3B">
        <w:rPr>
          <w:rFonts w:cs="Calibri"/>
        </w:rPr>
        <w:t>vol. 33, no. 6, pp. 6611-6620, 2018.</w:t>
      </w:r>
      <w:bookmarkEnd w:id="646"/>
    </w:p>
    <w:p w14:paraId="486123A4" w14:textId="61331A72" w:rsidR="003342FA" w:rsidRPr="00026EF1" w:rsidRDefault="00026EF1" w:rsidP="00CD4F3A">
      <w:pPr>
        <w:pStyle w:val="ListParagraph0"/>
        <w:numPr>
          <w:ilvl w:val="0"/>
          <w:numId w:val="47"/>
        </w:numPr>
        <w:spacing w:before="0" w:after="160" w:line="240" w:lineRule="auto"/>
        <w:rPr>
          <w:rFonts w:cs="Calibri"/>
        </w:rPr>
      </w:pPr>
      <w:bookmarkStart w:id="647" w:name="_Ref224201450"/>
      <w:r w:rsidRPr="00E27D3B">
        <w:rPr>
          <w:rFonts w:cs="Calibri"/>
        </w:rPr>
        <w:t xml:space="preserve">Electromagnetic Transient Modeling of Large Data </w:t>
      </w:r>
      <w:proofErr w:type="spellStart"/>
      <w:r w:rsidRPr="00E27D3B">
        <w:rPr>
          <w:rFonts w:cs="Calibri"/>
        </w:rPr>
        <w:t>Centers</w:t>
      </w:r>
      <w:proofErr w:type="spellEnd"/>
      <w:r w:rsidRPr="00E27D3B">
        <w:rPr>
          <w:rFonts w:cs="Calibri"/>
        </w:rPr>
        <w:t xml:space="preserve"> for Grid Level Studies, Pacific Northwest National Laboratory, Alpha Release, Dec 2025.</w:t>
      </w:r>
      <w:bookmarkEnd w:id="647"/>
    </w:p>
    <w:p w14:paraId="6D1929C2" w14:textId="77777777" w:rsidR="00A02278" w:rsidRPr="00E27D3B" w:rsidRDefault="00A02278" w:rsidP="00CD4F3A">
      <w:pPr>
        <w:pStyle w:val="BodyText"/>
        <w:spacing w:line="240" w:lineRule="auto"/>
        <w:rPr>
          <w:lang w:val="en-GB"/>
        </w:rPr>
      </w:pPr>
    </w:p>
    <w:p w14:paraId="2598A49C" w14:textId="4808C10F" w:rsidR="00A02278" w:rsidRPr="00E27D3B" w:rsidRDefault="00A02278" w:rsidP="00CD4F3A">
      <w:pPr>
        <w:pStyle w:val="BodyText"/>
        <w:spacing w:line="240" w:lineRule="auto"/>
        <w:rPr>
          <w:lang w:val="en-GB"/>
        </w:rPr>
        <w:sectPr w:rsidR="00A02278" w:rsidRPr="00E27D3B" w:rsidSect="00872D96">
          <w:footerReference w:type="even" r:id="rId175"/>
          <w:footerReference w:type="default" r:id="rId176"/>
          <w:pgSz w:w="11906" w:h="16838" w:code="9"/>
          <w:pgMar w:top="1134" w:right="1134" w:bottom="1134" w:left="1134" w:header="510" w:footer="624" w:gutter="0"/>
          <w:cols w:space="284"/>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rsidRPr="00E27D3B" w14:paraId="73AC50D5" w14:textId="77777777" w:rsidTr="00557BBC">
        <w:trPr>
          <w:trHeight w:val="7767"/>
          <w:jc w:val="right"/>
        </w:trPr>
        <w:tc>
          <w:tcPr>
            <w:tcW w:w="4762" w:type="dxa"/>
          </w:tcPr>
          <w:p w14:paraId="6BEFC8D0" w14:textId="77777777" w:rsidR="00557BBC" w:rsidRPr="00E27D3B" w:rsidRDefault="00557BBC" w:rsidP="00CD4F3A">
            <w:pPr>
              <w:pStyle w:val="BackCoverContactHeading"/>
              <w:spacing w:after="120"/>
              <w:rPr>
                <w:sz w:val="24"/>
                <w:szCs w:val="24"/>
              </w:rPr>
            </w:pPr>
            <w:r w:rsidRPr="00E27D3B">
              <w:rPr>
                <w:sz w:val="24"/>
                <w:szCs w:val="24"/>
              </w:rPr>
              <w:lastRenderedPageBreak/>
              <w:t xml:space="preserve">As Australia’s national science agency, </w:t>
            </w:r>
            <w:r w:rsidR="004A6521" w:rsidRPr="00E27D3B">
              <w:rPr>
                <w:sz w:val="24"/>
                <w:szCs w:val="24"/>
              </w:rPr>
              <w:br/>
            </w:r>
            <w:r w:rsidRPr="00E27D3B">
              <w:rPr>
                <w:sz w:val="24"/>
                <w:szCs w:val="24"/>
              </w:rPr>
              <w:t>CSIRO is solving the greatest challenges through innovative science and technology.</w:t>
            </w:r>
          </w:p>
          <w:p w14:paraId="68F7D317" w14:textId="77777777" w:rsidR="00557BBC" w:rsidRPr="00E27D3B" w:rsidRDefault="00557BBC" w:rsidP="00CD4F3A">
            <w:pPr>
              <w:pStyle w:val="BackCoverContactDetails"/>
              <w:rPr>
                <w:sz w:val="24"/>
                <w:szCs w:val="24"/>
              </w:rPr>
            </w:pPr>
            <w:r w:rsidRPr="00E27D3B">
              <w:rPr>
                <w:sz w:val="24"/>
                <w:szCs w:val="24"/>
              </w:rPr>
              <w:t xml:space="preserve">CSIRO. </w:t>
            </w:r>
            <w:r w:rsidR="004A6521" w:rsidRPr="00E27D3B">
              <w:rPr>
                <w:sz w:val="24"/>
                <w:szCs w:val="24"/>
              </w:rPr>
              <w:t>Creat</w:t>
            </w:r>
            <w:r w:rsidRPr="00E27D3B">
              <w:rPr>
                <w:sz w:val="24"/>
                <w:szCs w:val="24"/>
              </w:rPr>
              <w:t>ing a better future for everyone.</w:t>
            </w:r>
          </w:p>
          <w:p w14:paraId="0669F931" w14:textId="77777777" w:rsidR="00557BBC" w:rsidRPr="00E27D3B" w:rsidRDefault="00557BBC" w:rsidP="00CD4F3A">
            <w:pPr>
              <w:pStyle w:val="BackCoverContactHeading"/>
            </w:pPr>
            <w:r w:rsidRPr="00E27D3B">
              <w:t>Contact us</w:t>
            </w:r>
          </w:p>
          <w:p w14:paraId="2A898C7E" w14:textId="77777777" w:rsidR="004D1FAA" w:rsidRPr="00E27D3B" w:rsidRDefault="004D1FAA" w:rsidP="00CD4F3A">
            <w:pPr>
              <w:pStyle w:val="BackCoverContactDetails"/>
            </w:pPr>
            <w:r w:rsidRPr="00E27D3B">
              <w:t>1300 363 400</w:t>
            </w:r>
          </w:p>
          <w:p w14:paraId="79DF8062" w14:textId="77777777" w:rsidR="004D1FAA" w:rsidRPr="00E27D3B" w:rsidRDefault="004D1FAA" w:rsidP="00CD4F3A">
            <w:pPr>
              <w:pStyle w:val="BackCoverContactDetails"/>
              <w:rPr>
                <w:szCs w:val="22"/>
              </w:rPr>
            </w:pPr>
            <w:r w:rsidRPr="00E27D3B">
              <w:t>+61 3 9545 2176</w:t>
            </w:r>
          </w:p>
          <w:p w14:paraId="0E4D1BCD" w14:textId="30525FFF" w:rsidR="004D1FAA" w:rsidRPr="00E27D3B" w:rsidRDefault="004D1FAA" w:rsidP="00CD4F3A">
            <w:pPr>
              <w:pStyle w:val="BackCoverContactDetails"/>
            </w:pPr>
            <w:hyperlink r:id="rId177" w:history="1">
              <w:r w:rsidRPr="00E27D3B">
                <w:rPr>
                  <w:rStyle w:val="Hyperlink"/>
                  <w:color w:val="auto"/>
                </w:rPr>
                <w:t>csiro.au/contact</w:t>
              </w:r>
            </w:hyperlink>
          </w:p>
          <w:p w14:paraId="3F30460A" w14:textId="309C9ADC" w:rsidR="004D1FAA" w:rsidRPr="00E27D3B" w:rsidRDefault="004D1FAA" w:rsidP="00CD4F3A">
            <w:pPr>
              <w:pStyle w:val="BackCoverContactDetails"/>
            </w:pPr>
            <w:hyperlink r:id="rId178" w:history="1">
              <w:r w:rsidRPr="00E27D3B">
                <w:rPr>
                  <w:rStyle w:val="Hyperlink"/>
                  <w:color w:val="auto"/>
                </w:rPr>
                <w:t>csiro.au</w:t>
              </w:r>
            </w:hyperlink>
          </w:p>
          <w:p w14:paraId="6795AA1F" w14:textId="7DE0DC3E" w:rsidR="00557BBC" w:rsidRPr="00E27D3B" w:rsidRDefault="00557BBC" w:rsidP="00CD4F3A">
            <w:pPr>
              <w:pStyle w:val="BackCoverContactDetails"/>
            </w:pPr>
          </w:p>
        </w:tc>
      </w:tr>
      <w:tr w:rsidR="00557BBC" w:rsidRPr="00E27D3B" w14:paraId="2B744346" w14:textId="77777777" w:rsidTr="00557BBC">
        <w:trPr>
          <w:trHeight w:val="4819"/>
          <w:jc w:val="right"/>
        </w:trPr>
        <w:tc>
          <w:tcPr>
            <w:tcW w:w="4762" w:type="dxa"/>
          </w:tcPr>
          <w:p w14:paraId="5E48D730" w14:textId="61323233" w:rsidR="00557BBC" w:rsidRPr="00E27D3B" w:rsidRDefault="00557BBC" w:rsidP="00CD4F3A">
            <w:pPr>
              <w:pStyle w:val="BackCoverContactDetails"/>
            </w:pPr>
          </w:p>
        </w:tc>
      </w:tr>
    </w:tbl>
    <w:sdt>
      <w:sdtPr>
        <w:id w:val="-993248963"/>
        <w:docPartObj>
          <w:docPartGallery w:val="Cover Pages"/>
        </w:docPartObj>
      </w:sdtPr>
      <w:sdtEndPr/>
      <w:sdtContent>
        <w:p w14:paraId="2645B16B" w14:textId="77777777" w:rsidR="00925BAA" w:rsidRDefault="00557BBC" w:rsidP="00CD4F3A">
          <w:pPr>
            <w:pStyle w:val="BodyText"/>
            <w:spacing w:line="240" w:lineRule="auto"/>
            <w:sectPr w:rsidR="00925BAA" w:rsidSect="00D051DE">
              <w:type w:val="evenPage"/>
              <w:pgSz w:w="11906" w:h="16838" w:code="9"/>
              <w:pgMar w:top="1134" w:right="1134" w:bottom="1134" w:left="1134" w:header="510" w:footer="624" w:gutter="0"/>
              <w:cols w:space="850"/>
              <w:docGrid w:linePitch="360"/>
            </w:sectPr>
          </w:pPr>
          <w:r w:rsidRPr="00E27D3B">
            <w:rPr>
              <w:noProof/>
              <w:sz w:val="18"/>
            </w:rPr>
            <mc:AlternateContent>
              <mc:Choice Requires="wps">
                <w:drawing>
                  <wp:anchor distT="0" distB="0" distL="114300" distR="114300" simplePos="0" relativeHeight="251658243" behindDoc="0" locked="1" layoutInCell="1" allowOverlap="1" wp14:anchorId="29FDC580" wp14:editId="38619462">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9F443" id="Rectangle 35" o:spid="_x0000_s1026" style="position:absolute;margin-left:0;margin-top:0;width:595.3pt;height:49.6pt;z-index:251658243;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E27D3B">
            <w:rPr>
              <w:noProof/>
              <w:sz w:val="18"/>
            </w:rPr>
            <mc:AlternateContent>
              <mc:Choice Requires="wpg">
                <w:drawing>
                  <wp:anchor distT="0" distB="0" distL="720090" distR="114300" simplePos="0" relativeHeight="251658242" behindDoc="1" locked="1" layoutInCell="1" allowOverlap="1" wp14:anchorId="00D4BBDD" wp14:editId="2017493E">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1DBEBD" id="Group 20" o:spid="_x0000_s1026" alt="&quot;&quot;" style="position:absolute;margin-left:-218.3pt;margin-top:145.15pt;width:437.1pt;height:436.5pt;z-index:-251658238;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E27D3B">
            <w:rPr>
              <w:noProof/>
              <w:sz w:val="18"/>
            </w:rPr>
            <mc:AlternateContent>
              <mc:Choice Requires="wps">
                <w:drawing>
                  <wp:anchor distT="0" distB="0" distL="114300" distR="114300" simplePos="0" relativeHeight="251658241" behindDoc="1" locked="1" layoutInCell="1" allowOverlap="1" wp14:anchorId="03019DF9" wp14:editId="26AB98F2">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73D312" id="Straight Connector 36" o:spid="_x0000_s1026" alt="&quot;&quot;" style="position:absolute;z-index:-251658239;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5AB4194E" w14:textId="77777777" w:rsidR="00A14107" w:rsidRDefault="00A14107" w:rsidP="00CD4F3A">
      <w:pPr>
        <w:pStyle w:val="BodyText"/>
        <w:spacing w:line="240" w:lineRule="auto"/>
        <w:rPr>
          <w:sz w:val="18"/>
        </w:rPr>
      </w:pPr>
    </w:p>
    <w:sectPr w:rsidR="00A14107" w:rsidSect="00925BAA">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E6A0" w14:textId="77777777" w:rsidR="00984B23" w:rsidRDefault="00984B23" w:rsidP="009964E7">
      <w:r>
        <w:separator/>
      </w:r>
    </w:p>
    <w:p w14:paraId="6E36828E" w14:textId="77777777" w:rsidR="00984B23" w:rsidRDefault="00984B23"/>
  </w:endnote>
  <w:endnote w:type="continuationSeparator" w:id="0">
    <w:p w14:paraId="50CF8110" w14:textId="77777777" w:rsidR="00984B23" w:rsidRDefault="00984B23" w:rsidP="009964E7">
      <w:r>
        <w:continuationSeparator/>
      </w:r>
    </w:p>
    <w:p w14:paraId="43971948" w14:textId="77777777" w:rsidR="00984B23" w:rsidRDefault="00984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LTStd-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6900" w14:textId="1B5778C7" w:rsidR="00635C73" w:rsidRDefault="00635C73">
    <w:pPr>
      <w:pStyle w:val="Footer"/>
    </w:pPr>
    <w:r>
      <w:rPr>
        <w:noProof/>
      </w:rPr>
      <mc:AlternateContent>
        <mc:Choice Requires="wps">
          <w:drawing>
            <wp:anchor distT="0" distB="0" distL="0" distR="0" simplePos="0" relativeHeight="251658249" behindDoc="0" locked="0" layoutInCell="1" allowOverlap="1" wp14:anchorId="05C12650" wp14:editId="7D791005">
              <wp:simplePos x="723900" y="10077450"/>
              <wp:positionH relativeFrom="page">
                <wp:align>center</wp:align>
              </wp:positionH>
              <wp:positionV relativeFrom="page">
                <wp:align>bottom</wp:align>
              </wp:positionV>
              <wp:extent cx="622300" cy="376555"/>
              <wp:effectExtent l="0" t="0" r="6350" b="0"/>
              <wp:wrapNone/>
              <wp:docPr id="2126721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8F6F91" w14:textId="0CB7C799"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12650" id="_x0000_t202" coordsize="21600,21600" o:spt="202" path="m,l,21600r21600,l21600,xe">
              <v:stroke joinstyle="miter"/>
              <v:path gradientshapeok="t" o:connecttype="rect"/>
            </v:shapetype>
            <v:shape id="Text Box 5" o:spid="_x0000_s1056" type="#_x0000_t202" alt="OFFICIAL" style="position:absolute;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F8F6F91" w14:textId="0CB7C799"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884A" w14:textId="77777777" w:rsidR="00D85580" w:rsidRDefault="00D85580" w:rsidP="00AE0D97">
    <w:pPr>
      <w:pStyle w:val="Footer"/>
      <w:tabs>
        <w:tab w:val="clear" w:pos="4513"/>
        <w:tab w:val="clear" w:pos="9026"/>
      </w:tabs>
    </w:pPr>
    <w:r>
      <w:rPr>
        <w:noProof/>
      </w:rPr>
      <mc:AlternateContent>
        <mc:Choice Requires="wps">
          <w:drawing>
            <wp:anchor distT="0" distB="0" distL="0" distR="0" simplePos="0" relativeHeight="251651072" behindDoc="0" locked="0" layoutInCell="1" allowOverlap="1" wp14:anchorId="7B055349" wp14:editId="165902E5">
              <wp:simplePos x="635" y="635"/>
              <wp:positionH relativeFrom="page">
                <wp:align>center</wp:align>
              </wp:positionH>
              <wp:positionV relativeFrom="page">
                <wp:align>bottom</wp:align>
              </wp:positionV>
              <wp:extent cx="622300" cy="376555"/>
              <wp:effectExtent l="0" t="0" r="6350" b="0"/>
              <wp:wrapNone/>
              <wp:docPr id="175660473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262857" w14:textId="77777777" w:rsidR="00D85580" w:rsidRPr="00635C73" w:rsidRDefault="00D85580"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55349" id="_x0000_t202" coordsize="21600,21600" o:spt="202" path="m,l,21600r21600,l21600,xe">
              <v:stroke joinstyle="miter"/>
              <v:path gradientshapeok="t" o:connecttype="rect"/>
            </v:shapetype>
            <v:shape id="_x0000_s1066" type="#_x0000_t202" alt="OFFICIAL" style="position:absolute;margin-left:0;margin-top:0;width:49pt;height:29.65pt;z-index:251651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eADgIAAB0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UXdz8b2d1CdaCqEYeHeyU1DtR+ED88CacPULqk2&#10;PNGhDXQlh7PFWQ3442/+mE/EU5SzjhRTckuS5sx8s7SQKK7RwNHYJWP6OZ9HfuyhvQPS4ZSehJPJ&#10;JC8GM5oaoX0lPa9jIQoJK6lcyXejeRcG6dJ7kGq9TkmkIyfCg906GaEjX5HMl/5VoDszHmhVjzDK&#10;SRRviB9y403v1odA9KetRG4HIs+UkwbTXs/vJYr81/+UdX3Vq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E+8t4AOAgAAHQQA&#10;AA4AAAAAAAAAAAAAAAAALgIAAGRycy9lMm9Eb2MueG1sUEsBAi0AFAAGAAgAAAAhAGmI2w/ZAAAA&#10;AwEAAA8AAAAAAAAAAAAAAAAAaAQAAGRycy9kb3ducmV2LnhtbFBLBQYAAAAABAAEAPMAAABuBQAA&#10;AAA=&#10;" filled="f" stroked="f">
              <v:textbox style="mso-fit-shape-to-text:t" inset="0,0,0,15pt">
                <w:txbxContent>
                  <w:p w14:paraId="71262857" w14:textId="77777777" w:rsidR="00D85580" w:rsidRPr="00635C73" w:rsidRDefault="00D85580"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A465" w14:textId="167F1DA6" w:rsidR="00D85580" w:rsidRDefault="00D85580" w:rsidP="00AE0D97">
    <w:pPr>
      <w:pStyle w:val="Footer"/>
      <w:tabs>
        <w:tab w:val="clear" w:pos="4513"/>
        <w:tab w:val="clear" w:pos="9026"/>
      </w:tabs>
      <w:jc w:val="right"/>
    </w:pPr>
    <w:r>
      <w:rPr>
        <w:noProof/>
      </w:rPr>
      <mc:AlternateContent>
        <mc:Choice Requires="wps">
          <w:drawing>
            <wp:anchor distT="0" distB="0" distL="0" distR="0" simplePos="0" relativeHeight="251648000" behindDoc="0" locked="0" layoutInCell="1" allowOverlap="1" wp14:anchorId="33DE8B5B" wp14:editId="7B94F6CD">
              <wp:simplePos x="720725" y="10080625"/>
              <wp:positionH relativeFrom="page">
                <wp:align>center</wp:align>
              </wp:positionH>
              <wp:positionV relativeFrom="page">
                <wp:align>bottom</wp:align>
              </wp:positionV>
              <wp:extent cx="622300" cy="376555"/>
              <wp:effectExtent l="0" t="0" r="6350" b="0"/>
              <wp:wrapNone/>
              <wp:docPr id="39098642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D0C9E7" w14:textId="77777777" w:rsidR="00D85580" w:rsidRPr="00635C73" w:rsidRDefault="00D85580"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E8B5B" id="_x0000_t202" coordsize="21600,21600" o:spt="202" path="m,l,21600r21600,l21600,xe">
              <v:stroke joinstyle="miter"/>
              <v:path gradientshapeok="t" o:connecttype="rect"/>
            </v:shapetype>
            <v:shape id="_x0000_s1067" type="#_x0000_t202" alt="OFFICIAL" style="position:absolute;left:0;text-align:left;margin-left:0;margin-top:0;width:49pt;height:29.65pt;z-index:251648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IDBb0OAgAAHQQA&#10;AA4AAAAAAAAAAAAAAAAALgIAAGRycy9lMm9Eb2MueG1sUEsBAi0AFAAGAAgAAAAhAGmI2w/ZAAAA&#10;AwEAAA8AAAAAAAAAAAAAAAAAaAQAAGRycy9kb3ducmV2LnhtbFBLBQYAAAAABAAEAPMAAABuBQAA&#10;AAA=&#10;" filled="f" stroked="f">
              <v:textbox style="mso-fit-shape-to-text:t" inset="0,0,0,15pt">
                <w:txbxContent>
                  <w:p w14:paraId="6FD0C9E7" w14:textId="77777777" w:rsidR="00D85580" w:rsidRPr="00635C73" w:rsidRDefault="00D85580"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3A3ECF">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3F31" w14:textId="77777777" w:rsidR="003424D3" w:rsidRDefault="003424D3" w:rsidP="00AE0D97">
    <w:pPr>
      <w:pStyle w:val="Footer"/>
      <w:tabs>
        <w:tab w:val="clear" w:pos="4513"/>
        <w:tab w:val="clear" w:pos="9026"/>
      </w:tabs>
    </w:pPr>
    <w:r>
      <w:rPr>
        <w:noProof/>
      </w:rPr>
      <mc:AlternateContent>
        <mc:Choice Requires="wps">
          <w:drawing>
            <wp:anchor distT="0" distB="0" distL="0" distR="0" simplePos="0" relativeHeight="251679744" behindDoc="0" locked="0" layoutInCell="1" allowOverlap="1" wp14:anchorId="13DDFB8B" wp14:editId="4607CEE0">
              <wp:simplePos x="635" y="635"/>
              <wp:positionH relativeFrom="page">
                <wp:align>center</wp:align>
              </wp:positionH>
              <wp:positionV relativeFrom="page">
                <wp:align>bottom</wp:align>
              </wp:positionV>
              <wp:extent cx="622300" cy="376555"/>
              <wp:effectExtent l="0" t="0" r="6350" b="0"/>
              <wp:wrapNone/>
              <wp:docPr id="212417286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DEE7DC" w14:textId="77777777" w:rsidR="003424D3" w:rsidRPr="00635C73" w:rsidRDefault="003424D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DDFB8B" id="_x0000_t202" coordsize="21600,21600" o:spt="202" path="m,l,21600r21600,l21600,xe">
              <v:stroke joinstyle="miter"/>
              <v:path gradientshapeok="t" o:connecttype="rect"/>
            </v:shapetype>
            <v:shape id="_x0000_s1068" type="#_x0000_t202" alt="OFFICIAL" style="position:absolute;margin-left:0;margin-top:0;width:49pt;height:29.6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gNDgIAAB0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DV2/3Fsv4L6hFM5GBbuLd+0WHvLfHhmDjeM7aJq&#10;wxMeUkFXUjhblDTgfvzNH/OReIxS0qFiSmpQ0pSobwYXEsU1Gm40qmRMP+fzyI856HtAHU7xSVie&#10;TPS6oEZTOtCvqOd1LIQhZjiWK2k1mvdhkC6+By7W65SEOrIsbM3O8ggd+YpkvvSvzNkz4wFX9Qij&#10;nFjxhvghN970dn0ISH/aSuR2IPJMOWow7fX8XqLIf/1PWddXvfoJ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E/GA0OAgAAHQQA&#10;AA4AAAAAAAAAAAAAAAAALgIAAGRycy9lMm9Eb2MueG1sUEsBAi0AFAAGAAgAAAAhAGmI2w/ZAAAA&#10;AwEAAA8AAAAAAAAAAAAAAAAAaAQAAGRycy9kb3ducmV2LnhtbFBLBQYAAAAABAAEAPMAAABuBQAA&#10;AAA=&#10;" filled="f" stroked="f">
              <v:textbox style="mso-fit-shape-to-text:t" inset="0,0,0,15pt">
                <w:txbxContent>
                  <w:p w14:paraId="6EDEE7DC" w14:textId="77777777" w:rsidR="003424D3" w:rsidRPr="00635C73" w:rsidRDefault="003424D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0256" w14:textId="4E7EAC3D" w:rsidR="003424D3" w:rsidRDefault="003424D3" w:rsidP="00AE0D97">
    <w:pPr>
      <w:pStyle w:val="Footer"/>
      <w:tabs>
        <w:tab w:val="clear" w:pos="4513"/>
        <w:tab w:val="clear" w:pos="9026"/>
      </w:tabs>
      <w:jc w:val="right"/>
    </w:pPr>
    <w:r>
      <w:rPr>
        <w:noProof/>
      </w:rPr>
      <mc:AlternateContent>
        <mc:Choice Requires="wps">
          <w:drawing>
            <wp:anchor distT="0" distB="0" distL="0" distR="0" simplePos="0" relativeHeight="251685888" behindDoc="0" locked="0" layoutInCell="1" allowOverlap="1" wp14:anchorId="349836E0" wp14:editId="4E7DFE80">
              <wp:simplePos x="720725" y="10080625"/>
              <wp:positionH relativeFrom="page">
                <wp:align>center</wp:align>
              </wp:positionH>
              <wp:positionV relativeFrom="page">
                <wp:align>bottom</wp:align>
              </wp:positionV>
              <wp:extent cx="622300" cy="376555"/>
              <wp:effectExtent l="0" t="0" r="6350" b="0"/>
              <wp:wrapNone/>
              <wp:docPr id="5412574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B96746" w14:textId="77777777" w:rsidR="003424D3" w:rsidRPr="00635C73" w:rsidRDefault="003424D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836E0" id="_x0000_t202" coordsize="21600,21600" o:spt="202" path="m,l,21600r21600,l21600,xe">
              <v:stroke joinstyle="miter"/>
              <v:path gradientshapeok="t" o:connecttype="rect"/>
            </v:shapetype>
            <v:shape id="_x0000_s1069" type="#_x0000_t202" alt="OFFICIAL" style="position:absolute;left:0;text-align:left;margin-left:0;margin-top:0;width:49pt;height:29.6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owDAIAAB0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qLuU+Ho2kJ1pKkQTgv3Tq4aqr0WPjwJpA1Tu6Ta&#10;8EiHbqErOZwtzmrAX+/5Yz4RT1HOOlJMyS1JmrP2h6WFRHENBg7GNhnjr/k08mP35g5Ih2N6Ek4m&#10;k7wY2sHUCOaF9LyMhSgkrKRyJd8O5l04SZfeg1TLZUoiHTkR1nbjZISOfEUyn/sXge7MeKBVPcAg&#10;J1G8Iv6UG296t9wHoj9t5UrkmXLSYNrr+b1Ekf/5n7Kur3rxG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BMgKowDAIAAB0EAAAO&#10;AAAAAAAAAAAAAAAAAC4CAABkcnMvZTJvRG9jLnhtbFBLAQItABQABgAIAAAAIQBpiNsP2QAAAAMB&#10;AAAPAAAAAAAAAAAAAAAAAGYEAABkcnMvZG93bnJldi54bWxQSwUGAAAAAAQABADzAAAAbAUAAAAA&#10;" filled="f" stroked="f">
              <v:textbox style="mso-fit-shape-to-text:t" inset="0,0,0,15pt">
                <w:txbxContent>
                  <w:p w14:paraId="3FB96746" w14:textId="77777777" w:rsidR="003424D3" w:rsidRPr="00635C73" w:rsidRDefault="003424D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3A3ECF">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7185" w14:textId="77777777" w:rsidR="003212FE" w:rsidRDefault="003212FE" w:rsidP="00AE0D97">
    <w:pPr>
      <w:pStyle w:val="Footer"/>
      <w:tabs>
        <w:tab w:val="clear" w:pos="4513"/>
        <w:tab w:val="clear" w:pos="9026"/>
      </w:tabs>
    </w:pPr>
    <w:r>
      <w:rPr>
        <w:noProof/>
      </w:rPr>
      <mc:AlternateContent>
        <mc:Choice Requires="wps">
          <w:drawing>
            <wp:anchor distT="0" distB="0" distL="0" distR="0" simplePos="0" relativeHeight="251658251" behindDoc="0" locked="0" layoutInCell="1" allowOverlap="1" wp14:anchorId="7F4121AE" wp14:editId="00B6142A">
              <wp:simplePos x="635" y="635"/>
              <wp:positionH relativeFrom="page">
                <wp:align>center</wp:align>
              </wp:positionH>
              <wp:positionV relativeFrom="page">
                <wp:align>bottom</wp:align>
              </wp:positionV>
              <wp:extent cx="622300" cy="376555"/>
              <wp:effectExtent l="0" t="0" r="6350" b="0"/>
              <wp:wrapNone/>
              <wp:docPr id="59930162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CEE54C" w14:textId="77777777" w:rsidR="003212FE" w:rsidRPr="00635C73" w:rsidRDefault="003212FE"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4121AE" id="_x0000_t202" coordsize="21600,21600" o:spt="202" path="m,l,21600r21600,l21600,xe">
              <v:stroke joinstyle="miter"/>
              <v:path gradientshapeok="t" o:connecttype="rect"/>
            </v:shapetype>
            <v:shape id="_x0000_s1070" type="#_x0000_t202" alt="OFFICIAL" style="position:absolute;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12Dg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F2P7O6hONBXCsHDv5Kah2g/Ch2eBtGFql1Qb&#10;nujQLXQlh7PFWQ3442/+mE/EU5SzjhRTckuS5qz9ZmkhUVyjgaOxS8b0cz6P/NiDuQPS4ZSehJPJ&#10;JC+GdjQ1gnklPa9jIQoJK6lcyXejeRcG6dJ7kGq9TkmkIyfCg906GaEjX5HMl/5VoDszHmhVjzDK&#10;SRRviB9y403v1odA9KetRG4HIs+UkwbTXs/vJYr81/+UdX3Vq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PtBfXYOAgAAHQQA&#10;AA4AAAAAAAAAAAAAAAAALgIAAGRycy9lMm9Eb2MueG1sUEsBAi0AFAAGAAgAAAAhAGmI2w/ZAAAA&#10;AwEAAA8AAAAAAAAAAAAAAAAAaAQAAGRycy9kb3ducmV2LnhtbFBLBQYAAAAABAAEAPMAAABuBQAA&#10;AAA=&#10;" filled="f" stroked="f">
              <v:textbox style="mso-fit-shape-to-text:t" inset="0,0,0,15pt">
                <w:txbxContent>
                  <w:p w14:paraId="2BCEE54C" w14:textId="77777777" w:rsidR="003212FE" w:rsidRPr="00635C73" w:rsidRDefault="003212FE"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4082" w14:textId="0EECE084" w:rsidR="003212FE" w:rsidRDefault="003212FE" w:rsidP="00AE0D97">
    <w:pPr>
      <w:pStyle w:val="Footer"/>
      <w:tabs>
        <w:tab w:val="clear" w:pos="4513"/>
        <w:tab w:val="clear" w:pos="9026"/>
      </w:tabs>
      <w:jc w:val="right"/>
    </w:pPr>
    <w:r>
      <w:rPr>
        <w:noProof/>
      </w:rPr>
      <mc:AlternateContent>
        <mc:Choice Requires="wps">
          <w:drawing>
            <wp:anchor distT="0" distB="0" distL="0" distR="0" simplePos="0" relativeHeight="251658252" behindDoc="0" locked="0" layoutInCell="1" allowOverlap="1" wp14:anchorId="78408819" wp14:editId="5EB23119">
              <wp:simplePos x="720725" y="10080625"/>
              <wp:positionH relativeFrom="page">
                <wp:align>center</wp:align>
              </wp:positionH>
              <wp:positionV relativeFrom="page">
                <wp:align>bottom</wp:align>
              </wp:positionV>
              <wp:extent cx="622300" cy="376555"/>
              <wp:effectExtent l="0" t="0" r="6350" b="0"/>
              <wp:wrapNone/>
              <wp:docPr id="142642368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303DC9" w14:textId="77777777" w:rsidR="003212FE" w:rsidRPr="00635C73" w:rsidRDefault="003212FE"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08819" id="_x0000_t202" coordsize="21600,21600" o:spt="202" path="m,l,21600r21600,l21600,xe">
              <v:stroke joinstyle="miter"/>
              <v:path gradientshapeok="t" o:connecttype="rect"/>
            </v:shapetype>
            <v:shape id="_x0000_s1071" type="#_x0000_t202" alt="OFFICIAL" style="position:absolute;left:0;text-align:left;margin-left:0;margin-top:0;width:49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9L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Srs/nZsfw/VGady0C/cW75psPaW+fDCHG4Y20XV&#10;hmc8pIK2pDBYlNTgfvzNH/OReIxS0qJiSmpQ0pSobwYXEsU1Gm409smY3uXzyI856gdAHU7xSVie&#10;TPS6oEZTOtBvqOd1LIQhZjiWK+l+NB9CL118D1ys1ykJdWRZ2Jqd5RE68hXJfO3emLMD4wFX9QSj&#10;nFjxjvg+N970dn0MSH/aSuS2J3KgHDWY9jq8lyjyX/9T1vVVr34C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Jb+z0sOAgAAHQQA&#10;AA4AAAAAAAAAAAAAAAAALgIAAGRycy9lMm9Eb2MueG1sUEsBAi0AFAAGAAgAAAAhAGmI2w/ZAAAA&#10;AwEAAA8AAAAAAAAAAAAAAAAAaAQAAGRycy9kb3ducmV2LnhtbFBLBQYAAAAABAAEAPMAAABuBQAA&#10;AAA=&#10;" filled="f" stroked="f">
              <v:textbox style="mso-fit-shape-to-text:t" inset="0,0,0,15pt">
                <w:txbxContent>
                  <w:p w14:paraId="64303DC9" w14:textId="77777777" w:rsidR="003212FE" w:rsidRPr="00635C73" w:rsidRDefault="003212FE"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3A3ECF">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0203" w14:textId="4B284711" w:rsidR="00635C73" w:rsidRDefault="00635C73">
    <w:pPr>
      <w:pStyle w:val="Footer"/>
    </w:pPr>
    <w:r>
      <w:rPr>
        <w:noProof/>
      </w:rPr>
      <mc:AlternateContent>
        <mc:Choice Requires="wps">
          <w:drawing>
            <wp:anchor distT="0" distB="0" distL="0" distR="0" simplePos="0" relativeHeight="251658250" behindDoc="0" locked="0" layoutInCell="1" allowOverlap="1" wp14:anchorId="633B3D60" wp14:editId="4F475B38">
              <wp:simplePos x="723900" y="10077450"/>
              <wp:positionH relativeFrom="page">
                <wp:align>center</wp:align>
              </wp:positionH>
              <wp:positionV relativeFrom="page">
                <wp:align>bottom</wp:align>
              </wp:positionV>
              <wp:extent cx="622300" cy="376555"/>
              <wp:effectExtent l="0" t="0" r="6350" b="0"/>
              <wp:wrapNone/>
              <wp:docPr id="18560928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1C0249" w14:textId="3C907E97"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B3D60" id="_x0000_t202" coordsize="21600,21600" o:spt="202" path="m,l,21600r21600,l21600,xe">
              <v:stroke joinstyle="miter"/>
              <v:path gradientshapeok="t" o:connecttype="rect"/>
            </v:shapetype>
            <v:shape id="_x0000_s1057" type="#_x0000_t202" alt="OFFICIAL" style="position:absolute;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B1C0249" w14:textId="3C907E97"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4796" w14:textId="25B1E115" w:rsidR="00635C73" w:rsidRDefault="00635C73">
    <w:pPr>
      <w:pStyle w:val="Footer"/>
    </w:pPr>
    <w:r>
      <w:rPr>
        <w:noProof/>
      </w:rPr>
      <mc:AlternateContent>
        <mc:Choice Requires="wps">
          <w:drawing>
            <wp:anchor distT="0" distB="0" distL="0" distR="0" simplePos="0" relativeHeight="251658248" behindDoc="0" locked="0" layoutInCell="1" allowOverlap="1" wp14:anchorId="3414A817" wp14:editId="201F6639">
              <wp:simplePos x="635" y="635"/>
              <wp:positionH relativeFrom="page">
                <wp:align>center</wp:align>
              </wp:positionH>
              <wp:positionV relativeFrom="page">
                <wp:align>bottom</wp:align>
              </wp:positionV>
              <wp:extent cx="622300" cy="376555"/>
              <wp:effectExtent l="0" t="0" r="6350" b="0"/>
              <wp:wrapNone/>
              <wp:docPr id="13291500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14A817" id="_x0000_t202" coordsize="21600,21600" o:spt="202" path="m,l,21600r21600,l21600,xe">
              <v:stroke joinstyle="miter"/>
              <v:path gradientshapeok="t" o:connecttype="rect"/>
            </v:shapetype>
            <v:shape id="Text Box 4" o:spid="_x0000_s1059" type="#_x0000_t202" alt="OFFICIAL" style="position:absolute;margin-left:0;margin-top:0;width:4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2815" w14:textId="77777777" w:rsidR="002561A3" w:rsidRDefault="002561A3" w:rsidP="00AE0D97">
    <w:pPr>
      <w:pStyle w:val="Footer"/>
      <w:tabs>
        <w:tab w:val="clear" w:pos="4513"/>
        <w:tab w:val="clear" w:pos="9026"/>
      </w:tabs>
    </w:pPr>
    <w:r>
      <w:rPr>
        <w:noProof/>
      </w:rPr>
      <mc:AlternateContent>
        <mc:Choice Requires="wps">
          <w:drawing>
            <wp:anchor distT="0" distB="0" distL="0" distR="0" simplePos="0" relativeHeight="251670528" behindDoc="0" locked="0" layoutInCell="1" allowOverlap="1" wp14:anchorId="27FE7CFF" wp14:editId="690E0924">
              <wp:simplePos x="635" y="635"/>
              <wp:positionH relativeFrom="page">
                <wp:align>center</wp:align>
              </wp:positionH>
              <wp:positionV relativeFrom="page">
                <wp:align>bottom</wp:align>
              </wp:positionV>
              <wp:extent cx="622300" cy="376555"/>
              <wp:effectExtent l="0" t="0" r="6350" b="0"/>
              <wp:wrapNone/>
              <wp:docPr id="121899741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D6D21A" w14:textId="77777777" w:rsidR="002561A3" w:rsidRPr="00635C73" w:rsidRDefault="002561A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FE7CFF" id="_x0000_t202" coordsize="21600,21600" o:spt="202" path="m,l,21600r21600,l21600,xe">
              <v:stroke joinstyle="miter"/>
              <v:path gradientshapeok="t" o:connecttype="rect"/>
            </v:shapetype>
            <v:shape id="Text Box 7" o:spid="_x0000_s1060"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6BD6D21A" w14:textId="77777777" w:rsidR="002561A3" w:rsidRPr="00635C73" w:rsidRDefault="002561A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42DF" w14:textId="1F9C8789" w:rsidR="002561A3" w:rsidRDefault="002561A3" w:rsidP="00AE0D97">
    <w:pPr>
      <w:pStyle w:val="Footer"/>
      <w:tabs>
        <w:tab w:val="clear" w:pos="4513"/>
        <w:tab w:val="clear" w:pos="9026"/>
      </w:tabs>
      <w:jc w:val="right"/>
    </w:pPr>
    <w:r>
      <w:rPr>
        <w:noProof/>
      </w:rPr>
      <mc:AlternateContent>
        <mc:Choice Requires="wps">
          <w:drawing>
            <wp:anchor distT="0" distB="0" distL="0" distR="0" simplePos="0" relativeHeight="251662336" behindDoc="0" locked="0" layoutInCell="1" allowOverlap="1" wp14:anchorId="2075971A" wp14:editId="5A327C16">
              <wp:simplePos x="720725" y="10080625"/>
              <wp:positionH relativeFrom="page">
                <wp:align>center</wp:align>
              </wp:positionH>
              <wp:positionV relativeFrom="page">
                <wp:align>bottom</wp:align>
              </wp:positionV>
              <wp:extent cx="622300" cy="376555"/>
              <wp:effectExtent l="0" t="0" r="6350" b="0"/>
              <wp:wrapNone/>
              <wp:docPr id="61832549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81A75B" w14:textId="77777777" w:rsidR="002561A3" w:rsidRPr="00635C73" w:rsidRDefault="002561A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75971A" id="_x0000_t202" coordsize="21600,21600" o:spt="202" path="m,l,21600r21600,l21600,xe">
              <v:stroke joinstyle="miter"/>
              <v:path gradientshapeok="t" o:connecttype="rect"/>
            </v:shapetype>
            <v:shape id="Text Box 8" o:spid="_x0000_s1061"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5A81A75B" w14:textId="77777777" w:rsidR="002561A3" w:rsidRPr="00635C73" w:rsidRDefault="002561A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1E7C3D">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F37F" w14:textId="77777777" w:rsidR="007550FC" w:rsidRDefault="007550FC" w:rsidP="00AE0D97">
    <w:pPr>
      <w:pStyle w:val="Footer"/>
      <w:tabs>
        <w:tab w:val="clear" w:pos="4513"/>
        <w:tab w:val="clear" w:pos="9026"/>
      </w:tabs>
    </w:pPr>
    <w:r>
      <w:rPr>
        <w:noProof/>
      </w:rPr>
      <mc:AlternateContent>
        <mc:Choice Requires="wps">
          <w:drawing>
            <wp:anchor distT="0" distB="0" distL="0" distR="0" simplePos="0" relativeHeight="251636736" behindDoc="0" locked="0" layoutInCell="1" allowOverlap="1" wp14:anchorId="79DCB05C" wp14:editId="2266B50E">
              <wp:simplePos x="635" y="635"/>
              <wp:positionH relativeFrom="page">
                <wp:align>center</wp:align>
              </wp:positionH>
              <wp:positionV relativeFrom="page">
                <wp:align>bottom</wp:align>
              </wp:positionV>
              <wp:extent cx="622300" cy="376555"/>
              <wp:effectExtent l="0" t="0" r="6350" b="0"/>
              <wp:wrapNone/>
              <wp:docPr id="54791533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3E4934" w14:textId="77777777" w:rsidR="007550FC" w:rsidRPr="00635C73" w:rsidRDefault="007550FC"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CB05C" id="_x0000_t202" coordsize="21600,21600" o:spt="202" path="m,l,21600r21600,l21600,xe">
              <v:stroke joinstyle="miter"/>
              <v:path gradientshapeok="t" o:connecttype="rect"/>
            </v:shapetype>
            <v:shape id="_x0000_s1062" type="#_x0000_t202" alt="OFFICIAL" style="position:absolute;margin-left:0;margin-top:0;width:49pt;height:29.65pt;z-index:2516367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textbox style="mso-fit-shape-to-text:t" inset="0,0,0,15pt">
                <w:txbxContent>
                  <w:p w14:paraId="273E4934" w14:textId="77777777" w:rsidR="007550FC" w:rsidRPr="00635C73" w:rsidRDefault="007550FC"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9323" w14:textId="072542E7" w:rsidR="007550FC" w:rsidRDefault="007550FC" w:rsidP="00AE0D97">
    <w:pPr>
      <w:pStyle w:val="Footer"/>
      <w:tabs>
        <w:tab w:val="clear" w:pos="4513"/>
        <w:tab w:val="clear" w:pos="9026"/>
      </w:tabs>
      <w:jc w:val="right"/>
    </w:pPr>
    <w:r>
      <w:rPr>
        <w:noProof/>
      </w:rPr>
      <mc:AlternateContent>
        <mc:Choice Requires="wps">
          <w:drawing>
            <wp:anchor distT="0" distB="0" distL="0" distR="0" simplePos="0" relativeHeight="251644928" behindDoc="0" locked="0" layoutInCell="1" allowOverlap="1" wp14:anchorId="3E6B0B93" wp14:editId="2BA7E544">
              <wp:simplePos x="720725" y="10080625"/>
              <wp:positionH relativeFrom="page">
                <wp:align>center</wp:align>
              </wp:positionH>
              <wp:positionV relativeFrom="page">
                <wp:align>bottom</wp:align>
              </wp:positionV>
              <wp:extent cx="622300" cy="376555"/>
              <wp:effectExtent l="0" t="0" r="6350" b="0"/>
              <wp:wrapNone/>
              <wp:docPr id="79566015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3CA8D6" w14:textId="77777777" w:rsidR="007550FC" w:rsidRPr="00635C73" w:rsidRDefault="007550FC"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6B0B93" id="_x0000_t202" coordsize="21600,21600" o:spt="202" path="m,l,21600r21600,l21600,xe">
              <v:stroke joinstyle="miter"/>
              <v:path gradientshapeok="t" o:connecttype="rect"/>
            </v:shapetype>
            <v:shape id="_x0000_s1063" type="#_x0000_t202" alt="OFFICIAL" style="position:absolute;left:0;text-align:left;margin-left:0;margin-top:0;width:49pt;height:29.65pt;z-index:2516449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textbox style="mso-fit-shape-to-text:t" inset="0,0,0,15pt">
                <w:txbxContent>
                  <w:p w14:paraId="593CA8D6" w14:textId="77777777" w:rsidR="007550FC" w:rsidRPr="00635C73" w:rsidRDefault="007550FC"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3A3ECF">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F4DA" w14:textId="77777777" w:rsidR="00B46A5D" w:rsidRDefault="00B46A5D" w:rsidP="00AE0D97">
    <w:pPr>
      <w:pStyle w:val="Footer"/>
      <w:tabs>
        <w:tab w:val="clear" w:pos="4513"/>
        <w:tab w:val="clear" w:pos="9026"/>
      </w:tabs>
    </w:pPr>
    <w:r>
      <w:rPr>
        <w:noProof/>
      </w:rPr>
      <mc:AlternateContent>
        <mc:Choice Requires="wps">
          <w:drawing>
            <wp:anchor distT="0" distB="0" distL="0" distR="0" simplePos="0" relativeHeight="251673600" behindDoc="0" locked="0" layoutInCell="1" allowOverlap="1" wp14:anchorId="68E7DC19" wp14:editId="21F38838">
              <wp:simplePos x="635" y="635"/>
              <wp:positionH relativeFrom="page">
                <wp:align>center</wp:align>
              </wp:positionH>
              <wp:positionV relativeFrom="page">
                <wp:align>bottom</wp:align>
              </wp:positionV>
              <wp:extent cx="622300" cy="376555"/>
              <wp:effectExtent l="0" t="0" r="6350" b="0"/>
              <wp:wrapNone/>
              <wp:docPr id="207346283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608EDF" w14:textId="77777777" w:rsidR="00B46A5D" w:rsidRPr="00635C73" w:rsidRDefault="00B46A5D"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E7DC19" id="_x0000_t202" coordsize="21600,21600" o:spt="202" path="m,l,21600r21600,l21600,xe">
              <v:stroke joinstyle="miter"/>
              <v:path gradientshapeok="t" o:connecttype="rect"/>
            </v:shapetype>
            <v:shape id="_x0000_s1064" type="#_x0000_t202" alt="OFFICIAL" style="position:absolute;margin-left:0;margin-top:0;width:4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textbox style="mso-fit-shape-to-text:t" inset="0,0,0,15pt">
                <w:txbxContent>
                  <w:p w14:paraId="66608EDF" w14:textId="77777777" w:rsidR="00B46A5D" w:rsidRPr="00635C73" w:rsidRDefault="00B46A5D"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595D" w14:textId="774E3B23" w:rsidR="00B46A5D" w:rsidRDefault="00B46A5D" w:rsidP="00AE0D97">
    <w:pPr>
      <w:pStyle w:val="Footer"/>
      <w:tabs>
        <w:tab w:val="clear" w:pos="4513"/>
        <w:tab w:val="clear" w:pos="9026"/>
      </w:tabs>
      <w:jc w:val="right"/>
    </w:pPr>
    <w:r>
      <w:rPr>
        <w:noProof/>
      </w:rPr>
      <mc:AlternateContent>
        <mc:Choice Requires="wps">
          <w:drawing>
            <wp:anchor distT="0" distB="0" distL="0" distR="0" simplePos="0" relativeHeight="251654144" behindDoc="0" locked="0" layoutInCell="1" allowOverlap="1" wp14:anchorId="29C3CB9B" wp14:editId="5766D372">
              <wp:simplePos x="720725" y="10080625"/>
              <wp:positionH relativeFrom="page">
                <wp:align>center</wp:align>
              </wp:positionH>
              <wp:positionV relativeFrom="page">
                <wp:align>bottom</wp:align>
              </wp:positionV>
              <wp:extent cx="622300" cy="376555"/>
              <wp:effectExtent l="0" t="0" r="6350" b="0"/>
              <wp:wrapNone/>
              <wp:docPr id="109333503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BD9DB8" w14:textId="77777777" w:rsidR="00B46A5D" w:rsidRPr="00635C73" w:rsidRDefault="00B46A5D"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C3CB9B" id="_x0000_t202" coordsize="21600,21600" o:spt="202" path="m,l,21600r21600,l21600,xe">
              <v:stroke joinstyle="miter"/>
              <v:path gradientshapeok="t" o:connecttype="rect"/>
            </v:shapetype>
            <v:shape id="_x0000_s1065" type="#_x0000_t202" alt="OFFICIAL" style="position:absolute;left:0;text-align:left;margin-left:0;margin-top:0;width:49pt;height:29.65pt;z-index:2516541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L+3voDrRVAjDwr2Tm4ZqPwgfngXShqldUm14&#10;okO30JUczhZnNeCPv/ljPhFPUc46UkzJLUmas/abpYVEcY0GjsYuGdPP+TzyYw/mDkiHU3oSTiaT&#10;vBja0dQI5pX0vI6FKCSspHIl343mXRikS+9BqvU6JZGOnAgPdutkhI58RTJf+leB7sx4oFU9wign&#10;UbwhfsiNN71bHwLRn7YSuR2IPFNOGkx7Pb+XKPJf/1PW9VWvfgI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H1gxg0CAAAdBAAA&#10;DgAAAAAAAAAAAAAAAAAuAgAAZHJzL2Uyb0RvYy54bWxQSwECLQAUAAYACAAAACEAaYjbD9kAAAAD&#10;AQAADwAAAAAAAAAAAAAAAABnBAAAZHJzL2Rvd25yZXYueG1sUEsFBgAAAAAEAAQA8wAAAG0FAAAA&#10;AA==&#10;" filled="f" stroked="f">
              <v:textbox style="mso-fit-shape-to-text:t" inset="0,0,0,15pt">
                <w:txbxContent>
                  <w:p w14:paraId="16BD9DB8" w14:textId="77777777" w:rsidR="00B46A5D" w:rsidRPr="00635C73" w:rsidRDefault="00B46A5D"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Pr>
        <w:noProof/>
      </w:rPr>
      <w:fldChar w:fldCharType="begin"/>
    </w:r>
    <w:r>
      <w:rPr>
        <w:noProof/>
      </w:rPr>
      <w:instrText xml:space="preserve"> STYLEREF  CoverTitle </w:instrText>
    </w:r>
    <w:r>
      <w:rPr>
        <w:noProof/>
      </w:rPr>
      <w:fldChar w:fldCharType="separate"/>
    </w:r>
    <w:r w:rsidR="003A3ECF">
      <w:rPr>
        <w:noProof/>
      </w:rPr>
      <w:t>Evaluation of Small and Large Disturbance Voltage Stabilities for Power Systems with a High Penetration of Inverter-based Resources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080D" w14:textId="77777777" w:rsidR="00984B23" w:rsidRDefault="00984B23" w:rsidP="009964E7">
      <w:r>
        <w:separator/>
      </w:r>
    </w:p>
    <w:p w14:paraId="540BC053" w14:textId="77777777" w:rsidR="00984B23" w:rsidRDefault="00984B23"/>
  </w:footnote>
  <w:footnote w:type="continuationSeparator" w:id="0">
    <w:p w14:paraId="1FF292C6" w14:textId="77777777" w:rsidR="00984B23" w:rsidRDefault="00984B23" w:rsidP="009964E7">
      <w:r>
        <w:continuationSeparator/>
      </w:r>
    </w:p>
    <w:p w14:paraId="37F5723F" w14:textId="77777777" w:rsidR="00984B23" w:rsidRDefault="00984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A4C2" w14:textId="76FB168B" w:rsidR="00635C73" w:rsidRDefault="00635C73">
    <w:pPr>
      <w:pStyle w:val="Header"/>
    </w:pPr>
    <w:r>
      <w:rPr>
        <w:noProof/>
      </w:rPr>
      <mc:AlternateContent>
        <mc:Choice Requires="wps">
          <w:drawing>
            <wp:anchor distT="0" distB="0" distL="0" distR="0" simplePos="0" relativeHeight="251658246" behindDoc="0" locked="0" layoutInCell="1" allowOverlap="1" wp14:anchorId="199CC36A" wp14:editId="3E9BF711">
              <wp:simplePos x="723900" y="323850"/>
              <wp:positionH relativeFrom="page">
                <wp:align>center</wp:align>
              </wp:positionH>
              <wp:positionV relativeFrom="page">
                <wp:align>top</wp:align>
              </wp:positionV>
              <wp:extent cx="622300" cy="376555"/>
              <wp:effectExtent l="0" t="0" r="6350" b="4445"/>
              <wp:wrapNone/>
              <wp:docPr id="804858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D8B1A0" w14:textId="552308C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9CC36A" id="_x0000_t202" coordsize="21600,21600" o:spt="202" path="m,l,21600r21600,l21600,xe">
              <v:stroke joinstyle="miter"/>
              <v:path gradientshapeok="t" o:connecttype="rect"/>
            </v:shapetype>
            <v:shape id="_x0000_s1054"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D8B1A0" w14:textId="552308C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4EC3" w14:textId="4E350F2A" w:rsidR="00635C73" w:rsidRDefault="00635C73">
    <w:pPr>
      <w:pStyle w:val="Header"/>
    </w:pPr>
    <w:r>
      <w:rPr>
        <w:noProof/>
      </w:rPr>
      <mc:AlternateContent>
        <mc:Choice Requires="wps">
          <w:drawing>
            <wp:anchor distT="0" distB="0" distL="0" distR="0" simplePos="0" relativeHeight="251658247" behindDoc="0" locked="0" layoutInCell="1" allowOverlap="1" wp14:anchorId="64939ADE" wp14:editId="3890AEB7">
              <wp:simplePos x="723900" y="323850"/>
              <wp:positionH relativeFrom="page">
                <wp:align>center</wp:align>
              </wp:positionH>
              <wp:positionV relativeFrom="page">
                <wp:align>top</wp:align>
              </wp:positionV>
              <wp:extent cx="622300" cy="376555"/>
              <wp:effectExtent l="0" t="0" r="6350" b="4445"/>
              <wp:wrapNone/>
              <wp:docPr id="2867404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54BE99" w14:textId="7520D1B0"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939ADE" id="_x0000_t202" coordsize="21600,21600" o:spt="202" path="m,l,21600r21600,l21600,xe">
              <v:stroke joinstyle="miter"/>
              <v:path gradientshapeok="t" o:connecttype="rect"/>
            </v:shapetype>
            <v:shape id="Text Box 3" o:spid="_x0000_s1055" type="#_x0000_t202" alt="OFFICIAL" style="position:absolute;margin-left:0;margin-top:0;width:49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354BE99" w14:textId="7520D1B0"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B1A" w14:textId="26BCE0E9" w:rsidR="00635C73" w:rsidRDefault="00635C73">
    <w:pPr>
      <w:pStyle w:val="Header"/>
    </w:pPr>
    <w:r>
      <w:rPr>
        <w:noProof/>
      </w:rPr>
      <mc:AlternateContent>
        <mc:Choice Requires="wps">
          <w:drawing>
            <wp:anchor distT="0" distB="0" distL="0" distR="0" simplePos="0" relativeHeight="251658245" behindDoc="0" locked="0" layoutInCell="1" allowOverlap="1" wp14:anchorId="370D0A69" wp14:editId="1E280135">
              <wp:simplePos x="635" y="635"/>
              <wp:positionH relativeFrom="page">
                <wp:align>center</wp:align>
              </wp:positionH>
              <wp:positionV relativeFrom="page">
                <wp:align>top</wp:align>
              </wp:positionV>
              <wp:extent cx="622300" cy="376555"/>
              <wp:effectExtent l="0" t="0" r="6350" b="4445"/>
              <wp:wrapNone/>
              <wp:docPr id="13288146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D0A69" id="_x0000_t202" coordsize="21600,21600" o:spt="202" path="m,l,21600r21600,l21600,xe">
              <v:stroke joinstyle="miter"/>
              <v:path gradientshapeok="t" o:connecttype="rect"/>
            </v:shapetype>
            <v:shape id="Text Box 1" o:spid="_x0000_s105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0BA18C0"/>
    <w:multiLevelType w:val="hybridMultilevel"/>
    <w:tmpl w:val="54745402"/>
    <w:lvl w:ilvl="0" w:tplc="490CB034">
      <w:start w:val="1"/>
      <w:numFmt w:val="decimal"/>
      <w:lvlText w:val="%1."/>
      <w:lvlJc w:val="left"/>
      <w:pPr>
        <w:ind w:left="1020" w:hanging="360"/>
      </w:pPr>
    </w:lvl>
    <w:lvl w:ilvl="1" w:tplc="45309C44">
      <w:start w:val="1"/>
      <w:numFmt w:val="decimal"/>
      <w:lvlText w:val="%2."/>
      <w:lvlJc w:val="left"/>
      <w:pPr>
        <w:ind w:left="1020" w:hanging="360"/>
      </w:pPr>
    </w:lvl>
    <w:lvl w:ilvl="2" w:tplc="5B4CD912">
      <w:start w:val="1"/>
      <w:numFmt w:val="decimal"/>
      <w:lvlText w:val="%3."/>
      <w:lvlJc w:val="left"/>
      <w:pPr>
        <w:ind w:left="1020" w:hanging="360"/>
      </w:pPr>
    </w:lvl>
    <w:lvl w:ilvl="3" w:tplc="44FE498C">
      <w:start w:val="1"/>
      <w:numFmt w:val="decimal"/>
      <w:lvlText w:val="%4."/>
      <w:lvlJc w:val="left"/>
      <w:pPr>
        <w:ind w:left="1020" w:hanging="360"/>
      </w:pPr>
    </w:lvl>
    <w:lvl w:ilvl="4" w:tplc="D97E65DA">
      <w:start w:val="1"/>
      <w:numFmt w:val="decimal"/>
      <w:lvlText w:val="%5."/>
      <w:lvlJc w:val="left"/>
      <w:pPr>
        <w:ind w:left="1020" w:hanging="360"/>
      </w:pPr>
    </w:lvl>
    <w:lvl w:ilvl="5" w:tplc="C734A318">
      <w:start w:val="1"/>
      <w:numFmt w:val="decimal"/>
      <w:lvlText w:val="%6."/>
      <w:lvlJc w:val="left"/>
      <w:pPr>
        <w:ind w:left="1020" w:hanging="360"/>
      </w:pPr>
    </w:lvl>
    <w:lvl w:ilvl="6" w:tplc="7610BA70">
      <w:start w:val="1"/>
      <w:numFmt w:val="decimal"/>
      <w:lvlText w:val="%7."/>
      <w:lvlJc w:val="left"/>
      <w:pPr>
        <w:ind w:left="1020" w:hanging="360"/>
      </w:pPr>
    </w:lvl>
    <w:lvl w:ilvl="7" w:tplc="CD220B5A">
      <w:start w:val="1"/>
      <w:numFmt w:val="decimal"/>
      <w:lvlText w:val="%8."/>
      <w:lvlJc w:val="left"/>
      <w:pPr>
        <w:ind w:left="1020" w:hanging="360"/>
      </w:pPr>
    </w:lvl>
    <w:lvl w:ilvl="8" w:tplc="C4CAF73A">
      <w:start w:val="1"/>
      <w:numFmt w:val="decimal"/>
      <w:lvlText w:val="%9."/>
      <w:lvlJc w:val="left"/>
      <w:pPr>
        <w:ind w:left="1020" w:hanging="360"/>
      </w:pPr>
    </w:lvl>
  </w:abstractNum>
  <w:abstractNum w:abstractNumId="6" w15:restartNumberingAfterBreak="0">
    <w:nsid w:val="00DD4F15"/>
    <w:multiLevelType w:val="hybridMultilevel"/>
    <w:tmpl w:val="19FC3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6C158C"/>
    <w:multiLevelType w:val="hybridMultilevel"/>
    <w:tmpl w:val="4DA2BDE4"/>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3075E9B"/>
    <w:multiLevelType w:val="multilevel"/>
    <w:tmpl w:val="4DA4F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6A3418"/>
    <w:multiLevelType w:val="hybridMultilevel"/>
    <w:tmpl w:val="4C3E6F22"/>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D93B2C"/>
    <w:multiLevelType w:val="hybridMultilevel"/>
    <w:tmpl w:val="67081880"/>
    <w:lvl w:ilvl="0" w:tplc="FFFFFFFF">
      <w:start w:val="1"/>
      <w:numFmt w:val="decimal"/>
      <w:lvlText w:val="%1)"/>
      <w:lvlJc w:val="left"/>
      <w:pPr>
        <w:ind w:left="720" w:hanging="360"/>
      </w:pPr>
    </w:lvl>
    <w:lvl w:ilvl="1" w:tplc="0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EB40D6"/>
    <w:multiLevelType w:val="hybridMultilevel"/>
    <w:tmpl w:val="2ED6317E"/>
    <w:lvl w:ilvl="0" w:tplc="245AED86">
      <w:start w:val="1"/>
      <w:numFmt w:val="decimal"/>
      <w:lvlText w:val="%1)"/>
      <w:lvlJc w:val="left"/>
      <w:pPr>
        <w:ind w:left="1020" w:hanging="360"/>
      </w:pPr>
    </w:lvl>
    <w:lvl w:ilvl="1" w:tplc="B2C6C1E2">
      <w:start w:val="1"/>
      <w:numFmt w:val="decimal"/>
      <w:lvlText w:val="%2)"/>
      <w:lvlJc w:val="left"/>
      <w:pPr>
        <w:ind w:left="1020" w:hanging="360"/>
      </w:pPr>
    </w:lvl>
    <w:lvl w:ilvl="2" w:tplc="ACF232E2">
      <w:start w:val="1"/>
      <w:numFmt w:val="decimal"/>
      <w:lvlText w:val="%3)"/>
      <w:lvlJc w:val="left"/>
      <w:pPr>
        <w:ind w:left="1020" w:hanging="360"/>
      </w:pPr>
    </w:lvl>
    <w:lvl w:ilvl="3" w:tplc="90F48B7C">
      <w:start w:val="1"/>
      <w:numFmt w:val="decimal"/>
      <w:lvlText w:val="%4)"/>
      <w:lvlJc w:val="left"/>
      <w:pPr>
        <w:ind w:left="1020" w:hanging="360"/>
      </w:pPr>
    </w:lvl>
    <w:lvl w:ilvl="4" w:tplc="8CD43BFC">
      <w:start w:val="1"/>
      <w:numFmt w:val="decimal"/>
      <w:lvlText w:val="%5)"/>
      <w:lvlJc w:val="left"/>
      <w:pPr>
        <w:ind w:left="1020" w:hanging="360"/>
      </w:pPr>
    </w:lvl>
    <w:lvl w:ilvl="5" w:tplc="8366711A">
      <w:start w:val="1"/>
      <w:numFmt w:val="decimal"/>
      <w:lvlText w:val="%6)"/>
      <w:lvlJc w:val="left"/>
      <w:pPr>
        <w:ind w:left="1020" w:hanging="360"/>
      </w:pPr>
    </w:lvl>
    <w:lvl w:ilvl="6" w:tplc="6C5C8A38">
      <w:start w:val="1"/>
      <w:numFmt w:val="decimal"/>
      <w:lvlText w:val="%7)"/>
      <w:lvlJc w:val="left"/>
      <w:pPr>
        <w:ind w:left="1020" w:hanging="360"/>
      </w:pPr>
    </w:lvl>
    <w:lvl w:ilvl="7" w:tplc="0F28E51A">
      <w:start w:val="1"/>
      <w:numFmt w:val="decimal"/>
      <w:lvlText w:val="%8)"/>
      <w:lvlJc w:val="left"/>
      <w:pPr>
        <w:ind w:left="1020" w:hanging="360"/>
      </w:pPr>
    </w:lvl>
    <w:lvl w:ilvl="8" w:tplc="D23A8F1A">
      <w:start w:val="1"/>
      <w:numFmt w:val="decimal"/>
      <w:lvlText w:val="%9)"/>
      <w:lvlJc w:val="left"/>
      <w:pPr>
        <w:ind w:left="1020" w:hanging="360"/>
      </w:pPr>
    </w:lvl>
  </w:abstractNum>
  <w:abstractNum w:abstractNumId="12" w15:restartNumberingAfterBreak="0">
    <w:nsid w:val="0A917DCC"/>
    <w:multiLevelType w:val="hybridMultilevel"/>
    <w:tmpl w:val="90E64BA6"/>
    <w:lvl w:ilvl="0" w:tplc="0C090011">
      <w:start w:val="1"/>
      <w:numFmt w:val="decimal"/>
      <w:lvlText w:val="%1)"/>
      <w:lvlJc w:val="left"/>
      <w:pPr>
        <w:ind w:left="360" w:hanging="360"/>
      </w:pPr>
      <w:rPr>
        <w:rFonts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FAE2DC9"/>
    <w:multiLevelType w:val="hybridMultilevel"/>
    <w:tmpl w:val="F2D0A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3804FD3"/>
    <w:multiLevelType w:val="hybridMultilevel"/>
    <w:tmpl w:val="39B414A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13AA1DD2"/>
    <w:multiLevelType w:val="hybridMultilevel"/>
    <w:tmpl w:val="93D6EDD2"/>
    <w:lvl w:ilvl="0" w:tplc="D1B8FE78">
      <w:start w:val="1"/>
      <w:numFmt w:val="decimal"/>
      <w:lvlText w:val="[%1]"/>
      <w:lvlJc w:val="left"/>
      <w:pPr>
        <w:ind w:left="578" w:hanging="360"/>
      </w:pPr>
      <w:rPr>
        <w:rFonts w:hint="default"/>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6" w15:restartNumberingAfterBreak="0">
    <w:nsid w:val="1845464E"/>
    <w:multiLevelType w:val="hybridMultilevel"/>
    <w:tmpl w:val="E59E9A86"/>
    <w:lvl w:ilvl="0" w:tplc="B6E2B210">
      <w:start w:val="1"/>
      <w:numFmt w:val="decimal"/>
      <w:lvlText w:val="%1)"/>
      <w:lvlJc w:val="left"/>
      <w:pPr>
        <w:ind w:left="1020" w:hanging="360"/>
      </w:pPr>
    </w:lvl>
    <w:lvl w:ilvl="1" w:tplc="8B663A68">
      <w:start w:val="1"/>
      <w:numFmt w:val="decimal"/>
      <w:lvlText w:val="%2)"/>
      <w:lvlJc w:val="left"/>
      <w:pPr>
        <w:ind w:left="1020" w:hanging="360"/>
      </w:pPr>
    </w:lvl>
    <w:lvl w:ilvl="2" w:tplc="17D0E786">
      <w:start w:val="1"/>
      <w:numFmt w:val="decimal"/>
      <w:lvlText w:val="%3)"/>
      <w:lvlJc w:val="left"/>
      <w:pPr>
        <w:ind w:left="1020" w:hanging="360"/>
      </w:pPr>
    </w:lvl>
    <w:lvl w:ilvl="3" w:tplc="B3DA28DA">
      <w:start w:val="1"/>
      <w:numFmt w:val="decimal"/>
      <w:lvlText w:val="%4)"/>
      <w:lvlJc w:val="left"/>
      <w:pPr>
        <w:ind w:left="1020" w:hanging="360"/>
      </w:pPr>
    </w:lvl>
    <w:lvl w:ilvl="4" w:tplc="A4B6537E">
      <w:start w:val="1"/>
      <w:numFmt w:val="decimal"/>
      <w:lvlText w:val="%5)"/>
      <w:lvlJc w:val="left"/>
      <w:pPr>
        <w:ind w:left="1020" w:hanging="360"/>
      </w:pPr>
    </w:lvl>
    <w:lvl w:ilvl="5" w:tplc="8DE4100C">
      <w:start w:val="1"/>
      <w:numFmt w:val="decimal"/>
      <w:lvlText w:val="%6)"/>
      <w:lvlJc w:val="left"/>
      <w:pPr>
        <w:ind w:left="1020" w:hanging="360"/>
      </w:pPr>
    </w:lvl>
    <w:lvl w:ilvl="6" w:tplc="DB36308E">
      <w:start w:val="1"/>
      <w:numFmt w:val="decimal"/>
      <w:lvlText w:val="%7)"/>
      <w:lvlJc w:val="left"/>
      <w:pPr>
        <w:ind w:left="1020" w:hanging="360"/>
      </w:pPr>
    </w:lvl>
    <w:lvl w:ilvl="7" w:tplc="FFE0CE10">
      <w:start w:val="1"/>
      <w:numFmt w:val="decimal"/>
      <w:lvlText w:val="%8)"/>
      <w:lvlJc w:val="left"/>
      <w:pPr>
        <w:ind w:left="1020" w:hanging="360"/>
      </w:pPr>
    </w:lvl>
    <w:lvl w:ilvl="8" w:tplc="E5662D04">
      <w:start w:val="1"/>
      <w:numFmt w:val="decimal"/>
      <w:lvlText w:val="%9)"/>
      <w:lvlJc w:val="left"/>
      <w:pPr>
        <w:ind w:left="1020" w:hanging="360"/>
      </w:pPr>
    </w:lvl>
  </w:abstractNum>
  <w:abstractNum w:abstractNumId="17" w15:restartNumberingAfterBreak="0">
    <w:nsid w:val="18C4450E"/>
    <w:multiLevelType w:val="hybridMultilevel"/>
    <w:tmpl w:val="3990A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F5FB0"/>
    <w:multiLevelType w:val="multilevel"/>
    <w:tmpl w:val="54083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975842"/>
    <w:multiLevelType w:val="multilevel"/>
    <w:tmpl w:val="4C9A3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DD1E2C"/>
    <w:multiLevelType w:val="multilevel"/>
    <w:tmpl w:val="A8E260FE"/>
    <w:numStyleLink w:val="ListAttachment"/>
  </w:abstractNum>
  <w:abstractNum w:abstractNumId="21"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3" w15:restartNumberingAfterBreak="0">
    <w:nsid w:val="23A36EA6"/>
    <w:multiLevelType w:val="hybridMultilevel"/>
    <w:tmpl w:val="9E884358"/>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4494BDE"/>
    <w:multiLevelType w:val="multilevel"/>
    <w:tmpl w:val="AC6E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30E90726"/>
    <w:multiLevelType w:val="multilevel"/>
    <w:tmpl w:val="D6F6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D45514"/>
    <w:multiLevelType w:val="multilevel"/>
    <w:tmpl w:val="576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F0706E"/>
    <w:multiLevelType w:val="hybridMultilevel"/>
    <w:tmpl w:val="7D34C52C"/>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147474"/>
    <w:multiLevelType w:val="hybridMultilevel"/>
    <w:tmpl w:val="9502E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373A7B82"/>
    <w:multiLevelType w:val="multilevel"/>
    <w:tmpl w:val="FFA279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080DE8"/>
    <w:multiLevelType w:val="hybridMultilevel"/>
    <w:tmpl w:val="6584F552"/>
    <w:lvl w:ilvl="0" w:tplc="DAF0B476">
      <w:start w:val="1"/>
      <w:numFmt w:val="decimal"/>
      <w:lvlText w:val="%1)"/>
      <w:lvlJc w:val="left"/>
      <w:pPr>
        <w:ind w:left="1020" w:hanging="360"/>
      </w:pPr>
    </w:lvl>
    <w:lvl w:ilvl="1" w:tplc="9F46F2DC">
      <w:start w:val="1"/>
      <w:numFmt w:val="decimal"/>
      <w:lvlText w:val="%2)"/>
      <w:lvlJc w:val="left"/>
      <w:pPr>
        <w:ind w:left="1020" w:hanging="360"/>
      </w:pPr>
    </w:lvl>
    <w:lvl w:ilvl="2" w:tplc="64688214">
      <w:start w:val="1"/>
      <w:numFmt w:val="decimal"/>
      <w:lvlText w:val="%3)"/>
      <w:lvlJc w:val="left"/>
      <w:pPr>
        <w:ind w:left="1020" w:hanging="360"/>
      </w:pPr>
    </w:lvl>
    <w:lvl w:ilvl="3" w:tplc="D6C4D9AE">
      <w:start w:val="1"/>
      <w:numFmt w:val="decimal"/>
      <w:lvlText w:val="%4)"/>
      <w:lvlJc w:val="left"/>
      <w:pPr>
        <w:ind w:left="1020" w:hanging="360"/>
      </w:pPr>
    </w:lvl>
    <w:lvl w:ilvl="4" w:tplc="77D6BAD4">
      <w:start w:val="1"/>
      <w:numFmt w:val="decimal"/>
      <w:lvlText w:val="%5)"/>
      <w:lvlJc w:val="left"/>
      <w:pPr>
        <w:ind w:left="1020" w:hanging="360"/>
      </w:pPr>
    </w:lvl>
    <w:lvl w:ilvl="5" w:tplc="D3F2AA1A">
      <w:start w:val="1"/>
      <w:numFmt w:val="decimal"/>
      <w:lvlText w:val="%6)"/>
      <w:lvlJc w:val="left"/>
      <w:pPr>
        <w:ind w:left="1020" w:hanging="360"/>
      </w:pPr>
    </w:lvl>
    <w:lvl w:ilvl="6" w:tplc="52F4D83A">
      <w:start w:val="1"/>
      <w:numFmt w:val="decimal"/>
      <w:lvlText w:val="%7)"/>
      <w:lvlJc w:val="left"/>
      <w:pPr>
        <w:ind w:left="1020" w:hanging="360"/>
      </w:pPr>
    </w:lvl>
    <w:lvl w:ilvl="7" w:tplc="C86EB158">
      <w:start w:val="1"/>
      <w:numFmt w:val="decimal"/>
      <w:lvlText w:val="%8)"/>
      <w:lvlJc w:val="left"/>
      <w:pPr>
        <w:ind w:left="1020" w:hanging="360"/>
      </w:pPr>
    </w:lvl>
    <w:lvl w:ilvl="8" w:tplc="34AE4A46">
      <w:start w:val="1"/>
      <w:numFmt w:val="decimal"/>
      <w:lvlText w:val="%9)"/>
      <w:lvlJc w:val="left"/>
      <w:pPr>
        <w:ind w:left="1020" w:hanging="360"/>
      </w:pPr>
    </w:lvl>
  </w:abstractNum>
  <w:abstractNum w:abstractNumId="33" w15:restartNumberingAfterBreak="0">
    <w:nsid w:val="3BF26A71"/>
    <w:multiLevelType w:val="multilevel"/>
    <w:tmpl w:val="679A11C6"/>
    <w:styleLink w:val="ListParagraph"/>
    <w:lvl w:ilvl="0">
      <w:start w:val="1"/>
      <w:numFmt w:val="none"/>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4"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5" w15:restartNumberingAfterBreak="0">
    <w:nsid w:val="3EB026AA"/>
    <w:multiLevelType w:val="hybridMultilevel"/>
    <w:tmpl w:val="003683E8"/>
    <w:lvl w:ilvl="0" w:tplc="FFFFFFFF">
      <w:start w:val="1"/>
      <w:numFmt w:val="decimal"/>
      <w:lvlText w:val="%1)"/>
      <w:lvlJc w:val="left"/>
      <w:pPr>
        <w:ind w:left="360" w:hanging="360"/>
      </w:pPr>
      <w:rPr>
        <w:rFonts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05E05D4"/>
    <w:multiLevelType w:val="hybridMultilevel"/>
    <w:tmpl w:val="003683E8"/>
    <w:lvl w:ilvl="0" w:tplc="FFFFFFFF">
      <w:start w:val="1"/>
      <w:numFmt w:val="decimal"/>
      <w:lvlText w:val="%1)"/>
      <w:lvlJc w:val="left"/>
      <w:pPr>
        <w:ind w:left="360" w:hanging="360"/>
      </w:pPr>
      <w:rPr>
        <w:rFonts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8" w15:restartNumberingAfterBreak="0">
    <w:nsid w:val="42D17FFA"/>
    <w:multiLevelType w:val="multilevel"/>
    <w:tmpl w:val="3F7A772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153E16"/>
    <w:multiLevelType w:val="hybridMultilevel"/>
    <w:tmpl w:val="13F4E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58246C1"/>
    <w:multiLevelType w:val="multilevel"/>
    <w:tmpl w:val="558E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4C6152"/>
    <w:multiLevelType w:val="multilevel"/>
    <w:tmpl w:val="C69A9CDA"/>
    <w:lvl w:ilvl="0">
      <w:start w:val="2"/>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48EF2CA3"/>
    <w:multiLevelType w:val="hybridMultilevel"/>
    <w:tmpl w:val="42040B8E"/>
    <w:lvl w:ilvl="0" w:tplc="C9C05114">
      <w:start w:val="1"/>
      <w:numFmt w:val="bullet"/>
      <w:lvlText w:val="•"/>
      <w:lvlJc w:val="left"/>
      <w:pPr>
        <w:tabs>
          <w:tab w:val="num" w:pos="720"/>
        </w:tabs>
        <w:ind w:left="720" w:hanging="360"/>
      </w:pPr>
      <w:rPr>
        <w:rFonts w:ascii="Arial" w:hAnsi="Arial" w:hint="default"/>
      </w:rPr>
    </w:lvl>
    <w:lvl w:ilvl="1" w:tplc="F6000FA8" w:tentative="1">
      <w:start w:val="1"/>
      <w:numFmt w:val="bullet"/>
      <w:lvlText w:val="•"/>
      <w:lvlJc w:val="left"/>
      <w:pPr>
        <w:tabs>
          <w:tab w:val="num" w:pos="1440"/>
        </w:tabs>
        <w:ind w:left="1440" w:hanging="360"/>
      </w:pPr>
      <w:rPr>
        <w:rFonts w:ascii="Arial" w:hAnsi="Arial" w:hint="default"/>
      </w:rPr>
    </w:lvl>
    <w:lvl w:ilvl="2" w:tplc="ED6A9908" w:tentative="1">
      <w:start w:val="1"/>
      <w:numFmt w:val="bullet"/>
      <w:lvlText w:val="•"/>
      <w:lvlJc w:val="left"/>
      <w:pPr>
        <w:tabs>
          <w:tab w:val="num" w:pos="2160"/>
        </w:tabs>
        <w:ind w:left="2160" w:hanging="360"/>
      </w:pPr>
      <w:rPr>
        <w:rFonts w:ascii="Arial" w:hAnsi="Arial" w:hint="default"/>
      </w:rPr>
    </w:lvl>
    <w:lvl w:ilvl="3" w:tplc="3CEE00B8" w:tentative="1">
      <w:start w:val="1"/>
      <w:numFmt w:val="bullet"/>
      <w:lvlText w:val="•"/>
      <w:lvlJc w:val="left"/>
      <w:pPr>
        <w:tabs>
          <w:tab w:val="num" w:pos="2880"/>
        </w:tabs>
        <w:ind w:left="2880" w:hanging="360"/>
      </w:pPr>
      <w:rPr>
        <w:rFonts w:ascii="Arial" w:hAnsi="Arial" w:hint="default"/>
      </w:rPr>
    </w:lvl>
    <w:lvl w:ilvl="4" w:tplc="CD0A8CA4" w:tentative="1">
      <w:start w:val="1"/>
      <w:numFmt w:val="bullet"/>
      <w:lvlText w:val="•"/>
      <w:lvlJc w:val="left"/>
      <w:pPr>
        <w:tabs>
          <w:tab w:val="num" w:pos="3600"/>
        </w:tabs>
        <w:ind w:left="3600" w:hanging="360"/>
      </w:pPr>
      <w:rPr>
        <w:rFonts w:ascii="Arial" w:hAnsi="Arial" w:hint="default"/>
      </w:rPr>
    </w:lvl>
    <w:lvl w:ilvl="5" w:tplc="0B9E1EE4" w:tentative="1">
      <w:start w:val="1"/>
      <w:numFmt w:val="bullet"/>
      <w:lvlText w:val="•"/>
      <w:lvlJc w:val="left"/>
      <w:pPr>
        <w:tabs>
          <w:tab w:val="num" w:pos="4320"/>
        </w:tabs>
        <w:ind w:left="4320" w:hanging="360"/>
      </w:pPr>
      <w:rPr>
        <w:rFonts w:ascii="Arial" w:hAnsi="Arial" w:hint="default"/>
      </w:rPr>
    </w:lvl>
    <w:lvl w:ilvl="6" w:tplc="6ACA22E0" w:tentative="1">
      <w:start w:val="1"/>
      <w:numFmt w:val="bullet"/>
      <w:lvlText w:val="•"/>
      <w:lvlJc w:val="left"/>
      <w:pPr>
        <w:tabs>
          <w:tab w:val="num" w:pos="5040"/>
        </w:tabs>
        <w:ind w:left="5040" w:hanging="360"/>
      </w:pPr>
      <w:rPr>
        <w:rFonts w:ascii="Arial" w:hAnsi="Arial" w:hint="default"/>
      </w:rPr>
    </w:lvl>
    <w:lvl w:ilvl="7" w:tplc="3110B770" w:tentative="1">
      <w:start w:val="1"/>
      <w:numFmt w:val="bullet"/>
      <w:lvlText w:val="•"/>
      <w:lvlJc w:val="left"/>
      <w:pPr>
        <w:tabs>
          <w:tab w:val="num" w:pos="5760"/>
        </w:tabs>
        <w:ind w:left="5760" w:hanging="360"/>
      </w:pPr>
      <w:rPr>
        <w:rFonts w:ascii="Arial" w:hAnsi="Arial" w:hint="default"/>
      </w:rPr>
    </w:lvl>
    <w:lvl w:ilvl="8" w:tplc="C568AE0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9DD63F7"/>
    <w:multiLevelType w:val="hybridMultilevel"/>
    <w:tmpl w:val="3F249668"/>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B9F5624"/>
    <w:multiLevelType w:val="hybridMultilevel"/>
    <w:tmpl w:val="DD90720A"/>
    <w:lvl w:ilvl="0" w:tplc="4DB462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DB136C3"/>
    <w:multiLevelType w:val="hybridMultilevel"/>
    <w:tmpl w:val="4984A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DB43ED5"/>
    <w:multiLevelType w:val="hybridMultilevel"/>
    <w:tmpl w:val="3B26729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B07E89"/>
    <w:multiLevelType w:val="multilevel"/>
    <w:tmpl w:val="57A6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3565AF"/>
    <w:multiLevelType w:val="multilevel"/>
    <w:tmpl w:val="712C267A"/>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49" w15:restartNumberingAfterBreak="0">
    <w:nsid w:val="51336068"/>
    <w:multiLevelType w:val="multilevel"/>
    <w:tmpl w:val="94DE8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33020C4"/>
    <w:multiLevelType w:val="hybridMultilevel"/>
    <w:tmpl w:val="692AE314"/>
    <w:lvl w:ilvl="0" w:tplc="2264BE14">
      <w:start w:val="1"/>
      <w:numFmt w:val="bullet"/>
      <w:lvlText w:val="•"/>
      <w:lvlJc w:val="left"/>
      <w:pPr>
        <w:tabs>
          <w:tab w:val="num" w:pos="720"/>
        </w:tabs>
        <w:ind w:left="720" w:hanging="360"/>
      </w:pPr>
      <w:rPr>
        <w:rFonts w:ascii="Arial" w:hAnsi="Arial" w:hint="default"/>
      </w:rPr>
    </w:lvl>
    <w:lvl w:ilvl="1" w:tplc="92703ECA" w:tentative="1">
      <w:start w:val="1"/>
      <w:numFmt w:val="bullet"/>
      <w:lvlText w:val="•"/>
      <w:lvlJc w:val="left"/>
      <w:pPr>
        <w:tabs>
          <w:tab w:val="num" w:pos="1440"/>
        </w:tabs>
        <w:ind w:left="1440" w:hanging="360"/>
      </w:pPr>
      <w:rPr>
        <w:rFonts w:ascii="Arial" w:hAnsi="Arial" w:hint="default"/>
      </w:rPr>
    </w:lvl>
    <w:lvl w:ilvl="2" w:tplc="2C1483D6">
      <w:start w:val="1"/>
      <w:numFmt w:val="bullet"/>
      <w:lvlText w:val="•"/>
      <w:lvlJc w:val="left"/>
      <w:pPr>
        <w:tabs>
          <w:tab w:val="num" w:pos="2160"/>
        </w:tabs>
        <w:ind w:left="2160" w:hanging="360"/>
      </w:pPr>
      <w:rPr>
        <w:rFonts w:ascii="Arial" w:hAnsi="Arial" w:hint="default"/>
      </w:rPr>
    </w:lvl>
    <w:lvl w:ilvl="3" w:tplc="18DAE246" w:tentative="1">
      <w:start w:val="1"/>
      <w:numFmt w:val="bullet"/>
      <w:lvlText w:val="•"/>
      <w:lvlJc w:val="left"/>
      <w:pPr>
        <w:tabs>
          <w:tab w:val="num" w:pos="2880"/>
        </w:tabs>
        <w:ind w:left="2880" w:hanging="360"/>
      </w:pPr>
      <w:rPr>
        <w:rFonts w:ascii="Arial" w:hAnsi="Arial" w:hint="default"/>
      </w:rPr>
    </w:lvl>
    <w:lvl w:ilvl="4" w:tplc="33A240D8" w:tentative="1">
      <w:start w:val="1"/>
      <w:numFmt w:val="bullet"/>
      <w:lvlText w:val="•"/>
      <w:lvlJc w:val="left"/>
      <w:pPr>
        <w:tabs>
          <w:tab w:val="num" w:pos="3600"/>
        </w:tabs>
        <w:ind w:left="3600" w:hanging="360"/>
      </w:pPr>
      <w:rPr>
        <w:rFonts w:ascii="Arial" w:hAnsi="Arial" w:hint="default"/>
      </w:rPr>
    </w:lvl>
    <w:lvl w:ilvl="5" w:tplc="14B23AEE" w:tentative="1">
      <w:start w:val="1"/>
      <w:numFmt w:val="bullet"/>
      <w:lvlText w:val="•"/>
      <w:lvlJc w:val="left"/>
      <w:pPr>
        <w:tabs>
          <w:tab w:val="num" w:pos="4320"/>
        </w:tabs>
        <w:ind w:left="4320" w:hanging="360"/>
      </w:pPr>
      <w:rPr>
        <w:rFonts w:ascii="Arial" w:hAnsi="Arial" w:hint="default"/>
      </w:rPr>
    </w:lvl>
    <w:lvl w:ilvl="6" w:tplc="0AB4F9D4" w:tentative="1">
      <w:start w:val="1"/>
      <w:numFmt w:val="bullet"/>
      <w:lvlText w:val="•"/>
      <w:lvlJc w:val="left"/>
      <w:pPr>
        <w:tabs>
          <w:tab w:val="num" w:pos="5040"/>
        </w:tabs>
        <w:ind w:left="5040" w:hanging="360"/>
      </w:pPr>
      <w:rPr>
        <w:rFonts w:ascii="Arial" w:hAnsi="Arial" w:hint="default"/>
      </w:rPr>
    </w:lvl>
    <w:lvl w:ilvl="7" w:tplc="D062CCA6" w:tentative="1">
      <w:start w:val="1"/>
      <w:numFmt w:val="bullet"/>
      <w:lvlText w:val="•"/>
      <w:lvlJc w:val="left"/>
      <w:pPr>
        <w:tabs>
          <w:tab w:val="num" w:pos="5760"/>
        </w:tabs>
        <w:ind w:left="5760" w:hanging="360"/>
      </w:pPr>
      <w:rPr>
        <w:rFonts w:ascii="Arial" w:hAnsi="Arial" w:hint="default"/>
      </w:rPr>
    </w:lvl>
    <w:lvl w:ilvl="8" w:tplc="AAB67BF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67633B7"/>
    <w:multiLevelType w:val="multilevel"/>
    <w:tmpl w:val="A8E260FE"/>
    <w:styleLink w:val="ListAttachment"/>
    <w:lvl w:ilvl="0">
      <w:start w:val="1"/>
      <w:numFmt w:val="decimal"/>
      <w:pStyle w:val="AttachmentH1"/>
      <w:lvlText w:val="Attachment %1"/>
      <w:lvlJc w:val="left"/>
      <w:pPr>
        <w:tabs>
          <w:tab w:val="num" w:pos="0"/>
        </w:tabs>
        <w:ind w:left="0" w:firstLine="0"/>
      </w:pPr>
      <w:rPr>
        <w:rFonts w:hint="default"/>
        <w:sz w:val="140"/>
      </w:rPr>
    </w:lvl>
    <w:lvl w:ilvl="1">
      <w:start w:val="1"/>
      <w:numFmt w:val="decimal"/>
      <w:pStyle w:val="AttachmentH2"/>
      <w:lvlText w:val="%1-%2"/>
      <w:lvlJc w:val="left"/>
      <w:pPr>
        <w:tabs>
          <w:tab w:val="num" w:pos="1134"/>
        </w:tabs>
        <w:ind w:left="1134" w:hanging="1134"/>
      </w:pPr>
      <w:rPr>
        <w:rFonts w:hint="default"/>
      </w:rPr>
    </w:lvl>
    <w:lvl w:ilvl="2">
      <w:start w:val="1"/>
      <w:numFmt w:val="decimal"/>
      <w:pStyle w:val="AttachmentH3"/>
      <w:lvlText w:val="%1-%2-%3"/>
      <w:lvlJc w:val="left"/>
      <w:pPr>
        <w:tabs>
          <w:tab w:val="num" w:pos="1134"/>
        </w:tabs>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58962C5F"/>
    <w:multiLevelType w:val="hybridMultilevel"/>
    <w:tmpl w:val="F1665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444BE6"/>
    <w:multiLevelType w:val="multilevel"/>
    <w:tmpl w:val="C310EF12"/>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sz w:val="32"/>
        <w:szCs w:val="32"/>
      </w:rPr>
    </w:lvl>
    <w:lvl w:ilvl="2">
      <w:start w:val="1"/>
      <w:numFmt w:val="decimal"/>
      <w:pStyle w:val="Heading3"/>
      <w:lvlText w:val="%1.%2.%3"/>
      <w:lvlJc w:val="left"/>
      <w:pPr>
        <w:ind w:left="720" w:hanging="720"/>
      </w:pPr>
      <w:rPr>
        <w:rFonts w:cs="Times New Roman" w:hint="default"/>
        <w:b/>
        <w:bCs/>
        <w:i w:val="0"/>
        <w:iCs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55" w15:restartNumberingAfterBreak="0">
    <w:nsid w:val="5A621B32"/>
    <w:multiLevelType w:val="hybridMultilevel"/>
    <w:tmpl w:val="265E316E"/>
    <w:lvl w:ilvl="0" w:tplc="44828C2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B410345"/>
    <w:multiLevelType w:val="hybridMultilevel"/>
    <w:tmpl w:val="2906308E"/>
    <w:lvl w:ilvl="0" w:tplc="3FDAFC6C">
      <w:start w:val="1"/>
      <w:numFmt w:val="bullet"/>
      <w:lvlText w:val=""/>
      <w:lvlJc w:val="left"/>
      <w:pPr>
        <w:tabs>
          <w:tab w:val="num" w:pos="720"/>
        </w:tabs>
        <w:ind w:left="720" w:hanging="360"/>
      </w:pPr>
      <w:rPr>
        <w:rFonts w:ascii="Wingdings" w:hAnsi="Wingdings" w:hint="default"/>
      </w:rPr>
    </w:lvl>
    <w:lvl w:ilvl="1" w:tplc="72687B9C" w:tentative="1">
      <w:start w:val="1"/>
      <w:numFmt w:val="bullet"/>
      <w:lvlText w:val=""/>
      <w:lvlJc w:val="left"/>
      <w:pPr>
        <w:tabs>
          <w:tab w:val="num" w:pos="1440"/>
        </w:tabs>
        <w:ind w:left="1440" w:hanging="360"/>
      </w:pPr>
      <w:rPr>
        <w:rFonts w:ascii="Wingdings" w:hAnsi="Wingdings" w:hint="default"/>
      </w:rPr>
    </w:lvl>
    <w:lvl w:ilvl="2" w:tplc="A5B6DC2E" w:tentative="1">
      <w:start w:val="1"/>
      <w:numFmt w:val="bullet"/>
      <w:lvlText w:val=""/>
      <w:lvlJc w:val="left"/>
      <w:pPr>
        <w:tabs>
          <w:tab w:val="num" w:pos="2160"/>
        </w:tabs>
        <w:ind w:left="2160" w:hanging="360"/>
      </w:pPr>
      <w:rPr>
        <w:rFonts w:ascii="Wingdings" w:hAnsi="Wingdings" w:hint="default"/>
      </w:rPr>
    </w:lvl>
    <w:lvl w:ilvl="3" w:tplc="550053E6" w:tentative="1">
      <w:start w:val="1"/>
      <w:numFmt w:val="bullet"/>
      <w:lvlText w:val=""/>
      <w:lvlJc w:val="left"/>
      <w:pPr>
        <w:tabs>
          <w:tab w:val="num" w:pos="2880"/>
        </w:tabs>
        <w:ind w:left="2880" w:hanging="360"/>
      </w:pPr>
      <w:rPr>
        <w:rFonts w:ascii="Wingdings" w:hAnsi="Wingdings" w:hint="default"/>
      </w:rPr>
    </w:lvl>
    <w:lvl w:ilvl="4" w:tplc="F03247D2" w:tentative="1">
      <w:start w:val="1"/>
      <w:numFmt w:val="bullet"/>
      <w:lvlText w:val=""/>
      <w:lvlJc w:val="left"/>
      <w:pPr>
        <w:tabs>
          <w:tab w:val="num" w:pos="3600"/>
        </w:tabs>
        <w:ind w:left="3600" w:hanging="360"/>
      </w:pPr>
      <w:rPr>
        <w:rFonts w:ascii="Wingdings" w:hAnsi="Wingdings" w:hint="default"/>
      </w:rPr>
    </w:lvl>
    <w:lvl w:ilvl="5" w:tplc="BBBA78B4" w:tentative="1">
      <w:start w:val="1"/>
      <w:numFmt w:val="bullet"/>
      <w:lvlText w:val=""/>
      <w:lvlJc w:val="left"/>
      <w:pPr>
        <w:tabs>
          <w:tab w:val="num" w:pos="4320"/>
        </w:tabs>
        <w:ind w:left="4320" w:hanging="360"/>
      </w:pPr>
      <w:rPr>
        <w:rFonts w:ascii="Wingdings" w:hAnsi="Wingdings" w:hint="default"/>
      </w:rPr>
    </w:lvl>
    <w:lvl w:ilvl="6" w:tplc="06E4BB5C" w:tentative="1">
      <w:start w:val="1"/>
      <w:numFmt w:val="bullet"/>
      <w:lvlText w:val=""/>
      <w:lvlJc w:val="left"/>
      <w:pPr>
        <w:tabs>
          <w:tab w:val="num" w:pos="5040"/>
        </w:tabs>
        <w:ind w:left="5040" w:hanging="360"/>
      </w:pPr>
      <w:rPr>
        <w:rFonts w:ascii="Wingdings" w:hAnsi="Wingdings" w:hint="default"/>
      </w:rPr>
    </w:lvl>
    <w:lvl w:ilvl="7" w:tplc="479ED4B8" w:tentative="1">
      <w:start w:val="1"/>
      <w:numFmt w:val="bullet"/>
      <w:lvlText w:val=""/>
      <w:lvlJc w:val="left"/>
      <w:pPr>
        <w:tabs>
          <w:tab w:val="num" w:pos="5760"/>
        </w:tabs>
        <w:ind w:left="5760" w:hanging="360"/>
      </w:pPr>
      <w:rPr>
        <w:rFonts w:ascii="Wingdings" w:hAnsi="Wingdings" w:hint="default"/>
      </w:rPr>
    </w:lvl>
    <w:lvl w:ilvl="8" w:tplc="2D08D5BC"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D1415A3"/>
    <w:multiLevelType w:val="hybridMultilevel"/>
    <w:tmpl w:val="8FB22968"/>
    <w:lvl w:ilvl="0" w:tplc="BD74C396">
      <w:start w:val="1"/>
      <w:numFmt w:val="bullet"/>
      <w:lvlText w:val="•"/>
      <w:lvlJc w:val="left"/>
      <w:pPr>
        <w:tabs>
          <w:tab w:val="num" w:pos="720"/>
        </w:tabs>
        <w:ind w:left="720" w:hanging="360"/>
      </w:pPr>
      <w:rPr>
        <w:rFonts w:ascii="Arial" w:hAnsi="Arial" w:hint="default"/>
      </w:rPr>
    </w:lvl>
    <w:lvl w:ilvl="1" w:tplc="FED244EE" w:tentative="1">
      <w:start w:val="1"/>
      <w:numFmt w:val="bullet"/>
      <w:lvlText w:val="•"/>
      <w:lvlJc w:val="left"/>
      <w:pPr>
        <w:tabs>
          <w:tab w:val="num" w:pos="1440"/>
        </w:tabs>
        <w:ind w:left="1440" w:hanging="360"/>
      </w:pPr>
      <w:rPr>
        <w:rFonts w:ascii="Arial" w:hAnsi="Arial" w:hint="default"/>
      </w:rPr>
    </w:lvl>
    <w:lvl w:ilvl="2" w:tplc="EBBE93AE" w:tentative="1">
      <w:start w:val="1"/>
      <w:numFmt w:val="bullet"/>
      <w:lvlText w:val="•"/>
      <w:lvlJc w:val="left"/>
      <w:pPr>
        <w:tabs>
          <w:tab w:val="num" w:pos="2160"/>
        </w:tabs>
        <w:ind w:left="2160" w:hanging="360"/>
      </w:pPr>
      <w:rPr>
        <w:rFonts w:ascii="Arial" w:hAnsi="Arial" w:hint="default"/>
      </w:rPr>
    </w:lvl>
    <w:lvl w:ilvl="3" w:tplc="E80E1182" w:tentative="1">
      <w:start w:val="1"/>
      <w:numFmt w:val="bullet"/>
      <w:lvlText w:val="•"/>
      <w:lvlJc w:val="left"/>
      <w:pPr>
        <w:tabs>
          <w:tab w:val="num" w:pos="2880"/>
        </w:tabs>
        <w:ind w:left="2880" w:hanging="360"/>
      </w:pPr>
      <w:rPr>
        <w:rFonts w:ascii="Arial" w:hAnsi="Arial" w:hint="default"/>
      </w:rPr>
    </w:lvl>
    <w:lvl w:ilvl="4" w:tplc="2230FF26" w:tentative="1">
      <w:start w:val="1"/>
      <w:numFmt w:val="bullet"/>
      <w:lvlText w:val="•"/>
      <w:lvlJc w:val="left"/>
      <w:pPr>
        <w:tabs>
          <w:tab w:val="num" w:pos="3600"/>
        </w:tabs>
        <w:ind w:left="3600" w:hanging="360"/>
      </w:pPr>
      <w:rPr>
        <w:rFonts w:ascii="Arial" w:hAnsi="Arial" w:hint="default"/>
      </w:rPr>
    </w:lvl>
    <w:lvl w:ilvl="5" w:tplc="0FBE4C5C" w:tentative="1">
      <w:start w:val="1"/>
      <w:numFmt w:val="bullet"/>
      <w:lvlText w:val="•"/>
      <w:lvlJc w:val="left"/>
      <w:pPr>
        <w:tabs>
          <w:tab w:val="num" w:pos="4320"/>
        </w:tabs>
        <w:ind w:left="4320" w:hanging="360"/>
      </w:pPr>
      <w:rPr>
        <w:rFonts w:ascii="Arial" w:hAnsi="Arial" w:hint="default"/>
      </w:rPr>
    </w:lvl>
    <w:lvl w:ilvl="6" w:tplc="DA045FA2" w:tentative="1">
      <w:start w:val="1"/>
      <w:numFmt w:val="bullet"/>
      <w:lvlText w:val="•"/>
      <w:lvlJc w:val="left"/>
      <w:pPr>
        <w:tabs>
          <w:tab w:val="num" w:pos="5040"/>
        </w:tabs>
        <w:ind w:left="5040" w:hanging="360"/>
      </w:pPr>
      <w:rPr>
        <w:rFonts w:ascii="Arial" w:hAnsi="Arial" w:hint="default"/>
      </w:rPr>
    </w:lvl>
    <w:lvl w:ilvl="7" w:tplc="30AA4C7C" w:tentative="1">
      <w:start w:val="1"/>
      <w:numFmt w:val="bullet"/>
      <w:lvlText w:val="•"/>
      <w:lvlJc w:val="left"/>
      <w:pPr>
        <w:tabs>
          <w:tab w:val="num" w:pos="5760"/>
        </w:tabs>
        <w:ind w:left="5760" w:hanging="360"/>
      </w:pPr>
      <w:rPr>
        <w:rFonts w:ascii="Arial" w:hAnsi="Arial" w:hint="default"/>
      </w:rPr>
    </w:lvl>
    <w:lvl w:ilvl="8" w:tplc="B60466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D251311"/>
    <w:multiLevelType w:val="multilevel"/>
    <w:tmpl w:val="5FD297A6"/>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5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F46559B"/>
    <w:multiLevelType w:val="hybridMultilevel"/>
    <w:tmpl w:val="003683E8"/>
    <w:lvl w:ilvl="0" w:tplc="0C090011">
      <w:start w:val="1"/>
      <w:numFmt w:val="decimal"/>
      <w:lvlText w:val="%1)"/>
      <w:lvlJc w:val="left"/>
      <w:pPr>
        <w:ind w:left="360" w:hanging="360"/>
      </w:pPr>
      <w:rPr>
        <w:rFonts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15:restartNumberingAfterBreak="0">
    <w:nsid w:val="5F836300"/>
    <w:multiLevelType w:val="hybridMultilevel"/>
    <w:tmpl w:val="A6B28A00"/>
    <w:lvl w:ilvl="0" w:tplc="BDF28B32">
      <w:start w:val="1"/>
      <w:numFmt w:val="lowerLetter"/>
      <w:lvlText w:val="(%1)"/>
      <w:lvlJc w:val="left"/>
      <w:pPr>
        <w:ind w:left="720" w:hanging="360"/>
      </w:pPr>
      <w:rPr>
        <w:rFonts w:hint="default"/>
      </w:rPr>
    </w:lvl>
    <w:lvl w:ilvl="1" w:tplc="90E64BA6">
      <w:start w:val="1"/>
      <w:numFmt w:val="bullet"/>
      <w:lvlText w:val="•"/>
      <w:lvlJc w:val="left"/>
      <w:pPr>
        <w:ind w:left="1440" w:hanging="360"/>
      </w:pPr>
      <w:rPr>
        <w:rFonts w:ascii="Calibri" w:eastAsia="Calibr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0FE451B"/>
    <w:multiLevelType w:val="hybridMultilevel"/>
    <w:tmpl w:val="C1D8FB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3AD1FBC"/>
    <w:multiLevelType w:val="multilevel"/>
    <w:tmpl w:val="477E0980"/>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5" w15:restartNumberingAfterBreak="0">
    <w:nsid w:val="64F12D3D"/>
    <w:multiLevelType w:val="hybridMultilevel"/>
    <w:tmpl w:val="0CDC98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7" w15:restartNumberingAfterBreak="0">
    <w:nsid w:val="672308A0"/>
    <w:multiLevelType w:val="hybridMultilevel"/>
    <w:tmpl w:val="41B4F42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8805413"/>
    <w:multiLevelType w:val="hybridMultilevel"/>
    <w:tmpl w:val="24CE56C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9" w15:restartNumberingAfterBreak="0">
    <w:nsid w:val="692F6BD7"/>
    <w:multiLevelType w:val="hybridMultilevel"/>
    <w:tmpl w:val="CF904612"/>
    <w:lvl w:ilvl="0" w:tplc="B3B25FB0">
      <w:start w:val="1"/>
      <w:numFmt w:val="decimal"/>
      <w:suff w:val="space"/>
      <w:lvlText w:val="2.%1"/>
      <w:lvlJc w:val="left"/>
      <w:pPr>
        <w:ind w:left="340" w:hanging="5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ACA1504"/>
    <w:multiLevelType w:val="hybridMultilevel"/>
    <w:tmpl w:val="E842AA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6B9F0619"/>
    <w:multiLevelType w:val="hybridMultilevel"/>
    <w:tmpl w:val="11949EF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E48150B"/>
    <w:multiLevelType w:val="hybridMultilevel"/>
    <w:tmpl w:val="0764E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C115BA"/>
    <w:multiLevelType w:val="hybridMultilevel"/>
    <w:tmpl w:val="3628F2E2"/>
    <w:lvl w:ilvl="0" w:tplc="FFFFFFFF">
      <w:start w:val="1"/>
      <w:numFmt w:val="decimal"/>
      <w:lvlText w:val="%1)"/>
      <w:lvlJc w:val="left"/>
      <w:pPr>
        <w:ind w:left="360" w:hanging="360"/>
      </w:pPr>
    </w:lvl>
    <w:lvl w:ilvl="1" w:tplc="0C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75" w15:restartNumberingAfterBreak="0">
    <w:nsid w:val="76B83E43"/>
    <w:multiLevelType w:val="hybridMultilevel"/>
    <w:tmpl w:val="676407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871665B"/>
    <w:multiLevelType w:val="multilevel"/>
    <w:tmpl w:val="066E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C022D0"/>
    <w:multiLevelType w:val="multilevel"/>
    <w:tmpl w:val="6EAC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7A69FA"/>
    <w:multiLevelType w:val="hybridMultilevel"/>
    <w:tmpl w:val="D364373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7A9170B5"/>
    <w:multiLevelType w:val="hybridMultilevel"/>
    <w:tmpl w:val="2EFE2904"/>
    <w:lvl w:ilvl="0" w:tplc="EDD0FFF4">
      <w:start w:val="1"/>
      <w:numFmt w:val="bullet"/>
      <w:lvlText w:val=""/>
      <w:lvlJc w:val="left"/>
      <w:pPr>
        <w:tabs>
          <w:tab w:val="num" w:pos="720"/>
        </w:tabs>
        <w:ind w:left="720" w:hanging="360"/>
      </w:pPr>
      <w:rPr>
        <w:rFonts w:ascii="Wingdings" w:hAnsi="Wingdings" w:hint="default"/>
      </w:rPr>
    </w:lvl>
    <w:lvl w:ilvl="1" w:tplc="C37A9992" w:tentative="1">
      <w:start w:val="1"/>
      <w:numFmt w:val="bullet"/>
      <w:lvlText w:val=""/>
      <w:lvlJc w:val="left"/>
      <w:pPr>
        <w:tabs>
          <w:tab w:val="num" w:pos="1440"/>
        </w:tabs>
        <w:ind w:left="1440" w:hanging="360"/>
      </w:pPr>
      <w:rPr>
        <w:rFonts w:ascii="Wingdings" w:hAnsi="Wingdings" w:hint="default"/>
      </w:rPr>
    </w:lvl>
    <w:lvl w:ilvl="2" w:tplc="0FB4F06C" w:tentative="1">
      <w:start w:val="1"/>
      <w:numFmt w:val="bullet"/>
      <w:lvlText w:val=""/>
      <w:lvlJc w:val="left"/>
      <w:pPr>
        <w:tabs>
          <w:tab w:val="num" w:pos="2160"/>
        </w:tabs>
        <w:ind w:left="2160" w:hanging="360"/>
      </w:pPr>
      <w:rPr>
        <w:rFonts w:ascii="Wingdings" w:hAnsi="Wingdings" w:hint="default"/>
      </w:rPr>
    </w:lvl>
    <w:lvl w:ilvl="3" w:tplc="2720688E" w:tentative="1">
      <w:start w:val="1"/>
      <w:numFmt w:val="bullet"/>
      <w:lvlText w:val=""/>
      <w:lvlJc w:val="left"/>
      <w:pPr>
        <w:tabs>
          <w:tab w:val="num" w:pos="2880"/>
        </w:tabs>
        <w:ind w:left="2880" w:hanging="360"/>
      </w:pPr>
      <w:rPr>
        <w:rFonts w:ascii="Wingdings" w:hAnsi="Wingdings" w:hint="default"/>
      </w:rPr>
    </w:lvl>
    <w:lvl w:ilvl="4" w:tplc="ACBC5AE0" w:tentative="1">
      <w:start w:val="1"/>
      <w:numFmt w:val="bullet"/>
      <w:lvlText w:val=""/>
      <w:lvlJc w:val="left"/>
      <w:pPr>
        <w:tabs>
          <w:tab w:val="num" w:pos="3600"/>
        </w:tabs>
        <w:ind w:left="3600" w:hanging="360"/>
      </w:pPr>
      <w:rPr>
        <w:rFonts w:ascii="Wingdings" w:hAnsi="Wingdings" w:hint="default"/>
      </w:rPr>
    </w:lvl>
    <w:lvl w:ilvl="5" w:tplc="A4641BE6" w:tentative="1">
      <w:start w:val="1"/>
      <w:numFmt w:val="bullet"/>
      <w:lvlText w:val=""/>
      <w:lvlJc w:val="left"/>
      <w:pPr>
        <w:tabs>
          <w:tab w:val="num" w:pos="4320"/>
        </w:tabs>
        <w:ind w:left="4320" w:hanging="360"/>
      </w:pPr>
      <w:rPr>
        <w:rFonts w:ascii="Wingdings" w:hAnsi="Wingdings" w:hint="default"/>
      </w:rPr>
    </w:lvl>
    <w:lvl w:ilvl="6" w:tplc="89EA797C" w:tentative="1">
      <w:start w:val="1"/>
      <w:numFmt w:val="bullet"/>
      <w:lvlText w:val=""/>
      <w:lvlJc w:val="left"/>
      <w:pPr>
        <w:tabs>
          <w:tab w:val="num" w:pos="5040"/>
        </w:tabs>
        <w:ind w:left="5040" w:hanging="360"/>
      </w:pPr>
      <w:rPr>
        <w:rFonts w:ascii="Wingdings" w:hAnsi="Wingdings" w:hint="default"/>
      </w:rPr>
    </w:lvl>
    <w:lvl w:ilvl="7" w:tplc="2110D250" w:tentative="1">
      <w:start w:val="1"/>
      <w:numFmt w:val="bullet"/>
      <w:lvlText w:val=""/>
      <w:lvlJc w:val="left"/>
      <w:pPr>
        <w:tabs>
          <w:tab w:val="num" w:pos="5760"/>
        </w:tabs>
        <w:ind w:left="5760" w:hanging="360"/>
      </w:pPr>
      <w:rPr>
        <w:rFonts w:ascii="Wingdings" w:hAnsi="Wingdings" w:hint="default"/>
      </w:rPr>
    </w:lvl>
    <w:lvl w:ilvl="8" w:tplc="DB1C72EC"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CFD43E8"/>
    <w:multiLevelType w:val="multilevel"/>
    <w:tmpl w:val="C5C463EA"/>
    <w:lvl w:ilvl="0">
      <w:start w:val="2"/>
      <w:numFmt w:val="decimal"/>
      <w:lvlText w:val="%1."/>
      <w:lvlJc w:val="left"/>
      <w:pPr>
        <w:ind w:left="810" w:hanging="810"/>
      </w:pPr>
      <w:rPr>
        <w:rFonts w:hint="default"/>
      </w:rPr>
    </w:lvl>
    <w:lvl w:ilvl="1">
      <w:start w:val="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D340045"/>
    <w:multiLevelType w:val="hybridMultilevel"/>
    <w:tmpl w:val="11ECC7D4"/>
    <w:lvl w:ilvl="0" w:tplc="AC86FE5A">
      <w:start w:val="1"/>
      <w:numFmt w:val="bullet"/>
      <w:lvlText w:val=""/>
      <w:lvlJc w:val="left"/>
      <w:pPr>
        <w:tabs>
          <w:tab w:val="num" w:pos="720"/>
        </w:tabs>
        <w:ind w:left="720" w:hanging="360"/>
      </w:pPr>
      <w:rPr>
        <w:rFonts w:ascii="Wingdings" w:hAnsi="Wingdings" w:hint="default"/>
      </w:rPr>
    </w:lvl>
    <w:lvl w:ilvl="1" w:tplc="8B105010" w:tentative="1">
      <w:start w:val="1"/>
      <w:numFmt w:val="bullet"/>
      <w:lvlText w:val=""/>
      <w:lvlJc w:val="left"/>
      <w:pPr>
        <w:tabs>
          <w:tab w:val="num" w:pos="1440"/>
        </w:tabs>
        <w:ind w:left="1440" w:hanging="360"/>
      </w:pPr>
      <w:rPr>
        <w:rFonts w:ascii="Wingdings" w:hAnsi="Wingdings" w:hint="default"/>
      </w:rPr>
    </w:lvl>
    <w:lvl w:ilvl="2" w:tplc="EBD4B864" w:tentative="1">
      <w:start w:val="1"/>
      <w:numFmt w:val="bullet"/>
      <w:lvlText w:val=""/>
      <w:lvlJc w:val="left"/>
      <w:pPr>
        <w:tabs>
          <w:tab w:val="num" w:pos="2160"/>
        </w:tabs>
        <w:ind w:left="2160" w:hanging="360"/>
      </w:pPr>
      <w:rPr>
        <w:rFonts w:ascii="Wingdings" w:hAnsi="Wingdings" w:hint="default"/>
      </w:rPr>
    </w:lvl>
    <w:lvl w:ilvl="3" w:tplc="43EC0FFE" w:tentative="1">
      <w:start w:val="1"/>
      <w:numFmt w:val="bullet"/>
      <w:lvlText w:val=""/>
      <w:lvlJc w:val="left"/>
      <w:pPr>
        <w:tabs>
          <w:tab w:val="num" w:pos="2880"/>
        </w:tabs>
        <w:ind w:left="2880" w:hanging="360"/>
      </w:pPr>
      <w:rPr>
        <w:rFonts w:ascii="Wingdings" w:hAnsi="Wingdings" w:hint="default"/>
      </w:rPr>
    </w:lvl>
    <w:lvl w:ilvl="4" w:tplc="DA2AF9AA" w:tentative="1">
      <w:start w:val="1"/>
      <w:numFmt w:val="bullet"/>
      <w:lvlText w:val=""/>
      <w:lvlJc w:val="left"/>
      <w:pPr>
        <w:tabs>
          <w:tab w:val="num" w:pos="3600"/>
        </w:tabs>
        <w:ind w:left="3600" w:hanging="360"/>
      </w:pPr>
      <w:rPr>
        <w:rFonts w:ascii="Wingdings" w:hAnsi="Wingdings" w:hint="default"/>
      </w:rPr>
    </w:lvl>
    <w:lvl w:ilvl="5" w:tplc="73CAA0EA" w:tentative="1">
      <w:start w:val="1"/>
      <w:numFmt w:val="bullet"/>
      <w:lvlText w:val=""/>
      <w:lvlJc w:val="left"/>
      <w:pPr>
        <w:tabs>
          <w:tab w:val="num" w:pos="4320"/>
        </w:tabs>
        <w:ind w:left="4320" w:hanging="360"/>
      </w:pPr>
      <w:rPr>
        <w:rFonts w:ascii="Wingdings" w:hAnsi="Wingdings" w:hint="default"/>
      </w:rPr>
    </w:lvl>
    <w:lvl w:ilvl="6" w:tplc="C7A0E1BC" w:tentative="1">
      <w:start w:val="1"/>
      <w:numFmt w:val="bullet"/>
      <w:lvlText w:val=""/>
      <w:lvlJc w:val="left"/>
      <w:pPr>
        <w:tabs>
          <w:tab w:val="num" w:pos="5040"/>
        </w:tabs>
        <w:ind w:left="5040" w:hanging="360"/>
      </w:pPr>
      <w:rPr>
        <w:rFonts w:ascii="Wingdings" w:hAnsi="Wingdings" w:hint="default"/>
      </w:rPr>
    </w:lvl>
    <w:lvl w:ilvl="7" w:tplc="6B04F1D8" w:tentative="1">
      <w:start w:val="1"/>
      <w:numFmt w:val="bullet"/>
      <w:lvlText w:val=""/>
      <w:lvlJc w:val="left"/>
      <w:pPr>
        <w:tabs>
          <w:tab w:val="num" w:pos="5760"/>
        </w:tabs>
        <w:ind w:left="5760" w:hanging="360"/>
      </w:pPr>
      <w:rPr>
        <w:rFonts w:ascii="Wingdings" w:hAnsi="Wingdings" w:hint="default"/>
      </w:rPr>
    </w:lvl>
    <w:lvl w:ilvl="8" w:tplc="99A8649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DBB480E"/>
    <w:multiLevelType w:val="hybridMultilevel"/>
    <w:tmpl w:val="25BACB64"/>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E26588C"/>
    <w:multiLevelType w:val="multilevel"/>
    <w:tmpl w:val="6A36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37"/>
  </w:num>
  <w:num w:numId="6" w16cid:durableId="1559433354">
    <w:abstractNumId w:val="22"/>
  </w:num>
  <w:num w:numId="7" w16cid:durableId="403534519">
    <w:abstractNumId w:val="21"/>
  </w:num>
  <w:num w:numId="8" w16cid:durableId="1669482974">
    <w:abstractNumId w:val="54"/>
  </w:num>
  <w:num w:numId="9" w16cid:durableId="1529367487">
    <w:abstractNumId w:val="30"/>
  </w:num>
  <w:num w:numId="10" w16cid:durableId="836849819">
    <w:abstractNumId w:val="25"/>
  </w:num>
  <w:num w:numId="11" w16cid:durableId="831413416">
    <w:abstractNumId w:val="61"/>
  </w:num>
  <w:num w:numId="12" w16cid:durableId="1576738794">
    <w:abstractNumId w:val="0"/>
  </w:num>
  <w:num w:numId="13" w16cid:durableId="1923248760">
    <w:abstractNumId w:val="53"/>
  </w:num>
  <w:num w:numId="14" w16cid:durableId="978806328">
    <w:abstractNumId w:val="66"/>
  </w:num>
  <w:num w:numId="15" w16cid:durableId="1415935635">
    <w:abstractNumId w:val="74"/>
  </w:num>
  <w:num w:numId="16" w16cid:durableId="495609834">
    <w:abstractNumId w:val="59"/>
  </w:num>
  <w:num w:numId="17" w16cid:durableId="1667971689">
    <w:abstractNumId w:val="34"/>
  </w:num>
  <w:num w:numId="18" w16cid:durableId="732777116">
    <w:abstractNumId w:val="15"/>
  </w:num>
  <w:num w:numId="19" w16cid:durableId="1087573811">
    <w:abstractNumId w:val="45"/>
  </w:num>
  <w:num w:numId="20" w16cid:durableId="555165461">
    <w:abstractNumId w:val="56"/>
  </w:num>
  <w:num w:numId="21" w16cid:durableId="536426792">
    <w:abstractNumId w:val="24"/>
  </w:num>
  <w:num w:numId="22" w16cid:durableId="189420902">
    <w:abstractNumId w:val="27"/>
  </w:num>
  <w:num w:numId="23" w16cid:durableId="1925987344">
    <w:abstractNumId w:val="8"/>
  </w:num>
  <w:num w:numId="24" w16cid:durableId="1819952826">
    <w:abstractNumId w:val="31"/>
  </w:num>
  <w:num w:numId="25" w16cid:durableId="939411259">
    <w:abstractNumId w:val="72"/>
  </w:num>
  <w:num w:numId="26" w16cid:durableId="822114719">
    <w:abstractNumId w:val="14"/>
  </w:num>
  <w:num w:numId="27" w16cid:durableId="1050961141">
    <w:abstractNumId w:val="68"/>
  </w:num>
  <w:num w:numId="28" w16cid:durableId="122697785">
    <w:abstractNumId w:val="57"/>
  </w:num>
  <w:num w:numId="29" w16cid:durableId="179854605">
    <w:abstractNumId w:val="6"/>
  </w:num>
  <w:num w:numId="30" w16cid:durableId="1363093783">
    <w:abstractNumId w:val="13"/>
  </w:num>
  <w:num w:numId="31" w16cid:durableId="2060130099">
    <w:abstractNumId w:val="42"/>
  </w:num>
  <w:num w:numId="32" w16cid:durableId="2052222035">
    <w:abstractNumId w:val="76"/>
  </w:num>
  <w:num w:numId="33" w16cid:durableId="377702169">
    <w:abstractNumId w:val="33"/>
  </w:num>
  <w:num w:numId="34" w16cid:durableId="556401786">
    <w:abstractNumId w:val="58"/>
  </w:num>
  <w:num w:numId="35" w16cid:durableId="1576819863">
    <w:abstractNumId w:val="83"/>
  </w:num>
  <w:num w:numId="36" w16cid:durableId="1494026253">
    <w:abstractNumId w:val="17"/>
  </w:num>
  <w:num w:numId="37" w16cid:durableId="939870833">
    <w:abstractNumId w:val="47"/>
  </w:num>
  <w:num w:numId="38" w16cid:durableId="772940229">
    <w:abstractNumId w:val="19"/>
  </w:num>
  <w:num w:numId="39" w16cid:durableId="378868891">
    <w:abstractNumId w:val="26"/>
  </w:num>
  <w:num w:numId="40" w16cid:durableId="1631397755">
    <w:abstractNumId w:val="38"/>
  </w:num>
  <w:num w:numId="41" w16cid:durableId="234095871">
    <w:abstractNumId w:val="40"/>
  </w:num>
  <w:num w:numId="42" w16cid:durableId="470679742">
    <w:abstractNumId w:val="29"/>
  </w:num>
  <w:num w:numId="43" w16cid:durableId="2113470732">
    <w:abstractNumId w:val="65"/>
  </w:num>
  <w:num w:numId="44" w16cid:durableId="803549466">
    <w:abstractNumId w:val="63"/>
  </w:num>
  <w:num w:numId="45" w16cid:durableId="1447432286">
    <w:abstractNumId w:val="51"/>
  </w:num>
  <w:num w:numId="46" w16cid:durableId="1835951855">
    <w:abstractNumId w:val="20"/>
  </w:num>
  <w:num w:numId="47" w16cid:durableId="1057126875">
    <w:abstractNumId w:val="46"/>
  </w:num>
  <w:num w:numId="48" w16cid:durableId="245379350">
    <w:abstractNumId w:val="5"/>
  </w:num>
  <w:num w:numId="49" w16cid:durableId="1002974524">
    <w:abstractNumId w:val="11"/>
  </w:num>
  <w:num w:numId="50" w16cid:durableId="1074594798">
    <w:abstractNumId w:val="16"/>
  </w:num>
  <w:num w:numId="51" w16cid:durableId="1784612526">
    <w:abstractNumId w:val="32"/>
  </w:num>
  <w:num w:numId="52" w16cid:durableId="1804929303">
    <w:abstractNumId w:val="69"/>
  </w:num>
  <w:num w:numId="53" w16cid:durableId="1322730111">
    <w:abstractNumId w:val="39"/>
  </w:num>
  <w:num w:numId="54" w16cid:durableId="984897954">
    <w:abstractNumId w:val="52"/>
  </w:num>
  <w:num w:numId="55" w16cid:durableId="734619258">
    <w:abstractNumId w:val="75"/>
  </w:num>
  <w:num w:numId="56" w16cid:durableId="2121560815">
    <w:abstractNumId w:val="53"/>
    <w:lvlOverride w:ilvl="0">
      <w:startOverride w:val="3"/>
    </w:lvlOverride>
    <w:lvlOverride w:ilvl="1">
      <w:startOverride w:val="3"/>
    </w:lvlOverride>
    <w:lvlOverride w:ilvl="2">
      <w:startOverride w:val="1"/>
    </w:lvlOverride>
    <w:lvlOverride w:ilvl="3">
      <w:startOverride w:val="2"/>
    </w:lvlOverride>
  </w:num>
  <w:num w:numId="57" w16cid:durableId="36778017">
    <w:abstractNumId w:val="82"/>
  </w:num>
  <w:num w:numId="58" w16cid:durableId="1003824422">
    <w:abstractNumId w:val="80"/>
  </w:num>
  <w:num w:numId="59" w16cid:durableId="2018383032">
    <w:abstractNumId w:val="77"/>
  </w:num>
  <w:num w:numId="60" w16cid:durableId="1661888320">
    <w:abstractNumId w:val="41"/>
  </w:num>
  <w:num w:numId="61" w16cid:durableId="476337616">
    <w:abstractNumId w:val="53"/>
  </w:num>
  <w:num w:numId="62" w16cid:durableId="698050791">
    <w:abstractNumId w:val="55"/>
  </w:num>
  <w:num w:numId="63" w16cid:durableId="1871455704">
    <w:abstractNumId w:val="64"/>
  </w:num>
  <w:num w:numId="64" w16cid:durableId="825047287">
    <w:abstractNumId w:val="50"/>
  </w:num>
  <w:num w:numId="65" w16cid:durableId="858736474">
    <w:abstractNumId w:val="79"/>
  </w:num>
  <w:num w:numId="66" w16cid:durableId="697969189">
    <w:abstractNumId w:val="81"/>
  </w:num>
  <w:num w:numId="67" w16cid:durableId="893663850">
    <w:abstractNumId w:val="48"/>
  </w:num>
  <w:num w:numId="68" w16cid:durableId="796875984">
    <w:abstractNumId w:val="70"/>
  </w:num>
  <w:num w:numId="69" w16cid:durableId="458764060">
    <w:abstractNumId w:val="49"/>
  </w:num>
  <w:num w:numId="70" w16cid:durableId="1518494832">
    <w:abstractNumId w:val="53"/>
  </w:num>
  <w:num w:numId="71" w16cid:durableId="622271771">
    <w:abstractNumId w:val="53"/>
  </w:num>
  <w:num w:numId="72" w16cid:durableId="959147545">
    <w:abstractNumId w:val="53"/>
  </w:num>
  <w:num w:numId="73" w16cid:durableId="17782575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70108637">
    <w:abstractNumId w:val="53"/>
  </w:num>
  <w:num w:numId="75" w16cid:durableId="975989805">
    <w:abstractNumId w:val="53"/>
  </w:num>
  <w:num w:numId="76" w16cid:durableId="78785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8842928">
    <w:abstractNumId w:val="53"/>
  </w:num>
  <w:num w:numId="78" w16cid:durableId="1598949555">
    <w:abstractNumId w:val="53"/>
  </w:num>
  <w:num w:numId="79" w16cid:durableId="647825586">
    <w:abstractNumId w:val="53"/>
  </w:num>
  <w:num w:numId="80" w16cid:durableId="2052073062">
    <w:abstractNumId w:val="53"/>
  </w:num>
  <w:num w:numId="81" w16cid:durableId="1460999429">
    <w:abstractNumId w:val="53"/>
  </w:num>
  <w:num w:numId="82" w16cid:durableId="1959139175">
    <w:abstractNumId w:val="53"/>
  </w:num>
  <w:num w:numId="83" w16cid:durableId="1052462010">
    <w:abstractNumId w:val="53"/>
  </w:num>
  <w:num w:numId="84" w16cid:durableId="26609296">
    <w:abstractNumId w:val="53"/>
  </w:num>
  <w:num w:numId="85" w16cid:durableId="1837957738">
    <w:abstractNumId w:val="53"/>
  </w:num>
  <w:num w:numId="86" w16cid:durableId="721321007">
    <w:abstractNumId w:val="53"/>
  </w:num>
  <w:num w:numId="87" w16cid:durableId="1340620740">
    <w:abstractNumId w:val="78"/>
  </w:num>
  <w:num w:numId="88" w16cid:durableId="1517577496">
    <w:abstractNumId w:val="44"/>
  </w:num>
  <w:num w:numId="89" w16cid:durableId="784036333">
    <w:abstractNumId w:val="67"/>
  </w:num>
  <w:num w:numId="90" w16cid:durableId="243417050">
    <w:abstractNumId w:val="62"/>
  </w:num>
  <w:num w:numId="91" w16cid:durableId="654264164">
    <w:abstractNumId w:val="73"/>
  </w:num>
  <w:num w:numId="92" w16cid:durableId="1803956812">
    <w:abstractNumId w:val="28"/>
  </w:num>
  <w:num w:numId="93" w16cid:durableId="502476923">
    <w:abstractNumId w:val="71"/>
  </w:num>
  <w:num w:numId="94" w16cid:durableId="1208297819">
    <w:abstractNumId w:val="10"/>
  </w:num>
  <w:num w:numId="95" w16cid:durableId="1398359296">
    <w:abstractNumId w:val="12"/>
  </w:num>
  <w:num w:numId="96" w16cid:durableId="1458335457">
    <w:abstractNumId w:val="60"/>
  </w:num>
  <w:num w:numId="97" w16cid:durableId="1006832289">
    <w:abstractNumId w:val="36"/>
  </w:num>
  <w:num w:numId="98" w16cid:durableId="2129202885">
    <w:abstractNumId w:val="35"/>
  </w:num>
  <w:num w:numId="99" w16cid:durableId="946616111">
    <w:abstractNumId w:val="53"/>
  </w:num>
  <w:num w:numId="100" w16cid:durableId="2077165667">
    <w:abstractNumId w:val="53"/>
  </w:num>
  <w:num w:numId="101" w16cid:durableId="1109280039">
    <w:abstractNumId w:val="9"/>
  </w:num>
  <w:num w:numId="102" w16cid:durableId="1426263067">
    <w:abstractNumId w:val="43"/>
  </w:num>
  <w:num w:numId="103" w16cid:durableId="916478817">
    <w:abstractNumId w:val="23"/>
  </w:num>
  <w:num w:numId="104" w16cid:durableId="1661687767">
    <w:abstractNumId w:val="7"/>
  </w:num>
  <w:num w:numId="105" w16cid:durableId="1397361687">
    <w:abstractNumId w:val="53"/>
    <w:lvlOverride w:ilvl="0">
      <w:startOverride w:val="2"/>
    </w:lvlOverride>
    <w:lvlOverride w:ilvl="1">
      <w:startOverride w:val="2"/>
    </w:lvlOverride>
    <w:lvlOverride w:ilvl="2">
      <w:startOverride w:val="1"/>
    </w:lvlOverride>
  </w:num>
  <w:num w:numId="106" w16cid:durableId="1046177947">
    <w:abstractNumId w:val="1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EEA"/>
    <w:rsid w:val="00000F51"/>
    <w:rsid w:val="000015F0"/>
    <w:rsid w:val="00001864"/>
    <w:rsid w:val="00001AA9"/>
    <w:rsid w:val="0000258F"/>
    <w:rsid w:val="000028A4"/>
    <w:rsid w:val="00002AA7"/>
    <w:rsid w:val="00003062"/>
    <w:rsid w:val="000031E1"/>
    <w:rsid w:val="00003D9D"/>
    <w:rsid w:val="00004744"/>
    <w:rsid w:val="00004973"/>
    <w:rsid w:val="00007E3C"/>
    <w:rsid w:val="000100BD"/>
    <w:rsid w:val="00010909"/>
    <w:rsid w:val="00011F3B"/>
    <w:rsid w:val="00011FC6"/>
    <w:rsid w:val="0001207C"/>
    <w:rsid w:val="000126EB"/>
    <w:rsid w:val="000131A4"/>
    <w:rsid w:val="00014A8C"/>
    <w:rsid w:val="00015E82"/>
    <w:rsid w:val="00015F65"/>
    <w:rsid w:val="0001775B"/>
    <w:rsid w:val="00020545"/>
    <w:rsid w:val="00020CD3"/>
    <w:rsid w:val="00020F18"/>
    <w:rsid w:val="00022CFC"/>
    <w:rsid w:val="0002451D"/>
    <w:rsid w:val="00024D10"/>
    <w:rsid w:val="00024F6E"/>
    <w:rsid w:val="000250E9"/>
    <w:rsid w:val="000257BC"/>
    <w:rsid w:val="00025FD5"/>
    <w:rsid w:val="0002686D"/>
    <w:rsid w:val="00026EF1"/>
    <w:rsid w:val="00027DB9"/>
    <w:rsid w:val="00030357"/>
    <w:rsid w:val="000303B1"/>
    <w:rsid w:val="00030644"/>
    <w:rsid w:val="00030B47"/>
    <w:rsid w:val="00030BE3"/>
    <w:rsid w:val="00030C99"/>
    <w:rsid w:val="000312EA"/>
    <w:rsid w:val="000316D4"/>
    <w:rsid w:val="0003174E"/>
    <w:rsid w:val="00031E5E"/>
    <w:rsid w:val="0003217B"/>
    <w:rsid w:val="00032C10"/>
    <w:rsid w:val="000331D4"/>
    <w:rsid w:val="00034029"/>
    <w:rsid w:val="000351F6"/>
    <w:rsid w:val="00035FC4"/>
    <w:rsid w:val="00036082"/>
    <w:rsid w:val="00036D61"/>
    <w:rsid w:val="00042292"/>
    <w:rsid w:val="00042A1A"/>
    <w:rsid w:val="00042BA9"/>
    <w:rsid w:val="00042FDE"/>
    <w:rsid w:val="000433A3"/>
    <w:rsid w:val="00043876"/>
    <w:rsid w:val="000443E1"/>
    <w:rsid w:val="0004468B"/>
    <w:rsid w:val="00046019"/>
    <w:rsid w:val="00046533"/>
    <w:rsid w:val="00047B6A"/>
    <w:rsid w:val="0005048B"/>
    <w:rsid w:val="00050D8A"/>
    <w:rsid w:val="00051219"/>
    <w:rsid w:val="00051456"/>
    <w:rsid w:val="0005226F"/>
    <w:rsid w:val="0005371F"/>
    <w:rsid w:val="00053D8A"/>
    <w:rsid w:val="00053E83"/>
    <w:rsid w:val="000547F5"/>
    <w:rsid w:val="000548C2"/>
    <w:rsid w:val="00056286"/>
    <w:rsid w:val="0005674E"/>
    <w:rsid w:val="000569E0"/>
    <w:rsid w:val="00056F86"/>
    <w:rsid w:val="00056FD0"/>
    <w:rsid w:val="000574DF"/>
    <w:rsid w:val="00057AC7"/>
    <w:rsid w:val="00060D73"/>
    <w:rsid w:val="00061107"/>
    <w:rsid w:val="000637C3"/>
    <w:rsid w:val="00063E30"/>
    <w:rsid w:val="000643EC"/>
    <w:rsid w:val="00064612"/>
    <w:rsid w:val="00065132"/>
    <w:rsid w:val="00066233"/>
    <w:rsid w:val="000667A4"/>
    <w:rsid w:val="000674AC"/>
    <w:rsid w:val="000711DC"/>
    <w:rsid w:val="00071B7A"/>
    <w:rsid w:val="00072019"/>
    <w:rsid w:val="000726E5"/>
    <w:rsid w:val="0007289A"/>
    <w:rsid w:val="00072BAD"/>
    <w:rsid w:val="00072FCD"/>
    <w:rsid w:val="00073ABF"/>
    <w:rsid w:val="00074868"/>
    <w:rsid w:val="00074AF7"/>
    <w:rsid w:val="00074DFE"/>
    <w:rsid w:val="00075774"/>
    <w:rsid w:val="00075A98"/>
    <w:rsid w:val="00075B0B"/>
    <w:rsid w:val="000764DD"/>
    <w:rsid w:val="0007729D"/>
    <w:rsid w:val="0008088D"/>
    <w:rsid w:val="0008155E"/>
    <w:rsid w:val="000815C2"/>
    <w:rsid w:val="00081F86"/>
    <w:rsid w:val="000833CD"/>
    <w:rsid w:val="00083CBE"/>
    <w:rsid w:val="00083E82"/>
    <w:rsid w:val="00083FBD"/>
    <w:rsid w:val="0008430A"/>
    <w:rsid w:val="00085DC0"/>
    <w:rsid w:val="00086478"/>
    <w:rsid w:val="00087090"/>
    <w:rsid w:val="00087336"/>
    <w:rsid w:val="00087ADA"/>
    <w:rsid w:val="00087D21"/>
    <w:rsid w:val="00090856"/>
    <w:rsid w:val="00094D8F"/>
    <w:rsid w:val="0009670E"/>
    <w:rsid w:val="000974EB"/>
    <w:rsid w:val="000975F0"/>
    <w:rsid w:val="000979AD"/>
    <w:rsid w:val="00097AEE"/>
    <w:rsid w:val="00097BA8"/>
    <w:rsid w:val="000A32B1"/>
    <w:rsid w:val="000A3453"/>
    <w:rsid w:val="000A428C"/>
    <w:rsid w:val="000A4441"/>
    <w:rsid w:val="000A4B6F"/>
    <w:rsid w:val="000A5F4C"/>
    <w:rsid w:val="000A63C0"/>
    <w:rsid w:val="000A6EB5"/>
    <w:rsid w:val="000A6F40"/>
    <w:rsid w:val="000A711F"/>
    <w:rsid w:val="000A75AA"/>
    <w:rsid w:val="000B05A7"/>
    <w:rsid w:val="000B0A3D"/>
    <w:rsid w:val="000B116A"/>
    <w:rsid w:val="000B1470"/>
    <w:rsid w:val="000B1C0B"/>
    <w:rsid w:val="000B3486"/>
    <w:rsid w:val="000B3B7C"/>
    <w:rsid w:val="000B40F1"/>
    <w:rsid w:val="000B6835"/>
    <w:rsid w:val="000C02C0"/>
    <w:rsid w:val="000C05F1"/>
    <w:rsid w:val="000C0940"/>
    <w:rsid w:val="000C0E41"/>
    <w:rsid w:val="000C188E"/>
    <w:rsid w:val="000C338B"/>
    <w:rsid w:val="000C4051"/>
    <w:rsid w:val="000C5523"/>
    <w:rsid w:val="000C5779"/>
    <w:rsid w:val="000C61C0"/>
    <w:rsid w:val="000C6C5B"/>
    <w:rsid w:val="000C7C8C"/>
    <w:rsid w:val="000C7D15"/>
    <w:rsid w:val="000D0298"/>
    <w:rsid w:val="000D05E4"/>
    <w:rsid w:val="000D19DE"/>
    <w:rsid w:val="000D1D2D"/>
    <w:rsid w:val="000D325C"/>
    <w:rsid w:val="000D33FC"/>
    <w:rsid w:val="000D396E"/>
    <w:rsid w:val="000D436B"/>
    <w:rsid w:val="000D596C"/>
    <w:rsid w:val="000D5D84"/>
    <w:rsid w:val="000D632E"/>
    <w:rsid w:val="000D6D2F"/>
    <w:rsid w:val="000D6DB0"/>
    <w:rsid w:val="000D790A"/>
    <w:rsid w:val="000D7BB8"/>
    <w:rsid w:val="000E090A"/>
    <w:rsid w:val="000E0919"/>
    <w:rsid w:val="000E1826"/>
    <w:rsid w:val="000E19E4"/>
    <w:rsid w:val="000E1CF3"/>
    <w:rsid w:val="000E2422"/>
    <w:rsid w:val="000E25CA"/>
    <w:rsid w:val="000E38B4"/>
    <w:rsid w:val="000E3A6B"/>
    <w:rsid w:val="000E3B25"/>
    <w:rsid w:val="000E4085"/>
    <w:rsid w:val="000E4A5A"/>
    <w:rsid w:val="000E516E"/>
    <w:rsid w:val="000E52A5"/>
    <w:rsid w:val="000E5337"/>
    <w:rsid w:val="000E538D"/>
    <w:rsid w:val="000E58CF"/>
    <w:rsid w:val="000E599F"/>
    <w:rsid w:val="000E612A"/>
    <w:rsid w:val="000E7B27"/>
    <w:rsid w:val="000E7C7B"/>
    <w:rsid w:val="000E7D1C"/>
    <w:rsid w:val="000F1217"/>
    <w:rsid w:val="000F1571"/>
    <w:rsid w:val="000F1931"/>
    <w:rsid w:val="000F1971"/>
    <w:rsid w:val="000F1EC3"/>
    <w:rsid w:val="000F1FE4"/>
    <w:rsid w:val="000F431B"/>
    <w:rsid w:val="000F488D"/>
    <w:rsid w:val="000F5478"/>
    <w:rsid w:val="000F5A53"/>
    <w:rsid w:val="000F5BF1"/>
    <w:rsid w:val="000F67DF"/>
    <w:rsid w:val="000F68AB"/>
    <w:rsid w:val="000F75ED"/>
    <w:rsid w:val="000F7910"/>
    <w:rsid w:val="00100C6A"/>
    <w:rsid w:val="00100F77"/>
    <w:rsid w:val="0010119B"/>
    <w:rsid w:val="00101A2A"/>
    <w:rsid w:val="001022EC"/>
    <w:rsid w:val="001023C2"/>
    <w:rsid w:val="00103927"/>
    <w:rsid w:val="00103AD3"/>
    <w:rsid w:val="00103D30"/>
    <w:rsid w:val="001041A7"/>
    <w:rsid w:val="00104E3C"/>
    <w:rsid w:val="00104F24"/>
    <w:rsid w:val="00104FBD"/>
    <w:rsid w:val="0010527F"/>
    <w:rsid w:val="00105320"/>
    <w:rsid w:val="00106713"/>
    <w:rsid w:val="001067F0"/>
    <w:rsid w:val="001068F9"/>
    <w:rsid w:val="00107207"/>
    <w:rsid w:val="00107F9B"/>
    <w:rsid w:val="001100D4"/>
    <w:rsid w:val="001109E1"/>
    <w:rsid w:val="001124BC"/>
    <w:rsid w:val="001127A6"/>
    <w:rsid w:val="0011346D"/>
    <w:rsid w:val="001134E0"/>
    <w:rsid w:val="0011470B"/>
    <w:rsid w:val="00114B30"/>
    <w:rsid w:val="001152FD"/>
    <w:rsid w:val="00115420"/>
    <w:rsid w:val="00115469"/>
    <w:rsid w:val="00115657"/>
    <w:rsid w:val="00116C3E"/>
    <w:rsid w:val="00117772"/>
    <w:rsid w:val="001178A1"/>
    <w:rsid w:val="00117E59"/>
    <w:rsid w:val="00120DE6"/>
    <w:rsid w:val="00121195"/>
    <w:rsid w:val="00121661"/>
    <w:rsid w:val="00121FE3"/>
    <w:rsid w:val="0012201E"/>
    <w:rsid w:val="0012226E"/>
    <w:rsid w:val="001225A1"/>
    <w:rsid w:val="00122706"/>
    <w:rsid w:val="00122AF6"/>
    <w:rsid w:val="00123BCC"/>
    <w:rsid w:val="00123D3D"/>
    <w:rsid w:val="00123FD7"/>
    <w:rsid w:val="001249CC"/>
    <w:rsid w:val="00125116"/>
    <w:rsid w:val="00125274"/>
    <w:rsid w:val="0012530A"/>
    <w:rsid w:val="001261BB"/>
    <w:rsid w:val="001264D7"/>
    <w:rsid w:val="00126FF5"/>
    <w:rsid w:val="00127A07"/>
    <w:rsid w:val="0013089B"/>
    <w:rsid w:val="001315A2"/>
    <w:rsid w:val="0013180D"/>
    <w:rsid w:val="00132480"/>
    <w:rsid w:val="00132F76"/>
    <w:rsid w:val="00132F7D"/>
    <w:rsid w:val="0013384F"/>
    <w:rsid w:val="0013446D"/>
    <w:rsid w:val="0013464F"/>
    <w:rsid w:val="00134759"/>
    <w:rsid w:val="00134FC3"/>
    <w:rsid w:val="00135CF2"/>
    <w:rsid w:val="001362D8"/>
    <w:rsid w:val="0013678E"/>
    <w:rsid w:val="00136B7F"/>
    <w:rsid w:val="00136C65"/>
    <w:rsid w:val="001375BE"/>
    <w:rsid w:val="00137E3C"/>
    <w:rsid w:val="00140578"/>
    <w:rsid w:val="001406CB"/>
    <w:rsid w:val="001413AE"/>
    <w:rsid w:val="00141D5A"/>
    <w:rsid w:val="001427BA"/>
    <w:rsid w:val="001437E6"/>
    <w:rsid w:val="001445F4"/>
    <w:rsid w:val="001449B7"/>
    <w:rsid w:val="00145369"/>
    <w:rsid w:val="001476D2"/>
    <w:rsid w:val="00150B33"/>
    <w:rsid w:val="00150BC5"/>
    <w:rsid w:val="0015207E"/>
    <w:rsid w:val="0015252B"/>
    <w:rsid w:val="00152553"/>
    <w:rsid w:val="001527FB"/>
    <w:rsid w:val="00152A82"/>
    <w:rsid w:val="00154168"/>
    <w:rsid w:val="001552EC"/>
    <w:rsid w:val="001554B5"/>
    <w:rsid w:val="0015572F"/>
    <w:rsid w:val="0015605C"/>
    <w:rsid w:val="00156322"/>
    <w:rsid w:val="001565CD"/>
    <w:rsid w:val="00157AAE"/>
    <w:rsid w:val="00157D6A"/>
    <w:rsid w:val="00160076"/>
    <w:rsid w:val="00160911"/>
    <w:rsid w:val="001609C8"/>
    <w:rsid w:val="00160BF0"/>
    <w:rsid w:val="0016116D"/>
    <w:rsid w:val="001618A7"/>
    <w:rsid w:val="00161BB6"/>
    <w:rsid w:val="00163827"/>
    <w:rsid w:val="00163DE9"/>
    <w:rsid w:val="0016433E"/>
    <w:rsid w:val="00164DC8"/>
    <w:rsid w:val="001661CB"/>
    <w:rsid w:val="001668DC"/>
    <w:rsid w:val="001708B3"/>
    <w:rsid w:val="00170B6B"/>
    <w:rsid w:val="001716B6"/>
    <w:rsid w:val="00172ABD"/>
    <w:rsid w:val="00173266"/>
    <w:rsid w:val="00173C4D"/>
    <w:rsid w:val="00174335"/>
    <w:rsid w:val="00174A49"/>
    <w:rsid w:val="00175388"/>
    <w:rsid w:val="001754D3"/>
    <w:rsid w:val="00175B72"/>
    <w:rsid w:val="001762FB"/>
    <w:rsid w:val="00177270"/>
    <w:rsid w:val="001772D6"/>
    <w:rsid w:val="0017758B"/>
    <w:rsid w:val="00180BC7"/>
    <w:rsid w:val="00181C70"/>
    <w:rsid w:val="001836A4"/>
    <w:rsid w:val="00183C75"/>
    <w:rsid w:val="0018501B"/>
    <w:rsid w:val="001859CC"/>
    <w:rsid w:val="00185F97"/>
    <w:rsid w:val="001861D2"/>
    <w:rsid w:val="00186912"/>
    <w:rsid w:val="00187A2F"/>
    <w:rsid w:val="00190E0B"/>
    <w:rsid w:val="00192E59"/>
    <w:rsid w:val="00193162"/>
    <w:rsid w:val="00193D30"/>
    <w:rsid w:val="00193EC1"/>
    <w:rsid w:val="00194542"/>
    <w:rsid w:val="00194B3F"/>
    <w:rsid w:val="001951D3"/>
    <w:rsid w:val="00195301"/>
    <w:rsid w:val="001959AA"/>
    <w:rsid w:val="00195D25"/>
    <w:rsid w:val="00196146"/>
    <w:rsid w:val="00197088"/>
    <w:rsid w:val="0019713B"/>
    <w:rsid w:val="00197D6F"/>
    <w:rsid w:val="001A0A03"/>
    <w:rsid w:val="001A0A76"/>
    <w:rsid w:val="001A1020"/>
    <w:rsid w:val="001A17F0"/>
    <w:rsid w:val="001A1820"/>
    <w:rsid w:val="001A303A"/>
    <w:rsid w:val="001A69B9"/>
    <w:rsid w:val="001A6F7A"/>
    <w:rsid w:val="001A706C"/>
    <w:rsid w:val="001B00A0"/>
    <w:rsid w:val="001B15CA"/>
    <w:rsid w:val="001B193F"/>
    <w:rsid w:val="001B1AFD"/>
    <w:rsid w:val="001B22C5"/>
    <w:rsid w:val="001B23ED"/>
    <w:rsid w:val="001B317B"/>
    <w:rsid w:val="001B34CA"/>
    <w:rsid w:val="001B34DE"/>
    <w:rsid w:val="001B3F26"/>
    <w:rsid w:val="001B6B2F"/>
    <w:rsid w:val="001B6CB5"/>
    <w:rsid w:val="001B6D47"/>
    <w:rsid w:val="001B79DA"/>
    <w:rsid w:val="001B7BF3"/>
    <w:rsid w:val="001C07F5"/>
    <w:rsid w:val="001C0805"/>
    <w:rsid w:val="001C08FE"/>
    <w:rsid w:val="001C1774"/>
    <w:rsid w:val="001C2746"/>
    <w:rsid w:val="001C27D0"/>
    <w:rsid w:val="001C3137"/>
    <w:rsid w:val="001C34C1"/>
    <w:rsid w:val="001C35B9"/>
    <w:rsid w:val="001C39F2"/>
    <w:rsid w:val="001C518D"/>
    <w:rsid w:val="001C540A"/>
    <w:rsid w:val="001C5B7C"/>
    <w:rsid w:val="001C5CA5"/>
    <w:rsid w:val="001C6336"/>
    <w:rsid w:val="001C663B"/>
    <w:rsid w:val="001C73C4"/>
    <w:rsid w:val="001C7A8E"/>
    <w:rsid w:val="001D0CDF"/>
    <w:rsid w:val="001D11BE"/>
    <w:rsid w:val="001D1308"/>
    <w:rsid w:val="001D1315"/>
    <w:rsid w:val="001D1412"/>
    <w:rsid w:val="001D144A"/>
    <w:rsid w:val="001D277E"/>
    <w:rsid w:val="001D36DC"/>
    <w:rsid w:val="001D3752"/>
    <w:rsid w:val="001D3817"/>
    <w:rsid w:val="001D3C44"/>
    <w:rsid w:val="001D4D59"/>
    <w:rsid w:val="001D6096"/>
    <w:rsid w:val="001D6B8D"/>
    <w:rsid w:val="001D6CE1"/>
    <w:rsid w:val="001D713C"/>
    <w:rsid w:val="001D75CF"/>
    <w:rsid w:val="001D76D0"/>
    <w:rsid w:val="001D7910"/>
    <w:rsid w:val="001D7A27"/>
    <w:rsid w:val="001E1036"/>
    <w:rsid w:val="001E1F1C"/>
    <w:rsid w:val="001E2B83"/>
    <w:rsid w:val="001E2D68"/>
    <w:rsid w:val="001E2D97"/>
    <w:rsid w:val="001E30E8"/>
    <w:rsid w:val="001E43A8"/>
    <w:rsid w:val="001E4C59"/>
    <w:rsid w:val="001E4CAE"/>
    <w:rsid w:val="001E531C"/>
    <w:rsid w:val="001E55C4"/>
    <w:rsid w:val="001E6014"/>
    <w:rsid w:val="001E660F"/>
    <w:rsid w:val="001E7C3D"/>
    <w:rsid w:val="001F04B2"/>
    <w:rsid w:val="001F333F"/>
    <w:rsid w:val="001F53D1"/>
    <w:rsid w:val="001F548C"/>
    <w:rsid w:val="001F5A70"/>
    <w:rsid w:val="001F623C"/>
    <w:rsid w:val="001F63AB"/>
    <w:rsid w:val="001F6A2F"/>
    <w:rsid w:val="0020002C"/>
    <w:rsid w:val="0020034E"/>
    <w:rsid w:val="0020040D"/>
    <w:rsid w:val="00201273"/>
    <w:rsid w:val="002012E6"/>
    <w:rsid w:val="00201C06"/>
    <w:rsid w:val="002028E6"/>
    <w:rsid w:val="00203507"/>
    <w:rsid w:val="002047D0"/>
    <w:rsid w:val="00207117"/>
    <w:rsid w:val="002100FA"/>
    <w:rsid w:val="002101A4"/>
    <w:rsid w:val="002109F9"/>
    <w:rsid w:val="002123BC"/>
    <w:rsid w:val="00212902"/>
    <w:rsid w:val="002137D2"/>
    <w:rsid w:val="00214440"/>
    <w:rsid w:val="00215132"/>
    <w:rsid w:val="002154A2"/>
    <w:rsid w:val="002156C8"/>
    <w:rsid w:val="002161B2"/>
    <w:rsid w:val="00216441"/>
    <w:rsid w:val="0021761A"/>
    <w:rsid w:val="00217F2B"/>
    <w:rsid w:val="002208F6"/>
    <w:rsid w:val="00221864"/>
    <w:rsid w:val="00221A8F"/>
    <w:rsid w:val="00221D5A"/>
    <w:rsid w:val="0022274F"/>
    <w:rsid w:val="002229F2"/>
    <w:rsid w:val="0022431B"/>
    <w:rsid w:val="002254A0"/>
    <w:rsid w:val="002256CA"/>
    <w:rsid w:val="002262D9"/>
    <w:rsid w:val="00226FAB"/>
    <w:rsid w:val="00227453"/>
    <w:rsid w:val="002274F9"/>
    <w:rsid w:val="00230608"/>
    <w:rsid w:val="0023077F"/>
    <w:rsid w:val="0023091D"/>
    <w:rsid w:val="0023162D"/>
    <w:rsid w:val="00231E11"/>
    <w:rsid w:val="00232972"/>
    <w:rsid w:val="00232B56"/>
    <w:rsid w:val="00233660"/>
    <w:rsid w:val="00233722"/>
    <w:rsid w:val="00233D03"/>
    <w:rsid w:val="002348F7"/>
    <w:rsid w:val="00234D40"/>
    <w:rsid w:val="00235CB0"/>
    <w:rsid w:val="00236243"/>
    <w:rsid w:val="00236672"/>
    <w:rsid w:val="00237240"/>
    <w:rsid w:val="00240B4D"/>
    <w:rsid w:val="002413BE"/>
    <w:rsid w:val="002418DA"/>
    <w:rsid w:val="00241973"/>
    <w:rsid w:val="00241BAC"/>
    <w:rsid w:val="002421F2"/>
    <w:rsid w:val="002429A4"/>
    <w:rsid w:val="00244D88"/>
    <w:rsid w:val="0024577B"/>
    <w:rsid w:val="0024600F"/>
    <w:rsid w:val="00247036"/>
    <w:rsid w:val="00247F92"/>
    <w:rsid w:val="00250AAF"/>
    <w:rsid w:val="00251361"/>
    <w:rsid w:val="00251549"/>
    <w:rsid w:val="0025177C"/>
    <w:rsid w:val="00251DDE"/>
    <w:rsid w:val="00252993"/>
    <w:rsid w:val="00252B35"/>
    <w:rsid w:val="00252CBB"/>
    <w:rsid w:val="00252DC1"/>
    <w:rsid w:val="00253284"/>
    <w:rsid w:val="00253301"/>
    <w:rsid w:val="00253318"/>
    <w:rsid w:val="00253A69"/>
    <w:rsid w:val="002561A3"/>
    <w:rsid w:val="00256520"/>
    <w:rsid w:val="00256FDB"/>
    <w:rsid w:val="002579B2"/>
    <w:rsid w:val="002603B9"/>
    <w:rsid w:val="00260CC9"/>
    <w:rsid w:val="00261A5C"/>
    <w:rsid w:val="0026293E"/>
    <w:rsid w:val="00262C24"/>
    <w:rsid w:val="00262CAA"/>
    <w:rsid w:val="00263641"/>
    <w:rsid w:val="00263925"/>
    <w:rsid w:val="00263A58"/>
    <w:rsid w:val="00264720"/>
    <w:rsid w:val="002666BB"/>
    <w:rsid w:val="0026716B"/>
    <w:rsid w:val="00267364"/>
    <w:rsid w:val="0026739B"/>
    <w:rsid w:val="00267765"/>
    <w:rsid w:val="00267AF1"/>
    <w:rsid w:val="00270394"/>
    <w:rsid w:val="002708E6"/>
    <w:rsid w:val="00270EBA"/>
    <w:rsid w:val="0027105A"/>
    <w:rsid w:val="002711F0"/>
    <w:rsid w:val="00271A32"/>
    <w:rsid w:val="002730B2"/>
    <w:rsid w:val="00273A31"/>
    <w:rsid w:val="00273A6B"/>
    <w:rsid w:val="00274483"/>
    <w:rsid w:val="00274885"/>
    <w:rsid w:val="00274DF1"/>
    <w:rsid w:val="00274FEA"/>
    <w:rsid w:val="00275A4E"/>
    <w:rsid w:val="002767AB"/>
    <w:rsid w:val="00276941"/>
    <w:rsid w:val="00276E3E"/>
    <w:rsid w:val="00277240"/>
    <w:rsid w:val="00277610"/>
    <w:rsid w:val="00277A23"/>
    <w:rsid w:val="00280D0C"/>
    <w:rsid w:val="00280E4B"/>
    <w:rsid w:val="00282C73"/>
    <w:rsid w:val="00282F9B"/>
    <w:rsid w:val="00283AA5"/>
    <w:rsid w:val="00283B07"/>
    <w:rsid w:val="00283B8D"/>
    <w:rsid w:val="00283FDD"/>
    <w:rsid w:val="00284580"/>
    <w:rsid w:val="002852DB"/>
    <w:rsid w:val="00285F27"/>
    <w:rsid w:val="002866F1"/>
    <w:rsid w:val="00286EC8"/>
    <w:rsid w:val="0028703F"/>
    <w:rsid w:val="00287B01"/>
    <w:rsid w:val="00287FBB"/>
    <w:rsid w:val="0029003C"/>
    <w:rsid w:val="0029026E"/>
    <w:rsid w:val="002909A8"/>
    <w:rsid w:val="002916F8"/>
    <w:rsid w:val="00291DB2"/>
    <w:rsid w:val="00291DDB"/>
    <w:rsid w:val="0029371B"/>
    <w:rsid w:val="00293EB0"/>
    <w:rsid w:val="002945E9"/>
    <w:rsid w:val="00295B9B"/>
    <w:rsid w:val="00295D01"/>
    <w:rsid w:val="002972F3"/>
    <w:rsid w:val="00297C5A"/>
    <w:rsid w:val="002A1B5E"/>
    <w:rsid w:val="002A1DC9"/>
    <w:rsid w:val="002A1F9F"/>
    <w:rsid w:val="002A2354"/>
    <w:rsid w:val="002A2B78"/>
    <w:rsid w:val="002A2F30"/>
    <w:rsid w:val="002A3666"/>
    <w:rsid w:val="002A3E37"/>
    <w:rsid w:val="002A47DB"/>
    <w:rsid w:val="002A5A18"/>
    <w:rsid w:val="002A5D8F"/>
    <w:rsid w:val="002A613A"/>
    <w:rsid w:val="002A62BF"/>
    <w:rsid w:val="002A658F"/>
    <w:rsid w:val="002A6820"/>
    <w:rsid w:val="002A6E32"/>
    <w:rsid w:val="002A73F9"/>
    <w:rsid w:val="002A7BE2"/>
    <w:rsid w:val="002A7F75"/>
    <w:rsid w:val="002B0009"/>
    <w:rsid w:val="002B2A12"/>
    <w:rsid w:val="002B2BC4"/>
    <w:rsid w:val="002B2CA5"/>
    <w:rsid w:val="002B2DE4"/>
    <w:rsid w:val="002B301F"/>
    <w:rsid w:val="002B3533"/>
    <w:rsid w:val="002B3E6E"/>
    <w:rsid w:val="002B43AD"/>
    <w:rsid w:val="002B4524"/>
    <w:rsid w:val="002B5546"/>
    <w:rsid w:val="002B5E30"/>
    <w:rsid w:val="002B755E"/>
    <w:rsid w:val="002B7DBE"/>
    <w:rsid w:val="002B7F61"/>
    <w:rsid w:val="002C1558"/>
    <w:rsid w:val="002C1D69"/>
    <w:rsid w:val="002C2226"/>
    <w:rsid w:val="002C22E9"/>
    <w:rsid w:val="002C2977"/>
    <w:rsid w:val="002C2E2D"/>
    <w:rsid w:val="002C33AE"/>
    <w:rsid w:val="002C3A3C"/>
    <w:rsid w:val="002C3AFC"/>
    <w:rsid w:val="002C5384"/>
    <w:rsid w:val="002C54A6"/>
    <w:rsid w:val="002C5F5A"/>
    <w:rsid w:val="002C6C41"/>
    <w:rsid w:val="002C777E"/>
    <w:rsid w:val="002D1672"/>
    <w:rsid w:val="002D19CD"/>
    <w:rsid w:val="002D221E"/>
    <w:rsid w:val="002D3450"/>
    <w:rsid w:val="002D3A1F"/>
    <w:rsid w:val="002D3BDD"/>
    <w:rsid w:val="002D4F9B"/>
    <w:rsid w:val="002D5914"/>
    <w:rsid w:val="002D688F"/>
    <w:rsid w:val="002D7D66"/>
    <w:rsid w:val="002E00BA"/>
    <w:rsid w:val="002E0C1E"/>
    <w:rsid w:val="002E11E5"/>
    <w:rsid w:val="002E15CC"/>
    <w:rsid w:val="002E204C"/>
    <w:rsid w:val="002E2A80"/>
    <w:rsid w:val="002E36AF"/>
    <w:rsid w:val="002E3B33"/>
    <w:rsid w:val="002E3BB0"/>
    <w:rsid w:val="002E4586"/>
    <w:rsid w:val="002E58FF"/>
    <w:rsid w:val="002E599D"/>
    <w:rsid w:val="002E5FF0"/>
    <w:rsid w:val="002E609D"/>
    <w:rsid w:val="002E6619"/>
    <w:rsid w:val="002E6FFF"/>
    <w:rsid w:val="002E7AB1"/>
    <w:rsid w:val="002E7AB5"/>
    <w:rsid w:val="002E7DC9"/>
    <w:rsid w:val="002F0022"/>
    <w:rsid w:val="002F0071"/>
    <w:rsid w:val="002F018E"/>
    <w:rsid w:val="002F06CC"/>
    <w:rsid w:val="002F0754"/>
    <w:rsid w:val="002F0B7B"/>
    <w:rsid w:val="002F1E6F"/>
    <w:rsid w:val="002F3A0B"/>
    <w:rsid w:val="002F441E"/>
    <w:rsid w:val="002F4B88"/>
    <w:rsid w:val="002F4BDD"/>
    <w:rsid w:val="002F5255"/>
    <w:rsid w:val="002F5550"/>
    <w:rsid w:val="002F5D17"/>
    <w:rsid w:val="002F6563"/>
    <w:rsid w:val="002F6753"/>
    <w:rsid w:val="002F7A19"/>
    <w:rsid w:val="003002CB"/>
    <w:rsid w:val="0030034C"/>
    <w:rsid w:val="003005FD"/>
    <w:rsid w:val="00301C5C"/>
    <w:rsid w:val="00302FAC"/>
    <w:rsid w:val="003033F3"/>
    <w:rsid w:val="003036A2"/>
    <w:rsid w:val="00303898"/>
    <w:rsid w:val="0030404E"/>
    <w:rsid w:val="003049D4"/>
    <w:rsid w:val="003053C7"/>
    <w:rsid w:val="003059EB"/>
    <w:rsid w:val="00306A4B"/>
    <w:rsid w:val="0030791E"/>
    <w:rsid w:val="00307981"/>
    <w:rsid w:val="00307B3C"/>
    <w:rsid w:val="003101D1"/>
    <w:rsid w:val="00310421"/>
    <w:rsid w:val="00310692"/>
    <w:rsid w:val="00310D86"/>
    <w:rsid w:val="003139EB"/>
    <w:rsid w:val="00313CAE"/>
    <w:rsid w:val="0031461F"/>
    <w:rsid w:val="003149A9"/>
    <w:rsid w:val="00315C3A"/>
    <w:rsid w:val="0031605A"/>
    <w:rsid w:val="00316158"/>
    <w:rsid w:val="00316DC1"/>
    <w:rsid w:val="00317A1B"/>
    <w:rsid w:val="003202D3"/>
    <w:rsid w:val="003212FE"/>
    <w:rsid w:val="00321EBB"/>
    <w:rsid w:val="00322BA1"/>
    <w:rsid w:val="00322DCF"/>
    <w:rsid w:val="00325E2D"/>
    <w:rsid w:val="003277A0"/>
    <w:rsid w:val="0032796C"/>
    <w:rsid w:val="00330CE7"/>
    <w:rsid w:val="00331591"/>
    <w:rsid w:val="00331731"/>
    <w:rsid w:val="003324F6"/>
    <w:rsid w:val="00332ADF"/>
    <w:rsid w:val="00333EED"/>
    <w:rsid w:val="00333F82"/>
    <w:rsid w:val="003342FA"/>
    <w:rsid w:val="00334928"/>
    <w:rsid w:val="00335312"/>
    <w:rsid w:val="003354D9"/>
    <w:rsid w:val="0033551F"/>
    <w:rsid w:val="00337473"/>
    <w:rsid w:val="00337537"/>
    <w:rsid w:val="00337639"/>
    <w:rsid w:val="00337DDF"/>
    <w:rsid w:val="00337F9F"/>
    <w:rsid w:val="00340806"/>
    <w:rsid w:val="00341249"/>
    <w:rsid w:val="0034141E"/>
    <w:rsid w:val="00341FFE"/>
    <w:rsid w:val="003424D3"/>
    <w:rsid w:val="00342501"/>
    <w:rsid w:val="003425BE"/>
    <w:rsid w:val="003439D7"/>
    <w:rsid w:val="00344B16"/>
    <w:rsid w:val="003450A8"/>
    <w:rsid w:val="003461B2"/>
    <w:rsid w:val="0034692E"/>
    <w:rsid w:val="00346F7E"/>
    <w:rsid w:val="0034799C"/>
    <w:rsid w:val="00347BC0"/>
    <w:rsid w:val="00347DB3"/>
    <w:rsid w:val="003514F6"/>
    <w:rsid w:val="00354273"/>
    <w:rsid w:val="003543C7"/>
    <w:rsid w:val="00354E53"/>
    <w:rsid w:val="00355B43"/>
    <w:rsid w:val="0035686D"/>
    <w:rsid w:val="00356B61"/>
    <w:rsid w:val="00357251"/>
    <w:rsid w:val="003579A8"/>
    <w:rsid w:val="00357AC9"/>
    <w:rsid w:val="00357E9C"/>
    <w:rsid w:val="00357F24"/>
    <w:rsid w:val="00357FA5"/>
    <w:rsid w:val="00360536"/>
    <w:rsid w:val="00360576"/>
    <w:rsid w:val="00360BD5"/>
    <w:rsid w:val="00360D6B"/>
    <w:rsid w:val="00361CC3"/>
    <w:rsid w:val="00361EE2"/>
    <w:rsid w:val="0036319D"/>
    <w:rsid w:val="00363667"/>
    <w:rsid w:val="0036393C"/>
    <w:rsid w:val="00363A2B"/>
    <w:rsid w:val="0036409A"/>
    <w:rsid w:val="00365A25"/>
    <w:rsid w:val="00366948"/>
    <w:rsid w:val="00370F75"/>
    <w:rsid w:val="0037167E"/>
    <w:rsid w:val="0037169C"/>
    <w:rsid w:val="0037199D"/>
    <w:rsid w:val="00371BD0"/>
    <w:rsid w:val="00372BA2"/>
    <w:rsid w:val="00373420"/>
    <w:rsid w:val="003735A9"/>
    <w:rsid w:val="00373D37"/>
    <w:rsid w:val="00373F8B"/>
    <w:rsid w:val="00374CF9"/>
    <w:rsid w:val="00374D72"/>
    <w:rsid w:val="00375282"/>
    <w:rsid w:val="00375D76"/>
    <w:rsid w:val="00376427"/>
    <w:rsid w:val="00376946"/>
    <w:rsid w:val="00376BF0"/>
    <w:rsid w:val="003771BB"/>
    <w:rsid w:val="00377C36"/>
    <w:rsid w:val="00380290"/>
    <w:rsid w:val="00381A67"/>
    <w:rsid w:val="00382421"/>
    <w:rsid w:val="00382DD1"/>
    <w:rsid w:val="0038339E"/>
    <w:rsid w:val="003833DE"/>
    <w:rsid w:val="00383ADF"/>
    <w:rsid w:val="0038407D"/>
    <w:rsid w:val="003853A1"/>
    <w:rsid w:val="003856B5"/>
    <w:rsid w:val="003857E1"/>
    <w:rsid w:val="00385BDC"/>
    <w:rsid w:val="00385DBF"/>
    <w:rsid w:val="00386475"/>
    <w:rsid w:val="0038678F"/>
    <w:rsid w:val="003869D7"/>
    <w:rsid w:val="00387974"/>
    <w:rsid w:val="00387CC7"/>
    <w:rsid w:val="00390015"/>
    <w:rsid w:val="00391D7F"/>
    <w:rsid w:val="00391DDA"/>
    <w:rsid w:val="0039270B"/>
    <w:rsid w:val="00393325"/>
    <w:rsid w:val="00393D85"/>
    <w:rsid w:val="00393DE2"/>
    <w:rsid w:val="00395EF5"/>
    <w:rsid w:val="0039729E"/>
    <w:rsid w:val="003972BC"/>
    <w:rsid w:val="003A014F"/>
    <w:rsid w:val="003A0B18"/>
    <w:rsid w:val="003A0E63"/>
    <w:rsid w:val="003A1991"/>
    <w:rsid w:val="003A1CF3"/>
    <w:rsid w:val="003A2F99"/>
    <w:rsid w:val="003A2FF2"/>
    <w:rsid w:val="003A3052"/>
    <w:rsid w:val="003A307A"/>
    <w:rsid w:val="003A3919"/>
    <w:rsid w:val="003A3ECF"/>
    <w:rsid w:val="003A476E"/>
    <w:rsid w:val="003A4AF4"/>
    <w:rsid w:val="003A4FB7"/>
    <w:rsid w:val="003A63AC"/>
    <w:rsid w:val="003A6474"/>
    <w:rsid w:val="003A647C"/>
    <w:rsid w:val="003A69AA"/>
    <w:rsid w:val="003A6F75"/>
    <w:rsid w:val="003A710E"/>
    <w:rsid w:val="003B1238"/>
    <w:rsid w:val="003B179B"/>
    <w:rsid w:val="003B2E8F"/>
    <w:rsid w:val="003B3BE0"/>
    <w:rsid w:val="003B3D18"/>
    <w:rsid w:val="003B3FF8"/>
    <w:rsid w:val="003B4380"/>
    <w:rsid w:val="003B5266"/>
    <w:rsid w:val="003B576D"/>
    <w:rsid w:val="003B58A6"/>
    <w:rsid w:val="003B5F7A"/>
    <w:rsid w:val="003B6B3E"/>
    <w:rsid w:val="003B6FDD"/>
    <w:rsid w:val="003C0565"/>
    <w:rsid w:val="003C0AEB"/>
    <w:rsid w:val="003C2949"/>
    <w:rsid w:val="003C2F0C"/>
    <w:rsid w:val="003C31A0"/>
    <w:rsid w:val="003C32C9"/>
    <w:rsid w:val="003C40B6"/>
    <w:rsid w:val="003C43BF"/>
    <w:rsid w:val="003C74F7"/>
    <w:rsid w:val="003D04F2"/>
    <w:rsid w:val="003D0B55"/>
    <w:rsid w:val="003D145D"/>
    <w:rsid w:val="003D159A"/>
    <w:rsid w:val="003D26A3"/>
    <w:rsid w:val="003D3544"/>
    <w:rsid w:val="003D4281"/>
    <w:rsid w:val="003D439C"/>
    <w:rsid w:val="003D45BA"/>
    <w:rsid w:val="003D62C9"/>
    <w:rsid w:val="003D641F"/>
    <w:rsid w:val="003D6565"/>
    <w:rsid w:val="003D7261"/>
    <w:rsid w:val="003D778D"/>
    <w:rsid w:val="003D77F2"/>
    <w:rsid w:val="003D7D27"/>
    <w:rsid w:val="003E0957"/>
    <w:rsid w:val="003E27E2"/>
    <w:rsid w:val="003E2D64"/>
    <w:rsid w:val="003E2D80"/>
    <w:rsid w:val="003E3972"/>
    <w:rsid w:val="003E4DA7"/>
    <w:rsid w:val="003E51F8"/>
    <w:rsid w:val="003E5F95"/>
    <w:rsid w:val="003E7CC6"/>
    <w:rsid w:val="003E7EFA"/>
    <w:rsid w:val="003F061A"/>
    <w:rsid w:val="003F13E5"/>
    <w:rsid w:val="003F1806"/>
    <w:rsid w:val="003F1FBD"/>
    <w:rsid w:val="003F270C"/>
    <w:rsid w:val="003F2E45"/>
    <w:rsid w:val="003F303C"/>
    <w:rsid w:val="003F34D0"/>
    <w:rsid w:val="003F4356"/>
    <w:rsid w:val="003F441E"/>
    <w:rsid w:val="003F4CDA"/>
    <w:rsid w:val="003F5D80"/>
    <w:rsid w:val="003F6EAD"/>
    <w:rsid w:val="003F7476"/>
    <w:rsid w:val="003F7FA9"/>
    <w:rsid w:val="00400A65"/>
    <w:rsid w:val="00400BBA"/>
    <w:rsid w:val="0040108B"/>
    <w:rsid w:val="00401C9F"/>
    <w:rsid w:val="00402645"/>
    <w:rsid w:val="00402B04"/>
    <w:rsid w:val="004030C8"/>
    <w:rsid w:val="00404530"/>
    <w:rsid w:val="004048A1"/>
    <w:rsid w:val="004050F5"/>
    <w:rsid w:val="00405372"/>
    <w:rsid w:val="00405A75"/>
    <w:rsid w:val="004070AA"/>
    <w:rsid w:val="004077BB"/>
    <w:rsid w:val="00410671"/>
    <w:rsid w:val="00410673"/>
    <w:rsid w:val="00410B43"/>
    <w:rsid w:val="00410B60"/>
    <w:rsid w:val="00410CB7"/>
    <w:rsid w:val="00411433"/>
    <w:rsid w:val="00411649"/>
    <w:rsid w:val="00411E3E"/>
    <w:rsid w:val="00411FA7"/>
    <w:rsid w:val="00412553"/>
    <w:rsid w:val="004134DD"/>
    <w:rsid w:val="004134E7"/>
    <w:rsid w:val="00414272"/>
    <w:rsid w:val="0041517D"/>
    <w:rsid w:val="00416DF7"/>
    <w:rsid w:val="00417D81"/>
    <w:rsid w:val="00420A6F"/>
    <w:rsid w:val="00420C90"/>
    <w:rsid w:val="00420CC0"/>
    <w:rsid w:val="00420E5C"/>
    <w:rsid w:val="0042174B"/>
    <w:rsid w:val="0042208D"/>
    <w:rsid w:val="00422D4A"/>
    <w:rsid w:val="00423642"/>
    <w:rsid w:val="004237FC"/>
    <w:rsid w:val="004239CB"/>
    <w:rsid w:val="00423C72"/>
    <w:rsid w:val="00424719"/>
    <w:rsid w:val="00425224"/>
    <w:rsid w:val="00425B20"/>
    <w:rsid w:val="00426E97"/>
    <w:rsid w:val="00427BF8"/>
    <w:rsid w:val="00427DCA"/>
    <w:rsid w:val="00430258"/>
    <w:rsid w:val="00430523"/>
    <w:rsid w:val="00431241"/>
    <w:rsid w:val="0043243C"/>
    <w:rsid w:val="004326E8"/>
    <w:rsid w:val="004327BC"/>
    <w:rsid w:val="004329D1"/>
    <w:rsid w:val="00433179"/>
    <w:rsid w:val="00433624"/>
    <w:rsid w:val="00433724"/>
    <w:rsid w:val="00435192"/>
    <w:rsid w:val="00435DB6"/>
    <w:rsid w:val="004362E3"/>
    <w:rsid w:val="00436C81"/>
    <w:rsid w:val="00437641"/>
    <w:rsid w:val="004376DB"/>
    <w:rsid w:val="00440CFE"/>
    <w:rsid w:val="00440E6A"/>
    <w:rsid w:val="0044105E"/>
    <w:rsid w:val="00441989"/>
    <w:rsid w:val="00441D99"/>
    <w:rsid w:val="004423A7"/>
    <w:rsid w:val="0044243E"/>
    <w:rsid w:val="00442544"/>
    <w:rsid w:val="004427E6"/>
    <w:rsid w:val="00444674"/>
    <w:rsid w:val="00444967"/>
    <w:rsid w:val="00444BB0"/>
    <w:rsid w:val="00444D4A"/>
    <w:rsid w:val="004453C9"/>
    <w:rsid w:val="004457F8"/>
    <w:rsid w:val="004459B1"/>
    <w:rsid w:val="00445AA8"/>
    <w:rsid w:val="00445B15"/>
    <w:rsid w:val="00445DE5"/>
    <w:rsid w:val="00446B8E"/>
    <w:rsid w:val="00450B7D"/>
    <w:rsid w:val="00450C41"/>
    <w:rsid w:val="00452120"/>
    <w:rsid w:val="00452218"/>
    <w:rsid w:val="004527C2"/>
    <w:rsid w:val="00453060"/>
    <w:rsid w:val="004533F1"/>
    <w:rsid w:val="00453F83"/>
    <w:rsid w:val="0045469C"/>
    <w:rsid w:val="00454814"/>
    <w:rsid w:val="00454F87"/>
    <w:rsid w:val="00455807"/>
    <w:rsid w:val="0045638E"/>
    <w:rsid w:val="004565EA"/>
    <w:rsid w:val="00456ADE"/>
    <w:rsid w:val="00456DC1"/>
    <w:rsid w:val="00457440"/>
    <w:rsid w:val="00457890"/>
    <w:rsid w:val="00461274"/>
    <w:rsid w:val="004612FC"/>
    <w:rsid w:val="0046209B"/>
    <w:rsid w:val="00462182"/>
    <w:rsid w:val="00462251"/>
    <w:rsid w:val="00463216"/>
    <w:rsid w:val="00463ED6"/>
    <w:rsid w:val="00464081"/>
    <w:rsid w:val="0046469D"/>
    <w:rsid w:val="00465A91"/>
    <w:rsid w:val="00465F6D"/>
    <w:rsid w:val="004661EB"/>
    <w:rsid w:val="00466556"/>
    <w:rsid w:val="004666B7"/>
    <w:rsid w:val="00467438"/>
    <w:rsid w:val="00467655"/>
    <w:rsid w:val="00467D2C"/>
    <w:rsid w:val="004712A8"/>
    <w:rsid w:val="00471DED"/>
    <w:rsid w:val="00471F4F"/>
    <w:rsid w:val="00472040"/>
    <w:rsid w:val="004724AD"/>
    <w:rsid w:val="0047347C"/>
    <w:rsid w:val="0047348C"/>
    <w:rsid w:val="00474028"/>
    <w:rsid w:val="004740E5"/>
    <w:rsid w:val="00475BB5"/>
    <w:rsid w:val="00475C57"/>
    <w:rsid w:val="00475EB7"/>
    <w:rsid w:val="004766E5"/>
    <w:rsid w:val="00476993"/>
    <w:rsid w:val="00480021"/>
    <w:rsid w:val="004802F8"/>
    <w:rsid w:val="00480588"/>
    <w:rsid w:val="00480A3B"/>
    <w:rsid w:val="00481809"/>
    <w:rsid w:val="004826CF"/>
    <w:rsid w:val="004839D7"/>
    <w:rsid w:val="004839DB"/>
    <w:rsid w:val="00483F64"/>
    <w:rsid w:val="00484109"/>
    <w:rsid w:val="00484DE8"/>
    <w:rsid w:val="00486C1D"/>
    <w:rsid w:val="0048768F"/>
    <w:rsid w:val="00487805"/>
    <w:rsid w:val="00487D3D"/>
    <w:rsid w:val="00490119"/>
    <w:rsid w:val="004902EE"/>
    <w:rsid w:val="00491B05"/>
    <w:rsid w:val="00492405"/>
    <w:rsid w:val="00492434"/>
    <w:rsid w:val="00492547"/>
    <w:rsid w:val="00494587"/>
    <w:rsid w:val="00494743"/>
    <w:rsid w:val="004953CE"/>
    <w:rsid w:val="004958F2"/>
    <w:rsid w:val="004A067D"/>
    <w:rsid w:val="004A121D"/>
    <w:rsid w:val="004A124F"/>
    <w:rsid w:val="004A18BD"/>
    <w:rsid w:val="004A3B78"/>
    <w:rsid w:val="004A4028"/>
    <w:rsid w:val="004A40AA"/>
    <w:rsid w:val="004A45C6"/>
    <w:rsid w:val="004A575F"/>
    <w:rsid w:val="004A6521"/>
    <w:rsid w:val="004A6A6D"/>
    <w:rsid w:val="004A71A4"/>
    <w:rsid w:val="004A75CF"/>
    <w:rsid w:val="004A7FA7"/>
    <w:rsid w:val="004B03AE"/>
    <w:rsid w:val="004B1330"/>
    <w:rsid w:val="004B17D7"/>
    <w:rsid w:val="004B183F"/>
    <w:rsid w:val="004B2DAA"/>
    <w:rsid w:val="004B38CA"/>
    <w:rsid w:val="004B5637"/>
    <w:rsid w:val="004B5AC9"/>
    <w:rsid w:val="004B6E30"/>
    <w:rsid w:val="004B733F"/>
    <w:rsid w:val="004B7A04"/>
    <w:rsid w:val="004C04BE"/>
    <w:rsid w:val="004C08B6"/>
    <w:rsid w:val="004C0D00"/>
    <w:rsid w:val="004C1461"/>
    <w:rsid w:val="004C14AB"/>
    <w:rsid w:val="004C2098"/>
    <w:rsid w:val="004C3462"/>
    <w:rsid w:val="004C3481"/>
    <w:rsid w:val="004C3651"/>
    <w:rsid w:val="004C3720"/>
    <w:rsid w:val="004C4DD5"/>
    <w:rsid w:val="004C55CA"/>
    <w:rsid w:val="004C568E"/>
    <w:rsid w:val="004C5772"/>
    <w:rsid w:val="004C6D16"/>
    <w:rsid w:val="004C7CDF"/>
    <w:rsid w:val="004D0609"/>
    <w:rsid w:val="004D0A90"/>
    <w:rsid w:val="004D0CDF"/>
    <w:rsid w:val="004D139E"/>
    <w:rsid w:val="004D1A7F"/>
    <w:rsid w:val="004D1CE2"/>
    <w:rsid w:val="004D1FAA"/>
    <w:rsid w:val="004D3CF2"/>
    <w:rsid w:val="004D3DB4"/>
    <w:rsid w:val="004D3E86"/>
    <w:rsid w:val="004D44AC"/>
    <w:rsid w:val="004D4E59"/>
    <w:rsid w:val="004D52D7"/>
    <w:rsid w:val="004D5ED7"/>
    <w:rsid w:val="004D5EFA"/>
    <w:rsid w:val="004D66C6"/>
    <w:rsid w:val="004D738E"/>
    <w:rsid w:val="004D73EF"/>
    <w:rsid w:val="004D7860"/>
    <w:rsid w:val="004D7B72"/>
    <w:rsid w:val="004E0828"/>
    <w:rsid w:val="004E1262"/>
    <w:rsid w:val="004E1920"/>
    <w:rsid w:val="004E1AD3"/>
    <w:rsid w:val="004E2241"/>
    <w:rsid w:val="004E24DB"/>
    <w:rsid w:val="004E2874"/>
    <w:rsid w:val="004E3049"/>
    <w:rsid w:val="004E3577"/>
    <w:rsid w:val="004E411B"/>
    <w:rsid w:val="004E4225"/>
    <w:rsid w:val="004E5109"/>
    <w:rsid w:val="004E5C69"/>
    <w:rsid w:val="004E60D0"/>
    <w:rsid w:val="004E7464"/>
    <w:rsid w:val="004E7813"/>
    <w:rsid w:val="004F0CF6"/>
    <w:rsid w:val="004F12A6"/>
    <w:rsid w:val="004F1565"/>
    <w:rsid w:val="004F1878"/>
    <w:rsid w:val="004F2304"/>
    <w:rsid w:val="004F236B"/>
    <w:rsid w:val="004F26F8"/>
    <w:rsid w:val="004F287F"/>
    <w:rsid w:val="004F2BEA"/>
    <w:rsid w:val="004F373D"/>
    <w:rsid w:val="004F37DC"/>
    <w:rsid w:val="004F382A"/>
    <w:rsid w:val="004F3BD2"/>
    <w:rsid w:val="004F3C06"/>
    <w:rsid w:val="004F4CC9"/>
    <w:rsid w:val="004F54A3"/>
    <w:rsid w:val="004F6FC0"/>
    <w:rsid w:val="004F75D8"/>
    <w:rsid w:val="004F7CB5"/>
    <w:rsid w:val="00500AF5"/>
    <w:rsid w:val="005010A9"/>
    <w:rsid w:val="00501F65"/>
    <w:rsid w:val="005025FE"/>
    <w:rsid w:val="0050270F"/>
    <w:rsid w:val="005028F7"/>
    <w:rsid w:val="00504234"/>
    <w:rsid w:val="00504323"/>
    <w:rsid w:val="00504585"/>
    <w:rsid w:val="00504FBC"/>
    <w:rsid w:val="00505438"/>
    <w:rsid w:val="00505913"/>
    <w:rsid w:val="00505CE2"/>
    <w:rsid w:val="00505FB2"/>
    <w:rsid w:val="00506DDE"/>
    <w:rsid w:val="005074A0"/>
    <w:rsid w:val="00507DBB"/>
    <w:rsid w:val="00507F87"/>
    <w:rsid w:val="005102C4"/>
    <w:rsid w:val="00511702"/>
    <w:rsid w:val="005136AD"/>
    <w:rsid w:val="005138BA"/>
    <w:rsid w:val="00513923"/>
    <w:rsid w:val="00514D9D"/>
    <w:rsid w:val="00514F7B"/>
    <w:rsid w:val="00516657"/>
    <w:rsid w:val="0051676E"/>
    <w:rsid w:val="00516904"/>
    <w:rsid w:val="005171EC"/>
    <w:rsid w:val="00517923"/>
    <w:rsid w:val="0052041F"/>
    <w:rsid w:val="005207C8"/>
    <w:rsid w:val="00520CB5"/>
    <w:rsid w:val="005210CC"/>
    <w:rsid w:val="005211AF"/>
    <w:rsid w:val="005213E2"/>
    <w:rsid w:val="00521BDE"/>
    <w:rsid w:val="0052221A"/>
    <w:rsid w:val="00522F18"/>
    <w:rsid w:val="0052332A"/>
    <w:rsid w:val="00523413"/>
    <w:rsid w:val="00524084"/>
    <w:rsid w:val="005248E1"/>
    <w:rsid w:val="005255FC"/>
    <w:rsid w:val="005265C8"/>
    <w:rsid w:val="005276C2"/>
    <w:rsid w:val="005278D1"/>
    <w:rsid w:val="00527B45"/>
    <w:rsid w:val="00527B99"/>
    <w:rsid w:val="005310AF"/>
    <w:rsid w:val="005319F5"/>
    <w:rsid w:val="005329F0"/>
    <w:rsid w:val="00532D7C"/>
    <w:rsid w:val="00533A2B"/>
    <w:rsid w:val="00533B52"/>
    <w:rsid w:val="00535200"/>
    <w:rsid w:val="00536229"/>
    <w:rsid w:val="00537E61"/>
    <w:rsid w:val="00537F15"/>
    <w:rsid w:val="0054039E"/>
    <w:rsid w:val="005406F8"/>
    <w:rsid w:val="005408F7"/>
    <w:rsid w:val="00541307"/>
    <w:rsid w:val="0054169B"/>
    <w:rsid w:val="005417D2"/>
    <w:rsid w:val="005422E4"/>
    <w:rsid w:val="00542484"/>
    <w:rsid w:val="00543721"/>
    <w:rsid w:val="0054377C"/>
    <w:rsid w:val="00544161"/>
    <w:rsid w:val="0054436C"/>
    <w:rsid w:val="00545CF8"/>
    <w:rsid w:val="00547C88"/>
    <w:rsid w:val="00550158"/>
    <w:rsid w:val="005509F8"/>
    <w:rsid w:val="00550E4D"/>
    <w:rsid w:val="00550F69"/>
    <w:rsid w:val="005520B0"/>
    <w:rsid w:val="005523C6"/>
    <w:rsid w:val="005524CF"/>
    <w:rsid w:val="005535C1"/>
    <w:rsid w:val="00554DAC"/>
    <w:rsid w:val="00555876"/>
    <w:rsid w:val="00556197"/>
    <w:rsid w:val="0055623C"/>
    <w:rsid w:val="00556662"/>
    <w:rsid w:val="005575C4"/>
    <w:rsid w:val="00557BBC"/>
    <w:rsid w:val="00561571"/>
    <w:rsid w:val="005616AE"/>
    <w:rsid w:val="00566B81"/>
    <w:rsid w:val="00570390"/>
    <w:rsid w:val="00570C5C"/>
    <w:rsid w:val="00571296"/>
    <w:rsid w:val="00571AAC"/>
    <w:rsid w:val="00571ADF"/>
    <w:rsid w:val="00571CEA"/>
    <w:rsid w:val="00571F91"/>
    <w:rsid w:val="00572ADA"/>
    <w:rsid w:val="005733FD"/>
    <w:rsid w:val="005734D2"/>
    <w:rsid w:val="005749FD"/>
    <w:rsid w:val="0057503D"/>
    <w:rsid w:val="0057504F"/>
    <w:rsid w:val="0057516A"/>
    <w:rsid w:val="00575498"/>
    <w:rsid w:val="00575E75"/>
    <w:rsid w:val="00576C7D"/>
    <w:rsid w:val="0057723B"/>
    <w:rsid w:val="005800EE"/>
    <w:rsid w:val="00580885"/>
    <w:rsid w:val="00581096"/>
    <w:rsid w:val="005812E0"/>
    <w:rsid w:val="00581C8A"/>
    <w:rsid w:val="00582161"/>
    <w:rsid w:val="00582860"/>
    <w:rsid w:val="005836BC"/>
    <w:rsid w:val="00584A32"/>
    <w:rsid w:val="00584A72"/>
    <w:rsid w:val="00585402"/>
    <w:rsid w:val="005854BD"/>
    <w:rsid w:val="00585AE9"/>
    <w:rsid w:val="005860CB"/>
    <w:rsid w:val="0058643E"/>
    <w:rsid w:val="0058703E"/>
    <w:rsid w:val="005871BD"/>
    <w:rsid w:val="005900A1"/>
    <w:rsid w:val="00590B01"/>
    <w:rsid w:val="00590CFC"/>
    <w:rsid w:val="00590FC9"/>
    <w:rsid w:val="0059100C"/>
    <w:rsid w:val="0059161F"/>
    <w:rsid w:val="00591750"/>
    <w:rsid w:val="005917E6"/>
    <w:rsid w:val="00592216"/>
    <w:rsid w:val="005922CD"/>
    <w:rsid w:val="005927F7"/>
    <w:rsid w:val="0059290B"/>
    <w:rsid w:val="00592F95"/>
    <w:rsid w:val="00593700"/>
    <w:rsid w:val="00593A61"/>
    <w:rsid w:val="005955BA"/>
    <w:rsid w:val="00595936"/>
    <w:rsid w:val="00595C37"/>
    <w:rsid w:val="00595EFB"/>
    <w:rsid w:val="00596C76"/>
    <w:rsid w:val="00596D91"/>
    <w:rsid w:val="00596F99"/>
    <w:rsid w:val="00597B78"/>
    <w:rsid w:val="005A0224"/>
    <w:rsid w:val="005A07B7"/>
    <w:rsid w:val="005A0BA6"/>
    <w:rsid w:val="005A1201"/>
    <w:rsid w:val="005A15E8"/>
    <w:rsid w:val="005A1986"/>
    <w:rsid w:val="005A1E2C"/>
    <w:rsid w:val="005A1E43"/>
    <w:rsid w:val="005A35B2"/>
    <w:rsid w:val="005A3671"/>
    <w:rsid w:val="005A3F38"/>
    <w:rsid w:val="005A4187"/>
    <w:rsid w:val="005A4847"/>
    <w:rsid w:val="005A4B55"/>
    <w:rsid w:val="005A4D07"/>
    <w:rsid w:val="005A5214"/>
    <w:rsid w:val="005A524C"/>
    <w:rsid w:val="005A5EBC"/>
    <w:rsid w:val="005A61F4"/>
    <w:rsid w:val="005A68C6"/>
    <w:rsid w:val="005A6C20"/>
    <w:rsid w:val="005A6F02"/>
    <w:rsid w:val="005A6F5A"/>
    <w:rsid w:val="005B0BCB"/>
    <w:rsid w:val="005B170A"/>
    <w:rsid w:val="005B27D8"/>
    <w:rsid w:val="005B2B2E"/>
    <w:rsid w:val="005B34A0"/>
    <w:rsid w:val="005B3540"/>
    <w:rsid w:val="005B3C55"/>
    <w:rsid w:val="005B4063"/>
    <w:rsid w:val="005B529D"/>
    <w:rsid w:val="005B5BB9"/>
    <w:rsid w:val="005B5FFF"/>
    <w:rsid w:val="005B62E3"/>
    <w:rsid w:val="005B7047"/>
    <w:rsid w:val="005B70E9"/>
    <w:rsid w:val="005B753C"/>
    <w:rsid w:val="005B77B6"/>
    <w:rsid w:val="005C0D42"/>
    <w:rsid w:val="005C1158"/>
    <w:rsid w:val="005C1B4B"/>
    <w:rsid w:val="005C1FBB"/>
    <w:rsid w:val="005C2541"/>
    <w:rsid w:val="005C38CE"/>
    <w:rsid w:val="005C3F1C"/>
    <w:rsid w:val="005C4585"/>
    <w:rsid w:val="005C7041"/>
    <w:rsid w:val="005C71E9"/>
    <w:rsid w:val="005C71FF"/>
    <w:rsid w:val="005C746B"/>
    <w:rsid w:val="005C76B2"/>
    <w:rsid w:val="005C772D"/>
    <w:rsid w:val="005D1C47"/>
    <w:rsid w:val="005D24E7"/>
    <w:rsid w:val="005D2748"/>
    <w:rsid w:val="005D37B8"/>
    <w:rsid w:val="005D4BA2"/>
    <w:rsid w:val="005D5D01"/>
    <w:rsid w:val="005D74D1"/>
    <w:rsid w:val="005D7700"/>
    <w:rsid w:val="005E1488"/>
    <w:rsid w:val="005E1982"/>
    <w:rsid w:val="005E34F8"/>
    <w:rsid w:val="005E46A5"/>
    <w:rsid w:val="005E5596"/>
    <w:rsid w:val="005E5EEE"/>
    <w:rsid w:val="005E6A3E"/>
    <w:rsid w:val="005E7012"/>
    <w:rsid w:val="005F0D70"/>
    <w:rsid w:val="005F0DA6"/>
    <w:rsid w:val="005F203C"/>
    <w:rsid w:val="005F32AD"/>
    <w:rsid w:val="005F3617"/>
    <w:rsid w:val="005F377F"/>
    <w:rsid w:val="005F41CD"/>
    <w:rsid w:val="005F460C"/>
    <w:rsid w:val="005F499D"/>
    <w:rsid w:val="005F573F"/>
    <w:rsid w:val="005F6079"/>
    <w:rsid w:val="005F6D35"/>
    <w:rsid w:val="005F6EF0"/>
    <w:rsid w:val="005F748F"/>
    <w:rsid w:val="005F7C32"/>
    <w:rsid w:val="00601BED"/>
    <w:rsid w:val="00603657"/>
    <w:rsid w:val="00603A48"/>
    <w:rsid w:val="00604C6A"/>
    <w:rsid w:val="00604E13"/>
    <w:rsid w:val="00606184"/>
    <w:rsid w:val="006062DB"/>
    <w:rsid w:val="006065A9"/>
    <w:rsid w:val="00606A24"/>
    <w:rsid w:val="006075B1"/>
    <w:rsid w:val="00607651"/>
    <w:rsid w:val="006101EB"/>
    <w:rsid w:val="0061029E"/>
    <w:rsid w:val="006103AF"/>
    <w:rsid w:val="00610C1D"/>
    <w:rsid w:val="00611AED"/>
    <w:rsid w:val="00612030"/>
    <w:rsid w:val="006129CD"/>
    <w:rsid w:val="006131D3"/>
    <w:rsid w:val="00613592"/>
    <w:rsid w:val="006137A9"/>
    <w:rsid w:val="00614453"/>
    <w:rsid w:val="00614580"/>
    <w:rsid w:val="00614CAB"/>
    <w:rsid w:val="006165EA"/>
    <w:rsid w:val="0061727C"/>
    <w:rsid w:val="006174F3"/>
    <w:rsid w:val="006178E7"/>
    <w:rsid w:val="00620AB1"/>
    <w:rsid w:val="00620C5C"/>
    <w:rsid w:val="00621FE7"/>
    <w:rsid w:val="00622516"/>
    <w:rsid w:val="006229D0"/>
    <w:rsid w:val="00623FFF"/>
    <w:rsid w:val="00625760"/>
    <w:rsid w:val="00625BAE"/>
    <w:rsid w:val="006264DF"/>
    <w:rsid w:val="006267E0"/>
    <w:rsid w:val="00627195"/>
    <w:rsid w:val="00630078"/>
    <w:rsid w:val="00630AA3"/>
    <w:rsid w:val="00630E7C"/>
    <w:rsid w:val="00631AC4"/>
    <w:rsid w:val="00634A93"/>
    <w:rsid w:val="00634DEB"/>
    <w:rsid w:val="0063561B"/>
    <w:rsid w:val="00635757"/>
    <w:rsid w:val="00635C73"/>
    <w:rsid w:val="00635FD1"/>
    <w:rsid w:val="00636A84"/>
    <w:rsid w:val="00636E70"/>
    <w:rsid w:val="00637505"/>
    <w:rsid w:val="00637F1D"/>
    <w:rsid w:val="0064000B"/>
    <w:rsid w:val="006403A1"/>
    <w:rsid w:val="0064042D"/>
    <w:rsid w:val="00641975"/>
    <w:rsid w:val="00641AEC"/>
    <w:rsid w:val="00642769"/>
    <w:rsid w:val="00645053"/>
    <w:rsid w:val="006450D3"/>
    <w:rsid w:val="0064514A"/>
    <w:rsid w:val="0064524B"/>
    <w:rsid w:val="00645F3F"/>
    <w:rsid w:val="006469A4"/>
    <w:rsid w:val="00647129"/>
    <w:rsid w:val="00650189"/>
    <w:rsid w:val="006502CB"/>
    <w:rsid w:val="00650A8F"/>
    <w:rsid w:val="00650BBF"/>
    <w:rsid w:val="00650DE4"/>
    <w:rsid w:val="00651877"/>
    <w:rsid w:val="00652C28"/>
    <w:rsid w:val="006534E8"/>
    <w:rsid w:val="00653ECD"/>
    <w:rsid w:val="00654D41"/>
    <w:rsid w:val="00655027"/>
    <w:rsid w:val="00655388"/>
    <w:rsid w:val="006556CA"/>
    <w:rsid w:val="00655798"/>
    <w:rsid w:val="00655D42"/>
    <w:rsid w:val="00656199"/>
    <w:rsid w:val="006564F0"/>
    <w:rsid w:val="006572CB"/>
    <w:rsid w:val="00660022"/>
    <w:rsid w:val="006605A3"/>
    <w:rsid w:val="006608DA"/>
    <w:rsid w:val="006615D8"/>
    <w:rsid w:val="00661DFC"/>
    <w:rsid w:val="0066265C"/>
    <w:rsid w:val="00662D08"/>
    <w:rsid w:val="0066303C"/>
    <w:rsid w:val="00663583"/>
    <w:rsid w:val="006644B1"/>
    <w:rsid w:val="00664686"/>
    <w:rsid w:val="00664D3A"/>
    <w:rsid w:val="00666B2F"/>
    <w:rsid w:val="00666B96"/>
    <w:rsid w:val="00667B89"/>
    <w:rsid w:val="00667C03"/>
    <w:rsid w:val="00667D44"/>
    <w:rsid w:val="00670182"/>
    <w:rsid w:val="006704EC"/>
    <w:rsid w:val="00671183"/>
    <w:rsid w:val="006714DB"/>
    <w:rsid w:val="00671CB7"/>
    <w:rsid w:val="00672E4A"/>
    <w:rsid w:val="00673CA9"/>
    <w:rsid w:val="00675060"/>
    <w:rsid w:val="006759C2"/>
    <w:rsid w:val="00675B5F"/>
    <w:rsid w:val="0067631B"/>
    <w:rsid w:val="00676831"/>
    <w:rsid w:val="006777CF"/>
    <w:rsid w:val="00677A9F"/>
    <w:rsid w:val="006801DB"/>
    <w:rsid w:val="006818A4"/>
    <w:rsid w:val="00681CA4"/>
    <w:rsid w:val="00681CA8"/>
    <w:rsid w:val="00682027"/>
    <w:rsid w:val="006829C4"/>
    <w:rsid w:val="0068346A"/>
    <w:rsid w:val="0068373A"/>
    <w:rsid w:val="006839AA"/>
    <w:rsid w:val="00684574"/>
    <w:rsid w:val="006854A3"/>
    <w:rsid w:val="00685B63"/>
    <w:rsid w:val="006867A3"/>
    <w:rsid w:val="00687DB1"/>
    <w:rsid w:val="00690252"/>
    <w:rsid w:val="00690337"/>
    <w:rsid w:val="00690C6B"/>
    <w:rsid w:val="00693DAE"/>
    <w:rsid w:val="006945AD"/>
    <w:rsid w:val="00694E1A"/>
    <w:rsid w:val="00695A1E"/>
    <w:rsid w:val="00695F6E"/>
    <w:rsid w:val="006A0A16"/>
    <w:rsid w:val="006A177C"/>
    <w:rsid w:val="006A25BB"/>
    <w:rsid w:val="006A28AC"/>
    <w:rsid w:val="006A3A0D"/>
    <w:rsid w:val="006A3E53"/>
    <w:rsid w:val="006A3F18"/>
    <w:rsid w:val="006A4E81"/>
    <w:rsid w:val="006A53B2"/>
    <w:rsid w:val="006A5856"/>
    <w:rsid w:val="006A5D0B"/>
    <w:rsid w:val="006A5D26"/>
    <w:rsid w:val="006A65B3"/>
    <w:rsid w:val="006A65B4"/>
    <w:rsid w:val="006A6986"/>
    <w:rsid w:val="006A6E93"/>
    <w:rsid w:val="006B0009"/>
    <w:rsid w:val="006B02CE"/>
    <w:rsid w:val="006B10B6"/>
    <w:rsid w:val="006B1377"/>
    <w:rsid w:val="006B189E"/>
    <w:rsid w:val="006B199F"/>
    <w:rsid w:val="006B24AB"/>
    <w:rsid w:val="006B24CF"/>
    <w:rsid w:val="006B25BB"/>
    <w:rsid w:val="006B2726"/>
    <w:rsid w:val="006B2AB2"/>
    <w:rsid w:val="006B57B2"/>
    <w:rsid w:val="006B5B78"/>
    <w:rsid w:val="006B5D3F"/>
    <w:rsid w:val="006B5E2A"/>
    <w:rsid w:val="006B6D6C"/>
    <w:rsid w:val="006B773F"/>
    <w:rsid w:val="006B7E3A"/>
    <w:rsid w:val="006C0EDC"/>
    <w:rsid w:val="006C1086"/>
    <w:rsid w:val="006C109B"/>
    <w:rsid w:val="006C180F"/>
    <w:rsid w:val="006C2F7A"/>
    <w:rsid w:val="006C33D9"/>
    <w:rsid w:val="006C36A8"/>
    <w:rsid w:val="006C38A2"/>
    <w:rsid w:val="006C3F99"/>
    <w:rsid w:val="006C4214"/>
    <w:rsid w:val="006C49F0"/>
    <w:rsid w:val="006C590B"/>
    <w:rsid w:val="006C63D3"/>
    <w:rsid w:val="006C6C33"/>
    <w:rsid w:val="006D0796"/>
    <w:rsid w:val="006D164C"/>
    <w:rsid w:val="006D1B2D"/>
    <w:rsid w:val="006D1C84"/>
    <w:rsid w:val="006D1E0B"/>
    <w:rsid w:val="006D1E80"/>
    <w:rsid w:val="006D2DF3"/>
    <w:rsid w:val="006D4C17"/>
    <w:rsid w:val="006D5061"/>
    <w:rsid w:val="006D53E0"/>
    <w:rsid w:val="006D555F"/>
    <w:rsid w:val="006D5A92"/>
    <w:rsid w:val="006D5BF0"/>
    <w:rsid w:val="006D7E28"/>
    <w:rsid w:val="006E0319"/>
    <w:rsid w:val="006E0925"/>
    <w:rsid w:val="006E0A13"/>
    <w:rsid w:val="006E0A28"/>
    <w:rsid w:val="006E0CA4"/>
    <w:rsid w:val="006E17CD"/>
    <w:rsid w:val="006E17EA"/>
    <w:rsid w:val="006E23B6"/>
    <w:rsid w:val="006E25AB"/>
    <w:rsid w:val="006E2DA3"/>
    <w:rsid w:val="006E3249"/>
    <w:rsid w:val="006E3262"/>
    <w:rsid w:val="006E3A6D"/>
    <w:rsid w:val="006E4520"/>
    <w:rsid w:val="006E4748"/>
    <w:rsid w:val="006E479A"/>
    <w:rsid w:val="006E4BDB"/>
    <w:rsid w:val="006E5304"/>
    <w:rsid w:val="006E561C"/>
    <w:rsid w:val="006E7746"/>
    <w:rsid w:val="006E7A30"/>
    <w:rsid w:val="006E7F70"/>
    <w:rsid w:val="006F0256"/>
    <w:rsid w:val="006F0268"/>
    <w:rsid w:val="006F069B"/>
    <w:rsid w:val="006F099F"/>
    <w:rsid w:val="006F1305"/>
    <w:rsid w:val="006F2073"/>
    <w:rsid w:val="006F20EC"/>
    <w:rsid w:val="006F425C"/>
    <w:rsid w:val="006F4537"/>
    <w:rsid w:val="006F4826"/>
    <w:rsid w:val="006F4D0E"/>
    <w:rsid w:val="006F65B7"/>
    <w:rsid w:val="006F6C89"/>
    <w:rsid w:val="006F728C"/>
    <w:rsid w:val="006F738D"/>
    <w:rsid w:val="006F7817"/>
    <w:rsid w:val="00700738"/>
    <w:rsid w:val="00700F07"/>
    <w:rsid w:val="00701576"/>
    <w:rsid w:val="007022CF"/>
    <w:rsid w:val="007026DD"/>
    <w:rsid w:val="00703A35"/>
    <w:rsid w:val="00703B8E"/>
    <w:rsid w:val="00703C04"/>
    <w:rsid w:val="00705D08"/>
    <w:rsid w:val="007061C8"/>
    <w:rsid w:val="00707103"/>
    <w:rsid w:val="007078F5"/>
    <w:rsid w:val="00707997"/>
    <w:rsid w:val="0071029B"/>
    <w:rsid w:val="0071052E"/>
    <w:rsid w:val="007109C7"/>
    <w:rsid w:val="00711762"/>
    <w:rsid w:val="00711887"/>
    <w:rsid w:val="00712C42"/>
    <w:rsid w:val="0071349C"/>
    <w:rsid w:val="0071368C"/>
    <w:rsid w:val="00714A20"/>
    <w:rsid w:val="00715B55"/>
    <w:rsid w:val="00715C81"/>
    <w:rsid w:val="00716588"/>
    <w:rsid w:val="0071681A"/>
    <w:rsid w:val="00716CDE"/>
    <w:rsid w:val="00717AE7"/>
    <w:rsid w:val="00720861"/>
    <w:rsid w:val="00721552"/>
    <w:rsid w:val="007221E5"/>
    <w:rsid w:val="007228B3"/>
    <w:rsid w:val="00723559"/>
    <w:rsid w:val="00723E03"/>
    <w:rsid w:val="00723F96"/>
    <w:rsid w:val="00725116"/>
    <w:rsid w:val="0072596A"/>
    <w:rsid w:val="007266C4"/>
    <w:rsid w:val="00726B46"/>
    <w:rsid w:val="00726D6A"/>
    <w:rsid w:val="00726E5E"/>
    <w:rsid w:val="00730C6F"/>
    <w:rsid w:val="00732254"/>
    <w:rsid w:val="007327F4"/>
    <w:rsid w:val="00733055"/>
    <w:rsid w:val="00733277"/>
    <w:rsid w:val="00734111"/>
    <w:rsid w:val="0073470A"/>
    <w:rsid w:val="00736654"/>
    <w:rsid w:val="007367A7"/>
    <w:rsid w:val="00736A0E"/>
    <w:rsid w:val="00736C13"/>
    <w:rsid w:val="00736C5F"/>
    <w:rsid w:val="00736E1E"/>
    <w:rsid w:val="00736F0E"/>
    <w:rsid w:val="007375DD"/>
    <w:rsid w:val="00737D6E"/>
    <w:rsid w:val="007403C8"/>
    <w:rsid w:val="00740ABB"/>
    <w:rsid w:val="00740F49"/>
    <w:rsid w:val="00741157"/>
    <w:rsid w:val="007412C7"/>
    <w:rsid w:val="007437EA"/>
    <w:rsid w:val="007445DB"/>
    <w:rsid w:val="00744EC2"/>
    <w:rsid w:val="00745469"/>
    <w:rsid w:val="0074569B"/>
    <w:rsid w:val="007462E5"/>
    <w:rsid w:val="00746FE8"/>
    <w:rsid w:val="00747C43"/>
    <w:rsid w:val="00747D8E"/>
    <w:rsid w:val="007510E2"/>
    <w:rsid w:val="007513AA"/>
    <w:rsid w:val="00751427"/>
    <w:rsid w:val="00752314"/>
    <w:rsid w:val="00752473"/>
    <w:rsid w:val="00752903"/>
    <w:rsid w:val="00752EA3"/>
    <w:rsid w:val="00752FF0"/>
    <w:rsid w:val="00753DAF"/>
    <w:rsid w:val="00753E37"/>
    <w:rsid w:val="007550FC"/>
    <w:rsid w:val="00755528"/>
    <w:rsid w:val="00755E2E"/>
    <w:rsid w:val="00756889"/>
    <w:rsid w:val="0075716D"/>
    <w:rsid w:val="00757D44"/>
    <w:rsid w:val="00761065"/>
    <w:rsid w:val="0076146E"/>
    <w:rsid w:val="00762DBF"/>
    <w:rsid w:val="00763185"/>
    <w:rsid w:val="00763670"/>
    <w:rsid w:val="00764C09"/>
    <w:rsid w:val="00765C0C"/>
    <w:rsid w:val="00765FB2"/>
    <w:rsid w:val="00766BBE"/>
    <w:rsid w:val="00767521"/>
    <w:rsid w:val="00767CA0"/>
    <w:rsid w:val="00772720"/>
    <w:rsid w:val="007730A3"/>
    <w:rsid w:val="007732C9"/>
    <w:rsid w:val="007736C1"/>
    <w:rsid w:val="007738F3"/>
    <w:rsid w:val="0077430F"/>
    <w:rsid w:val="00774502"/>
    <w:rsid w:val="00774CB6"/>
    <w:rsid w:val="00775F4B"/>
    <w:rsid w:val="00776A3D"/>
    <w:rsid w:val="00777E6D"/>
    <w:rsid w:val="00780719"/>
    <w:rsid w:val="00782488"/>
    <w:rsid w:val="00782F87"/>
    <w:rsid w:val="0078386A"/>
    <w:rsid w:val="00783F0D"/>
    <w:rsid w:val="00785356"/>
    <w:rsid w:val="00785E49"/>
    <w:rsid w:val="00786280"/>
    <w:rsid w:val="0078653C"/>
    <w:rsid w:val="007868C5"/>
    <w:rsid w:val="00786A8D"/>
    <w:rsid w:val="00786B17"/>
    <w:rsid w:val="00787338"/>
    <w:rsid w:val="00787A67"/>
    <w:rsid w:val="00787C90"/>
    <w:rsid w:val="00787F9C"/>
    <w:rsid w:val="0079016F"/>
    <w:rsid w:val="00790A1F"/>
    <w:rsid w:val="00790D40"/>
    <w:rsid w:val="007925EE"/>
    <w:rsid w:val="00793B7A"/>
    <w:rsid w:val="00793B88"/>
    <w:rsid w:val="00793C15"/>
    <w:rsid w:val="00793DA2"/>
    <w:rsid w:val="00794EF4"/>
    <w:rsid w:val="0079598D"/>
    <w:rsid w:val="0079610C"/>
    <w:rsid w:val="00796900"/>
    <w:rsid w:val="0079705E"/>
    <w:rsid w:val="007A01EB"/>
    <w:rsid w:val="007A0267"/>
    <w:rsid w:val="007A097E"/>
    <w:rsid w:val="007A172D"/>
    <w:rsid w:val="007A1E97"/>
    <w:rsid w:val="007A27E7"/>
    <w:rsid w:val="007A3326"/>
    <w:rsid w:val="007A5B88"/>
    <w:rsid w:val="007A5FA9"/>
    <w:rsid w:val="007A5FC2"/>
    <w:rsid w:val="007A635A"/>
    <w:rsid w:val="007A6887"/>
    <w:rsid w:val="007A6E36"/>
    <w:rsid w:val="007A70F2"/>
    <w:rsid w:val="007A716B"/>
    <w:rsid w:val="007A7357"/>
    <w:rsid w:val="007A75BC"/>
    <w:rsid w:val="007A75CE"/>
    <w:rsid w:val="007B069E"/>
    <w:rsid w:val="007B0D3A"/>
    <w:rsid w:val="007B13AE"/>
    <w:rsid w:val="007B19D4"/>
    <w:rsid w:val="007B2475"/>
    <w:rsid w:val="007B249F"/>
    <w:rsid w:val="007B2ECC"/>
    <w:rsid w:val="007B308A"/>
    <w:rsid w:val="007B3352"/>
    <w:rsid w:val="007B3913"/>
    <w:rsid w:val="007B3C9F"/>
    <w:rsid w:val="007B4037"/>
    <w:rsid w:val="007B56E7"/>
    <w:rsid w:val="007B5B03"/>
    <w:rsid w:val="007B6B6E"/>
    <w:rsid w:val="007B6CC1"/>
    <w:rsid w:val="007C028C"/>
    <w:rsid w:val="007C1DF4"/>
    <w:rsid w:val="007C22C7"/>
    <w:rsid w:val="007C433C"/>
    <w:rsid w:val="007C47CD"/>
    <w:rsid w:val="007C5394"/>
    <w:rsid w:val="007C5B4E"/>
    <w:rsid w:val="007C6BB9"/>
    <w:rsid w:val="007C6E13"/>
    <w:rsid w:val="007C73F3"/>
    <w:rsid w:val="007C781B"/>
    <w:rsid w:val="007C7F61"/>
    <w:rsid w:val="007D0225"/>
    <w:rsid w:val="007D028B"/>
    <w:rsid w:val="007D06D7"/>
    <w:rsid w:val="007D10F3"/>
    <w:rsid w:val="007D12AC"/>
    <w:rsid w:val="007D13CA"/>
    <w:rsid w:val="007D1633"/>
    <w:rsid w:val="007D1B60"/>
    <w:rsid w:val="007D1E0C"/>
    <w:rsid w:val="007D2118"/>
    <w:rsid w:val="007D226E"/>
    <w:rsid w:val="007D2899"/>
    <w:rsid w:val="007D2E6D"/>
    <w:rsid w:val="007D36BE"/>
    <w:rsid w:val="007D4B15"/>
    <w:rsid w:val="007D51C3"/>
    <w:rsid w:val="007D54DA"/>
    <w:rsid w:val="007D5501"/>
    <w:rsid w:val="007D633B"/>
    <w:rsid w:val="007D6601"/>
    <w:rsid w:val="007D69D9"/>
    <w:rsid w:val="007D709F"/>
    <w:rsid w:val="007D7F23"/>
    <w:rsid w:val="007E0423"/>
    <w:rsid w:val="007E073D"/>
    <w:rsid w:val="007E0A85"/>
    <w:rsid w:val="007E260F"/>
    <w:rsid w:val="007E2769"/>
    <w:rsid w:val="007E35CB"/>
    <w:rsid w:val="007E46BB"/>
    <w:rsid w:val="007E4B05"/>
    <w:rsid w:val="007E6448"/>
    <w:rsid w:val="007E70AF"/>
    <w:rsid w:val="007E7CA3"/>
    <w:rsid w:val="007F131D"/>
    <w:rsid w:val="007F139A"/>
    <w:rsid w:val="007F16A8"/>
    <w:rsid w:val="007F16D4"/>
    <w:rsid w:val="007F3392"/>
    <w:rsid w:val="007F342D"/>
    <w:rsid w:val="007F36B5"/>
    <w:rsid w:val="007F3D84"/>
    <w:rsid w:val="007F3E04"/>
    <w:rsid w:val="007F6149"/>
    <w:rsid w:val="007F618C"/>
    <w:rsid w:val="007F688D"/>
    <w:rsid w:val="007F7010"/>
    <w:rsid w:val="008021E8"/>
    <w:rsid w:val="00802325"/>
    <w:rsid w:val="0080295B"/>
    <w:rsid w:val="0080398A"/>
    <w:rsid w:val="00803E7E"/>
    <w:rsid w:val="008067FE"/>
    <w:rsid w:val="00806A41"/>
    <w:rsid w:val="00806B60"/>
    <w:rsid w:val="00806F44"/>
    <w:rsid w:val="0080722E"/>
    <w:rsid w:val="008077CD"/>
    <w:rsid w:val="00807954"/>
    <w:rsid w:val="00807C6A"/>
    <w:rsid w:val="00807D87"/>
    <w:rsid w:val="00810F05"/>
    <w:rsid w:val="0081149D"/>
    <w:rsid w:val="00811F50"/>
    <w:rsid w:val="00812649"/>
    <w:rsid w:val="00812A79"/>
    <w:rsid w:val="00812E7D"/>
    <w:rsid w:val="00814ABB"/>
    <w:rsid w:val="0081528C"/>
    <w:rsid w:val="00815DBC"/>
    <w:rsid w:val="00816252"/>
    <w:rsid w:val="00816F1C"/>
    <w:rsid w:val="00816FB0"/>
    <w:rsid w:val="008175AA"/>
    <w:rsid w:val="00817997"/>
    <w:rsid w:val="0082058C"/>
    <w:rsid w:val="00820683"/>
    <w:rsid w:val="00820E09"/>
    <w:rsid w:val="00821FFB"/>
    <w:rsid w:val="008223E7"/>
    <w:rsid w:val="00823EA1"/>
    <w:rsid w:val="00824620"/>
    <w:rsid w:val="008248EC"/>
    <w:rsid w:val="00824DE3"/>
    <w:rsid w:val="00825138"/>
    <w:rsid w:val="0082524D"/>
    <w:rsid w:val="00825DED"/>
    <w:rsid w:val="00825EB9"/>
    <w:rsid w:val="00826BBF"/>
    <w:rsid w:val="00826C80"/>
    <w:rsid w:val="00826D20"/>
    <w:rsid w:val="00830D98"/>
    <w:rsid w:val="00830F9B"/>
    <w:rsid w:val="00832441"/>
    <w:rsid w:val="008333AD"/>
    <w:rsid w:val="00833678"/>
    <w:rsid w:val="00833843"/>
    <w:rsid w:val="0083438A"/>
    <w:rsid w:val="00834C7D"/>
    <w:rsid w:val="0083509E"/>
    <w:rsid w:val="00835E9E"/>
    <w:rsid w:val="0083633E"/>
    <w:rsid w:val="00837AA1"/>
    <w:rsid w:val="00837B25"/>
    <w:rsid w:val="00837D78"/>
    <w:rsid w:val="00840460"/>
    <w:rsid w:val="008408C1"/>
    <w:rsid w:val="0084098A"/>
    <w:rsid w:val="00840B15"/>
    <w:rsid w:val="008413D6"/>
    <w:rsid w:val="00843A62"/>
    <w:rsid w:val="00843B4E"/>
    <w:rsid w:val="00843D27"/>
    <w:rsid w:val="008467C7"/>
    <w:rsid w:val="00846D8B"/>
    <w:rsid w:val="00846DCE"/>
    <w:rsid w:val="0084763A"/>
    <w:rsid w:val="0084785E"/>
    <w:rsid w:val="008503AA"/>
    <w:rsid w:val="008505F4"/>
    <w:rsid w:val="00851765"/>
    <w:rsid w:val="008519F0"/>
    <w:rsid w:val="00851AD0"/>
    <w:rsid w:val="0085234E"/>
    <w:rsid w:val="00852428"/>
    <w:rsid w:val="008547AC"/>
    <w:rsid w:val="00854AAB"/>
    <w:rsid w:val="00854E3D"/>
    <w:rsid w:val="0085509F"/>
    <w:rsid w:val="00856621"/>
    <w:rsid w:val="008568C5"/>
    <w:rsid w:val="00856A1E"/>
    <w:rsid w:val="00856E94"/>
    <w:rsid w:val="008574BE"/>
    <w:rsid w:val="00857A98"/>
    <w:rsid w:val="00857B0B"/>
    <w:rsid w:val="00857B89"/>
    <w:rsid w:val="00857D2A"/>
    <w:rsid w:val="00857E65"/>
    <w:rsid w:val="008601C5"/>
    <w:rsid w:val="00860F10"/>
    <w:rsid w:val="00861D12"/>
    <w:rsid w:val="00861F8E"/>
    <w:rsid w:val="008631BE"/>
    <w:rsid w:val="0086369F"/>
    <w:rsid w:val="00863F9A"/>
    <w:rsid w:val="00864126"/>
    <w:rsid w:val="00864DCC"/>
    <w:rsid w:val="008658E3"/>
    <w:rsid w:val="00865F66"/>
    <w:rsid w:val="00867518"/>
    <w:rsid w:val="00867711"/>
    <w:rsid w:val="008704E4"/>
    <w:rsid w:val="00871619"/>
    <w:rsid w:val="00871FE1"/>
    <w:rsid w:val="00872B6F"/>
    <w:rsid w:val="00872D96"/>
    <w:rsid w:val="00873583"/>
    <w:rsid w:val="00873AA0"/>
    <w:rsid w:val="00873D70"/>
    <w:rsid w:val="008749C8"/>
    <w:rsid w:val="0087501B"/>
    <w:rsid w:val="008751E1"/>
    <w:rsid w:val="0087528C"/>
    <w:rsid w:val="00876062"/>
    <w:rsid w:val="0087628C"/>
    <w:rsid w:val="00876634"/>
    <w:rsid w:val="00876758"/>
    <w:rsid w:val="0087753A"/>
    <w:rsid w:val="00877A05"/>
    <w:rsid w:val="00880650"/>
    <w:rsid w:val="00880ACD"/>
    <w:rsid w:val="00880DE8"/>
    <w:rsid w:val="00881C49"/>
    <w:rsid w:val="008827CE"/>
    <w:rsid w:val="00882D41"/>
    <w:rsid w:val="0088509B"/>
    <w:rsid w:val="00887AD9"/>
    <w:rsid w:val="00890682"/>
    <w:rsid w:val="008906AE"/>
    <w:rsid w:val="00890BD7"/>
    <w:rsid w:val="00891554"/>
    <w:rsid w:val="00891A6E"/>
    <w:rsid w:val="00891E86"/>
    <w:rsid w:val="008926BE"/>
    <w:rsid w:val="00893424"/>
    <w:rsid w:val="008937AA"/>
    <w:rsid w:val="00893E4B"/>
    <w:rsid w:val="00893F84"/>
    <w:rsid w:val="008941B7"/>
    <w:rsid w:val="008951FB"/>
    <w:rsid w:val="00895868"/>
    <w:rsid w:val="008968EB"/>
    <w:rsid w:val="0089726F"/>
    <w:rsid w:val="00897689"/>
    <w:rsid w:val="00897F6D"/>
    <w:rsid w:val="00897FEE"/>
    <w:rsid w:val="008A0D06"/>
    <w:rsid w:val="008A0F23"/>
    <w:rsid w:val="008A281C"/>
    <w:rsid w:val="008A3A56"/>
    <w:rsid w:val="008A405E"/>
    <w:rsid w:val="008A40D3"/>
    <w:rsid w:val="008A4DD1"/>
    <w:rsid w:val="008A51A2"/>
    <w:rsid w:val="008A51C6"/>
    <w:rsid w:val="008A51D2"/>
    <w:rsid w:val="008A56E9"/>
    <w:rsid w:val="008A56F1"/>
    <w:rsid w:val="008A5CEF"/>
    <w:rsid w:val="008A6905"/>
    <w:rsid w:val="008A6D1E"/>
    <w:rsid w:val="008A7BFE"/>
    <w:rsid w:val="008A7E2C"/>
    <w:rsid w:val="008B1C9C"/>
    <w:rsid w:val="008B2387"/>
    <w:rsid w:val="008B2EB2"/>
    <w:rsid w:val="008B33A7"/>
    <w:rsid w:val="008B3EDB"/>
    <w:rsid w:val="008B42BD"/>
    <w:rsid w:val="008B4F12"/>
    <w:rsid w:val="008B55DA"/>
    <w:rsid w:val="008B5988"/>
    <w:rsid w:val="008B5C24"/>
    <w:rsid w:val="008B6DC6"/>
    <w:rsid w:val="008B7AF1"/>
    <w:rsid w:val="008B7FF2"/>
    <w:rsid w:val="008C0EFC"/>
    <w:rsid w:val="008C18BE"/>
    <w:rsid w:val="008C27F0"/>
    <w:rsid w:val="008C3354"/>
    <w:rsid w:val="008C3EB9"/>
    <w:rsid w:val="008C478F"/>
    <w:rsid w:val="008C4FB7"/>
    <w:rsid w:val="008C6BD7"/>
    <w:rsid w:val="008C6E42"/>
    <w:rsid w:val="008D0832"/>
    <w:rsid w:val="008D0D54"/>
    <w:rsid w:val="008D1B82"/>
    <w:rsid w:val="008D204E"/>
    <w:rsid w:val="008D2D83"/>
    <w:rsid w:val="008D39CC"/>
    <w:rsid w:val="008D5903"/>
    <w:rsid w:val="008D5A28"/>
    <w:rsid w:val="008D5E56"/>
    <w:rsid w:val="008D5F99"/>
    <w:rsid w:val="008D6852"/>
    <w:rsid w:val="008D79C2"/>
    <w:rsid w:val="008E0096"/>
    <w:rsid w:val="008E100B"/>
    <w:rsid w:val="008E143B"/>
    <w:rsid w:val="008E2817"/>
    <w:rsid w:val="008E2F8C"/>
    <w:rsid w:val="008E3244"/>
    <w:rsid w:val="008E36EC"/>
    <w:rsid w:val="008E3A6A"/>
    <w:rsid w:val="008E3D53"/>
    <w:rsid w:val="008E5294"/>
    <w:rsid w:val="008E5CE3"/>
    <w:rsid w:val="008E643A"/>
    <w:rsid w:val="008E6F2F"/>
    <w:rsid w:val="008E6F49"/>
    <w:rsid w:val="008E7C50"/>
    <w:rsid w:val="008E7D0C"/>
    <w:rsid w:val="008F047D"/>
    <w:rsid w:val="008F0BD5"/>
    <w:rsid w:val="008F1039"/>
    <w:rsid w:val="008F10C0"/>
    <w:rsid w:val="008F1194"/>
    <w:rsid w:val="008F273A"/>
    <w:rsid w:val="008F3D2F"/>
    <w:rsid w:val="008F41FB"/>
    <w:rsid w:val="008F464E"/>
    <w:rsid w:val="008F4A10"/>
    <w:rsid w:val="008F4AF8"/>
    <w:rsid w:val="008F5AED"/>
    <w:rsid w:val="008F5F3B"/>
    <w:rsid w:val="008F5FA6"/>
    <w:rsid w:val="008F64BD"/>
    <w:rsid w:val="008F72A3"/>
    <w:rsid w:val="008F77AC"/>
    <w:rsid w:val="008F78BF"/>
    <w:rsid w:val="008F7A9C"/>
    <w:rsid w:val="00900503"/>
    <w:rsid w:val="0090054B"/>
    <w:rsid w:val="00900D21"/>
    <w:rsid w:val="009020BB"/>
    <w:rsid w:val="009030E0"/>
    <w:rsid w:val="00904395"/>
    <w:rsid w:val="0090467F"/>
    <w:rsid w:val="0090498B"/>
    <w:rsid w:val="00905030"/>
    <w:rsid w:val="00905B01"/>
    <w:rsid w:val="00905DEE"/>
    <w:rsid w:val="00905EC2"/>
    <w:rsid w:val="00906E7C"/>
    <w:rsid w:val="0091042B"/>
    <w:rsid w:val="00910B19"/>
    <w:rsid w:val="00910F07"/>
    <w:rsid w:val="00910F9E"/>
    <w:rsid w:val="009110E4"/>
    <w:rsid w:val="00911305"/>
    <w:rsid w:val="00911B4A"/>
    <w:rsid w:val="00911EAE"/>
    <w:rsid w:val="0091299A"/>
    <w:rsid w:val="00912F99"/>
    <w:rsid w:val="009134B4"/>
    <w:rsid w:val="00913B89"/>
    <w:rsid w:val="00913D38"/>
    <w:rsid w:val="00914764"/>
    <w:rsid w:val="0091539C"/>
    <w:rsid w:val="00916B17"/>
    <w:rsid w:val="009171E6"/>
    <w:rsid w:val="00917822"/>
    <w:rsid w:val="009179C9"/>
    <w:rsid w:val="00920781"/>
    <w:rsid w:val="00920A7C"/>
    <w:rsid w:val="009217B7"/>
    <w:rsid w:val="00922CDE"/>
    <w:rsid w:val="009238C0"/>
    <w:rsid w:val="00924B70"/>
    <w:rsid w:val="00924D99"/>
    <w:rsid w:val="009253B5"/>
    <w:rsid w:val="00925BAA"/>
    <w:rsid w:val="00925D26"/>
    <w:rsid w:val="00925EE3"/>
    <w:rsid w:val="00926B9C"/>
    <w:rsid w:val="00926F39"/>
    <w:rsid w:val="00927590"/>
    <w:rsid w:val="0092796F"/>
    <w:rsid w:val="00931375"/>
    <w:rsid w:val="009317F7"/>
    <w:rsid w:val="0093207C"/>
    <w:rsid w:val="009328FC"/>
    <w:rsid w:val="00932D73"/>
    <w:rsid w:val="009330B0"/>
    <w:rsid w:val="00933D7D"/>
    <w:rsid w:val="00934AA4"/>
    <w:rsid w:val="00935D0A"/>
    <w:rsid w:val="009360C5"/>
    <w:rsid w:val="00937816"/>
    <w:rsid w:val="00937C85"/>
    <w:rsid w:val="00937D0D"/>
    <w:rsid w:val="00940197"/>
    <w:rsid w:val="0094047A"/>
    <w:rsid w:val="00940977"/>
    <w:rsid w:val="00941327"/>
    <w:rsid w:val="009417B3"/>
    <w:rsid w:val="009442C8"/>
    <w:rsid w:val="00944443"/>
    <w:rsid w:val="00944AB8"/>
    <w:rsid w:val="00945749"/>
    <w:rsid w:val="0094747A"/>
    <w:rsid w:val="009476C9"/>
    <w:rsid w:val="009502A8"/>
    <w:rsid w:val="00950306"/>
    <w:rsid w:val="00950842"/>
    <w:rsid w:val="00951A3B"/>
    <w:rsid w:val="00952484"/>
    <w:rsid w:val="00952511"/>
    <w:rsid w:val="00952FBD"/>
    <w:rsid w:val="009536D0"/>
    <w:rsid w:val="009564EF"/>
    <w:rsid w:val="00956659"/>
    <w:rsid w:val="00956E0E"/>
    <w:rsid w:val="00957152"/>
    <w:rsid w:val="009573F8"/>
    <w:rsid w:val="009576A3"/>
    <w:rsid w:val="00960061"/>
    <w:rsid w:val="0096064B"/>
    <w:rsid w:val="00960C40"/>
    <w:rsid w:val="00960F0F"/>
    <w:rsid w:val="0096136C"/>
    <w:rsid w:val="0096244D"/>
    <w:rsid w:val="0096293A"/>
    <w:rsid w:val="00962C63"/>
    <w:rsid w:val="009634D2"/>
    <w:rsid w:val="00963568"/>
    <w:rsid w:val="00963642"/>
    <w:rsid w:val="009639A8"/>
    <w:rsid w:val="00964A01"/>
    <w:rsid w:val="00965739"/>
    <w:rsid w:val="00966944"/>
    <w:rsid w:val="00970263"/>
    <w:rsid w:val="009704B0"/>
    <w:rsid w:val="009704B5"/>
    <w:rsid w:val="00970DCE"/>
    <w:rsid w:val="00972036"/>
    <w:rsid w:val="0097305A"/>
    <w:rsid w:val="00973423"/>
    <w:rsid w:val="00974560"/>
    <w:rsid w:val="00974F05"/>
    <w:rsid w:val="00975409"/>
    <w:rsid w:val="0097651C"/>
    <w:rsid w:val="00977351"/>
    <w:rsid w:val="009807AD"/>
    <w:rsid w:val="00982218"/>
    <w:rsid w:val="009826F0"/>
    <w:rsid w:val="00982997"/>
    <w:rsid w:val="00982A80"/>
    <w:rsid w:val="00983700"/>
    <w:rsid w:val="00983F19"/>
    <w:rsid w:val="00984986"/>
    <w:rsid w:val="00984A5F"/>
    <w:rsid w:val="00984B23"/>
    <w:rsid w:val="00984B2B"/>
    <w:rsid w:val="009855CC"/>
    <w:rsid w:val="00986212"/>
    <w:rsid w:val="0098632B"/>
    <w:rsid w:val="00986724"/>
    <w:rsid w:val="00987853"/>
    <w:rsid w:val="009902CC"/>
    <w:rsid w:val="0099033E"/>
    <w:rsid w:val="0099039C"/>
    <w:rsid w:val="00991CBC"/>
    <w:rsid w:val="009920D4"/>
    <w:rsid w:val="00992313"/>
    <w:rsid w:val="009934A2"/>
    <w:rsid w:val="00993B7A"/>
    <w:rsid w:val="0099432F"/>
    <w:rsid w:val="00994879"/>
    <w:rsid w:val="00994B04"/>
    <w:rsid w:val="009952EB"/>
    <w:rsid w:val="009957BA"/>
    <w:rsid w:val="009959BB"/>
    <w:rsid w:val="00995D43"/>
    <w:rsid w:val="009964E7"/>
    <w:rsid w:val="00997538"/>
    <w:rsid w:val="009978C6"/>
    <w:rsid w:val="009A01D1"/>
    <w:rsid w:val="009A0A98"/>
    <w:rsid w:val="009A180F"/>
    <w:rsid w:val="009A20E5"/>
    <w:rsid w:val="009A21F2"/>
    <w:rsid w:val="009A3438"/>
    <w:rsid w:val="009A3867"/>
    <w:rsid w:val="009A3CA3"/>
    <w:rsid w:val="009A4A2A"/>
    <w:rsid w:val="009A52F3"/>
    <w:rsid w:val="009A5323"/>
    <w:rsid w:val="009A623A"/>
    <w:rsid w:val="009B02D9"/>
    <w:rsid w:val="009B2B10"/>
    <w:rsid w:val="009B2BB6"/>
    <w:rsid w:val="009B3319"/>
    <w:rsid w:val="009B4B17"/>
    <w:rsid w:val="009B532B"/>
    <w:rsid w:val="009B57A8"/>
    <w:rsid w:val="009B5F0E"/>
    <w:rsid w:val="009B62AE"/>
    <w:rsid w:val="009B68EA"/>
    <w:rsid w:val="009B6B20"/>
    <w:rsid w:val="009B7560"/>
    <w:rsid w:val="009B77E9"/>
    <w:rsid w:val="009C01E7"/>
    <w:rsid w:val="009C0CB0"/>
    <w:rsid w:val="009C0D92"/>
    <w:rsid w:val="009C174F"/>
    <w:rsid w:val="009C195D"/>
    <w:rsid w:val="009C1DEC"/>
    <w:rsid w:val="009C27E8"/>
    <w:rsid w:val="009C2D1D"/>
    <w:rsid w:val="009C2DB8"/>
    <w:rsid w:val="009C379E"/>
    <w:rsid w:val="009C3E19"/>
    <w:rsid w:val="009C4684"/>
    <w:rsid w:val="009C47A2"/>
    <w:rsid w:val="009C50D0"/>
    <w:rsid w:val="009C532F"/>
    <w:rsid w:val="009C54ED"/>
    <w:rsid w:val="009C5CA3"/>
    <w:rsid w:val="009C5DC9"/>
    <w:rsid w:val="009C60AC"/>
    <w:rsid w:val="009C64FC"/>
    <w:rsid w:val="009C6AFD"/>
    <w:rsid w:val="009D012F"/>
    <w:rsid w:val="009D01CD"/>
    <w:rsid w:val="009D0C37"/>
    <w:rsid w:val="009D1286"/>
    <w:rsid w:val="009D14D3"/>
    <w:rsid w:val="009D1584"/>
    <w:rsid w:val="009D17CA"/>
    <w:rsid w:val="009D1D49"/>
    <w:rsid w:val="009D2159"/>
    <w:rsid w:val="009D254E"/>
    <w:rsid w:val="009D2558"/>
    <w:rsid w:val="009D3EE1"/>
    <w:rsid w:val="009D40DF"/>
    <w:rsid w:val="009D4E17"/>
    <w:rsid w:val="009D55F5"/>
    <w:rsid w:val="009D5EEA"/>
    <w:rsid w:val="009D6773"/>
    <w:rsid w:val="009D6F3A"/>
    <w:rsid w:val="009D7229"/>
    <w:rsid w:val="009D7A02"/>
    <w:rsid w:val="009D7E49"/>
    <w:rsid w:val="009E0060"/>
    <w:rsid w:val="009E174D"/>
    <w:rsid w:val="009E3263"/>
    <w:rsid w:val="009E354F"/>
    <w:rsid w:val="009E3E67"/>
    <w:rsid w:val="009E4E93"/>
    <w:rsid w:val="009E51CE"/>
    <w:rsid w:val="009E59F4"/>
    <w:rsid w:val="009E5D82"/>
    <w:rsid w:val="009E6426"/>
    <w:rsid w:val="009E68AB"/>
    <w:rsid w:val="009E7210"/>
    <w:rsid w:val="009E734D"/>
    <w:rsid w:val="009E7C42"/>
    <w:rsid w:val="009F0667"/>
    <w:rsid w:val="009F08D6"/>
    <w:rsid w:val="009F0EAA"/>
    <w:rsid w:val="009F1B03"/>
    <w:rsid w:val="009F38A2"/>
    <w:rsid w:val="009F42AB"/>
    <w:rsid w:val="009F4319"/>
    <w:rsid w:val="009F4900"/>
    <w:rsid w:val="009F4D41"/>
    <w:rsid w:val="009F4FE2"/>
    <w:rsid w:val="009F5A9B"/>
    <w:rsid w:val="009F69D8"/>
    <w:rsid w:val="009F78CB"/>
    <w:rsid w:val="009F79DC"/>
    <w:rsid w:val="009F7D7D"/>
    <w:rsid w:val="00A002F3"/>
    <w:rsid w:val="00A00A06"/>
    <w:rsid w:val="00A017C1"/>
    <w:rsid w:val="00A01C27"/>
    <w:rsid w:val="00A01CEA"/>
    <w:rsid w:val="00A02278"/>
    <w:rsid w:val="00A0309C"/>
    <w:rsid w:val="00A032EA"/>
    <w:rsid w:val="00A03DAB"/>
    <w:rsid w:val="00A0599B"/>
    <w:rsid w:val="00A110AA"/>
    <w:rsid w:val="00A117E5"/>
    <w:rsid w:val="00A1192A"/>
    <w:rsid w:val="00A125C6"/>
    <w:rsid w:val="00A13A03"/>
    <w:rsid w:val="00A13A27"/>
    <w:rsid w:val="00A13A35"/>
    <w:rsid w:val="00A14107"/>
    <w:rsid w:val="00A141B1"/>
    <w:rsid w:val="00A145AB"/>
    <w:rsid w:val="00A15FF9"/>
    <w:rsid w:val="00A16BDB"/>
    <w:rsid w:val="00A17060"/>
    <w:rsid w:val="00A170BA"/>
    <w:rsid w:val="00A20587"/>
    <w:rsid w:val="00A20DBC"/>
    <w:rsid w:val="00A21A2F"/>
    <w:rsid w:val="00A2272F"/>
    <w:rsid w:val="00A22A55"/>
    <w:rsid w:val="00A22E47"/>
    <w:rsid w:val="00A22E5A"/>
    <w:rsid w:val="00A23FE4"/>
    <w:rsid w:val="00A241FE"/>
    <w:rsid w:val="00A25FDD"/>
    <w:rsid w:val="00A262E7"/>
    <w:rsid w:val="00A26B5F"/>
    <w:rsid w:val="00A27658"/>
    <w:rsid w:val="00A27C46"/>
    <w:rsid w:val="00A303EE"/>
    <w:rsid w:val="00A30982"/>
    <w:rsid w:val="00A30C13"/>
    <w:rsid w:val="00A31A16"/>
    <w:rsid w:val="00A31EEA"/>
    <w:rsid w:val="00A32EDC"/>
    <w:rsid w:val="00A331B9"/>
    <w:rsid w:val="00A3389A"/>
    <w:rsid w:val="00A356A4"/>
    <w:rsid w:val="00A35817"/>
    <w:rsid w:val="00A363B3"/>
    <w:rsid w:val="00A36B4B"/>
    <w:rsid w:val="00A36C54"/>
    <w:rsid w:val="00A37466"/>
    <w:rsid w:val="00A3747D"/>
    <w:rsid w:val="00A4069F"/>
    <w:rsid w:val="00A40CC4"/>
    <w:rsid w:val="00A410CD"/>
    <w:rsid w:val="00A413BB"/>
    <w:rsid w:val="00A41431"/>
    <w:rsid w:val="00A41F7A"/>
    <w:rsid w:val="00A42450"/>
    <w:rsid w:val="00A4301D"/>
    <w:rsid w:val="00A43F97"/>
    <w:rsid w:val="00A47574"/>
    <w:rsid w:val="00A502B4"/>
    <w:rsid w:val="00A50E60"/>
    <w:rsid w:val="00A51997"/>
    <w:rsid w:val="00A51EAB"/>
    <w:rsid w:val="00A520BF"/>
    <w:rsid w:val="00A527B5"/>
    <w:rsid w:val="00A52C01"/>
    <w:rsid w:val="00A52C18"/>
    <w:rsid w:val="00A5373A"/>
    <w:rsid w:val="00A5459E"/>
    <w:rsid w:val="00A55391"/>
    <w:rsid w:val="00A56AA8"/>
    <w:rsid w:val="00A57C70"/>
    <w:rsid w:val="00A60333"/>
    <w:rsid w:val="00A62542"/>
    <w:rsid w:val="00A62E21"/>
    <w:rsid w:val="00A63318"/>
    <w:rsid w:val="00A639FE"/>
    <w:rsid w:val="00A63E56"/>
    <w:rsid w:val="00A65376"/>
    <w:rsid w:val="00A65678"/>
    <w:rsid w:val="00A67405"/>
    <w:rsid w:val="00A677B5"/>
    <w:rsid w:val="00A67E2E"/>
    <w:rsid w:val="00A7042B"/>
    <w:rsid w:val="00A70DD1"/>
    <w:rsid w:val="00A70E52"/>
    <w:rsid w:val="00A7157D"/>
    <w:rsid w:val="00A716CA"/>
    <w:rsid w:val="00A72451"/>
    <w:rsid w:val="00A72D1B"/>
    <w:rsid w:val="00A73305"/>
    <w:rsid w:val="00A73941"/>
    <w:rsid w:val="00A7397B"/>
    <w:rsid w:val="00A73BC7"/>
    <w:rsid w:val="00A7501F"/>
    <w:rsid w:val="00A756AF"/>
    <w:rsid w:val="00A756E0"/>
    <w:rsid w:val="00A7707C"/>
    <w:rsid w:val="00A77D91"/>
    <w:rsid w:val="00A80AC2"/>
    <w:rsid w:val="00A81299"/>
    <w:rsid w:val="00A812ED"/>
    <w:rsid w:val="00A8220B"/>
    <w:rsid w:val="00A82227"/>
    <w:rsid w:val="00A823B0"/>
    <w:rsid w:val="00A82BA0"/>
    <w:rsid w:val="00A82D42"/>
    <w:rsid w:val="00A831D8"/>
    <w:rsid w:val="00A847E1"/>
    <w:rsid w:val="00A85006"/>
    <w:rsid w:val="00A8507B"/>
    <w:rsid w:val="00A85C20"/>
    <w:rsid w:val="00A86058"/>
    <w:rsid w:val="00A8676A"/>
    <w:rsid w:val="00A86985"/>
    <w:rsid w:val="00A87A44"/>
    <w:rsid w:val="00A90BD5"/>
    <w:rsid w:val="00A90F41"/>
    <w:rsid w:val="00A91951"/>
    <w:rsid w:val="00A91A0C"/>
    <w:rsid w:val="00A91CF0"/>
    <w:rsid w:val="00A92B6A"/>
    <w:rsid w:val="00A931A2"/>
    <w:rsid w:val="00A9367A"/>
    <w:rsid w:val="00A94115"/>
    <w:rsid w:val="00A943B2"/>
    <w:rsid w:val="00A94BD6"/>
    <w:rsid w:val="00A9602E"/>
    <w:rsid w:val="00A965CC"/>
    <w:rsid w:val="00A97794"/>
    <w:rsid w:val="00A97CD0"/>
    <w:rsid w:val="00AA0222"/>
    <w:rsid w:val="00AA031D"/>
    <w:rsid w:val="00AA2038"/>
    <w:rsid w:val="00AA2A35"/>
    <w:rsid w:val="00AA30F4"/>
    <w:rsid w:val="00AA376E"/>
    <w:rsid w:val="00AA3D4D"/>
    <w:rsid w:val="00AA4BB9"/>
    <w:rsid w:val="00AA5CB5"/>
    <w:rsid w:val="00AA5F9C"/>
    <w:rsid w:val="00AA601F"/>
    <w:rsid w:val="00AA6CFC"/>
    <w:rsid w:val="00AA7752"/>
    <w:rsid w:val="00AA7B0B"/>
    <w:rsid w:val="00AA7B4F"/>
    <w:rsid w:val="00AB04C7"/>
    <w:rsid w:val="00AB07A4"/>
    <w:rsid w:val="00AB181B"/>
    <w:rsid w:val="00AB2E64"/>
    <w:rsid w:val="00AB2E74"/>
    <w:rsid w:val="00AB32DF"/>
    <w:rsid w:val="00AB43E2"/>
    <w:rsid w:val="00AB4D75"/>
    <w:rsid w:val="00AB52FB"/>
    <w:rsid w:val="00AB5671"/>
    <w:rsid w:val="00AB60DA"/>
    <w:rsid w:val="00AB6F3C"/>
    <w:rsid w:val="00AB74C3"/>
    <w:rsid w:val="00AB7A8A"/>
    <w:rsid w:val="00AB7D7C"/>
    <w:rsid w:val="00AC007B"/>
    <w:rsid w:val="00AC0220"/>
    <w:rsid w:val="00AC0EBC"/>
    <w:rsid w:val="00AC17B4"/>
    <w:rsid w:val="00AC2A65"/>
    <w:rsid w:val="00AC2D69"/>
    <w:rsid w:val="00AC3B69"/>
    <w:rsid w:val="00AC3D1E"/>
    <w:rsid w:val="00AC3DCC"/>
    <w:rsid w:val="00AC3E58"/>
    <w:rsid w:val="00AC3FA7"/>
    <w:rsid w:val="00AC44EE"/>
    <w:rsid w:val="00AC4713"/>
    <w:rsid w:val="00AC6720"/>
    <w:rsid w:val="00AC7ECD"/>
    <w:rsid w:val="00AD0766"/>
    <w:rsid w:val="00AD083F"/>
    <w:rsid w:val="00AD2170"/>
    <w:rsid w:val="00AD275A"/>
    <w:rsid w:val="00AD2E82"/>
    <w:rsid w:val="00AD32EB"/>
    <w:rsid w:val="00AD37CE"/>
    <w:rsid w:val="00AD387D"/>
    <w:rsid w:val="00AD3D6D"/>
    <w:rsid w:val="00AD3DF0"/>
    <w:rsid w:val="00AD4834"/>
    <w:rsid w:val="00AD49BB"/>
    <w:rsid w:val="00AD596A"/>
    <w:rsid w:val="00AD6623"/>
    <w:rsid w:val="00AD7324"/>
    <w:rsid w:val="00AD7F00"/>
    <w:rsid w:val="00AE0559"/>
    <w:rsid w:val="00AE07AE"/>
    <w:rsid w:val="00AE0CC9"/>
    <w:rsid w:val="00AE0D97"/>
    <w:rsid w:val="00AE22BA"/>
    <w:rsid w:val="00AE2580"/>
    <w:rsid w:val="00AE30D6"/>
    <w:rsid w:val="00AE3167"/>
    <w:rsid w:val="00AE34D1"/>
    <w:rsid w:val="00AE383F"/>
    <w:rsid w:val="00AE3B5F"/>
    <w:rsid w:val="00AE3CFD"/>
    <w:rsid w:val="00AE4361"/>
    <w:rsid w:val="00AE55D2"/>
    <w:rsid w:val="00AE6141"/>
    <w:rsid w:val="00AE61F9"/>
    <w:rsid w:val="00AE6297"/>
    <w:rsid w:val="00AE6FA4"/>
    <w:rsid w:val="00AE7106"/>
    <w:rsid w:val="00AE7410"/>
    <w:rsid w:val="00AE786A"/>
    <w:rsid w:val="00AE7F29"/>
    <w:rsid w:val="00AF06CB"/>
    <w:rsid w:val="00AF0B30"/>
    <w:rsid w:val="00AF0B89"/>
    <w:rsid w:val="00AF1B84"/>
    <w:rsid w:val="00AF1EBB"/>
    <w:rsid w:val="00AF308E"/>
    <w:rsid w:val="00AF37BE"/>
    <w:rsid w:val="00AF3CD0"/>
    <w:rsid w:val="00AF4D16"/>
    <w:rsid w:val="00AF5B4A"/>
    <w:rsid w:val="00AF6215"/>
    <w:rsid w:val="00AF68BA"/>
    <w:rsid w:val="00AF6E2F"/>
    <w:rsid w:val="00AF7341"/>
    <w:rsid w:val="00AF7CB6"/>
    <w:rsid w:val="00B000E7"/>
    <w:rsid w:val="00B00272"/>
    <w:rsid w:val="00B00977"/>
    <w:rsid w:val="00B03428"/>
    <w:rsid w:val="00B035CC"/>
    <w:rsid w:val="00B040F9"/>
    <w:rsid w:val="00B044FF"/>
    <w:rsid w:val="00B05354"/>
    <w:rsid w:val="00B059E9"/>
    <w:rsid w:val="00B06606"/>
    <w:rsid w:val="00B068D9"/>
    <w:rsid w:val="00B06DCD"/>
    <w:rsid w:val="00B06E83"/>
    <w:rsid w:val="00B07E35"/>
    <w:rsid w:val="00B103CA"/>
    <w:rsid w:val="00B10B38"/>
    <w:rsid w:val="00B10E83"/>
    <w:rsid w:val="00B10F5C"/>
    <w:rsid w:val="00B13383"/>
    <w:rsid w:val="00B13D13"/>
    <w:rsid w:val="00B13ED2"/>
    <w:rsid w:val="00B14087"/>
    <w:rsid w:val="00B14102"/>
    <w:rsid w:val="00B14ED4"/>
    <w:rsid w:val="00B15013"/>
    <w:rsid w:val="00B154DD"/>
    <w:rsid w:val="00B165F4"/>
    <w:rsid w:val="00B16998"/>
    <w:rsid w:val="00B16AD6"/>
    <w:rsid w:val="00B16B19"/>
    <w:rsid w:val="00B1777F"/>
    <w:rsid w:val="00B2000F"/>
    <w:rsid w:val="00B200A3"/>
    <w:rsid w:val="00B22277"/>
    <w:rsid w:val="00B222AD"/>
    <w:rsid w:val="00B2249D"/>
    <w:rsid w:val="00B23603"/>
    <w:rsid w:val="00B23AC2"/>
    <w:rsid w:val="00B23CE0"/>
    <w:rsid w:val="00B25539"/>
    <w:rsid w:val="00B26618"/>
    <w:rsid w:val="00B26878"/>
    <w:rsid w:val="00B268F6"/>
    <w:rsid w:val="00B279D9"/>
    <w:rsid w:val="00B27B10"/>
    <w:rsid w:val="00B307C9"/>
    <w:rsid w:val="00B31468"/>
    <w:rsid w:val="00B3146A"/>
    <w:rsid w:val="00B3227A"/>
    <w:rsid w:val="00B32CD2"/>
    <w:rsid w:val="00B34418"/>
    <w:rsid w:val="00B3452A"/>
    <w:rsid w:val="00B34949"/>
    <w:rsid w:val="00B34F64"/>
    <w:rsid w:val="00B35422"/>
    <w:rsid w:val="00B35B76"/>
    <w:rsid w:val="00B35DB8"/>
    <w:rsid w:val="00B36634"/>
    <w:rsid w:val="00B36C11"/>
    <w:rsid w:val="00B36CEF"/>
    <w:rsid w:val="00B411FE"/>
    <w:rsid w:val="00B427DD"/>
    <w:rsid w:val="00B42A77"/>
    <w:rsid w:val="00B439AB"/>
    <w:rsid w:val="00B44089"/>
    <w:rsid w:val="00B44752"/>
    <w:rsid w:val="00B448DD"/>
    <w:rsid w:val="00B45D4F"/>
    <w:rsid w:val="00B45DC8"/>
    <w:rsid w:val="00B45E08"/>
    <w:rsid w:val="00B45E14"/>
    <w:rsid w:val="00B46898"/>
    <w:rsid w:val="00B46A5D"/>
    <w:rsid w:val="00B470CA"/>
    <w:rsid w:val="00B475C4"/>
    <w:rsid w:val="00B477EC"/>
    <w:rsid w:val="00B47BB6"/>
    <w:rsid w:val="00B509B9"/>
    <w:rsid w:val="00B51AA5"/>
    <w:rsid w:val="00B51E8B"/>
    <w:rsid w:val="00B522B8"/>
    <w:rsid w:val="00B52D27"/>
    <w:rsid w:val="00B53061"/>
    <w:rsid w:val="00B531AC"/>
    <w:rsid w:val="00B5338E"/>
    <w:rsid w:val="00B53DD2"/>
    <w:rsid w:val="00B55007"/>
    <w:rsid w:val="00B5561F"/>
    <w:rsid w:val="00B557B8"/>
    <w:rsid w:val="00B55F0E"/>
    <w:rsid w:val="00B56100"/>
    <w:rsid w:val="00B56117"/>
    <w:rsid w:val="00B561E5"/>
    <w:rsid w:val="00B567F4"/>
    <w:rsid w:val="00B56D30"/>
    <w:rsid w:val="00B56F2F"/>
    <w:rsid w:val="00B57514"/>
    <w:rsid w:val="00B57581"/>
    <w:rsid w:val="00B57BFB"/>
    <w:rsid w:val="00B57E33"/>
    <w:rsid w:val="00B60CE0"/>
    <w:rsid w:val="00B60E4E"/>
    <w:rsid w:val="00B611C5"/>
    <w:rsid w:val="00B612B6"/>
    <w:rsid w:val="00B635AB"/>
    <w:rsid w:val="00B63DB4"/>
    <w:rsid w:val="00B65E78"/>
    <w:rsid w:val="00B66378"/>
    <w:rsid w:val="00B6748E"/>
    <w:rsid w:val="00B7001E"/>
    <w:rsid w:val="00B70E03"/>
    <w:rsid w:val="00B734D7"/>
    <w:rsid w:val="00B73D31"/>
    <w:rsid w:val="00B7440E"/>
    <w:rsid w:val="00B749DE"/>
    <w:rsid w:val="00B74FD9"/>
    <w:rsid w:val="00B75C42"/>
    <w:rsid w:val="00B75D25"/>
    <w:rsid w:val="00B80087"/>
    <w:rsid w:val="00B80233"/>
    <w:rsid w:val="00B80590"/>
    <w:rsid w:val="00B80CB7"/>
    <w:rsid w:val="00B8118F"/>
    <w:rsid w:val="00B814AF"/>
    <w:rsid w:val="00B816CE"/>
    <w:rsid w:val="00B827FF"/>
    <w:rsid w:val="00B8367D"/>
    <w:rsid w:val="00B83EBC"/>
    <w:rsid w:val="00B8445D"/>
    <w:rsid w:val="00B8464F"/>
    <w:rsid w:val="00B846E1"/>
    <w:rsid w:val="00B84835"/>
    <w:rsid w:val="00B8692A"/>
    <w:rsid w:val="00B9000E"/>
    <w:rsid w:val="00B9010E"/>
    <w:rsid w:val="00B9061C"/>
    <w:rsid w:val="00B90A67"/>
    <w:rsid w:val="00B911D6"/>
    <w:rsid w:val="00B914DF"/>
    <w:rsid w:val="00B91BA7"/>
    <w:rsid w:val="00B92820"/>
    <w:rsid w:val="00B93351"/>
    <w:rsid w:val="00B9372F"/>
    <w:rsid w:val="00B93FAF"/>
    <w:rsid w:val="00B94C98"/>
    <w:rsid w:val="00B95A07"/>
    <w:rsid w:val="00B95B35"/>
    <w:rsid w:val="00B95FDD"/>
    <w:rsid w:val="00B96AC7"/>
    <w:rsid w:val="00B96DBD"/>
    <w:rsid w:val="00B96ED3"/>
    <w:rsid w:val="00B9744A"/>
    <w:rsid w:val="00BA003D"/>
    <w:rsid w:val="00BA04A3"/>
    <w:rsid w:val="00BA0C7D"/>
    <w:rsid w:val="00BA0D89"/>
    <w:rsid w:val="00BA1DD6"/>
    <w:rsid w:val="00BA3BCF"/>
    <w:rsid w:val="00BA3E90"/>
    <w:rsid w:val="00BA4C85"/>
    <w:rsid w:val="00BA539B"/>
    <w:rsid w:val="00BA60AF"/>
    <w:rsid w:val="00BA6576"/>
    <w:rsid w:val="00BA69DC"/>
    <w:rsid w:val="00BA6A9D"/>
    <w:rsid w:val="00BA6C89"/>
    <w:rsid w:val="00BB07F9"/>
    <w:rsid w:val="00BB1CB4"/>
    <w:rsid w:val="00BB23F7"/>
    <w:rsid w:val="00BB3DD4"/>
    <w:rsid w:val="00BB5AB2"/>
    <w:rsid w:val="00BB6858"/>
    <w:rsid w:val="00BB72A5"/>
    <w:rsid w:val="00BC1D4A"/>
    <w:rsid w:val="00BC2074"/>
    <w:rsid w:val="00BC30A4"/>
    <w:rsid w:val="00BC41EF"/>
    <w:rsid w:val="00BC4257"/>
    <w:rsid w:val="00BC46FA"/>
    <w:rsid w:val="00BC5051"/>
    <w:rsid w:val="00BC5D3F"/>
    <w:rsid w:val="00BC622C"/>
    <w:rsid w:val="00BC6267"/>
    <w:rsid w:val="00BC6FC8"/>
    <w:rsid w:val="00BD07DA"/>
    <w:rsid w:val="00BD0813"/>
    <w:rsid w:val="00BD1F59"/>
    <w:rsid w:val="00BD241F"/>
    <w:rsid w:val="00BD30C9"/>
    <w:rsid w:val="00BD3B18"/>
    <w:rsid w:val="00BD3CFB"/>
    <w:rsid w:val="00BD403D"/>
    <w:rsid w:val="00BD4A64"/>
    <w:rsid w:val="00BD56AF"/>
    <w:rsid w:val="00BD57FC"/>
    <w:rsid w:val="00BD5C05"/>
    <w:rsid w:val="00BD7002"/>
    <w:rsid w:val="00BD7EEF"/>
    <w:rsid w:val="00BE12D9"/>
    <w:rsid w:val="00BE1443"/>
    <w:rsid w:val="00BE1504"/>
    <w:rsid w:val="00BE1882"/>
    <w:rsid w:val="00BE1B92"/>
    <w:rsid w:val="00BE238A"/>
    <w:rsid w:val="00BE252B"/>
    <w:rsid w:val="00BE2B31"/>
    <w:rsid w:val="00BE3C7B"/>
    <w:rsid w:val="00BE425A"/>
    <w:rsid w:val="00BE4320"/>
    <w:rsid w:val="00BE57F4"/>
    <w:rsid w:val="00BE5B04"/>
    <w:rsid w:val="00BE5C87"/>
    <w:rsid w:val="00BE70B0"/>
    <w:rsid w:val="00BF0B7B"/>
    <w:rsid w:val="00BF20C1"/>
    <w:rsid w:val="00BF2501"/>
    <w:rsid w:val="00BF2E42"/>
    <w:rsid w:val="00BF32EB"/>
    <w:rsid w:val="00BF436C"/>
    <w:rsid w:val="00BF4550"/>
    <w:rsid w:val="00BF4808"/>
    <w:rsid w:val="00BF56BA"/>
    <w:rsid w:val="00BF6512"/>
    <w:rsid w:val="00BF747D"/>
    <w:rsid w:val="00BF74BC"/>
    <w:rsid w:val="00C00169"/>
    <w:rsid w:val="00C00755"/>
    <w:rsid w:val="00C00DC5"/>
    <w:rsid w:val="00C01DFB"/>
    <w:rsid w:val="00C0308E"/>
    <w:rsid w:val="00C0419A"/>
    <w:rsid w:val="00C0427F"/>
    <w:rsid w:val="00C049BF"/>
    <w:rsid w:val="00C059A7"/>
    <w:rsid w:val="00C059BE"/>
    <w:rsid w:val="00C062F1"/>
    <w:rsid w:val="00C06DE1"/>
    <w:rsid w:val="00C06ED4"/>
    <w:rsid w:val="00C075C6"/>
    <w:rsid w:val="00C1004A"/>
    <w:rsid w:val="00C102B5"/>
    <w:rsid w:val="00C10965"/>
    <w:rsid w:val="00C10B18"/>
    <w:rsid w:val="00C10FA9"/>
    <w:rsid w:val="00C11860"/>
    <w:rsid w:val="00C13A0B"/>
    <w:rsid w:val="00C13C2D"/>
    <w:rsid w:val="00C14134"/>
    <w:rsid w:val="00C14296"/>
    <w:rsid w:val="00C14371"/>
    <w:rsid w:val="00C147DD"/>
    <w:rsid w:val="00C148C1"/>
    <w:rsid w:val="00C15287"/>
    <w:rsid w:val="00C15A74"/>
    <w:rsid w:val="00C16F69"/>
    <w:rsid w:val="00C17568"/>
    <w:rsid w:val="00C17887"/>
    <w:rsid w:val="00C214B7"/>
    <w:rsid w:val="00C223EA"/>
    <w:rsid w:val="00C224AE"/>
    <w:rsid w:val="00C23138"/>
    <w:rsid w:val="00C23499"/>
    <w:rsid w:val="00C235CA"/>
    <w:rsid w:val="00C24445"/>
    <w:rsid w:val="00C244CC"/>
    <w:rsid w:val="00C24D6C"/>
    <w:rsid w:val="00C25CB9"/>
    <w:rsid w:val="00C2631C"/>
    <w:rsid w:val="00C26F92"/>
    <w:rsid w:val="00C272F9"/>
    <w:rsid w:val="00C27641"/>
    <w:rsid w:val="00C27838"/>
    <w:rsid w:val="00C27F09"/>
    <w:rsid w:val="00C30C15"/>
    <w:rsid w:val="00C3152C"/>
    <w:rsid w:val="00C321B0"/>
    <w:rsid w:val="00C32E7A"/>
    <w:rsid w:val="00C348DA"/>
    <w:rsid w:val="00C364EF"/>
    <w:rsid w:val="00C366CA"/>
    <w:rsid w:val="00C367FA"/>
    <w:rsid w:val="00C36BDD"/>
    <w:rsid w:val="00C40CE0"/>
    <w:rsid w:val="00C4137F"/>
    <w:rsid w:val="00C4193D"/>
    <w:rsid w:val="00C41C95"/>
    <w:rsid w:val="00C41FC2"/>
    <w:rsid w:val="00C422BC"/>
    <w:rsid w:val="00C42B47"/>
    <w:rsid w:val="00C43BC5"/>
    <w:rsid w:val="00C443E4"/>
    <w:rsid w:val="00C449E8"/>
    <w:rsid w:val="00C44BBE"/>
    <w:rsid w:val="00C45BFE"/>
    <w:rsid w:val="00C469A4"/>
    <w:rsid w:val="00C507C3"/>
    <w:rsid w:val="00C50875"/>
    <w:rsid w:val="00C5172E"/>
    <w:rsid w:val="00C52188"/>
    <w:rsid w:val="00C52236"/>
    <w:rsid w:val="00C52459"/>
    <w:rsid w:val="00C5358D"/>
    <w:rsid w:val="00C552B4"/>
    <w:rsid w:val="00C55A65"/>
    <w:rsid w:val="00C563A6"/>
    <w:rsid w:val="00C56AB8"/>
    <w:rsid w:val="00C56D03"/>
    <w:rsid w:val="00C57258"/>
    <w:rsid w:val="00C5765C"/>
    <w:rsid w:val="00C577CA"/>
    <w:rsid w:val="00C579CA"/>
    <w:rsid w:val="00C607F8"/>
    <w:rsid w:val="00C61603"/>
    <w:rsid w:val="00C62031"/>
    <w:rsid w:val="00C62534"/>
    <w:rsid w:val="00C6272D"/>
    <w:rsid w:val="00C62BBB"/>
    <w:rsid w:val="00C6302E"/>
    <w:rsid w:val="00C63B3B"/>
    <w:rsid w:val="00C64AD3"/>
    <w:rsid w:val="00C654B0"/>
    <w:rsid w:val="00C65538"/>
    <w:rsid w:val="00C6577E"/>
    <w:rsid w:val="00C6628B"/>
    <w:rsid w:val="00C66A78"/>
    <w:rsid w:val="00C66A8B"/>
    <w:rsid w:val="00C67367"/>
    <w:rsid w:val="00C67F52"/>
    <w:rsid w:val="00C70550"/>
    <w:rsid w:val="00C70DB4"/>
    <w:rsid w:val="00C71660"/>
    <w:rsid w:val="00C72CEB"/>
    <w:rsid w:val="00C731E8"/>
    <w:rsid w:val="00C75E94"/>
    <w:rsid w:val="00C761B7"/>
    <w:rsid w:val="00C767D1"/>
    <w:rsid w:val="00C770B0"/>
    <w:rsid w:val="00C77324"/>
    <w:rsid w:val="00C80108"/>
    <w:rsid w:val="00C8076C"/>
    <w:rsid w:val="00C807A7"/>
    <w:rsid w:val="00C8085F"/>
    <w:rsid w:val="00C82DB4"/>
    <w:rsid w:val="00C832E2"/>
    <w:rsid w:val="00C834E7"/>
    <w:rsid w:val="00C83B2F"/>
    <w:rsid w:val="00C83DF8"/>
    <w:rsid w:val="00C84558"/>
    <w:rsid w:val="00C84FA2"/>
    <w:rsid w:val="00C85011"/>
    <w:rsid w:val="00C858C3"/>
    <w:rsid w:val="00C858FA"/>
    <w:rsid w:val="00C86218"/>
    <w:rsid w:val="00C8699C"/>
    <w:rsid w:val="00C86A37"/>
    <w:rsid w:val="00C86FF8"/>
    <w:rsid w:val="00C8708D"/>
    <w:rsid w:val="00C871AE"/>
    <w:rsid w:val="00C87A2D"/>
    <w:rsid w:val="00C902A8"/>
    <w:rsid w:val="00C90E7F"/>
    <w:rsid w:val="00C9116E"/>
    <w:rsid w:val="00C91384"/>
    <w:rsid w:val="00C91AE7"/>
    <w:rsid w:val="00C91DDE"/>
    <w:rsid w:val="00C91E97"/>
    <w:rsid w:val="00C945DD"/>
    <w:rsid w:val="00C94BAD"/>
    <w:rsid w:val="00C94FEA"/>
    <w:rsid w:val="00C9651B"/>
    <w:rsid w:val="00C97FE0"/>
    <w:rsid w:val="00CA03DF"/>
    <w:rsid w:val="00CA0DC9"/>
    <w:rsid w:val="00CA1606"/>
    <w:rsid w:val="00CA391F"/>
    <w:rsid w:val="00CA3E04"/>
    <w:rsid w:val="00CA40EE"/>
    <w:rsid w:val="00CA4160"/>
    <w:rsid w:val="00CA43A1"/>
    <w:rsid w:val="00CA4823"/>
    <w:rsid w:val="00CA4E97"/>
    <w:rsid w:val="00CA51D7"/>
    <w:rsid w:val="00CA5249"/>
    <w:rsid w:val="00CA540D"/>
    <w:rsid w:val="00CA5713"/>
    <w:rsid w:val="00CA742E"/>
    <w:rsid w:val="00CA7E68"/>
    <w:rsid w:val="00CA7ECD"/>
    <w:rsid w:val="00CB0EC0"/>
    <w:rsid w:val="00CB1057"/>
    <w:rsid w:val="00CB24BC"/>
    <w:rsid w:val="00CB2DBA"/>
    <w:rsid w:val="00CB2DEC"/>
    <w:rsid w:val="00CB37F7"/>
    <w:rsid w:val="00CB4674"/>
    <w:rsid w:val="00CB473B"/>
    <w:rsid w:val="00CB4923"/>
    <w:rsid w:val="00CB59D1"/>
    <w:rsid w:val="00CB5D32"/>
    <w:rsid w:val="00CB6223"/>
    <w:rsid w:val="00CB6F53"/>
    <w:rsid w:val="00CB72B9"/>
    <w:rsid w:val="00CC0F54"/>
    <w:rsid w:val="00CC2648"/>
    <w:rsid w:val="00CC3D0D"/>
    <w:rsid w:val="00CC46F5"/>
    <w:rsid w:val="00CC5928"/>
    <w:rsid w:val="00CC5CFA"/>
    <w:rsid w:val="00CC6FA2"/>
    <w:rsid w:val="00CC7726"/>
    <w:rsid w:val="00CC7AE9"/>
    <w:rsid w:val="00CD005B"/>
    <w:rsid w:val="00CD1229"/>
    <w:rsid w:val="00CD16E4"/>
    <w:rsid w:val="00CD1AE4"/>
    <w:rsid w:val="00CD1D74"/>
    <w:rsid w:val="00CD1F85"/>
    <w:rsid w:val="00CD23DC"/>
    <w:rsid w:val="00CD2580"/>
    <w:rsid w:val="00CD27C9"/>
    <w:rsid w:val="00CD2DA3"/>
    <w:rsid w:val="00CD31A4"/>
    <w:rsid w:val="00CD32C0"/>
    <w:rsid w:val="00CD33C4"/>
    <w:rsid w:val="00CD35CF"/>
    <w:rsid w:val="00CD3D37"/>
    <w:rsid w:val="00CD4424"/>
    <w:rsid w:val="00CD4CE2"/>
    <w:rsid w:val="00CD4D6B"/>
    <w:rsid w:val="00CD4EFF"/>
    <w:rsid w:val="00CD4F3A"/>
    <w:rsid w:val="00CD5730"/>
    <w:rsid w:val="00CD57C4"/>
    <w:rsid w:val="00CD5983"/>
    <w:rsid w:val="00CD5B9E"/>
    <w:rsid w:val="00CD6846"/>
    <w:rsid w:val="00CD698D"/>
    <w:rsid w:val="00CD6A9A"/>
    <w:rsid w:val="00CD7F9E"/>
    <w:rsid w:val="00CE0676"/>
    <w:rsid w:val="00CE0731"/>
    <w:rsid w:val="00CE17A5"/>
    <w:rsid w:val="00CE19A0"/>
    <w:rsid w:val="00CE44C5"/>
    <w:rsid w:val="00CE5FD7"/>
    <w:rsid w:val="00CE6D6D"/>
    <w:rsid w:val="00CE7B1A"/>
    <w:rsid w:val="00CF0556"/>
    <w:rsid w:val="00CF08AB"/>
    <w:rsid w:val="00CF142B"/>
    <w:rsid w:val="00CF1C3C"/>
    <w:rsid w:val="00CF1CBA"/>
    <w:rsid w:val="00CF1F0A"/>
    <w:rsid w:val="00CF2205"/>
    <w:rsid w:val="00CF2DAE"/>
    <w:rsid w:val="00CF3899"/>
    <w:rsid w:val="00CF46FD"/>
    <w:rsid w:val="00CF472C"/>
    <w:rsid w:val="00CF4DB2"/>
    <w:rsid w:val="00CF561E"/>
    <w:rsid w:val="00CF6520"/>
    <w:rsid w:val="00CF65CD"/>
    <w:rsid w:val="00CF7216"/>
    <w:rsid w:val="00CF7499"/>
    <w:rsid w:val="00CF7B71"/>
    <w:rsid w:val="00D0012D"/>
    <w:rsid w:val="00D00138"/>
    <w:rsid w:val="00D00B39"/>
    <w:rsid w:val="00D017F6"/>
    <w:rsid w:val="00D024BC"/>
    <w:rsid w:val="00D02BA6"/>
    <w:rsid w:val="00D0366F"/>
    <w:rsid w:val="00D03760"/>
    <w:rsid w:val="00D03970"/>
    <w:rsid w:val="00D04176"/>
    <w:rsid w:val="00D044DD"/>
    <w:rsid w:val="00D051DE"/>
    <w:rsid w:val="00D05235"/>
    <w:rsid w:val="00D057A2"/>
    <w:rsid w:val="00D0703B"/>
    <w:rsid w:val="00D07C90"/>
    <w:rsid w:val="00D1044D"/>
    <w:rsid w:val="00D105D7"/>
    <w:rsid w:val="00D10B00"/>
    <w:rsid w:val="00D10CBF"/>
    <w:rsid w:val="00D11503"/>
    <w:rsid w:val="00D137A4"/>
    <w:rsid w:val="00D14796"/>
    <w:rsid w:val="00D14E98"/>
    <w:rsid w:val="00D150F7"/>
    <w:rsid w:val="00D1613E"/>
    <w:rsid w:val="00D16D7D"/>
    <w:rsid w:val="00D1791E"/>
    <w:rsid w:val="00D17ACB"/>
    <w:rsid w:val="00D17EF6"/>
    <w:rsid w:val="00D20077"/>
    <w:rsid w:val="00D21537"/>
    <w:rsid w:val="00D2171F"/>
    <w:rsid w:val="00D2194C"/>
    <w:rsid w:val="00D227C1"/>
    <w:rsid w:val="00D22BE8"/>
    <w:rsid w:val="00D2335E"/>
    <w:rsid w:val="00D23445"/>
    <w:rsid w:val="00D23AE6"/>
    <w:rsid w:val="00D250F3"/>
    <w:rsid w:val="00D26097"/>
    <w:rsid w:val="00D26EB7"/>
    <w:rsid w:val="00D274A8"/>
    <w:rsid w:val="00D27661"/>
    <w:rsid w:val="00D302F7"/>
    <w:rsid w:val="00D30391"/>
    <w:rsid w:val="00D308D9"/>
    <w:rsid w:val="00D30DD9"/>
    <w:rsid w:val="00D3171F"/>
    <w:rsid w:val="00D31AFE"/>
    <w:rsid w:val="00D31CD9"/>
    <w:rsid w:val="00D31E89"/>
    <w:rsid w:val="00D33E19"/>
    <w:rsid w:val="00D349D1"/>
    <w:rsid w:val="00D35114"/>
    <w:rsid w:val="00D41680"/>
    <w:rsid w:val="00D41C9F"/>
    <w:rsid w:val="00D4229E"/>
    <w:rsid w:val="00D43363"/>
    <w:rsid w:val="00D436E8"/>
    <w:rsid w:val="00D43F3A"/>
    <w:rsid w:val="00D44244"/>
    <w:rsid w:val="00D448B8"/>
    <w:rsid w:val="00D4575A"/>
    <w:rsid w:val="00D45AE3"/>
    <w:rsid w:val="00D46EB2"/>
    <w:rsid w:val="00D472E5"/>
    <w:rsid w:val="00D50CFF"/>
    <w:rsid w:val="00D5218D"/>
    <w:rsid w:val="00D532C9"/>
    <w:rsid w:val="00D5513A"/>
    <w:rsid w:val="00D572EB"/>
    <w:rsid w:val="00D578AD"/>
    <w:rsid w:val="00D57D44"/>
    <w:rsid w:val="00D60FE7"/>
    <w:rsid w:val="00D61926"/>
    <w:rsid w:val="00D61F41"/>
    <w:rsid w:val="00D6249B"/>
    <w:rsid w:val="00D62B8F"/>
    <w:rsid w:val="00D62C77"/>
    <w:rsid w:val="00D62DA7"/>
    <w:rsid w:val="00D62DB9"/>
    <w:rsid w:val="00D63F30"/>
    <w:rsid w:val="00D6550C"/>
    <w:rsid w:val="00D662E2"/>
    <w:rsid w:val="00D66403"/>
    <w:rsid w:val="00D66603"/>
    <w:rsid w:val="00D6693D"/>
    <w:rsid w:val="00D669C8"/>
    <w:rsid w:val="00D66C86"/>
    <w:rsid w:val="00D67394"/>
    <w:rsid w:val="00D679DE"/>
    <w:rsid w:val="00D7017D"/>
    <w:rsid w:val="00D7081E"/>
    <w:rsid w:val="00D71888"/>
    <w:rsid w:val="00D7213C"/>
    <w:rsid w:val="00D7267C"/>
    <w:rsid w:val="00D726E8"/>
    <w:rsid w:val="00D7273A"/>
    <w:rsid w:val="00D743B6"/>
    <w:rsid w:val="00D74957"/>
    <w:rsid w:val="00D74A1D"/>
    <w:rsid w:val="00D754FA"/>
    <w:rsid w:val="00D75B8A"/>
    <w:rsid w:val="00D76287"/>
    <w:rsid w:val="00D77F94"/>
    <w:rsid w:val="00D80059"/>
    <w:rsid w:val="00D81585"/>
    <w:rsid w:val="00D81B3B"/>
    <w:rsid w:val="00D828B2"/>
    <w:rsid w:val="00D82C26"/>
    <w:rsid w:val="00D833FB"/>
    <w:rsid w:val="00D836A6"/>
    <w:rsid w:val="00D84113"/>
    <w:rsid w:val="00D84704"/>
    <w:rsid w:val="00D8493B"/>
    <w:rsid w:val="00D84CF2"/>
    <w:rsid w:val="00D853FF"/>
    <w:rsid w:val="00D85580"/>
    <w:rsid w:val="00D86132"/>
    <w:rsid w:val="00D869CA"/>
    <w:rsid w:val="00D86B9D"/>
    <w:rsid w:val="00D90511"/>
    <w:rsid w:val="00D92DC5"/>
    <w:rsid w:val="00D92E2E"/>
    <w:rsid w:val="00D93350"/>
    <w:rsid w:val="00D93D58"/>
    <w:rsid w:val="00D94C27"/>
    <w:rsid w:val="00D94F12"/>
    <w:rsid w:val="00D951EA"/>
    <w:rsid w:val="00D952B4"/>
    <w:rsid w:val="00D95907"/>
    <w:rsid w:val="00D9680A"/>
    <w:rsid w:val="00D9736A"/>
    <w:rsid w:val="00DA0A73"/>
    <w:rsid w:val="00DA0EFB"/>
    <w:rsid w:val="00DA1A87"/>
    <w:rsid w:val="00DA2BED"/>
    <w:rsid w:val="00DA3622"/>
    <w:rsid w:val="00DA39F2"/>
    <w:rsid w:val="00DA3A4C"/>
    <w:rsid w:val="00DA4C41"/>
    <w:rsid w:val="00DA6B09"/>
    <w:rsid w:val="00DB1DBE"/>
    <w:rsid w:val="00DB2075"/>
    <w:rsid w:val="00DB2608"/>
    <w:rsid w:val="00DB3265"/>
    <w:rsid w:val="00DB461A"/>
    <w:rsid w:val="00DB525D"/>
    <w:rsid w:val="00DB5584"/>
    <w:rsid w:val="00DB55B9"/>
    <w:rsid w:val="00DB676C"/>
    <w:rsid w:val="00DB6EE5"/>
    <w:rsid w:val="00DB7F37"/>
    <w:rsid w:val="00DC1A11"/>
    <w:rsid w:val="00DC2413"/>
    <w:rsid w:val="00DC298B"/>
    <w:rsid w:val="00DC3CE7"/>
    <w:rsid w:val="00DC4ED1"/>
    <w:rsid w:val="00DC536A"/>
    <w:rsid w:val="00DC55F3"/>
    <w:rsid w:val="00DC5857"/>
    <w:rsid w:val="00DC6021"/>
    <w:rsid w:val="00DC60CB"/>
    <w:rsid w:val="00DC6D94"/>
    <w:rsid w:val="00DC739A"/>
    <w:rsid w:val="00DD0A3E"/>
    <w:rsid w:val="00DD12DC"/>
    <w:rsid w:val="00DD1639"/>
    <w:rsid w:val="00DD19DE"/>
    <w:rsid w:val="00DD2009"/>
    <w:rsid w:val="00DD2824"/>
    <w:rsid w:val="00DD29DC"/>
    <w:rsid w:val="00DD2A5F"/>
    <w:rsid w:val="00DD2C32"/>
    <w:rsid w:val="00DD3655"/>
    <w:rsid w:val="00DD3F88"/>
    <w:rsid w:val="00DD4459"/>
    <w:rsid w:val="00DD4E93"/>
    <w:rsid w:val="00DD4F5E"/>
    <w:rsid w:val="00DD52B4"/>
    <w:rsid w:val="00DD5BBB"/>
    <w:rsid w:val="00DD61F3"/>
    <w:rsid w:val="00DE01F9"/>
    <w:rsid w:val="00DE04EF"/>
    <w:rsid w:val="00DE09D9"/>
    <w:rsid w:val="00DE1AFC"/>
    <w:rsid w:val="00DE1C54"/>
    <w:rsid w:val="00DE1FE6"/>
    <w:rsid w:val="00DE2898"/>
    <w:rsid w:val="00DE2FB4"/>
    <w:rsid w:val="00DE30A8"/>
    <w:rsid w:val="00DE3171"/>
    <w:rsid w:val="00DE379D"/>
    <w:rsid w:val="00DE3F44"/>
    <w:rsid w:val="00DE40B7"/>
    <w:rsid w:val="00DE48C9"/>
    <w:rsid w:val="00DE54CA"/>
    <w:rsid w:val="00DE63F9"/>
    <w:rsid w:val="00DE7127"/>
    <w:rsid w:val="00DE76DB"/>
    <w:rsid w:val="00DF1A83"/>
    <w:rsid w:val="00DF1AC2"/>
    <w:rsid w:val="00DF1FB6"/>
    <w:rsid w:val="00DF238C"/>
    <w:rsid w:val="00DF321A"/>
    <w:rsid w:val="00DF4393"/>
    <w:rsid w:val="00DF50A2"/>
    <w:rsid w:val="00DF52EF"/>
    <w:rsid w:val="00DF7EA8"/>
    <w:rsid w:val="00E00872"/>
    <w:rsid w:val="00E01CDD"/>
    <w:rsid w:val="00E021E3"/>
    <w:rsid w:val="00E0397F"/>
    <w:rsid w:val="00E03A3C"/>
    <w:rsid w:val="00E03D63"/>
    <w:rsid w:val="00E04447"/>
    <w:rsid w:val="00E044CF"/>
    <w:rsid w:val="00E050AE"/>
    <w:rsid w:val="00E06970"/>
    <w:rsid w:val="00E06E3A"/>
    <w:rsid w:val="00E079CA"/>
    <w:rsid w:val="00E10A63"/>
    <w:rsid w:val="00E10E9A"/>
    <w:rsid w:val="00E1122B"/>
    <w:rsid w:val="00E112E8"/>
    <w:rsid w:val="00E1167F"/>
    <w:rsid w:val="00E122C5"/>
    <w:rsid w:val="00E12454"/>
    <w:rsid w:val="00E146C5"/>
    <w:rsid w:val="00E15AFA"/>
    <w:rsid w:val="00E15CA5"/>
    <w:rsid w:val="00E16A94"/>
    <w:rsid w:val="00E20A2C"/>
    <w:rsid w:val="00E20FB3"/>
    <w:rsid w:val="00E2178F"/>
    <w:rsid w:val="00E21E36"/>
    <w:rsid w:val="00E22258"/>
    <w:rsid w:val="00E22352"/>
    <w:rsid w:val="00E225C4"/>
    <w:rsid w:val="00E2284F"/>
    <w:rsid w:val="00E24092"/>
    <w:rsid w:val="00E24A74"/>
    <w:rsid w:val="00E251B6"/>
    <w:rsid w:val="00E255C2"/>
    <w:rsid w:val="00E26611"/>
    <w:rsid w:val="00E270DE"/>
    <w:rsid w:val="00E27833"/>
    <w:rsid w:val="00E27D3B"/>
    <w:rsid w:val="00E30954"/>
    <w:rsid w:val="00E30D26"/>
    <w:rsid w:val="00E30E0E"/>
    <w:rsid w:val="00E313DA"/>
    <w:rsid w:val="00E32199"/>
    <w:rsid w:val="00E32A95"/>
    <w:rsid w:val="00E3317F"/>
    <w:rsid w:val="00E333FD"/>
    <w:rsid w:val="00E3353F"/>
    <w:rsid w:val="00E34923"/>
    <w:rsid w:val="00E34BD7"/>
    <w:rsid w:val="00E34CA5"/>
    <w:rsid w:val="00E352A0"/>
    <w:rsid w:val="00E35E89"/>
    <w:rsid w:val="00E367C3"/>
    <w:rsid w:val="00E36862"/>
    <w:rsid w:val="00E36B7E"/>
    <w:rsid w:val="00E37DA1"/>
    <w:rsid w:val="00E404F9"/>
    <w:rsid w:val="00E40611"/>
    <w:rsid w:val="00E4119F"/>
    <w:rsid w:val="00E414CC"/>
    <w:rsid w:val="00E41B63"/>
    <w:rsid w:val="00E42713"/>
    <w:rsid w:val="00E42B76"/>
    <w:rsid w:val="00E4491D"/>
    <w:rsid w:val="00E44BC4"/>
    <w:rsid w:val="00E44F34"/>
    <w:rsid w:val="00E451F7"/>
    <w:rsid w:val="00E455BE"/>
    <w:rsid w:val="00E45B79"/>
    <w:rsid w:val="00E46493"/>
    <w:rsid w:val="00E467E7"/>
    <w:rsid w:val="00E46D70"/>
    <w:rsid w:val="00E46E8D"/>
    <w:rsid w:val="00E50229"/>
    <w:rsid w:val="00E50386"/>
    <w:rsid w:val="00E508C5"/>
    <w:rsid w:val="00E50F60"/>
    <w:rsid w:val="00E51340"/>
    <w:rsid w:val="00E51705"/>
    <w:rsid w:val="00E52054"/>
    <w:rsid w:val="00E530B3"/>
    <w:rsid w:val="00E53418"/>
    <w:rsid w:val="00E5378D"/>
    <w:rsid w:val="00E539E7"/>
    <w:rsid w:val="00E5458F"/>
    <w:rsid w:val="00E55CFC"/>
    <w:rsid w:val="00E57427"/>
    <w:rsid w:val="00E57ACF"/>
    <w:rsid w:val="00E60040"/>
    <w:rsid w:val="00E6008B"/>
    <w:rsid w:val="00E60E9D"/>
    <w:rsid w:val="00E61BF1"/>
    <w:rsid w:val="00E63274"/>
    <w:rsid w:val="00E636BB"/>
    <w:rsid w:val="00E6373D"/>
    <w:rsid w:val="00E647AB"/>
    <w:rsid w:val="00E650CA"/>
    <w:rsid w:val="00E655BC"/>
    <w:rsid w:val="00E661F9"/>
    <w:rsid w:val="00E66911"/>
    <w:rsid w:val="00E66B96"/>
    <w:rsid w:val="00E66BA4"/>
    <w:rsid w:val="00E66F0F"/>
    <w:rsid w:val="00E67650"/>
    <w:rsid w:val="00E678F5"/>
    <w:rsid w:val="00E7095D"/>
    <w:rsid w:val="00E7133F"/>
    <w:rsid w:val="00E71F2C"/>
    <w:rsid w:val="00E71F6E"/>
    <w:rsid w:val="00E72FFF"/>
    <w:rsid w:val="00E743E3"/>
    <w:rsid w:val="00E750D9"/>
    <w:rsid w:val="00E76E1F"/>
    <w:rsid w:val="00E8026B"/>
    <w:rsid w:val="00E80CC5"/>
    <w:rsid w:val="00E81A46"/>
    <w:rsid w:val="00E81CC9"/>
    <w:rsid w:val="00E825CA"/>
    <w:rsid w:val="00E8283A"/>
    <w:rsid w:val="00E84118"/>
    <w:rsid w:val="00E84B8C"/>
    <w:rsid w:val="00E857E0"/>
    <w:rsid w:val="00E86979"/>
    <w:rsid w:val="00E86D41"/>
    <w:rsid w:val="00E909DE"/>
    <w:rsid w:val="00E914F4"/>
    <w:rsid w:val="00E914FF"/>
    <w:rsid w:val="00E91BC3"/>
    <w:rsid w:val="00E92039"/>
    <w:rsid w:val="00E92EF9"/>
    <w:rsid w:val="00E933F8"/>
    <w:rsid w:val="00E93961"/>
    <w:rsid w:val="00E94FAC"/>
    <w:rsid w:val="00E95079"/>
    <w:rsid w:val="00E95643"/>
    <w:rsid w:val="00E95749"/>
    <w:rsid w:val="00E95956"/>
    <w:rsid w:val="00E95CF4"/>
    <w:rsid w:val="00E95E70"/>
    <w:rsid w:val="00EA087C"/>
    <w:rsid w:val="00EA0D0C"/>
    <w:rsid w:val="00EA1519"/>
    <w:rsid w:val="00EA1B50"/>
    <w:rsid w:val="00EA1D11"/>
    <w:rsid w:val="00EA24DD"/>
    <w:rsid w:val="00EA25BF"/>
    <w:rsid w:val="00EA2D89"/>
    <w:rsid w:val="00EA3214"/>
    <w:rsid w:val="00EA49BA"/>
    <w:rsid w:val="00EA4FD2"/>
    <w:rsid w:val="00EA6189"/>
    <w:rsid w:val="00EA6A0D"/>
    <w:rsid w:val="00EA6C6C"/>
    <w:rsid w:val="00EA70A2"/>
    <w:rsid w:val="00EA70FA"/>
    <w:rsid w:val="00EA7F80"/>
    <w:rsid w:val="00EB0250"/>
    <w:rsid w:val="00EB033A"/>
    <w:rsid w:val="00EB0407"/>
    <w:rsid w:val="00EB0536"/>
    <w:rsid w:val="00EB1382"/>
    <w:rsid w:val="00EB2587"/>
    <w:rsid w:val="00EB25DA"/>
    <w:rsid w:val="00EB3978"/>
    <w:rsid w:val="00EB42A8"/>
    <w:rsid w:val="00EB5601"/>
    <w:rsid w:val="00EB5CAA"/>
    <w:rsid w:val="00EB6D0D"/>
    <w:rsid w:val="00EB712F"/>
    <w:rsid w:val="00EB7CBA"/>
    <w:rsid w:val="00EB7F6F"/>
    <w:rsid w:val="00EC061A"/>
    <w:rsid w:val="00EC06E3"/>
    <w:rsid w:val="00EC19B4"/>
    <w:rsid w:val="00EC27D0"/>
    <w:rsid w:val="00EC2F13"/>
    <w:rsid w:val="00EC3304"/>
    <w:rsid w:val="00EC501A"/>
    <w:rsid w:val="00EC51EB"/>
    <w:rsid w:val="00EC526F"/>
    <w:rsid w:val="00EC5C01"/>
    <w:rsid w:val="00EC651C"/>
    <w:rsid w:val="00EC7766"/>
    <w:rsid w:val="00EC7B0B"/>
    <w:rsid w:val="00ED0A75"/>
    <w:rsid w:val="00ED0DD6"/>
    <w:rsid w:val="00ED1A07"/>
    <w:rsid w:val="00ED1A2E"/>
    <w:rsid w:val="00ED2603"/>
    <w:rsid w:val="00ED3945"/>
    <w:rsid w:val="00ED3AAE"/>
    <w:rsid w:val="00ED3FEC"/>
    <w:rsid w:val="00ED6AD0"/>
    <w:rsid w:val="00ED70CC"/>
    <w:rsid w:val="00ED7E91"/>
    <w:rsid w:val="00EE032A"/>
    <w:rsid w:val="00EE08C7"/>
    <w:rsid w:val="00EE2BCE"/>
    <w:rsid w:val="00EE3391"/>
    <w:rsid w:val="00EE38D4"/>
    <w:rsid w:val="00EE483D"/>
    <w:rsid w:val="00EE56B3"/>
    <w:rsid w:val="00EE5E01"/>
    <w:rsid w:val="00EF000E"/>
    <w:rsid w:val="00EF05C3"/>
    <w:rsid w:val="00EF08E3"/>
    <w:rsid w:val="00EF10E2"/>
    <w:rsid w:val="00EF1B46"/>
    <w:rsid w:val="00EF1F38"/>
    <w:rsid w:val="00EF28AC"/>
    <w:rsid w:val="00EF2E4D"/>
    <w:rsid w:val="00EF3256"/>
    <w:rsid w:val="00EF3427"/>
    <w:rsid w:val="00EF3C15"/>
    <w:rsid w:val="00EF48AC"/>
    <w:rsid w:val="00EF4C89"/>
    <w:rsid w:val="00EF5074"/>
    <w:rsid w:val="00EF6E98"/>
    <w:rsid w:val="00F00238"/>
    <w:rsid w:val="00F00BD1"/>
    <w:rsid w:val="00F00CBB"/>
    <w:rsid w:val="00F00EBA"/>
    <w:rsid w:val="00F020F8"/>
    <w:rsid w:val="00F0278D"/>
    <w:rsid w:val="00F02DDD"/>
    <w:rsid w:val="00F02E84"/>
    <w:rsid w:val="00F0322C"/>
    <w:rsid w:val="00F061BA"/>
    <w:rsid w:val="00F06AAC"/>
    <w:rsid w:val="00F06ADD"/>
    <w:rsid w:val="00F10410"/>
    <w:rsid w:val="00F10924"/>
    <w:rsid w:val="00F120E1"/>
    <w:rsid w:val="00F1271D"/>
    <w:rsid w:val="00F12E16"/>
    <w:rsid w:val="00F12FBB"/>
    <w:rsid w:val="00F153FA"/>
    <w:rsid w:val="00F1548E"/>
    <w:rsid w:val="00F15CEC"/>
    <w:rsid w:val="00F16569"/>
    <w:rsid w:val="00F165ED"/>
    <w:rsid w:val="00F16BCE"/>
    <w:rsid w:val="00F1726C"/>
    <w:rsid w:val="00F178DE"/>
    <w:rsid w:val="00F17EF3"/>
    <w:rsid w:val="00F20480"/>
    <w:rsid w:val="00F2108B"/>
    <w:rsid w:val="00F21737"/>
    <w:rsid w:val="00F21FB2"/>
    <w:rsid w:val="00F23700"/>
    <w:rsid w:val="00F246F7"/>
    <w:rsid w:val="00F262C4"/>
    <w:rsid w:val="00F30EFE"/>
    <w:rsid w:val="00F31CDF"/>
    <w:rsid w:val="00F31ECF"/>
    <w:rsid w:val="00F33139"/>
    <w:rsid w:val="00F334F0"/>
    <w:rsid w:val="00F33B42"/>
    <w:rsid w:val="00F33BC6"/>
    <w:rsid w:val="00F34445"/>
    <w:rsid w:val="00F34BA8"/>
    <w:rsid w:val="00F374EF"/>
    <w:rsid w:val="00F375BF"/>
    <w:rsid w:val="00F37A79"/>
    <w:rsid w:val="00F37E7B"/>
    <w:rsid w:val="00F40B38"/>
    <w:rsid w:val="00F414F5"/>
    <w:rsid w:val="00F4159F"/>
    <w:rsid w:val="00F43209"/>
    <w:rsid w:val="00F44297"/>
    <w:rsid w:val="00F444B7"/>
    <w:rsid w:val="00F44634"/>
    <w:rsid w:val="00F449CA"/>
    <w:rsid w:val="00F45304"/>
    <w:rsid w:val="00F453EA"/>
    <w:rsid w:val="00F46212"/>
    <w:rsid w:val="00F46AB9"/>
    <w:rsid w:val="00F46B5A"/>
    <w:rsid w:val="00F46CC7"/>
    <w:rsid w:val="00F47AA5"/>
    <w:rsid w:val="00F47AC6"/>
    <w:rsid w:val="00F5009B"/>
    <w:rsid w:val="00F50E71"/>
    <w:rsid w:val="00F519E6"/>
    <w:rsid w:val="00F51A4B"/>
    <w:rsid w:val="00F5242D"/>
    <w:rsid w:val="00F52633"/>
    <w:rsid w:val="00F52714"/>
    <w:rsid w:val="00F52CA6"/>
    <w:rsid w:val="00F52CF9"/>
    <w:rsid w:val="00F53DC4"/>
    <w:rsid w:val="00F53F6F"/>
    <w:rsid w:val="00F54465"/>
    <w:rsid w:val="00F54597"/>
    <w:rsid w:val="00F54C91"/>
    <w:rsid w:val="00F55ABC"/>
    <w:rsid w:val="00F57032"/>
    <w:rsid w:val="00F57AE9"/>
    <w:rsid w:val="00F6104A"/>
    <w:rsid w:val="00F61534"/>
    <w:rsid w:val="00F619EF"/>
    <w:rsid w:val="00F626BC"/>
    <w:rsid w:val="00F6297E"/>
    <w:rsid w:val="00F62CE3"/>
    <w:rsid w:val="00F651F5"/>
    <w:rsid w:val="00F65292"/>
    <w:rsid w:val="00F65BC8"/>
    <w:rsid w:val="00F65E58"/>
    <w:rsid w:val="00F66234"/>
    <w:rsid w:val="00F66B65"/>
    <w:rsid w:val="00F67187"/>
    <w:rsid w:val="00F67D5D"/>
    <w:rsid w:val="00F703E5"/>
    <w:rsid w:val="00F70C6F"/>
    <w:rsid w:val="00F720E6"/>
    <w:rsid w:val="00F7210F"/>
    <w:rsid w:val="00F722B3"/>
    <w:rsid w:val="00F729A9"/>
    <w:rsid w:val="00F72EC4"/>
    <w:rsid w:val="00F736D4"/>
    <w:rsid w:val="00F73FC9"/>
    <w:rsid w:val="00F7424B"/>
    <w:rsid w:val="00F74466"/>
    <w:rsid w:val="00F74A1C"/>
    <w:rsid w:val="00F74AA1"/>
    <w:rsid w:val="00F74B9E"/>
    <w:rsid w:val="00F75532"/>
    <w:rsid w:val="00F75691"/>
    <w:rsid w:val="00F75CA3"/>
    <w:rsid w:val="00F76429"/>
    <w:rsid w:val="00F76B77"/>
    <w:rsid w:val="00F77254"/>
    <w:rsid w:val="00F77457"/>
    <w:rsid w:val="00F80238"/>
    <w:rsid w:val="00F808CE"/>
    <w:rsid w:val="00F808E8"/>
    <w:rsid w:val="00F80F24"/>
    <w:rsid w:val="00F81497"/>
    <w:rsid w:val="00F81889"/>
    <w:rsid w:val="00F81A5E"/>
    <w:rsid w:val="00F82D2E"/>
    <w:rsid w:val="00F83572"/>
    <w:rsid w:val="00F8357C"/>
    <w:rsid w:val="00F83880"/>
    <w:rsid w:val="00F8476A"/>
    <w:rsid w:val="00F85C41"/>
    <w:rsid w:val="00F85E4C"/>
    <w:rsid w:val="00F86215"/>
    <w:rsid w:val="00F86688"/>
    <w:rsid w:val="00F8713D"/>
    <w:rsid w:val="00F87ECD"/>
    <w:rsid w:val="00F900D6"/>
    <w:rsid w:val="00F901C2"/>
    <w:rsid w:val="00F90AC6"/>
    <w:rsid w:val="00F90B68"/>
    <w:rsid w:val="00F90BFC"/>
    <w:rsid w:val="00F91888"/>
    <w:rsid w:val="00F92755"/>
    <w:rsid w:val="00F947AE"/>
    <w:rsid w:val="00F94EF4"/>
    <w:rsid w:val="00F95018"/>
    <w:rsid w:val="00F95DBC"/>
    <w:rsid w:val="00F96C86"/>
    <w:rsid w:val="00F97329"/>
    <w:rsid w:val="00F973AA"/>
    <w:rsid w:val="00FA05ED"/>
    <w:rsid w:val="00FA0A5E"/>
    <w:rsid w:val="00FA1C4A"/>
    <w:rsid w:val="00FA1ECB"/>
    <w:rsid w:val="00FA1F9E"/>
    <w:rsid w:val="00FA313E"/>
    <w:rsid w:val="00FA3625"/>
    <w:rsid w:val="00FA3E24"/>
    <w:rsid w:val="00FA4733"/>
    <w:rsid w:val="00FA477E"/>
    <w:rsid w:val="00FA5C06"/>
    <w:rsid w:val="00FA64DA"/>
    <w:rsid w:val="00FA652A"/>
    <w:rsid w:val="00FA6884"/>
    <w:rsid w:val="00FA6D97"/>
    <w:rsid w:val="00FA79CE"/>
    <w:rsid w:val="00FA79FA"/>
    <w:rsid w:val="00FA7D7E"/>
    <w:rsid w:val="00FB1E43"/>
    <w:rsid w:val="00FB2492"/>
    <w:rsid w:val="00FB2EF8"/>
    <w:rsid w:val="00FB444E"/>
    <w:rsid w:val="00FB4C0B"/>
    <w:rsid w:val="00FB4D7B"/>
    <w:rsid w:val="00FB5BF5"/>
    <w:rsid w:val="00FB6C47"/>
    <w:rsid w:val="00FB702E"/>
    <w:rsid w:val="00FB748B"/>
    <w:rsid w:val="00FB7E2B"/>
    <w:rsid w:val="00FC0181"/>
    <w:rsid w:val="00FC1729"/>
    <w:rsid w:val="00FC17D7"/>
    <w:rsid w:val="00FC19A2"/>
    <w:rsid w:val="00FC1BD1"/>
    <w:rsid w:val="00FC21E2"/>
    <w:rsid w:val="00FC2355"/>
    <w:rsid w:val="00FC246B"/>
    <w:rsid w:val="00FC2771"/>
    <w:rsid w:val="00FC2995"/>
    <w:rsid w:val="00FC345F"/>
    <w:rsid w:val="00FC3A9C"/>
    <w:rsid w:val="00FC4669"/>
    <w:rsid w:val="00FC4A55"/>
    <w:rsid w:val="00FC4B72"/>
    <w:rsid w:val="00FC4CEB"/>
    <w:rsid w:val="00FC4D89"/>
    <w:rsid w:val="00FC5206"/>
    <w:rsid w:val="00FC7D37"/>
    <w:rsid w:val="00FC7E3B"/>
    <w:rsid w:val="00FD028C"/>
    <w:rsid w:val="00FD0724"/>
    <w:rsid w:val="00FD0884"/>
    <w:rsid w:val="00FD203A"/>
    <w:rsid w:val="00FD2217"/>
    <w:rsid w:val="00FD2EC9"/>
    <w:rsid w:val="00FD3B76"/>
    <w:rsid w:val="00FD5AA1"/>
    <w:rsid w:val="00FD6974"/>
    <w:rsid w:val="00FD76CC"/>
    <w:rsid w:val="00FE097C"/>
    <w:rsid w:val="00FE0CF9"/>
    <w:rsid w:val="00FE0E28"/>
    <w:rsid w:val="00FE1615"/>
    <w:rsid w:val="00FE1B8E"/>
    <w:rsid w:val="00FE2F2F"/>
    <w:rsid w:val="00FE3F4D"/>
    <w:rsid w:val="00FE3F8C"/>
    <w:rsid w:val="00FE45A9"/>
    <w:rsid w:val="00FE5074"/>
    <w:rsid w:val="00FE56B9"/>
    <w:rsid w:val="00FE59AE"/>
    <w:rsid w:val="00FE5DBC"/>
    <w:rsid w:val="00FE6209"/>
    <w:rsid w:val="00FE6845"/>
    <w:rsid w:val="00FE6FDC"/>
    <w:rsid w:val="00FE71D7"/>
    <w:rsid w:val="00FE7224"/>
    <w:rsid w:val="00FE77CF"/>
    <w:rsid w:val="00FE7A0B"/>
    <w:rsid w:val="00FE7EA9"/>
    <w:rsid w:val="00FF014F"/>
    <w:rsid w:val="00FF03D7"/>
    <w:rsid w:val="00FF0FDD"/>
    <w:rsid w:val="00FF1800"/>
    <w:rsid w:val="00FF2C3C"/>
    <w:rsid w:val="00FF3137"/>
    <w:rsid w:val="00FF3307"/>
    <w:rsid w:val="00FF42D1"/>
    <w:rsid w:val="00FF6451"/>
    <w:rsid w:val="00FF6892"/>
    <w:rsid w:val="00FF6CD8"/>
    <w:rsid w:val="00FF730E"/>
    <w:rsid w:val="00FF793B"/>
    <w:rsid w:val="01C0FC77"/>
    <w:rsid w:val="02718802"/>
    <w:rsid w:val="038B1099"/>
    <w:rsid w:val="0425A22B"/>
    <w:rsid w:val="04460164"/>
    <w:rsid w:val="0588C101"/>
    <w:rsid w:val="07F19327"/>
    <w:rsid w:val="084F0361"/>
    <w:rsid w:val="0A96F196"/>
    <w:rsid w:val="0C186650"/>
    <w:rsid w:val="0C607A59"/>
    <w:rsid w:val="0C9C8DC4"/>
    <w:rsid w:val="0CC58012"/>
    <w:rsid w:val="0D671FF1"/>
    <w:rsid w:val="0FE0997D"/>
    <w:rsid w:val="10D1D2D2"/>
    <w:rsid w:val="11C108D1"/>
    <w:rsid w:val="122BBB6F"/>
    <w:rsid w:val="13B57519"/>
    <w:rsid w:val="14641285"/>
    <w:rsid w:val="159C9FC1"/>
    <w:rsid w:val="16540D46"/>
    <w:rsid w:val="166EF717"/>
    <w:rsid w:val="1922AF2D"/>
    <w:rsid w:val="1E39D8CB"/>
    <w:rsid w:val="1FCAAC3C"/>
    <w:rsid w:val="20612A84"/>
    <w:rsid w:val="217F2A47"/>
    <w:rsid w:val="21CC5480"/>
    <w:rsid w:val="26D40DFF"/>
    <w:rsid w:val="296905F3"/>
    <w:rsid w:val="2B1A5A30"/>
    <w:rsid w:val="2BECCDE6"/>
    <w:rsid w:val="2CD37E31"/>
    <w:rsid w:val="2D57ADE0"/>
    <w:rsid w:val="2D6E5C58"/>
    <w:rsid w:val="2F5A1BD5"/>
    <w:rsid w:val="302F7F60"/>
    <w:rsid w:val="312B9A02"/>
    <w:rsid w:val="316B923B"/>
    <w:rsid w:val="33BA9FFF"/>
    <w:rsid w:val="385D9154"/>
    <w:rsid w:val="38969381"/>
    <w:rsid w:val="38C552EF"/>
    <w:rsid w:val="3B5EAD87"/>
    <w:rsid w:val="3DED2BF9"/>
    <w:rsid w:val="3F0318D1"/>
    <w:rsid w:val="3F1F6A97"/>
    <w:rsid w:val="3FC74DC4"/>
    <w:rsid w:val="40C2B310"/>
    <w:rsid w:val="40FCD267"/>
    <w:rsid w:val="41E5FB6C"/>
    <w:rsid w:val="444068B0"/>
    <w:rsid w:val="4461718E"/>
    <w:rsid w:val="44A8E3E2"/>
    <w:rsid w:val="47E4888F"/>
    <w:rsid w:val="480A03F1"/>
    <w:rsid w:val="4980B28C"/>
    <w:rsid w:val="4A8242F2"/>
    <w:rsid w:val="4C23D8BB"/>
    <w:rsid w:val="4C2C20FE"/>
    <w:rsid w:val="4C7F5F7D"/>
    <w:rsid w:val="4C89F9FD"/>
    <w:rsid w:val="4C954818"/>
    <w:rsid w:val="4CDD1608"/>
    <w:rsid w:val="51499978"/>
    <w:rsid w:val="51C0B32C"/>
    <w:rsid w:val="51CA744A"/>
    <w:rsid w:val="5248538F"/>
    <w:rsid w:val="52689B49"/>
    <w:rsid w:val="5417B537"/>
    <w:rsid w:val="57907E14"/>
    <w:rsid w:val="57A9531F"/>
    <w:rsid w:val="581922CC"/>
    <w:rsid w:val="58496EC7"/>
    <w:rsid w:val="598A8D0A"/>
    <w:rsid w:val="5E39DE83"/>
    <w:rsid w:val="60762895"/>
    <w:rsid w:val="61BE2957"/>
    <w:rsid w:val="62388D83"/>
    <w:rsid w:val="6625A6B3"/>
    <w:rsid w:val="696F0BC9"/>
    <w:rsid w:val="69F79835"/>
    <w:rsid w:val="6E3D8C1A"/>
    <w:rsid w:val="6E64AD24"/>
    <w:rsid w:val="6F3BC81C"/>
    <w:rsid w:val="736A70C1"/>
    <w:rsid w:val="74FEF194"/>
    <w:rsid w:val="7574A9C4"/>
    <w:rsid w:val="7603B84B"/>
    <w:rsid w:val="77191D6A"/>
    <w:rsid w:val="78730206"/>
    <w:rsid w:val="7AFDFB76"/>
    <w:rsid w:val="7C4B6028"/>
    <w:rsid w:val="7C7E8E2E"/>
    <w:rsid w:val="7D204712"/>
    <w:rsid w:val="7DD164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2"/>
    </o:shapelayout>
  </w:shapeDefaults>
  <w:decimalSymbol w:val="."/>
  <w:listSeparator w:val=","/>
  <w14:docId w14:val="0E738C4D"/>
  <w15:docId w15:val="{46FE43B4-2885-4EE5-95D9-0B40F44E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252"/>
    <w:pPr>
      <w:spacing w:before="120" w:after="120" w:line="264" w:lineRule="auto"/>
    </w:pPr>
    <w:rPr>
      <w:rFonts w:eastAsia="Calibri"/>
      <w:color w:val="000000"/>
    </w:rPr>
  </w:style>
  <w:style w:type="paragraph" w:styleId="Heading1">
    <w:name w:val="heading 1"/>
    <w:next w:val="BodyText"/>
    <w:link w:val="Heading1Char"/>
    <w:uiPriority w:val="9"/>
    <w:qFormat/>
    <w:rsid w:val="00C91DDE"/>
    <w:pPr>
      <w:keepNext/>
      <w:keepLines/>
      <w:pageBreakBefore/>
      <w:numPr>
        <w:numId w:val="13"/>
      </w:numPr>
      <w:tabs>
        <w:tab w:val="left" w:pos="1134"/>
      </w:tabs>
      <w:spacing w:after="960" w:line="480" w:lineRule="exact"/>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9"/>
    <w:qFormat/>
    <w:rsid w:val="00C91DDE"/>
    <w:pPr>
      <w:pageBreakBefore w:val="0"/>
      <w:numPr>
        <w:ilvl w:val="1"/>
      </w:numPr>
      <w:spacing w:before="360" w:after="240" w:line="240" w:lineRule="auto"/>
      <w:outlineLvl w:val="1"/>
    </w:pPr>
    <w:rPr>
      <w:color w:val="001D34" w:themeColor="accent2"/>
      <w:sz w:val="32"/>
      <w:szCs w:val="26"/>
    </w:rPr>
  </w:style>
  <w:style w:type="paragraph" w:styleId="Heading3">
    <w:name w:val="heading 3"/>
    <w:basedOn w:val="Heading2"/>
    <w:next w:val="BodyText"/>
    <w:link w:val="Heading3Char"/>
    <w:uiPriority w:val="9"/>
    <w:qFormat/>
    <w:rsid w:val="00E71F2C"/>
    <w:pPr>
      <w:numPr>
        <w:ilvl w:val="2"/>
      </w:numPr>
      <w:outlineLvl w:val="2"/>
    </w:pPr>
    <w:rPr>
      <w:b/>
      <w:color w:val="auto"/>
      <w:sz w:val="26"/>
    </w:rPr>
  </w:style>
  <w:style w:type="paragraph" w:styleId="Heading4">
    <w:name w:val="heading 4"/>
    <w:basedOn w:val="Heading3"/>
    <w:next w:val="BodyText"/>
    <w:link w:val="Heading4Char"/>
    <w:uiPriority w:val="9"/>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9"/>
    <w:qFormat/>
    <w:rsid w:val="00C80108"/>
    <w:pPr>
      <w:outlineLvl w:val="4"/>
    </w:pPr>
    <w:rPr>
      <w:color w:val="auto"/>
      <w:sz w:val="22"/>
    </w:rPr>
  </w:style>
  <w:style w:type="paragraph" w:styleId="Heading6">
    <w:name w:val="heading 6"/>
    <w:basedOn w:val="Normal"/>
    <w:next w:val="Normal"/>
    <w:link w:val="Heading6Char"/>
    <w:uiPriority w:val="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9"/>
    <w:qFormat/>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9"/>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9"/>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9"/>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9"/>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9"/>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rsid w:val="00944443"/>
    <w:rPr>
      <w:caps/>
      <w:color w:val="FFFFFF"/>
      <w:spacing w:val="16"/>
    </w:rPr>
  </w:style>
  <w:style w:type="character" w:customStyle="1" w:styleId="HeaderChar">
    <w:name w:val="Header Char"/>
    <w:basedOn w:val="DefaultParagraphFont"/>
    <w:link w:val="Header"/>
    <w:uiPriority w:val="99"/>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clear" w:pos="199"/>
        <w:tab w:val="left" w:pos="227"/>
        <w:tab w:val="left" w:pos="397"/>
      </w:tabs>
      <w:spacing w:before="60" w:after="60"/>
      <w:ind w:left="227" w:hanging="227"/>
    </w:pPr>
  </w:style>
  <w:style w:type="paragraph" w:styleId="ListNumber">
    <w:name w:val="List Number"/>
    <w:basedOn w:val="BodyText"/>
    <w:next w:val="BodyText"/>
    <w:uiPriority w:val="2"/>
    <w:qFormat/>
    <w:rsid w:val="00D349D1"/>
    <w:pPr>
      <w:numPr>
        <w:numId w:val="8"/>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locked/>
    <w:rsid w:val="00AD275A"/>
    <w:rPr>
      <w:sz w:val="20"/>
      <w:szCs w:val="20"/>
    </w:rPr>
  </w:style>
  <w:style w:type="character" w:customStyle="1" w:styleId="CommentTextChar">
    <w:name w:val="Comment Text Char"/>
    <w:basedOn w:val="DefaultParagraphFont"/>
    <w:link w:val="CommentText"/>
    <w:uiPriority w:val="99"/>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4"/>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4"/>
      </w:numPr>
    </w:pPr>
  </w:style>
  <w:style w:type="paragraph" w:customStyle="1" w:styleId="AppendixHeading3">
    <w:name w:val="Appendix Heading 3"/>
    <w:basedOn w:val="Heading3"/>
    <w:next w:val="BodyText"/>
    <w:uiPriority w:val="11"/>
    <w:qFormat/>
    <w:rsid w:val="00C80108"/>
    <w:pPr>
      <w:numPr>
        <w:numId w:val="14"/>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0">
    <w:name w:val="List Paragraph"/>
    <w:aliases w:val="Bullet point,CV text,Dot pt,F5 List Paragraph,FooterText,L,List Paragraph1,List Paragraph11,List Paragraph111,List Paragraph2,Medium Grid 1 - Accent 21,NAST Quote,NFP GP Bulleted List,Numbered Paragraph,Recommendation,Table text,列,List1"/>
    <w:basedOn w:val="Normal"/>
    <w:link w:val="ListParagraphChar"/>
    <w:uiPriority w:val="34"/>
    <w:qFormat/>
    <w:rsid w:val="009C5CA3"/>
    <w:pPr>
      <w:spacing w:before="180"/>
      <w:ind w:left="720"/>
      <w:contextualSpacing/>
    </w:pPr>
    <w:rPr>
      <w:sz w:val="24"/>
      <w:szCs w:val="24"/>
    </w:rPr>
  </w:style>
  <w:style w:type="character" w:styleId="IntenseEmphasis">
    <w:name w:val="Intense Emphasis"/>
    <w:basedOn w:val="DefaultParagraphFont"/>
    <w:uiPriority w:val="21"/>
    <w:qFormat/>
    <w:rsid w:val="00A65678"/>
    <w:rPr>
      <w:b/>
      <w:bCs/>
      <w:i/>
      <w:iCs/>
      <w:color w:val="001D34" w:themeColor="accent2"/>
    </w:rPr>
  </w:style>
  <w:style w:type="character" w:styleId="SubtleEmphasis">
    <w:name w:val="Subtle Emphasis"/>
    <w:basedOn w:val="DefaultParagraphFont"/>
    <w:uiPriority w:val="19"/>
    <w:qFormat/>
    <w:rsid w:val="00A65678"/>
    <w:rPr>
      <w:i/>
      <w:iCs/>
      <w:color w:val="595959" w:themeColor="text1" w:themeTint="A6"/>
    </w:rPr>
  </w:style>
  <w:style w:type="paragraph" w:styleId="IntenseQuote">
    <w:name w:val="Intense Quote"/>
    <w:basedOn w:val="Normal"/>
    <w:next w:val="Normal"/>
    <w:link w:val="IntenseQuoteChar"/>
    <w:uiPriority w:val="30"/>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7"/>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paragraph" w:customStyle="1" w:styleId="paragraph">
    <w:name w:val="paragraph"/>
    <w:basedOn w:val="Normal"/>
    <w:rsid w:val="004D52D7"/>
    <w:pPr>
      <w:spacing w:before="100" w:beforeAutospacing="1" w:after="100" w:afterAutospacing="1"/>
    </w:pPr>
    <w:rPr>
      <w:rFonts w:ascii="Times New Roman" w:eastAsia="Times New Roman" w:hAnsi="Times New Roman"/>
      <w:color w:val="auto"/>
      <w:sz w:val="24"/>
      <w:szCs w:val="24"/>
    </w:rPr>
  </w:style>
  <w:style w:type="character" w:customStyle="1" w:styleId="normaltextrun">
    <w:name w:val="normaltextrun"/>
    <w:basedOn w:val="DefaultParagraphFont"/>
    <w:rsid w:val="004D52D7"/>
  </w:style>
  <w:style w:type="character" w:customStyle="1" w:styleId="eop">
    <w:name w:val="eop"/>
    <w:basedOn w:val="DefaultParagraphFont"/>
    <w:rsid w:val="004D52D7"/>
  </w:style>
  <w:style w:type="character" w:customStyle="1" w:styleId="contentcontrolboundarysink">
    <w:name w:val="contentcontrolboundarysink"/>
    <w:basedOn w:val="DefaultParagraphFont"/>
    <w:rsid w:val="004D52D7"/>
  </w:style>
  <w:style w:type="table" w:customStyle="1" w:styleId="TableGrid10">
    <w:name w:val="Table Grid1"/>
    <w:basedOn w:val="TableNormal"/>
    <w:next w:val="TableGrid"/>
    <w:uiPriority w:val="39"/>
    <w:rsid w:val="004D52D7"/>
    <w:rPr>
      <w:rFonts w:ascii="Aptos" w:eastAsia="MS Mincho" w:hAnsi="Aptos" w:cs="Arial"/>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52D7"/>
    <w:rPr>
      <w:color w:val="666666"/>
    </w:rPr>
  </w:style>
  <w:style w:type="character" w:customStyle="1" w:styleId="fontstyle01">
    <w:name w:val="fontstyle01"/>
    <w:basedOn w:val="DefaultParagraphFont"/>
    <w:rsid w:val="003212FE"/>
    <w:rPr>
      <w:rFonts w:ascii="TimesLTStd-Roman" w:hAnsi="TimesLTStd-Roman" w:hint="default"/>
      <w:b w:val="0"/>
      <w:bCs w:val="0"/>
      <w:i w:val="0"/>
      <w:iCs w:val="0"/>
      <w:color w:val="000000"/>
      <w:sz w:val="20"/>
      <w:szCs w:val="20"/>
    </w:rPr>
  </w:style>
  <w:style w:type="table" w:customStyle="1" w:styleId="TableGrid20">
    <w:name w:val="Table Grid2"/>
    <w:basedOn w:val="TableNormal"/>
    <w:next w:val="TableGrid"/>
    <w:uiPriority w:val="39"/>
    <w:rsid w:val="003212FE"/>
    <w:rPr>
      <w:rFonts w:ascii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rsid w:val="003212FE"/>
    <w:pPr>
      <w:spacing w:after="200"/>
      <w:ind w:firstLine="272"/>
      <w:jc w:val="both"/>
    </w:pPr>
    <w:rPr>
      <w:rFonts w:ascii="Times New Roman" w:eastAsia="SimSun" w:hAnsi="Times New Roman"/>
      <w:b/>
      <w:bCs/>
      <w:sz w:val="18"/>
      <w:szCs w:val="18"/>
      <w:lang w:val="en-US" w:eastAsia="en-US"/>
    </w:rPr>
  </w:style>
  <w:style w:type="paragraph" w:styleId="Revision">
    <w:name w:val="Revision"/>
    <w:hidden/>
    <w:uiPriority w:val="99"/>
    <w:semiHidden/>
    <w:rsid w:val="003212FE"/>
    <w:rPr>
      <w:rFonts w:eastAsia="Calibri"/>
      <w:color w:val="000000"/>
    </w:rPr>
  </w:style>
  <w:style w:type="character" w:styleId="UnresolvedMention">
    <w:name w:val="Unresolved Mention"/>
    <w:basedOn w:val="DefaultParagraphFont"/>
    <w:uiPriority w:val="99"/>
    <w:semiHidden/>
    <w:unhideWhenUsed/>
    <w:rsid w:val="003212FE"/>
    <w:rPr>
      <w:color w:val="605E5C"/>
      <w:shd w:val="clear" w:color="auto" w:fill="E1DFDD"/>
    </w:rPr>
  </w:style>
  <w:style w:type="table" w:styleId="ListTable1Light-Accent3">
    <w:name w:val="List Table 1 Light Accent 3"/>
    <w:basedOn w:val="TableNormal"/>
    <w:uiPriority w:val="46"/>
    <w:rsid w:val="00B45D4F"/>
    <w:tblPr>
      <w:tblStyleRowBandSize w:val="1"/>
      <w:tblStyleColBandSize w:val="1"/>
    </w:tblPr>
    <w:tblStylePr w:type="firstRow">
      <w:rPr>
        <w:b/>
        <w:bCs/>
      </w:rPr>
      <w:tblPr/>
      <w:tcPr>
        <w:tcBorders>
          <w:bottom w:val="single" w:sz="4" w:space="0" w:color="ABABAE" w:themeColor="accent3" w:themeTint="99"/>
        </w:tcBorders>
      </w:tcPr>
    </w:tblStylePr>
    <w:tblStylePr w:type="lastRow">
      <w:rPr>
        <w:b/>
        <w:bCs/>
      </w:rPr>
      <w:tblPr/>
      <w:tcPr>
        <w:tcBorders>
          <w:top w:val="single" w:sz="4" w:space="0" w:color="ABABAE" w:themeColor="accent3" w:themeTint="99"/>
        </w:tcBorders>
      </w:tcPr>
    </w:tblStylePr>
    <w:tblStylePr w:type="firstCol">
      <w:rPr>
        <w:b/>
        <w:bCs/>
      </w:rPr>
    </w:tblStylePr>
    <w:tblStylePr w:type="lastCol">
      <w:rPr>
        <w:b/>
        <w:bCs/>
      </w:rPr>
    </w:tblStylePr>
    <w:tblStylePr w:type="band1Vert">
      <w:tblPr/>
      <w:tcPr>
        <w:shd w:val="clear" w:color="auto" w:fill="E3E3E4" w:themeFill="accent3" w:themeFillTint="33"/>
      </w:tcPr>
    </w:tblStylePr>
    <w:tblStylePr w:type="band1Horz">
      <w:tblPr/>
      <w:tcPr>
        <w:shd w:val="clear" w:color="auto" w:fill="E3E3E4" w:themeFill="accent3" w:themeFillTint="33"/>
      </w:tcPr>
    </w:tblStylePr>
  </w:style>
  <w:style w:type="table" w:styleId="GridTable4-Accent1">
    <w:name w:val="Grid Table 4 Accent 1"/>
    <w:basedOn w:val="TableNormal"/>
    <w:uiPriority w:val="49"/>
    <w:rsid w:val="00363A2B"/>
    <w:rPr>
      <w:rFonts w:asciiTheme="minorHAnsi" w:hAnsiTheme="minorHAnsi" w:cstheme="minorBidi"/>
      <w:kern w:val="2"/>
      <w:lang w:eastAsia="en-US"/>
      <w14:ligatures w14:val="standardContextual"/>
    </w:rPr>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insideV w:val="single" w:sz="4" w:space="0" w:color="48DEFF" w:themeColor="accent1" w:themeTint="99"/>
      </w:tblBorders>
    </w:tblPr>
    <w:tblStylePr w:type="firstRow">
      <w:rPr>
        <w:b/>
        <w:bCs/>
        <w:color w:val="FFFFFF" w:themeColor="background1"/>
      </w:rPr>
      <w:tblPr/>
      <w:tcPr>
        <w:tcBorders>
          <w:top w:val="single" w:sz="4" w:space="0" w:color="00A9CE" w:themeColor="accent1"/>
          <w:left w:val="single" w:sz="4" w:space="0" w:color="00A9CE" w:themeColor="accent1"/>
          <w:bottom w:val="single" w:sz="4" w:space="0" w:color="00A9CE" w:themeColor="accent1"/>
          <w:right w:val="single" w:sz="4" w:space="0" w:color="00A9CE" w:themeColor="accent1"/>
          <w:insideH w:val="nil"/>
          <w:insideV w:val="nil"/>
        </w:tcBorders>
        <w:shd w:val="clear" w:color="auto" w:fill="00A9CE" w:themeFill="accent1"/>
      </w:tcPr>
    </w:tblStylePr>
    <w:tblStylePr w:type="lastRow">
      <w:rPr>
        <w:b/>
        <w:bCs/>
      </w:rPr>
      <w:tblPr/>
      <w:tcPr>
        <w:tcBorders>
          <w:top w:val="double" w:sz="4" w:space="0" w:color="00A9CE" w:themeColor="accent1"/>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paragraph" w:styleId="Title">
    <w:name w:val="Title"/>
    <w:basedOn w:val="Normal"/>
    <w:next w:val="Normal"/>
    <w:link w:val="TitleChar"/>
    <w:uiPriority w:val="10"/>
    <w:qFormat/>
    <w:rsid w:val="00DB3265"/>
    <w:pPr>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B3265"/>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DB32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B326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DB3265"/>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B3265"/>
    <w:rPr>
      <w:rFonts w:asciiTheme="minorHAnsi" w:hAnsiTheme="minorHAnsi" w:cstheme="minorBidi"/>
      <w:i/>
      <w:iCs/>
      <w:color w:val="404040" w:themeColor="text1" w:themeTint="BF"/>
      <w:kern w:val="2"/>
      <w:lang w:eastAsia="en-US"/>
      <w14:ligatures w14:val="standardContextual"/>
    </w:rPr>
  </w:style>
  <w:style w:type="character" w:styleId="IntenseReference">
    <w:name w:val="Intense Reference"/>
    <w:basedOn w:val="DefaultParagraphFont"/>
    <w:uiPriority w:val="32"/>
    <w:qFormat/>
    <w:rsid w:val="00DB3265"/>
    <w:rPr>
      <w:b/>
      <w:bCs/>
      <w:smallCaps/>
      <w:color w:val="007E9A" w:themeColor="accent1" w:themeShade="BF"/>
      <w:spacing w:val="5"/>
    </w:rPr>
  </w:style>
  <w:style w:type="paragraph" w:customStyle="1" w:styleId="EndNoteBibliographyTitle">
    <w:name w:val="EndNote Bibliography Title"/>
    <w:basedOn w:val="Normal"/>
    <w:link w:val="EndNoteBibliographyTitleChar"/>
    <w:rsid w:val="00DB3265"/>
    <w:pPr>
      <w:spacing w:after="0" w:line="259" w:lineRule="auto"/>
      <w:jc w:val="center"/>
    </w:pPr>
    <w:rPr>
      <w:rFonts w:ascii="Aptos" w:eastAsiaTheme="minorHAnsi" w:hAnsi="Aptos" w:cstheme="minorBidi"/>
      <w:noProof/>
      <w:color w:val="auto"/>
      <w:kern w:val="2"/>
      <w:lang w:val="en-US" w:eastAsia="en-US"/>
      <w14:ligatures w14:val="standardContextual"/>
    </w:rPr>
  </w:style>
  <w:style w:type="character" w:customStyle="1" w:styleId="EndNoteBibliographyTitleChar">
    <w:name w:val="EndNote Bibliography Title Char"/>
    <w:basedOn w:val="DefaultParagraphFont"/>
    <w:link w:val="EndNoteBibliographyTitle"/>
    <w:rsid w:val="00DB3265"/>
    <w:rPr>
      <w:rFonts w:ascii="Aptos" w:hAnsi="Aptos" w:cstheme="minorBidi"/>
      <w:noProof/>
      <w:kern w:val="2"/>
      <w:lang w:val="en-US" w:eastAsia="en-US"/>
      <w14:ligatures w14:val="standardContextual"/>
    </w:rPr>
  </w:style>
  <w:style w:type="paragraph" w:customStyle="1" w:styleId="EndNoteBibliography">
    <w:name w:val="EndNote Bibliography"/>
    <w:basedOn w:val="Normal"/>
    <w:link w:val="EndNoteBibliographyChar"/>
    <w:rsid w:val="00DB3265"/>
    <w:pPr>
      <w:spacing w:after="160"/>
    </w:pPr>
    <w:rPr>
      <w:rFonts w:ascii="Aptos" w:eastAsiaTheme="minorHAnsi" w:hAnsi="Aptos" w:cstheme="minorBidi"/>
      <w:noProof/>
      <w:color w:val="auto"/>
      <w:kern w:val="2"/>
      <w:lang w:val="en-US" w:eastAsia="en-US"/>
      <w14:ligatures w14:val="standardContextual"/>
    </w:rPr>
  </w:style>
  <w:style w:type="character" w:customStyle="1" w:styleId="EndNoteBibliographyChar">
    <w:name w:val="EndNote Bibliography Char"/>
    <w:basedOn w:val="DefaultParagraphFont"/>
    <w:link w:val="EndNoteBibliography"/>
    <w:rsid w:val="00DB3265"/>
    <w:rPr>
      <w:rFonts w:ascii="Aptos" w:hAnsi="Aptos" w:cstheme="minorBidi"/>
      <w:noProof/>
      <w:kern w:val="2"/>
      <w:lang w:val="en-US" w:eastAsia="en-US"/>
      <w14:ligatures w14:val="standardContextual"/>
    </w:rPr>
  </w:style>
  <w:style w:type="character" w:customStyle="1" w:styleId="typography-modulelvnit">
    <w:name w:val="typography-module__lvnit"/>
    <w:basedOn w:val="DefaultParagraphFont"/>
    <w:rsid w:val="00DB3265"/>
  </w:style>
  <w:style w:type="character" w:styleId="SubtleReference">
    <w:name w:val="Subtle Reference"/>
    <w:basedOn w:val="DefaultParagraphFont"/>
    <w:uiPriority w:val="31"/>
    <w:qFormat/>
    <w:rsid w:val="00DB3265"/>
    <w:rPr>
      <w:smallCaps/>
      <w:color w:val="5A5A5A" w:themeColor="text1" w:themeTint="A5"/>
    </w:rPr>
  </w:style>
  <w:style w:type="paragraph" w:customStyle="1" w:styleId="ListParagraph2">
    <w:name w:val="List Paragraph 2"/>
    <w:basedOn w:val="ListParagraph0"/>
    <w:uiPriority w:val="19"/>
    <w:rsid w:val="006A6E93"/>
    <w:pPr>
      <w:tabs>
        <w:tab w:val="num" w:pos="360"/>
      </w:tabs>
      <w:spacing w:before="60" w:after="60"/>
      <w:ind w:left="425"/>
      <w:contextualSpacing w:val="0"/>
    </w:pPr>
    <w:rPr>
      <w:rFonts w:asciiTheme="minorHAnsi" w:eastAsiaTheme="minorHAnsi" w:hAnsiTheme="minorHAnsi" w:cstheme="minorBidi"/>
      <w:color w:val="auto"/>
      <w:sz w:val="20"/>
      <w:szCs w:val="22"/>
      <w:lang w:eastAsia="en-US"/>
    </w:rPr>
  </w:style>
  <w:style w:type="paragraph" w:customStyle="1" w:styleId="ListParagraph3">
    <w:name w:val="List Paragraph 3"/>
    <w:basedOn w:val="ListParagraph0"/>
    <w:uiPriority w:val="19"/>
    <w:rsid w:val="006A6E93"/>
    <w:pPr>
      <w:tabs>
        <w:tab w:val="num" w:pos="360"/>
      </w:tabs>
      <w:spacing w:before="60" w:after="60"/>
      <w:ind w:left="425"/>
      <w:contextualSpacing w:val="0"/>
    </w:pPr>
    <w:rPr>
      <w:rFonts w:asciiTheme="minorHAnsi" w:eastAsiaTheme="minorHAnsi" w:hAnsiTheme="minorHAnsi" w:cstheme="minorBidi"/>
      <w:color w:val="auto"/>
      <w:sz w:val="20"/>
      <w:szCs w:val="22"/>
      <w:lang w:eastAsia="en-US"/>
    </w:rPr>
  </w:style>
  <w:style w:type="paragraph" w:customStyle="1" w:styleId="ListParagraph4">
    <w:name w:val="List Paragraph 4"/>
    <w:basedOn w:val="ListParagraph0"/>
    <w:uiPriority w:val="19"/>
    <w:rsid w:val="006A6E93"/>
    <w:pPr>
      <w:spacing w:before="60" w:after="60"/>
      <w:ind w:left="1701" w:hanging="1"/>
      <w:contextualSpacing w:val="0"/>
    </w:pPr>
    <w:rPr>
      <w:rFonts w:asciiTheme="minorHAnsi" w:eastAsiaTheme="minorHAnsi" w:hAnsiTheme="minorHAnsi" w:cstheme="minorBidi"/>
      <w:color w:val="auto"/>
      <w:sz w:val="20"/>
      <w:szCs w:val="22"/>
      <w:lang w:eastAsia="en-US"/>
    </w:rPr>
  </w:style>
  <w:style w:type="paragraph" w:customStyle="1" w:styleId="ListParagraph5">
    <w:name w:val="List Paragraph 5"/>
    <w:basedOn w:val="ListParagraph0"/>
    <w:uiPriority w:val="19"/>
    <w:rsid w:val="006A6E93"/>
    <w:pPr>
      <w:spacing w:before="60" w:after="60"/>
      <w:ind w:left="2126" w:hanging="1"/>
      <w:contextualSpacing w:val="0"/>
    </w:pPr>
    <w:rPr>
      <w:rFonts w:asciiTheme="minorHAnsi" w:eastAsiaTheme="minorHAnsi" w:hAnsiTheme="minorHAnsi" w:cstheme="minorBidi"/>
      <w:color w:val="auto"/>
      <w:sz w:val="20"/>
      <w:szCs w:val="22"/>
      <w:lang w:eastAsia="en-US"/>
    </w:rPr>
  </w:style>
  <w:style w:type="paragraph" w:customStyle="1" w:styleId="ListParagraph6">
    <w:name w:val="List Paragraph 6"/>
    <w:basedOn w:val="ListParagraph0"/>
    <w:uiPriority w:val="19"/>
    <w:rsid w:val="006A6E93"/>
    <w:pPr>
      <w:spacing w:before="60" w:after="60"/>
      <w:ind w:left="2552" w:hanging="2"/>
      <w:contextualSpacing w:val="0"/>
    </w:pPr>
    <w:rPr>
      <w:rFonts w:asciiTheme="minorHAnsi" w:eastAsiaTheme="minorHAnsi" w:hAnsiTheme="minorHAnsi" w:cstheme="minorBidi"/>
      <w:color w:val="auto"/>
      <w:sz w:val="20"/>
      <w:szCs w:val="22"/>
      <w:lang w:eastAsia="en-US"/>
    </w:rPr>
  </w:style>
  <w:style w:type="numbering" w:customStyle="1" w:styleId="ListParagraph">
    <w:name w:val="List_Paragraph"/>
    <w:uiPriority w:val="99"/>
    <w:rsid w:val="006A6E93"/>
    <w:pPr>
      <w:numPr>
        <w:numId w:val="33"/>
      </w:numPr>
    </w:pPr>
  </w:style>
  <w:style w:type="paragraph" w:customStyle="1" w:styleId="NormalTender">
    <w:name w:val="Normal Tender"/>
    <w:basedOn w:val="Normal"/>
    <w:link w:val="NormalTenderChar"/>
    <w:qFormat/>
    <w:rsid w:val="006A6E93"/>
    <w:pPr>
      <w:jc w:val="both"/>
      <w:outlineLvl w:val="3"/>
    </w:pPr>
    <w:rPr>
      <w:rFonts w:asciiTheme="minorHAnsi" w:eastAsia="SimSun" w:hAnsiTheme="minorHAnsi"/>
      <w:color w:val="auto"/>
      <w:lang w:eastAsia="en-US"/>
    </w:rPr>
  </w:style>
  <w:style w:type="character" w:customStyle="1" w:styleId="NormalTenderChar">
    <w:name w:val="Normal Tender Char"/>
    <w:basedOn w:val="DefaultParagraphFont"/>
    <w:link w:val="NormalTender"/>
    <w:rsid w:val="006A6E93"/>
    <w:rPr>
      <w:rFonts w:asciiTheme="minorHAnsi" w:eastAsia="SimSun" w:hAnsiTheme="minorHAnsi"/>
      <w:lang w:eastAsia="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0"/>
    <w:uiPriority w:val="34"/>
    <w:qFormat/>
    <w:locked/>
    <w:rsid w:val="006A6E93"/>
    <w:rPr>
      <w:rFonts w:eastAsia="Calibri"/>
      <w:color w:val="000000"/>
      <w:sz w:val="24"/>
      <w:szCs w:val="24"/>
    </w:rPr>
  </w:style>
  <w:style w:type="paragraph" w:customStyle="1" w:styleId="AttachmentH1">
    <w:name w:val="Attachment H1"/>
    <w:basedOn w:val="Normal"/>
    <w:next w:val="BodyText"/>
    <w:uiPriority w:val="14"/>
    <w:qFormat/>
    <w:rsid w:val="003202D3"/>
    <w:pPr>
      <w:numPr>
        <w:numId w:val="46"/>
      </w:numPr>
      <w:spacing w:before="240" w:after="240" w:line="288" w:lineRule="auto"/>
      <w:outlineLvl w:val="0"/>
    </w:pPr>
    <w:rPr>
      <w:rFonts w:asciiTheme="minorHAnsi" w:eastAsiaTheme="minorHAnsi" w:hAnsiTheme="minorHAnsi" w:cstheme="minorBidi"/>
      <w:b/>
      <w:color w:val="auto"/>
      <w:sz w:val="50"/>
      <w:lang w:eastAsia="en-US"/>
    </w:rPr>
  </w:style>
  <w:style w:type="paragraph" w:customStyle="1" w:styleId="AttachmentH2">
    <w:name w:val="Attachment H2"/>
    <w:basedOn w:val="Heading2"/>
    <w:next w:val="BodyText"/>
    <w:uiPriority w:val="14"/>
    <w:qFormat/>
    <w:rsid w:val="003202D3"/>
    <w:pPr>
      <w:numPr>
        <w:numId w:val="46"/>
      </w:numPr>
      <w:spacing w:before="240" w:after="120"/>
    </w:pPr>
    <w:rPr>
      <w:rFonts w:asciiTheme="majorHAnsi" w:hAnsiTheme="majorHAnsi"/>
      <w:b/>
      <w:bCs w:val="0"/>
      <w:color w:val="auto"/>
      <w:sz w:val="36"/>
      <w:lang w:eastAsia="en-US"/>
    </w:rPr>
  </w:style>
  <w:style w:type="paragraph" w:customStyle="1" w:styleId="AttachmentH3">
    <w:name w:val="Attachment H3"/>
    <w:basedOn w:val="Heading3"/>
    <w:next w:val="BodyText"/>
    <w:uiPriority w:val="14"/>
    <w:qFormat/>
    <w:rsid w:val="003202D3"/>
    <w:pPr>
      <w:numPr>
        <w:numId w:val="46"/>
      </w:numPr>
      <w:spacing w:before="240" w:after="120"/>
    </w:pPr>
    <w:rPr>
      <w:rFonts w:asciiTheme="majorHAnsi" w:hAnsiTheme="majorHAnsi"/>
      <w:b w:val="0"/>
      <w:bCs w:val="0"/>
      <w:sz w:val="32"/>
      <w:szCs w:val="24"/>
      <w:lang w:eastAsia="en-US"/>
    </w:rPr>
  </w:style>
  <w:style w:type="numbering" w:customStyle="1" w:styleId="ListAttachment">
    <w:name w:val="List_Attachment"/>
    <w:uiPriority w:val="99"/>
    <w:rsid w:val="003202D3"/>
    <w:pPr>
      <w:numPr>
        <w:numId w:val="45"/>
      </w:numPr>
    </w:pPr>
  </w:style>
  <w:style w:type="table" w:styleId="GridTable4">
    <w:name w:val="Grid Table 4"/>
    <w:basedOn w:val="TableNormal"/>
    <w:uiPriority w:val="49"/>
    <w:rsid w:val="000A428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whitespace-normal">
    <w:name w:val="whitespace-normal"/>
    <w:basedOn w:val="DefaultParagraphFont"/>
    <w:rsid w:val="00BA4C85"/>
  </w:style>
  <w:style w:type="table" w:customStyle="1" w:styleId="TableGrid30">
    <w:name w:val="Table Grid3"/>
    <w:basedOn w:val="TableNormal"/>
    <w:next w:val="TableGrid"/>
    <w:uiPriority w:val="39"/>
    <w:rsid w:val="00E71F6E"/>
    <w:rPr>
      <w:rFonts w:ascii="Aptos" w:eastAsia="MS Mincho" w:hAnsi="Aptos" w:cs="Arial"/>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7241">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163545995">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606382802">
      <w:bodyDiv w:val="1"/>
      <w:marLeft w:val="0"/>
      <w:marRight w:val="0"/>
      <w:marTop w:val="0"/>
      <w:marBottom w:val="0"/>
      <w:divBdr>
        <w:top w:val="none" w:sz="0" w:space="0" w:color="auto"/>
        <w:left w:val="none" w:sz="0" w:space="0" w:color="auto"/>
        <w:bottom w:val="none" w:sz="0" w:space="0" w:color="auto"/>
        <w:right w:val="none" w:sz="0" w:space="0" w:color="auto"/>
      </w:divBdr>
    </w:div>
    <w:div w:id="202278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emf"/><Relationship Id="rId21" Type="http://schemas.openxmlformats.org/officeDocument/2006/relationships/image" Target="media/image4.png"/><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2.png"/><Relationship Id="rId138" Type="http://schemas.openxmlformats.org/officeDocument/2006/relationships/chart" Target="charts/chart10.xml"/><Relationship Id="rId159" Type="http://schemas.openxmlformats.org/officeDocument/2006/relationships/image" Target="media/image124.emf"/><Relationship Id="rId170" Type="http://schemas.openxmlformats.org/officeDocument/2006/relationships/image" Target="media/image135.emf"/><Relationship Id="rId107" Type="http://schemas.openxmlformats.org/officeDocument/2006/relationships/image" Target="media/image85.emf"/><Relationship Id="rId11" Type="http://schemas.openxmlformats.org/officeDocument/2006/relationships/image" Target="media/image1.emf"/><Relationship Id="rId32" Type="http://schemas.openxmlformats.org/officeDocument/2006/relationships/image" Target="media/image13.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2.png"/><Relationship Id="rId149" Type="http://schemas.openxmlformats.org/officeDocument/2006/relationships/footer" Target="footer8.xml"/><Relationship Id="rId5" Type="http://schemas.openxmlformats.org/officeDocument/2006/relationships/numbering" Target="numbering.xml"/><Relationship Id="rId95" Type="http://schemas.openxmlformats.org/officeDocument/2006/relationships/image" Target="media/image73.emf"/><Relationship Id="rId160" Type="http://schemas.openxmlformats.org/officeDocument/2006/relationships/image" Target="media/image125.emf"/><Relationship Id="rId22" Type="http://schemas.openxmlformats.org/officeDocument/2006/relationships/image" Target="media/image5.png"/><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96.emf"/><Relationship Id="rId139" Type="http://schemas.openxmlformats.org/officeDocument/2006/relationships/footer" Target="footer6.xml"/><Relationship Id="rId85" Type="http://schemas.openxmlformats.org/officeDocument/2006/relationships/image" Target="media/image63.png"/><Relationship Id="rId150" Type="http://schemas.openxmlformats.org/officeDocument/2006/relationships/footer" Target="footer9.xml"/><Relationship Id="rId171" Type="http://schemas.openxmlformats.org/officeDocument/2006/relationships/footer" Target="footer12.xml"/><Relationship Id="rId12" Type="http://schemas.openxmlformats.org/officeDocument/2006/relationships/image" Target="media/image2.png"/><Relationship Id="rId33" Type="http://schemas.openxmlformats.org/officeDocument/2006/relationships/image" Target="media/image14.png"/><Relationship Id="rId108" Type="http://schemas.openxmlformats.org/officeDocument/2006/relationships/image" Target="media/image86.emf"/><Relationship Id="rId129" Type="http://schemas.openxmlformats.org/officeDocument/2006/relationships/image" Target="media/image103.png"/><Relationship Id="rId54" Type="http://schemas.openxmlformats.org/officeDocument/2006/relationships/image" Target="media/image35.png"/><Relationship Id="rId75" Type="http://schemas.openxmlformats.org/officeDocument/2006/relationships/chart" Target="charts/chart1.xml"/><Relationship Id="rId96" Type="http://schemas.openxmlformats.org/officeDocument/2006/relationships/image" Target="media/image74.emf"/><Relationship Id="rId140" Type="http://schemas.openxmlformats.org/officeDocument/2006/relationships/footer" Target="footer7.xml"/><Relationship Id="rId161" Type="http://schemas.openxmlformats.org/officeDocument/2006/relationships/image" Target="media/image126.emf"/><Relationship Id="rId6" Type="http://schemas.openxmlformats.org/officeDocument/2006/relationships/styles" Target="styles.xml"/><Relationship Id="rId23" Type="http://schemas.openxmlformats.org/officeDocument/2006/relationships/image" Target="media/image6.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2.emf"/><Relationship Id="rId119" Type="http://schemas.openxmlformats.org/officeDocument/2006/relationships/image" Target="media/image97.emf"/><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image" Target="media/image104.emf"/><Relationship Id="rId135" Type="http://schemas.openxmlformats.org/officeDocument/2006/relationships/image" Target="media/image108.png"/><Relationship Id="rId151" Type="http://schemas.openxmlformats.org/officeDocument/2006/relationships/footer" Target="footer10.xml"/><Relationship Id="rId156" Type="http://schemas.openxmlformats.org/officeDocument/2006/relationships/image" Target="media/image121.emf"/><Relationship Id="rId177" Type="http://schemas.openxmlformats.org/officeDocument/2006/relationships/hyperlink" Target="http://www.csiro.au/contact" TargetMode="External"/><Relationship Id="rId172" Type="http://schemas.openxmlformats.org/officeDocument/2006/relationships/footer" Target="footer13.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image" Target="media/image20.png"/><Relationship Id="rId109" Type="http://schemas.openxmlformats.org/officeDocument/2006/relationships/image" Target="media/image87.emf"/><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chart" Target="charts/chart2.xml"/><Relationship Id="rId97" Type="http://schemas.openxmlformats.org/officeDocument/2006/relationships/image" Target="media/image75.emf"/><Relationship Id="rId104" Type="http://schemas.openxmlformats.org/officeDocument/2006/relationships/image" Target="media/image82.emf"/><Relationship Id="rId120" Type="http://schemas.openxmlformats.org/officeDocument/2006/relationships/image" Target="media/image98.emf"/><Relationship Id="rId125" Type="http://schemas.openxmlformats.org/officeDocument/2006/relationships/chart" Target="charts/chart5.xml"/><Relationship Id="rId141" Type="http://schemas.openxmlformats.org/officeDocument/2006/relationships/image" Target="media/image110.png"/><Relationship Id="rId146" Type="http://schemas.openxmlformats.org/officeDocument/2006/relationships/image" Target="media/image115.png"/><Relationship Id="rId167" Type="http://schemas.openxmlformats.org/officeDocument/2006/relationships/image" Target="media/image132.emf"/><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0.emf"/><Relationship Id="rId162" Type="http://schemas.openxmlformats.org/officeDocument/2006/relationships/image" Target="media/image127.emf"/><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footer" Target="footer4.xm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5.png"/><Relationship Id="rId110" Type="http://schemas.openxmlformats.org/officeDocument/2006/relationships/image" Target="media/image88.emf"/><Relationship Id="rId115" Type="http://schemas.openxmlformats.org/officeDocument/2006/relationships/image" Target="media/image93.emf"/><Relationship Id="rId131" Type="http://schemas.openxmlformats.org/officeDocument/2006/relationships/image" Target="media/image105.emf"/><Relationship Id="rId136" Type="http://schemas.openxmlformats.org/officeDocument/2006/relationships/chart" Target="charts/chart9.xml"/><Relationship Id="rId157" Type="http://schemas.openxmlformats.org/officeDocument/2006/relationships/image" Target="media/image122.emf"/><Relationship Id="rId178" Type="http://schemas.openxmlformats.org/officeDocument/2006/relationships/hyperlink" Target="http://www.csiro.au" TargetMode="External"/><Relationship Id="rId61" Type="http://schemas.openxmlformats.org/officeDocument/2006/relationships/image" Target="media/image42.png"/><Relationship Id="rId82" Type="http://schemas.openxmlformats.org/officeDocument/2006/relationships/image" Target="media/image60.png"/><Relationship Id="rId152" Type="http://schemas.openxmlformats.org/officeDocument/2006/relationships/footer" Target="footer11.xml"/><Relationship Id="rId173" Type="http://schemas.openxmlformats.org/officeDocument/2006/relationships/hyperlink" Target="https://www.nerc.com/globalassets/who-we-are/standing-committees/rstc/irpwg/inverter-based_resource_performance_guideline.pdf" TargetMode="External"/><Relationship Id="rId19" Type="http://schemas.openxmlformats.org/officeDocument/2006/relationships/header" Target="header3.xml"/><Relationship Id="rId14" Type="http://schemas.openxmlformats.org/officeDocument/2006/relationships/hyperlink" Target="http://www.csiro.au/contact"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chart" Target="charts/chart3.xml"/><Relationship Id="rId100" Type="http://schemas.openxmlformats.org/officeDocument/2006/relationships/image" Target="media/image78.emf"/><Relationship Id="rId105" Type="http://schemas.openxmlformats.org/officeDocument/2006/relationships/image" Target="media/image83.emf"/><Relationship Id="rId126" Type="http://schemas.openxmlformats.org/officeDocument/2006/relationships/chart" Target="charts/chart6.xml"/><Relationship Id="rId147" Type="http://schemas.openxmlformats.org/officeDocument/2006/relationships/image" Target="media/image116.png"/><Relationship Id="rId168" Type="http://schemas.openxmlformats.org/officeDocument/2006/relationships/image" Target="media/image133.emf"/><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1.emf"/><Relationship Id="rId98" Type="http://schemas.openxmlformats.org/officeDocument/2006/relationships/image" Target="media/image76.emf"/><Relationship Id="rId121" Type="http://schemas.openxmlformats.org/officeDocument/2006/relationships/image" Target="media/image99.emf"/><Relationship Id="rId142" Type="http://schemas.openxmlformats.org/officeDocument/2006/relationships/image" Target="media/image111.png"/><Relationship Id="rId163" Type="http://schemas.openxmlformats.org/officeDocument/2006/relationships/image" Target="media/image128.emf"/><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4.emf"/><Relationship Id="rId137" Type="http://schemas.openxmlformats.org/officeDocument/2006/relationships/image" Target="media/image109.png"/><Relationship Id="rId158" Type="http://schemas.openxmlformats.org/officeDocument/2006/relationships/image" Target="media/image123.emf"/><Relationship Id="rId20" Type="http://schemas.openxmlformats.org/officeDocument/2006/relationships/footer" Target="footer3.xm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9.emf"/><Relationship Id="rId132" Type="http://schemas.openxmlformats.org/officeDocument/2006/relationships/image" Target="media/image106.png"/><Relationship Id="rId153" Type="http://schemas.openxmlformats.org/officeDocument/2006/relationships/image" Target="media/image118.emf"/><Relationship Id="rId174" Type="http://schemas.openxmlformats.org/officeDocument/2006/relationships/hyperlink" Target="https://orbi.uliege.be/bitstream/2268/211078/1/Voltage_Stability_Monitoring_Detection_Control.pdf" TargetMode="External"/><Relationship Id="rId179" Type="http://schemas.openxmlformats.org/officeDocument/2006/relationships/fontTable" Target="fontTable.xml"/><Relationship Id="rId15" Type="http://schemas.openxmlformats.org/officeDocument/2006/relationships/header" Target="header1.xml"/><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4.emf"/><Relationship Id="rId127" Type="http://schemas.openxmlformats.org/officeDocument/2006/relationships/chart" Target="charts/chart7.xml"/><Relationship Id="rId10" Type="http://schemas.openxmlformats.org/officeDocument/2006/relationships/endnotes" Target="endnotes.xml"/><Relationship Id="rId31" Type="http://schemas.openxmlformats.org/officeDocument/2006/relationships/image" Target="media/image12.jp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6.png"/><Relationship Id="rId94" Type="http://schemas.openxmlformats.org/officeDocument/2006/relationships/image" Target="media/image72.emf"/><Relationship Id="rId99" Type="http://schemas.openxmlformats.org/officeDocument/2006/relationships/image" Target="media/image77.emf"/><Relationship Id="rId101" Type="http://schemas.openxmlformats.org/officeDocument/2006/relationships/image" Target="media/image79.emf"/><Relationship Id="rId122" Type="http://schemas.openxmlformats.org/officeDocument/2006/relationships/image" Target="media/image100.emf"/><Relationship Id="rId143" Type="http://schemas.openxmlformats.org/officeDocument/2006/relationships/image" Target="media/image112.png"/><Relationship Id="rId148" Type="http://schemas.openxmlformats.org/officeDocument/2006/relationships/image" Target="media/image117.png"/><Relationship Id="rId164" Type="http://schemas.openxmlformats.org/officeDocument/2006/relationships/image" Target="media/image129.emf"/><Relationship Id="rId169" Type="http://schemas.openxmlformats.org/officeDocument/2006/relationships/image" Target="media/image134.e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image" Target="media/image7.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67.png"/><Relationship Id="rId112" Type="http://schemas.openxmlformats.org/officeDocument/2006/relationships/image" Target="media/image90.emf"/><Relationship Id="rId133" Type="http://schemas.openxmlformats.org/officeDocument/2006/relationships/image" Target="media/image107.png"/><Relationship Id="rId154" Type="http://schemas.openxmlformats.org/officeDocument/2006/relationships/image" Target="media/image119.emf"/><Relationship Id="rId175" Type="http://schemas.openxmlformats.org/officeDocument/2006/relationships/footer" Target="footer14.xml"/><Relationship Id="rId16" Type="http://schemas.openxmlformats.org/officeDocument/2006/relationships/header" Target="header2.xml"/><Relationship Id="rId37" Type="http://schemas.openxmlformats.org/officeDocument/2006/relationships/image" Target="media/image18.emf"/><Relationship Id="rId58" Type="http://schemas.openxmlformats.org/officeDocument/2006/relationships/image" Target="media/image39.png"/><Relationship Id="rId79" Type="http://schemas.openxmlformats.org/officeDocument/2006/relationships/image" Target="media/image57.png"/><Relationship Id="rId102" Type="http://schemas.openxmlformats.org/officeDocument/2006/relationships/image" Target="media/image80.emf"/><Relationship Id="rId123" Type="http://schemas.openxmlformats.org/officeDocument/2006/relationships/image" Target="media/image101.emf"/><Relationship Id="rId144" Type="http://schemas.openxmlformats.org/officeDocument/2006/relationships/image" Target="media/image113.png"/><Relationship Id="rId90" Type="http://schemas.openxmlformats.org/officeDocument/2006/relationships/image" Target="media/image68.png"/><Relationship Id="rId165" Type="http://schemas.openxmlformats.org/officeDocument/2006/relationships/image" Target="media/image130.emf"/><Relationship Id="rId27" Type="http://schemas.openxmlformats.org/officeDocument/2006/relationships/image" Target="media/image8.png"/><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1.emf"/><Relationship Id="rId134" Type="http://schemas.openxmlformats.org/officeDocument/2006/relationships/chart" Target="charts/chart8.xml"/><Relationship Id="rId80" Type="http://schemas.openxmlformats.org/officeDocument/2006/relationships/image" Target="media/image58.png"/><Relationship Id="rId155" Type="http://schemas.openxmlformats.org/officeDocument/2006/relationships/image" Target="media/image120.emf"/><Relationship Id="rId176" Type="http://schemas.openxmlformats.org/officeDocument/2006/relationships/footer" Target="footer15.xml"/><Relationship Id="rId17" Type="http://schemas.openxmlformats.org/officeDocument/2006/relationships/footer" Target="footer1.xml"/><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1.emf"/><Relationship Id="rId124" Type="http://schemas.openxmlformats.org/officeDocument/2006/relationships/chart" Target="charts/chart4.xml"/><Relationship Id="rId70" Type="http://schemas.openxmlformats.org/officeDocument/2006/relationships/image" Target="media/image51.png"/><Relationship Id="rId91" Type="http://schemas.openxmlformats.org/officeDocument/2006/relationships/image" Target="media/image69.png"/><Relationship Id="rId145" Type="http://schemas.openxmlformats.org/officeDocument/2006/relationships/image" Target="media/image114.png"/><Relationship Id="rId166" Type="http://schemas.openxmlformats.org/officeDocument/2006/relationships/image" Target="media/image131.emf"/><Relationship Id="rId1"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r523\AppData\Roaming\Microsoft\Templates\Technical%20Report%20-%20form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ederationuniversity-my.sharepoint.com/personal/m_kiran_federation_edu_au/Documents/Error_DDT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federationuniversity-my.sharepoint.com/personal/s_miah_federation_edu_au/Documents/Desktop/phd/CSIRO%20Project/scaling_14May.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federationuniversity-my.sharepoint.com/personal/m_kiran_federation_edu_au/Documents/Error_DDT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federationuniversity-my.sharepoint.com/personal/m_kiran_federation_edu_au/Documents/Error_DDT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federationuniversity-my.sharepoint.com/personal/mu_aslam_federation_edu_au/Documents/Desktop/39%20New%20England/base%20plot%20data.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oleObject" Target="https://federationuniversity-my.sharepoint.com/personal/mu_aslam_federation_edu_au/Documents/Desktop/39%20New%20England/base%20plot%20data.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oleObject" Target="https://federationuniversity-my.sharepoint.com/personal/s_miah_federation_edu_au/Documents/Desktop/phd/CSIRO%20Project/CSIRO%20Literature/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Error_ANN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803149606299206E-2"/>
          <c:y val="8.8537074148296618E-2"/>
          <c:w val="0.87764129483814524"/>
          <c:h val="0.80725450901803608"/>
        </c:manualLayout>
      </c:layout>
      <c:bar3DChart>
        <c:barDir val="col"/>
        <c:grouping val="clustered"/>
        <c:varyColors val="0"/>
        <c:ser>
          <c:idx val="0"/>
          <c:order val="0"/>
          <c:tx>
            <c:strRef>
              <c:f>Sheet1!$C$31</c:f>
              <c:strCache>
                <c:ptCount val="1"/>
                <c:pt idx="0">
                  <c:v>Error_ANN</c:v>
                </c:pt>
              </c:strCache>
            </c:strRef>
          </c:tx>
          <c:spPr>
            <a:solidFill>
              <a:schemeClr val="accent1"/>
            </a:solidFill>
            <a:ln>
              <a:noFill/>
            </a:ln>
            <a:effectLst/>
            <a:sp3d/>
          </c:spPr>
          <c:invertIfNegative val="0"/>
          <c:cat>
            <c:strRef>
              <c:f>Sheet1!$B$32:$B$50</c:f>
              <c:strCache>
                <c:ptCount val="19"/>
                <c:pt idx="0">
                  <c:v>Mode 1</c:v>
                </c:pt>
                <c:pt idx="1">
                  <c:v>Mode 2</c:v>
                </c:pt>
                <c:pt idx="2">
                  <c:v>Mode 3</c:v>
                </c:pt>
                <c:pt idx="3">
                  <c:v>Mode 4</c:v>
                </c:pt>
                <c:pt idx="4">
                  <c:v>Mode 5</c:v>
                </c:pt>
                <c:pt idx="5">
                  <c:v>Mode 6</c:v>
                </c:pt>
                <c:pt idx="6">
                  <c:v>Mode 7</c:v>
                </c:pt>
                <c:pt idx="7">
                  <c:v>Mode 8</c:v>
                </c:pt>
                <c:pt idx="8">
                  <c:v>Mode 9</c:v>
                </c:pt>
                <c:pt idx="9">
                  <c:v>Mode 10</c:v>
                </c:pt>
                <c:pt idx="10">
                  <c:v>Mode 11</c:v>
                </c:pt>
                <c:pt idx="11">
                  <c:v>Mode 12</c:v>
                </c:pt>
                <c:pt idx="12">
                  <c:v>Mode 13</c:v>
                </c:pt>
                <c:pt idx="13">
                  <c:v>Mode 14</c:v>
                </c:pt>
                <c:pt idx="14">
                  <c:v>Mode 15</c:v>
                </c:pt>
                <c:pt idx="15">
                  <c:v>Mode 16</c:v>
                </c:pt>
                <c:pt idx="16">
                  <c:v>Mode 17</c:v>
                </c:pt>
                <c:pt idx="17">
                  <c:v>Mode 18</c:v>
                </c:pt>
                <c:pt idx="18">
                  <c:v>Mode 19</c:v>
                </c:pt>
              </c:strCache>
            </c:strRef>
          </c:cat>
          <c:val>
            <c:numRef>
              <c:f>Sheet1!$C$32:$C$50</c:f>
              <c:numCache>
                <c:formatCode>General</c:formatCode>
                <c:ptCount val="19"/>
                <c:pt idx="0">
                  <c:v>-100</c:v>
                </c:pt>
                <c:pt idx="1">
                  <c:v>86.805426500650441</c:v>
                </c:pt>
                <c:pt idx="2">
                  <c:v>913.15168029064489</c:v>
                </c:pt>
                <c:pt idx="3">
                  <c:v>913.15168029064489</c:v>
                </c:pt>
                <c:pt idx="4">
                  <c:v>403.40899999999999</c:v>
                </c:pt>
                <c:pt idx="5">
                  <c:v>403.40899999999999</c:v>
                </c:pt>
                <c:pt idx="6">
                  <c:v>235.03737448803781</c:v>
                </c:pt>
                <c:pt idx="7">
                  <c:v>235.03737448803781</c:v>
                </c:pt>
                <c:pt idx="8">
                  <c:v>28.97753324163229</c:v>
                </c:pt>
                <c:pt idx="9">
                  <c:v>20.959120959120959</c:v>
                </c:pt>
                <c:pt idx="10">
                  <c:v>20.959120959120959</c:v>
                </c:pt>
                <c:pt idx="11">
                  <c:v>13.520911579349429</c:v>
                </c:pt>
                <c:pt idx="12">
                  <c:v>13.520911579349429</c:v>
                </c:pt>
                <c:pt idx="13">
                  <c:v>-13.055800000000007</c:v>
                </c:pt>
                <c:pt idx="14">
                  <c:v>-13.055800000000007</c:v>
                </c:pt>
              </c:numCache>
            </c:numRef>
          </c:val>
          <c:extLst>
            <c:ext xmlns:c16="http://schemas.microsoft.com/office/drawing/2014/chart" uri="{C3380CC4-5D6E-409C-BE32-E72D297353CC}">
              <c16:uniqueId val="{00000000-1426-4FA0-9704-15FDCB79955D}"/>
            </c:ext>
          </c:extLst>
        </c:ser>
        <c:dLbls>
          <c:showLegendKey val="0"/>
          <c:showVal val="0"/>
          <c:showCatName val="0"/>
          <c:showSerName val="0"/>
          <c:showPercent val="0"/>
          <c:showBubbleSize val="0"/>
        </c:dLbls>
        <c:gapWidth val="150"/>
        <c:shape val="box"/>
        <c:axId val="1069836751"/>
        <c:axId val="1072378143"/>
        <c:axId val="0"/>
      </c:bar3DChart>
      <c:catAx>
        <c:axId val="1069836751"/>
        <c:scaling>
          <c:orientation val="minMax"/>
        </c:scaling>
        <c:delete val="0"/>
        <c:axPos val="b"/>
        <c:numFmt formatCode="General" sourceLinked="1"/>
        <c:majorTickMark val="none"/>
        <c:minorTickMark val="none"/>
        <c:tickLblPos val="low"/>
        <c:spPr>
          <a:noFill/>
          <a:ln>
            <a:noFill/>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2378143"/>
        <c:crosses val="autoZero"/>
        <c:auto val="1"/>
        <c:lblAlgn val="ctr"/>
        <c:lblOffset val="100"/>
        <c:noMultiLvlLbl val="0"/>
      </c:catAx>
      <c:valAx>
        <c:axId val="1072378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98367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Sheet1!$V$53</c:f>
              <c:strCache>
                <c:ptCount val="1"/>
                <c:pt idx="0">
                  <c:v>0.9 (90%)</c:v>
                </c:pt>
              </c:strCache>
            </c:strRef>
          </c:tx>
          <c:spPr>
            <a:solidFill>
              <a:schemeClr val="accent1"/>
            </a:solidFill>
            <a:ln>
              <a:noFill/>
            </a:ln>
            <a:effectLst/>
          </c:spPr>
          <c:invertIfNegative val="0"/>
          <c:cat>
            <c:strRef>
              <c:f>Sheet1!$W$52:$AG$52</c:f>
              <c:strCache>
                <c:ptCount val="11"/>
                <c:pt idx="0">
                  <c:v>Base Case (No Renewable Generation) </c:v>
                </c:pt>
                <c:pt idx="1">
                  <c:v>4% Renewable Generation</c:v>
                </c:pt>
                <c:pt idx="2">
                  <c:v>13% Renewable Generation</c:v>
                </c:pt>
                <c:pt idx="3">
                  <c:v>26% Renewable Generation</c:v>
                </c:pt>
                <c:pt idx="4">
                  <c:v>35% Renewable Generation</c:v>
                </c:pt>
                <c:pt idx="5">
                  <c:v>44% Renewable Generation</c:v>
                </c:pt>
                <c:pt idx="6">
                  <c:v>52% Renewable Generation</c:v>
                </c:pt>
                <c:pt idx="7">
                  <c:v>63% Renewable Generation</c:v>
                </c:pt>
                <c:pt idx="8">
                  <c:v>72% Renewable Generation</c:v>
                </c:pt>
                <c:pt idx="9">
                  <c:v>83% Renewable Generation</c:v>
                </c:pt>
                <c:pt idx="10">
                  <c:v>95% Renewable Generation</c:v>
                </c:pt>
              </c:strCache>
            </c:strRef>
          </c:cat>
          <c:val>
            <c:numRef>
              <c:f>Sheet1!$W$53:$AG$53</c:f>
              <c:numCache>
                <c:formatCode>0.00</c:formatCode>
                <c:ptCount val="11"/>
                <c:pt idx="0">
                  <c:v>41.839447158952389</c:v>
                </c:pt>
                <c:pt idx="1">
                  <c:v>38.878913777163923</c:v>
                </c:pt>
                <c:pt idx="2">
                  <c:v>38.038301283860839</c:v>
                </c:pt>
                <c:pt idx="3">
                  <c:v>37.694980300432583</c:v>
                </c:pt>
                <c:pt idx="4">
                  <c:v>37.322786978869217</c:v>
                </c:pt>
                <c:pt idx="5">
                  <c:v>34.926475820031783</c:v>
                </c:pt>
                <c:pt idx="6">
                  <c:v>33.972782403619377</c:v>
                </c:pt>
                <c:pt idx="7">
                  <c:v>32.138829116272163</c:v>
                </c:pt>
                <c:pt idx="8">
                  <c:v>30.192094851603539</c:v>
                </c:pt>
                <c:pt idx="9">
                  <c:v>28.435926862985468</c:v>
                </c:pt>
                <c:pt idx="10" formatCode="General">
                  <c:v>27.462491242448671</c:v>
                </c:pt>
              </c:numCache>
            </c:numRef>
          </c:val>
          <c:extLst>
            <c:ext xmlns:c16="http://schemas.microsoft.com/office/drawing/2014/chart" uri="{C3380CC4-5D6E-409C-BE32-E72D297353CC}">
              <c16:uniqueId val="{00000000-76A7-4D44-8B96-878A9B211895}"/>
            </c:ext>
          </c:extLst>
        </c:ser>
        <c:ser>
          <c:idx val="1"/>
          <c:order val="1"/>
          <c:tx>
            <c:strRef>
              <c:f>Sheet1!$V$54</c:f>
              <c:strCache>
                <c:ptCount val="1"/>
                <c:pt idx="0">
                  <c:v>0.95 (95%)</c:v>
                </c:pt>
              </c:strCache>
            </c:strRef>
          </c:tx>
          <c:spPr>
            <a:solidFill>
              <a:schemeClr val="accent2"/>
            </a:solidFill>
            <a:ln>
              <a:noFill/>
            </a:ln>
            <a:effectLst/>
          </c:spPr>
          <c:invertIfNegative val="0"/>
          <c:cat>
            <c:strRef>
              <c:f>Sheet1!$W$52:$AG$52</c:f>
              <c:strCache>
                <c:ptCount val="11"/>
                <c:pt idx="0">
                  <c:v>Base Case (No Renewable Generation) </c:v>
                </c:pt>
                <c:pt idx="1">
                  <c:v>4% Renewable Generation</c:v>
                </c:pt>
                <c:pt idx="2">
                  <c:v>13% Renewable Generation</c:v>
                </c:pt>
                <c:pt idx="3">
                  <c:v>26% Renewable Generation</c:v>
                </c:pt>
                <c:pt idx="4">
                  <c:v>35% Renewable Generation</c:v>
                </c:pt>
                <c:pt idx="5">
                  <c:v>44% Renewable Generation</c:v>
                </c:pt>
                <c:pt idx="6">
                  <c:v>52% Renewable Generation</c:v>
                </c:pt>
                <c:pt idx="7">
                  <c:v>63% Renewable Generation</c:v>
                </c:pt>
                <c:pt idx="8">
                  <c:v>72% Renewable Generation</c:v>
                </c:pt>
                <c:pt idx="9">
                  <c:v>83% Renewable Generation</c:v>
                </c:pt>
                <c:pt idx="10">
                  <c:v>95% Renewable Generation</c:v>
                </c:pt>
              </c:strCache>
            </c:strRef>
          </c:cat>
          <c:val>
            <c:numRef>
              <c:f>Sheet1!$W$54:$AG$54</c:f>
              <c:numCache>
                <c:formatCode>0.00</c:formatCode>
                <c:ptCount val="11"/>
                <c:pt idx="0">
                  <c:v>39.012950776520142</c:v>
                </c:pt>
                <c:pt idx="1">
                  <c:v>35.891034864416163</c:v>
                </c:pt>
                <c:pt idx="2">
                  <c:v>34.985801194271097</c:v>
                </c:pt>
                <c:pt idx="3">
                  <c:v>34.633627499661451</c:v>
                </c:pt>
                <c:pt idx="4">
                  <c:v>34.244042821301676</c:v>
                </c:pt>
                <c:pt idx="5">
                  <c:v>31.725818619015062</c:v>
                </c:pt>
                <c:pt idx="6">
                  <c:v>30.713115146295362</c:v>
                </c:pt>
                <c:pt idx="7">
                  <c:v>28.944330630420652</c:v>
                </c:pt>
                <c:pt idx="8">
                  <c:v>27.048892303429511</c:v>
                </c:pt>
                <c:pt idx="9">
                  <c:v>25.546679177860327</c:v>
                </c:pt>
                <c:pt idx="10" formatCode="General">
                  <c:v>23.836357659434583</c:v>
                </c:pt>
              </c:numCache>
            </c:numRef>
          </c:val>
          <c:extLst>
            <c:ext xmlns:c16="http://schemas.microsoft.com/office/drawing/2014/chart" uri="{C3380CC4-5D6E-409C-BE32-E72D297353CC}">
              <c16:uniqueId val="{00000001-76A7-4D44-8B96-878A9B211895}"/>
            </c:ext>
          </c:extLst>
        </c:ser>
        <c:ser>
          <c:idx val="2"/>
          <c:order val="2"/>
          <c:tx>
            <c:strRef>
              <c:f>Sheet1!$V$55</c:f>
              <c:strCache>
                <c:ptCount val="1"/>
                <c:pt idx="0">
                  <c:v>1.0 (100%)</c:v>
                </c:pt>
              </c:strCache>
            </c:strRef>
          </c:tx>
          <c:spPr>
            <a:solidFill>
              <a:schemeClr val="accent3"/>
            </a:solidFill>
            <a:ln>
              <a:noFill/>
            </a:ln>
            <a:effectLst/>
          </c:spPr>
          <c:invertIfNegative val="0"/>
          <c:cat>
            <c:strRef>
              <c:f>Sheet1!$W$52:$AG$52</c:f>
              <c:strCache>
                <c:ptCount val="11"/>
                <c:pt idx="0">
                  <c:v>Base Case (No Renewable Generation) </c:v>
                </c:pt>
                <c:pt idx="1">
                  <c:v>4% Renewable Generation</c:v>
                </c:pt>
                <c:pt idx="2">
                  <c:v>13% Renewable Generation</c:v>
                </c:pt>
                <c:pt idx="3">
                  <c:v>26% Renewable Generation</c:v>
                </c:pt>
                <c:pt idx="4">
                  <c:v>35% Renewable Generation</c:v>
                </c:pt>
                <c:pt idx="5">
                  <c:v>44% Renewable Generation</c:v>
                </c:pt>
                <c:pt idx="6">
                  <c:v>52% Renewable Generation</c:v>
                </c:pt>
                <c:pt idx="7">
                  <c:v>63% Renewable Generation</c:v>
                </c:pt>
                <c:pt idx="8">
                  <c:v>72% Renewable Generation</c:v>
                </c:pt>
                <c:pt idx="9">
                  <c:v>83% Renewable Generation</c:v>
                </c:pt>
                <c:pt idx="10">
                  <c:v>95% Renewable Generation</c:v>
                </c:pt>
              </c:strCache>
            </c:strRef>
          </c:cat>
          <c:val>
            <c:numRef>
              <c:f>Sheet1!$W$55:$AG$55</c:f>
              <c:numCache>
                <c:formatCode>0.00</c:formatCode>
                <c:ptCount val="11"/>
                <c:pt idx="0">
                  <c:v>36.161592898119835</c:v>
                </c:pt>
                <c:pt idx="1">
                  <c:v>32.811449851808597</c:v>
                </c:pt>
                <c:pt idx="2">
                  <c:v>31.911211353155949</c:v>
                </c:pt>
                <c:pt idx="3">
                  <c:v>31.539713724389557</c:v>
                </c:pt>
                <c:pt idx="4">
                  <c:v>31.141598915989157</c:v>
                </c:pt>
                <c:pt idx="5">
                  <c:v>28.504097639900099</c:v>
                </c:pt>
                <c:pt idx="6">
                  <c:v>27.515749435397595</c:v>
                </c:pt>
                <c:pt idx="7">
                  <c:v>25.724412613731868</c:v>
                </c:pt>
                <c:pt idx="8">
                  <c:v>23.86035884181743</c:v>
                </c:pt>
                <c:pt idx="9">
                  <c:v>22.468310172529971</c:v>
                </c:pt>
                <c:pt idx="10" formatCode="General">
                  <c:v>20.166263009753219</c:v>
                </c:pt>
              </c:numCache>
            </c:numRef>
          </c:val>
          <c:extLst>
            <c:ext xmlns:c16="http://schemas.microsoft.com/office/drawing/2014/chart" uri="{C3380CC4-5D6E-409C-BE32-E72D297353CC}">
              <c16:uniqueId val="{00000002-76A7-4D44-8B96-878A9B211895}"/>
            </c:ext>
          </c:extLst>
        </c:ser>
        <c:ser>
          <c:idx val="3"/>
          <c:order val="3"/>
          <c:tx>
            <c:strRef>
              <c:f>Sheet1!$V$56</c:f>
              <c:strCache>
                <c:ptCount val="1"/>
                <c:pt idx="0">
                  <c:v>1.05 (105%)</c:v>
                </c:pt>
              </c:strCache>
            </c:strRef>
          </c:tx>
          <c:spPr>
            <a:solidFill>
              <a:schemeClr val="accent4"/>
            </a:solidFill>
            <a:ln>
              <a:noFill/>
            </a:ln>
            <a:effectLst/>
          </c:spPr>
          <c:invertIfNegative val="0"/>
          <c:cat>
            <c:strRef>
              <c:f>Sheet1!$W$52:$AG$52</c:f>
              <c:strCache>
                <c:ptCount val="11"/>
                <c:pt idx="0">
                  <c:v>Base Case (No Renewable Generation) </c:v>
                </c:pt>
                <c:pt idx="1">
                  <c:v>4% Renewable Generation</c:v>
                </c:pt>
                <c:pt idx="2">
                  <c:v>13% Renewable Generation</c:v>
                </c:pt>
                <c:pt idx="3">
                  <c:v>26% Renewable Generation</c:v>
                </c:pt>
                <c:pt idx="4">
                  <c:v>35% Renewable Generation</c:v>
                </c:pt>
                <c:pt idx="5">
                  <c:v>44% Renewable Generation</c:v>
                </c:pt>
                <c:pt idx="6">
                  <c:v>52% Renewable Generation</c:v>
                </c:pt>
                <c:pt idx="7">
                  <c:v>63% Renewable Generation</c:v>
                </c:pt>
                <c:pt idx="8">
                  <c:v>72% Renewable Generation</c:v>
                </c:pt>
                <c:pt idx="9">
                  <c:v>83% Renewable Generation</c:v>
                </c:pt>
                <c:pt idx="10">
                  <c:v>95% Renewable Generation</c:v>
                </c:pt>
              </c:strCache>
            </c:strRef>
          </c:cat>
          <c:val>
            <c:numRef>
              <c:f>Sheet1!$W$56:$AG$56</c:f>
              <c:numCache>
                <c:formatCode>0.00</c:formatCode>
                <c:ptCount val="11"/>
                <c:pt idx="0">
                  <c:v>33.319220073118146</c:v>
                </c:pt>
                <c:pt idx="1">
                  <c:v>29.763077631983144</c:v>
                </c:pt>
                <c:pt idx="2">
                  <c:v>28.841075060855655</c:v>
                </c:pt>
                <c:pt idx="3">
                  <c:v>28.467378794819947</c:v>
                </c:pt>
                <c:pt idx="4">
                  <c:v>28.041240010340918</c:v>
                </c:pt>
                <c:pt idx="5">
                  <c:v>25.294587845407023</c:v>
                </c:pt>
                <c:pt idx="6">
                  <c:v>24.519489247311832</c:v>
                </c:pt>
                <c:pt idx="7">
                  <c:v>22.517942511346444</c:v>
                </c:pt>
                <c:pt idx="8">
                  <c:v>20.418236061905652</c:v>
                </c:pt>
                <c:pt idx="9">
                  <c:v>19.385058050217843</c:v>
                </c:pt>
                <c:pt idx="10" formatCode="General">
                  <c:v>16.50313669740326</c:v>
                </c:pt>
              </c:numCache>
            </c:numRef>
          </c:val>
          <c:extLst>
            <c:ext xmlns:c16="http://schemas.microsoft.com/office/drawing/2014/chart" uri="{C3380CC4-5D6E-409C-BE32-E72D297353CC}">
              <c16:uniqueId val="{00000003-76A7-4D44-8B96-878A9B211895}"/>
            </c:ext>
          </c:extLst>
        </c:ser>
        <c:ser>
          <c:idx val="4"/>
          <c:order val="4"/>
          <c:tx>
            <c:strRef>
              <c:f>Sheet1!$V$57</c:f>
              <c:strCache>
                <c:ptCount val="1"/>
                <c:pt idx="0">
                  <c:v>1.1 (110%)</c:v>
                </c:pt>
              </c:strCache>
            </c:strRef>
          </c:tx>
          <c:spPr>
            <a:solidFill>
              <a:schemeClr val="accent5"/>
            </a:solidFill>
            <a:ln>
              <a:noFill/>
            </a:ln>
            <a:effectLst/>
          </c:spPr>
          <c:invertIfNegative val="0"/>
          <c:cat>
            <c:strRef>
              <c:f>Sheet1!$W$52:$AG$52</c:f>
              <c:strCache>
                <c:ptCount val="11"/>
                <c:pt idx="0">
                  <c:v>Base Case (No Renewable Generation) </c:v>
                </c:pt>
                <c:pt idx="1">
                  <c:v>4% Renewable Generation</c:v>
                </c:pt>
                <c:pt idx="2">
                  <c:v>13% Renewable Generation</c:v>
                </c:pt>
                <c:pt idx="3">
                  <c:v>26% Renewable Generation</c:v>
                </c:pt>
                <c:pt idx="4">
                  <c:v>35% Renewable Generation</c:v>
                </c:pt>
                <c:pt idx="5">
                  <c:v>44% Renewable Generation</c:v>
                </c:pt>
                <c:pt idx="6">
                  <c:v>52% Renewable Generation</c:v>
                </c:pt>
                <c:pt idx="7">
                  <c:v>63% Renewable Generation</c:v>
                </c:pt>
                <c:pt idx="8">
                  <c:v>72% Renewable Generation</c:v>
                </c:pt>
                <c:pt idx="9">
                  <c:v>83% Renewable Generation</c:v>
                </c:pt>
                <c:pt idx="10">
                  <c:v>95% Renewable Generation</c:v>
                </c:pt>
              </c:strCache>
            </c:strRef>
          </c:cat>
          <c:val>
            <c:numRef>
              <c:f>Sheet1!$W$57:$AG$57</c:f>
              <c:numCache>
                <c:formatCode>0.00</c:formatCode>
                <c:ptCount val="11"/>
                <c:pt idx="0">
                  <c:v>30.427282157676345</c:v>
                </c:pt>
                <c:pt idx="1">
                  <c:v>26.70633619653356</c:v>
                </c:pt>
                <c:pt idx="2">
                  <c:v>25.753774963468096</c:v>
                </c:pt>
                <c:pt idx="3">
                  <c:v>25.36461868886391</c:v>
                </c:pt>
                <c:pt idx="4">
                  <c:v>24.926850017350034</c:v>
                </c:pt>
                <c:pt idx="5">
                  <c:v>22.065491476579481</c:v>
                </c:pt>
                <c:pt idx="6">
                  <c:v>21.113986285418544</c:v>
                </c:pt>
                <c:pt idx="7">
                  <c:v>19.273841191126731</c:v>
                </c:pt>
                <c:pt idx="8">
                  <c:v>17.130306924331531</c:v>
                </c:pt>
                <c:pt idx="9">
                  <c:v>15.955815090036465</c:v>
                </c:pt>
                <c:pt idx="10" formatCode="General">
                  <c:v>12.80684876298443</c:v>
                </c:pt>
              </c:numCache>
            </c:numRef>
          </c:val>
          <c:extLst>
            <c:ext xmlns:c16="http://schemas.microsoft.com/office/drawing/2014/chart" uri="{C3380CC4-5D6E-409C-BE32-E72D297353CC}">
              <c16:uniqueId val="{00000004-76A7-4D44-8B96-878A9B211895}"/>
            </c:ext>
          </c:extLst>
        </c:ser>
        <c:dLbls>
          <c:showLegendKey val="0"/>
          <c:showVal val="0"/>
          <c:showCatName val="0"/>
          <c:showSerName val="0"/>
          <c:showPercent val="0"/>
          <c:showBubbleSize val="0"/>
        </c:dLbls>
        <c:gapWidth val="219"/>
        <c:overlap val="-27"/>
        <c:axId val="1278059456"/>
        <c:axId val="1278058496"/>
      </c:barChart>
      <c:catAx>
        <c:axId val="127805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058496"/>
        <c:crosses val="autoZero"/>
        <c:auto val="1"/>
        <c:lblAlgn val="ctr"/>
        <c:lblOffset val="100"/>
        <c:noMultiLvlLbl val="0"/>
      </c:catAx>
      <c:valAx>
        <c:axId val="1278058496"/>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05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Error_SVM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611393651411431E-2"/>
          <c:y val="0.18587859424920131"/>
          <c:w val="0.90533831740232029"/>
          <c:h val="0.53645644134738746"/>
        </c:manualLayout>
      </c:layout>
      <c:bar3DChart>
        <c:barDir val="col"/>
        <c:grouping val="clustered"/>
        <c:varyColors val="0"/>
        <c:ser>
          <c:idx val="0"/>
          <c:order val="0"/>
          <c:tx>
            <c:strRef>
              <c:f>Sheet1!$E$31</c:f>
              <c:strCache>
                <c:ptCount val="1"/>
                <c:pt idx="0">
                  <c:v>Error_SVM</c:v>
                </c:pt>
              </c:strCache>
            </c:strRef>
          </c:tx>
          <c:spPr>
            <a:solidFill>
              <a:schemeClr val="accent1"/>
            </a:solidFill>
            <a:ln>
              <a:noFill/>
            </a:ln>
            <a:effectLst/>
            <a:sp3d/>
          </c:spPr>
          <c:invertIfNegative val="0"/>
          <c:cat>
            <c:strRef>
              <c:f>Sheet1!$D$32:$D$50</c:f>
              <c:strCache>
                <c:ptCount val="19"/>
                <c:pt idx="0">
                  <c:v>Mode 1</c:v>
                </c:pt>
                <c:pt idx="1">
                  <c:v>Mode 2</c:v>
                </c:pt>
                <c:pt idx="2">
                  <c:v>Mode 3</c:v>
                </c:pt>
                <c:pt idx="3">
                  <c:v>Mode 4</c:v>
                </c:pt>
                <c:pt idx="4">
                  <c:v>Mode 5</c:v>
                </c:pt>
                <c:pt idx="5">
                  <c:v>Mode 6</c:v>
                </c:pt>
                <c:pt idx="6">
                  <c:v>Mode 7</c:v>
                </c:pt>
                <c:pt idx="7">
                  <c:v>Mode 8</c:v>
                </c:pt>
                <c:pt idx="8">
                  <c:v>Mode 9</c:v>
                </c:pt>
                <c:pt idx="9">
                  <c:v>Mode 10</c:v>
                </c:pt>
                <c:pt idx="10">
                  <c:v>Mode 11</c:v>
                </c:pt>
                <c:pt idx="11">
                  <c:v>Mode 12</c:v>
                </c:pt>
                <c:pt idx="12">
                  <c:v>Mode 13</c:v>
                </c:pt>
                <c:pt idx="13">
                  <c:v>Mode 14</c:v>
                </c:pt>
                <c:pt idx="14">
                  <c:v>Mode 15</c:v>
                </c:pt>
                <c:pt idx="15">
                  <c:v>Mode 16</c:v>
                </c:pt>
                <c:pt idx="16">
                  <c:v>Mode 17</c:v>
                </c:pt>
                <c:pt idx="17">
                  <c:v>Mode 18</c:v>
                </c:pt>
                <c:pt idx="18">
                  <c:v>Mode 19</c:v>
                </c:pt>
              </c:strCache>
            </c:strRef>
          </c:cat>
          <c:val>
            <c:numRef>
              <c:f>Sheet1!$E$32:$E$50</c:f>
              <c:numCache>
                <c:formatCode>General</c:formatCode>
                <c:ptCount val="19"/>
                <c:pt idx="0">
                  <c:v>11.991279069767446</c:v>
                </c:pt>
                <c:pt idx="1">
                  <c:v>11.429102397323923</c:v>
                </c:pt>
                <c:pt idx="2">
                  <c:v>38.030362008563642</c:v>
                </c:pt>
                <c:pt idx="3">
                  <c:v>38.030362008563642</c:v>
                </c:pt>
                <c:pt idx="4">
                  <c:v>16.035</c:v>
                </c:pt>
                <c:pt idx="5">
                  <c:v>16.035</c:v>
                </c:pt>
                <c:pt idx="6">
                  <c:v>-26.964951628114687</c:v>
                </c:pt>
                <c:pt idx="7">
                  <c:v>-26.964951628114687</c:v>
                </c:pt>
                <c:pt idx="8">
                  <c:v>-13.621125363871906</c:v>
                </c:pt>
                <c:pt idx="9">
                  <c:v>-18.991218991218989</c:v>
                </c:pt>
                <c:pt idx="10">
                  <c:v>-18.794618794618792</c:v>
                </c:pt>
                <c:pt idx="11">
                  <c:v>-1.5528960751444671</c:v>
                </c:pt>
                <c:pt idx="12">
                  <c:v>-1.5528960751444671</c:v>
                </c:pt>
                <c:pt idx="13">
                  <c:v>-11.909599999999998</c:v>
                </c:pt>
                <c:pt idx="14">
                  <c:v>-11.909599999999998</c:v>
                </c:pt>
                <c:pt idx="15">
                  <c:v>3.0859999999999985</c:v>
                </c:pt>
                <c:pt idx="16">
                  <c:v>3.0365424596193793</c:v>
                </c:pt>
                <c:pt idx="17">
                  <c:v>-1.1723914222708152</c:v>
                </c:pt>
                <c:pt idx="18">
                  <c:v>3.2512499999999984</c:v>
                </c:pt>
              </c:numCache>
            </c:numRef>
          </c:val>
          <c:extLst>
            <c:ext xmlns:c16="http://schemas.microsoft.com/office/drawing/2014/chart" uri="{C3380CC4-5D6E-409C-BE32-E72D297353CC}">
              <c16:uniqueId val="{00000000-8CFE-4A34-A012-8AA37DD0871E}"/>
            </c:ext>
          </c:extLst>
        </c:ser>
        <c:dLbls>
          <c:showLegendKey val="0"/>
          <c:showVal val="0"/>
          <c:showCatName val="0"/>
          <c:showSerName val="0"/>
          <c:showPercent val="0"/>
          <c:showBubbleSize val="0"/>
        </c:dLbls>
        <c:gapWidth val="150"/>
        <c:shape val="box"/>
        <c:axId val="1152066639"/>
        <c:axId val="1152068559"/>
        <c:axId val="0"/>
      </c:bar3DChart>
      <c:catAx>
        <c:axId val="1152066639"/>
        <c:scaling>
          <c:orientation val="minMax"/>
        </c:scaling>
        <c:delete val="0"/>
        <c:axPos val="b"/>
        <c:numFmt formatCode="General" sourceLinked="1"/>
        <c:majorTickMark val="none"/>
        <c:minorTickMark val="none"/>
        <c:tickLblPos val="low"/>
        <c:spPr>
          <a:noFill/>
          <a:ln>
            <a:noFill/>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068559"/>
        <c:crosses val="autoZero"/>
        <c:auto val="1"/>
        <c:lblAlgn val="ctr"/>
        <c:lblOffset val="100"/>
        <c:noMultiLvlLbl val="0"/>
      </c:catAx>
      <c:valAx>
        <c:axId val="1152068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0666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Error_GPR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719638493464185E-2"/>
          <c:y val="0.1710170487948266"/>
          <c:w val="0.90518676544742249"/>
          <c:h val="0.57351812504918365"/>
        </c:manualLayout>
      </c:layout>
      <c:bar3DChart>
        <c:barDir val="col"/>
        <c:grouping val="clustered"/>
        <c:varyColors val="0"/>
        <c:ser>
          <c:idx val="0"/>
          <c:order val="0"/>
          <c:tx>
            <c:strRef>
              <c:f>Sheet1!$G$31</c:f>
              <c:strCache>
                <c:ptCount val="1"/>
                <c:pt idx="0">
                  <c:v>Error_GPR</c:v>
                </c:pt>
              </c:strCache>
            </c:strRef>
          </c:tx>
          <c:spPr>
            <a:solidFill>
              <a:schemeClr val="accent1"/>
            </a:solidFill>
            <a:ln>
              <a:noFill/>
            </a:ln>
            <a:effectLst/>
            <a:sp3d/>
          </c:spPr>
          <c:invertIfNegative val="0"/>
          <c:cat>
            <c:strRef>
              <c:f>Sheet1!$F$32:$F$50</c:f>
              <c:strCache>
                <c:ptCount val="19"/>
                <c:pt idx="0">
                  <c:v>Mode 1</c:v>
                </c:pt>
                <c:pt idx="1">
                  <c:v>Mode 2</c:v>
                </c:pt>
                <c:pt idx="2">
                  <c:v>Mode 3</c:v>
                </c:pt>
                <c:pt idx="3">
                  <c:v>Mode 4</c:v>
                </c:pt>
                <c:pt idx="4">
                  <c:v>Mode 5</c:v>
                </c:pt>
                <c:pt idx="5">
                  <c:v>Mode 6</c:v>
                </c:pt>
                <c:pt idx="6">
                  <c:v>Mode 7</c:v>
                </c:pt>
                <c:pt idx="7">
                  <c:v>Mode 8</c:v>
                </c:pt>
                <c:pt idx="8">
                  <c:v>Mode 9</c:v>
                </c:pt>
                <c:pt idx="9">
                  <c:v>Mode 10</c:v>
                </c:pt>
                <c:pt idx="10">
                  <c:v>Mode 11</c:v>
                </c:pt>
                <c:pt idx="11">
                  <c:v>Mode 12</c:v>
                </c:pt>
                <c:pt idx="12">
                  <c:v>Mode 13</c:v>
                </c:pt>
                <c:pt idx="13">
                  <c:v>Mode 14</c:v>
                </c:pt>
                <c:pt idx="14">
                  <c:v>Mode 15</c:v>
                </c:pt>
                <c:pt idx="15">
                  <c:v>Mode 16</c:v>
                </c:pt>
                <c:pt idx="16">
                  <c:v>Mode 17</c:v>
                </c:pt>
                <c:pt idx="17">
                  <c:v>Mode 18</c:v>
                </c:pt>
                <c:pt idx="18">
                  <c:v>Mode 19</c:v>
                </c:pt>
              </c:strCache>
            </c:strRef>
          </c:cat>
          <c:val>
            <c:numRef>
              <c:f>Sheet1!$G$32:$G$50</c:f>
              <c:numCache>
                <c:formatCode>General</c:formatCode>
                <c:ptCount val="19"/>
                <c:pt idx="0">
                  <c:v>-9.2296511627907005</c:v>
                </c:pt>
                <c:pt idx="1">
                  <c:v>3.0942204051291577</c:v>
                </c:pt>
                <c:pt idx="2">
                  <c:v>14.371350720124557</c:v>
                </c:pt>
                <c:pt idx="3">
                  <c:v>14.371350720124557</c:v>
                </c:pt>
                <c:pt idx="4">
                  <c:v>13.03700000000001</c:v>
                </c:pt>
                <c:pt idx="5">
                  <c:v>13.03700000000001</c:v>
                </c:pt>
                <c:pt idx="6">
                  <c:v>-27.317201595622372</c:v>
                </c:pt>
                <c:pt idx="7">
                  <c:v>-27.317201595622372</c:v>
                </c:pt>
                <c:pt idx="8">
                  <c:v>-14.694454218781658</c:v>
                </c:pt>
                <c:pt idx="9">
                  <c:v>-19.99781999782001</c:v>
                </c:pt>
                <c:pt idx="10">
                  <c:v>-18.294318294318295</c:v>
                </c:pt>
                <c:pt idx="11">
                  <c:v>-4.1328042664855884</c:v>
                </c:pt>
                <c:pt idx="12">
                  <c:v>-4.1328042664855884</c:v>
                </c:pt>
                <c:pt idx="13">
                  <c:v>-7.9427600000000069</c:v>
                </c:pt>
                <c:pt idx="14">
                  <c:v>-7.992999999999995</c:v>
                </c:pt>
                <c:pt idx="15">
                  <c:v>1.0845000000000056</c:v>
                </c:pt>
                <c:pt idx="16">
                  <c:v>1.0360027186950302</c:v>
                </c:pt>
                <c:pt idx="17">
                  <c:v>-1.53302240382493</c:v>
                </c:pt>
                <c:pt idx="18">
                  <c:v>3</c:v>
                </c:pt>
              </c:numCache>
            </c:numRef>
          </c:val>
          <c:extLst>
            <c:ext xmlns:c16="http://schemas.microsoft.com/office/drawing/2014/chart" uri="{C3380CC4-5D6E-409C-BE32-E72D297353CC}">
              <c16:uniqueId val="{00000000-B0C5-4B1E-BF83-099068523DD2}"/>
            </c:ext>
          </c:extLst>
        </c:ser>
        <c:dLbls>
          <c:showLegendKey val="0"/>
          <c:showVal val="0"/>
          <c:showCatName val="0"/>
          <c:showSerName val="0"/>
          <c:showPercent val="0"/>
          <c:showBubbleSize val="0"/>
        </c:dLbls>
        <c:gapWidth val="150"/>
        <c:shape val="box"/>
        <c:axId val="1154480959"/>
        <c:axId val="1154479999"/>
        <c:axId val="0"/>
      </c:bar3DChart>
      <c:catAx>
        <c:axId val="1154480959"/>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479999"/>
        <c:crosses val="autoZero"/>
        <c:auto val="1"/>
        <c:lblAlgn val="ctr"/>
        <c:lblOffset val="100"/>
        <c:noMultiLvlLbl val="0"/>
      </c:catAx>
      <c:valAx>
        <c:axId val="1154479999"/>
        <c:scaling>
          <c:orientation val="minMax"/>
          <c:max val="40"/>
          <c:min val="-4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480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351851851851852"/>
          <c:y val="0.12996031746031747"/>
          <c:w val="0.82407407407407407"/>
          <c:h val="0.78769841269841268"/>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F2E-4E69-A4FF-C35D0237A5C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F2E-4E69-A4FF-C35D0237A5C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F2E-4E69-A4FF-C35D0237A5C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F2E-4E69-A4FF-C35D0237A5C7}"/>
              </c:ext>
            </c:extLst>
          </c:dPt>
          <c:dLbls>
            <c:dLbl>
              <c:idx val="0"/>
              <c:layout>
                <c:manualLayout>
                  <c:x val="-1.8518518518518517E-2"/>
                  <c:y val="-0.39285714285714285"/>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DF2E-4E69-A4FF-C35D0237A5C7}"/>
                </c:ext>
              </c:extLst>
            </c:dLbl>
            <c:dLbl>
              <c:idx val="1"/>
              <c:layout>
                <c:manualLayout>
                  <c:x val="-5.3240740740740783E-2"/>
                  <c:y val="-3.968253968253968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DF2E-4E69-A4FF-C35D0237A5C7}"/>
                </c:ext>
              </c:extLst>
            </c:dLbl>
            <c:dLbl>
              <c:idx val="2"/>
              <c:layout>
                <c:manualLayout>
                  <c:x val="1.3888888888888888E-2"/>
                  <c:y val="-3.5714285714285712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DF2E-4E69-A4FF-C35D0237A5C7}"/>
                </c:ext>
              </c:extLst>
            </c:dLbl>
            <c:dLbl>
              <c:idx val="3"/>
              <c:layout>
                <c:manualLayout>
                  <c:x val="-8.1018518518518545E-2"/>
                  <c:y val="0"/>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DF2E-4E69-A4FF-C35D0237A5C7}"/>
                </c:ext>
              </c:extLst>
            </c:dLbl>
            <c:spPr>
              <a:solidFill>
                <a:sysClr val="window" lastClr="FFFFFF"/>
              </a:solidFill>
              <a:ln>
                <a:solidFill>
                  <a:srgbClr val="156082"/>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IEEE 39-bus test system</c:v>
                </c:pt>
                <c:pt idx="1">
                  <c:v>Nordic test system</c:v>
                </c:pt>
                <c:pt idx="2">
                  <c:v>Real-world grids</c:v>
                </c:pt>
                <c:pt idx="3">
                  <c:v>Others</c:v>
                </c:pt>
              </c:strCache>
            </c:strRef>
          </c:cat>
          <c:val>
            <c:numRef>
              <c:f>Sheet1!$B$2:$B$5</c:f>
              <c:numCache>
                <c:formatCode>General</c:formatCode>
                <c:ptCount val="4"/>
                <c:pt idx="0">
                  <c:v>24</c:v>
                </c:pt>
                <c:pt idx="1">
                  <c:v>7</c:v>
                </c:pt>
                <c:pt idx="2">
                  <c:v>6</c:v>
                </c:pt>
                <c:pt idx="3">
                  <c:v>11</c:v>
                </c:pt>
              </c:numCache>
            </c:numRef>
          </c:val>
          <c:extLst>
            <c:ext xmlns:c16="http://schemas.microsoft.com/office/drawing/2014/chart" uri="{C3380CC4-5D6E-409C-BE32-E72D297353CC}">
              <c16:uniqueId val="{00000008-DF2E-4E69-A4FF-C35D0237A5C7}"/>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spcBef>
          <a:spcPts val="2400"/>
        </a:spcBef>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537037037037035E-2"/>
          <c:y val="0.12996031746031747"/>
          <c:w val="0.82407407407407407"/>
          <c:h val="0.78769841269841268"/>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D9C-4CAA-8EAD-42FFE40134C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D9C-4CAA-8EAD-42FFE40134C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D9C-4CAA-8EAD-42FFE40134C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D9C-4CAA-8EAD-42FFE40134C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D9C-4CAA-8EAD-42FFE40134C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D9C-4CAA-8EAD-42FFE40134C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9D9C-4CAA-8EAD-42FFE40134C5}"/>
              </c:ext>
            </c:extLst>
          </c:dPt>
          <c:dLbls>
            <c:dLbl>
              <c:idx val="0"/>
              <c:layout>
                <c:manualLayout>
                  <c:x val="2.7777777777777776E-2"/>
                  <c:y val="-2.7777777777777776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9D9C-4CAA-8EAD-42FFE40134C5}"/>
                </c:ext>
              </c:extLst>
            </c:dLbl>
            <c:dLbl>
              <c:idx val="1"/>
              <c:layout>
                <c:manualLayout>
                  <c:x val="0.14351851851851835"/>
                  <c:y val="-0.1111111111111111"/>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9D9C-4CAA-8EAD-42FFE40134C5}"/>
                </c:ext>
              </c:extLst>
            </c:dLbl>
            <c:dLbl>
              <c:idx val="2"/>
              <c:layout>
                <c:manualLayout>
                  <c:x val="-6.4814814814814811E-2"/>
                  <c:y val="-6.3492063492063641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9D9C-4CAA-8EAD-42FFE40134C5}"/>
                </c:ext>
              </c:extLst>
            </c:dLbl>
            <c:dLbl>
              <c:idx val="3"/>
              <c:layout>
                <c:manualLayout>
                  <c:x val="-3.9351851851851853E-2"/>
                  <c:y val="-9.9206349206349201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9D9C-4CAA-8EAD-42FFE40134C5}"/>
                </c:ext>
              </c:extLst>
            </c:dLbl>
            <c:dLbl>
              <c:idx val="4"/>
              <c:layout>
                <c:manualLayout>
                  <c:x val="-3.9351851851851853E-2"/>
                  <c:y val="1.1904761904761904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9D9C-4CAA-8EAD-42FFE40134C5}"/>
                </c:ext>
              </c:extLst>
            </c:dLbl>
            <c:dLbl>
              <c:idx val="5"/>
              <c:layout>
                <c:manualLayout>
                  <c:x val="-2.3148148148148147E-2"/>
                  <c:y val="-3.968253968253968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9D9C-4CAA-8EAD-42FFE40134C5}"/>
                </c:ext>
              </c:extLst>
            </c:dLbl>
            <c:dLbl>
              <c:idx val="6"/>
              <c:layout>
                <c:manualLayout>
                  <c:x val="2.7777777777777776E-2"/>
                  <c:y val="-1.984126984126984E-2"/>
                </c:manualLayout>
              </c:layout>
              <c:spPr>
                <a:solidFill>
                  <a:sysClr val="window" lastClr="FFFFFF"/>
                </a:solidFill>
                <a:ln>
                  <a:solidFill>
                    <a:srgbClr val="156082"/>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9D9C-4CAA-8EAD-42FFE40134C5}"/>
                </c:ext>
              </c:extLst>
            </c:dLbl>
            <c:spPr>
              <a:solidFill>
                <a:sysClr val="window" lastClr="FFFFFF"/>
              </a:solidFill>
              <a:ln>
                <a:solidFill>
                  <a:srgbClr val="156082"/>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DIgSILENT PowerFactory</c:v>
                </c:pt>
                <c:pt idx="1">
                  <c:v>PSD-BPA</c:v>
                </c:pt>
                <c:pt idx="2">
                  <c:v>PSS/E</c:v>
                </c:pt>
                <c:pt idx="3">
                  <c:v>PSASP</c:v>
                </c:pt>
                <c:pt idx="4">
                  <c:v>PSAT</c:v>
                </c:pt>
                <c:pt idx="5">
                  <c:v>DSP</c:v>
                </c:pt>
                <c:pt idx="6">
                  <c:v>Others</c:v>
                </c:pt>
              </c:strCache>
            </c:strRef>
          </c:cat>
          <c:val>
            <c:numRef>
              <c:f>Sheet1!$B$2:$B$8</c:f>
              <c:numCache>
                <c:formatCode>General</c:formatCode>
                <c:ptCount val="7"/>
                <c:pt idx="0">
                  <c:v>15</c:v>
                </c:pt>
                <c:pt idx="1">
                  <c:v>10</c:v>
                </c:pt>
                <c:pt idx="2">
                  <c:v>7</c:v>
                </c:pt>
                <c:pt idx="3">
                  <c:v>3</c:v>
                </c:pt>
                <c:pt idx="4">
                  <c:v>3</c:v>
                </c:pt>
                <c:pt idx="5">
                  <c:v>2</c:v>
                </c:pt>
                <c:pt idx="6">
                  <c:v>6</c:v>
                </c:pt>
              </c:numCache>
            </c:numRef>
          </c:val>
          <c:extLst>
            <c:ext xmlns:c16="http://schemas.microsoft.com/office/drawing/2014/chart" uri="{C3380CC4-5D6E-409C-BE32-E72D297353CC}">
              <c16:uniqueId val="{0000000E-9D9C-4CAA-8EAD-42FFE40134C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spcBef>
          <a:spcPts val="1200"/>
        </a:spcBef>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98092823706139E-2"/>
          <c:y val="8.0725244072524405E-2"/>
          <c:w val="0.87994804161556028"/>
          <c:h val="0.7953768954621806"/>
        </c:manualLayout>
      </c:layout>
      <c:scatterChart>
        <c:scatterStyle val="lineMarker"/>
        <c:varyColors val="0"/>
        <c:ser>
          <c:idx val="0"/>
          <c:order val="0"/>
          <c:tx>
            <c:strRef>
              <c:f>'[base plot data.xlsx]Sheet3'!$B$2</c:f>
              <c:strCache>
                <c:ptCount val="1"/>
                <c:pt idx="0">
                  <c:v>LLL</c:v>
                </c:pt>
              </c:strCache>
            </c:strRef>
          </c:tx>
          <c:spPr>
            <a:ln w="12700" cap="rnd">
              <a:solidFill>
                <a:srgbClr val="FF0000"/>
              </a:solidFill>
              <a:round/>
            </a:ln>
            <a:effectLst/>
          </c:spPr>
          <c:marker>
            <c:symbol val="none"/>
          </c:marker>
          <c:xVal>
            <c:numRef>
              <c:f>'[base plot data.xlsx]Sheet3'!$A$3:$A$2005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'[base plot data.xlsx]Sheet3'!$B$3:$B$2005</c:f>
              <c:numCache>
                <c:formatCode>General</c:formatCode>
                <c:ptCount val="2003"/>
                <c:pt idx="0">
                  <c:v>0.81904299999999997</c:v>
                </c:pt>
                <c:pt idx="1">
                  <c:v>0.81904299999999997</c:v>
                </c:pt>
                <c:pt idx="2">
                  <c:v>0.81904299999999997</c:v>
                </c:pt>
                <c:pt idx="3">
                  <c:v>0.81904299999999997</c:v>
                </c:pt>
                <c:pt idx="4">
                  <c:v>0.81904299999999997</c:v>
                </c:pt>
                <c:pt idx="5">
                  <c:v>0.81904299999999997</c:v>
                </c:pt>
                <c:pt idx="6">
                  <c:v>0.81904299999999997</c:v>
                </c:pt>
                <c:pt idx="7">
                  <c:v>0.81904299999999997</c:v>
                </c:pt>
                <c:pt idx="8">
                  <c:v>0.81904299999999997</c:v>
                </c:pt>
                <c:pt idx="9">
                  <c:v>0.81904299999999997</c:v>
                </c:pt>
                <c:pt idx="10">
                  <c:v>0.81904299999999997</c:v>
                </c:pt>
                <c:pt idx="11">
                  <c:v>0.81904299999999997</c:v>
                </c:pt>
                <c:pt idx="12">
                  <c:v>0.81904299999999997</c:v>
                </c:pt>
                <c:pt idx="13">
                  <c:v>0.81904299999999997</c:v>
                </c:pt>
                <c:pt idx="14">
                  <c:v>0.81904299999999997</c:v>
                </c:pt>
                <c:pt idx="15">
                  <c:v>0.81904299999999997</c:v>
                </c:pt>
                <c:pt idx="16">
                  <c:v>0.81904299999999997</c:v>
                </c:pt>
                <c:pt idx="17">
                  <c:v>0.81904299999999997</c:v>
                </c:pt>
                <c:pt idx="18">
                  <c:v>0.81904299999999997</c:v>
                </c:pt>
                <c:pt idx="19">
                  <c:v>0.81904299999999997</c:v>
                </c:pt>
                <c:pt idx="20">
                  <c:v>0.81904299999999997</c:v>
                </c:pt>
                <c:pt idx="21">
                  <c:v>0.81904299999999997</c:v>
                </c:pt>
                <c:pt idx="22">
                  <c:v>0.81904299999999997</c:v>
                </c:pt>
                <c:pt idx="23">
                  <c:v>0.81904299999999997</c:v>
                </c:pt>
                <c:pt idx="24">
                  <c:v>0.81904299999999997</c:v>
                </c:pt>
                <c:pt idx="25">
                  <c:v>0.81904299999999997</c:v>
                </c:pt>
                <c:pt idx="26">
                  <c:v>0.81904299999999997</c:v>
                </c:pt>
                <c:pt idx="27">
                  <c:v>0.81904299999999997</c:v>
                </c:pt>
                <c:pt idx="28">
                  <c:v>0.81904299999999997</c:v>
                </c:pt>
                <c:pt idx="29">
                  <c:v>0.81904299999999997</c:v>
                </c:pt>
                <c:pt idx="30">
                  <c:v>0.81904299999999997</c:v>
                </c:pt>
                <c:pt idx="31">
                  <c:v>0.81904299999999997</c:v>
                </c:pt>
                <c:pt idx="32">
                  <c:v>0.81904299999999997</c:v>
                </c:pt>
                <c:pt idx="33">
                  <c:v>0.81904299999999997</c:v>
                </c:pt>
                <c:pt idx="34">
                  <c:v>0.81904299999999997</c:v>
                </c:pt>
                <c:pt idx="35">
                  <c:v>0.81904299999999997</c:v>
                </c:pt>
                <c:pt idx="36">
                  <c:v>0.81904299999999997</c:v>
                </c:pt>
                <c:pt idx="37">
                  <c:v>0.81904299999999997</c:v>
                </c:pt>
                <c:pt idx="38">
                  <c:v>0.81904299999999997</c:v>
                </c:pt>
                <c:pt idx="39">
                  <c:v>0.81904299999999997</c:v>
                </c:pt>
                <c:pt idx="40">
                  <c:v>0.81904299999999997</c:v>
                </c:pt>
                <c:pt idx="41">
                  <c:v>0.81904299999999997</c:v>
                </c:pt>
                <c:pt idx="42">
                  <c:v>0.81904299999999997</c:v>
                </c:pt>
                <c:pt idx="43">
                  <c:v>0.81904299999999997</c:v>
                </c:pt>
                <c:pt idx="44">
                  <c:v>0.81904299999999997</c:v>
                </c:pt>
                <c:pt idx="45">
                  <c:v>0.81904299999999997</c:v>
                </c:pt>
                <c:pt idx="46">
                  <c:v>0.81904299999999997</c:v>
                </c:pt>
                <c:pt idx="47">
                  <c:v>0.81904299999999997</c:v>
                </c:pt>
                <c:pt idx="48">
                  <c:v>0.81904299999999997</c:v>
                </c:pt>
                <c:pt idx="49">
                  <c:v>0.81904299999999997</c:v>
                </c:pt>
                <c:pt idx="50">
                  <c:v>0.81904299999999997</c:v>
                </c:pt>
                <c:pt idx="51">
                  <c:v>0.81904299999999997</c:v>
                </c:pt>
                <c:pt idx="52">
                  <c:v>0.81904299999999997</c:v>
                </c:pt>
                <c:pt idx="53">
                  <c:v>0.81904299999999997</c:v>
                </c:pt>
                <c:pt idx="54">
                  <c:v>0.81904299999999997</c:v>
                </c:pt>
                <c:pt idx="55">
                  <c:v>0.81904299999999997</c:v>
                </c:pt>
                <c:pt idx="56">
                  <c:v>0.81904299999999997</c:v>
                </c:pt>
                <c:pt idx="57">
                  <c:v>0.81904299999999997</c:v>
                </c:pt>
                <c:pt idx="58">
                  <c:v>0.81904299999999997</c:v>
                </c:pt>
                <c:pt idx="59">
                  <c:v>0.81904299999999997</c:v>
                </c:pt>
                <c:pt idx="60">
                  <c:v>0.81904299999999997</c:v>
                </c:pt>
                <c:pt idx="61">
                  <c:v>0.81904299999999997</c:v>
                </c:pt>
                <c:pt idx="62">
                  <c:v>0.81904299999999997</c:v>
                </c:pt>
                <c:pt idx="63">
                  <c:v>0.81904299999999997</c:v>
                </c:pt>
                <c:pt idx="64">
                  <c:v>0.81904299999999997</c:v>
                </c:pt>
                <c:pt idx="65">
                  <c:v>0.81904299999999997</c:v>
                </c:pt>
                <c:pt idx="66">
                  <c:v>0.81904299999999997</c:v>
                </c:pt>
                <c:pt idx="67">
                  <c:v>0.81904299999999997</c:v>
                </c:pt>
                <c:pt idx="68">
                  <c:v>0.81904299999999997</c:v>
                </c:pt>
                <c:pt idx="69">
                  <c:v>0.81904299999999997</c:v>
                </c:pt>
                <c:pt idx="70">
                  <c:v>0.81904299999999997</c:v>
                </c:pt>
                <c:pt idx="71">
                  <c:v>0.81904299999999997</c:v>
                </c:pt>
                <c:pt idx="72">
                  <c:v>0.81904299999999997</c:v>
                </c:pt>
                <c:pt idx="73">
                  <c:v>0.81904299999999997</c:v>
                </c:pt>
                <c:pt idx="74">
                  <c:v>0.81904299999999997</c:v>
                </c:pt>
                <c:pt idx="75">
                  <c:v>0.81904299999999997</c:v>
                </c:pt>
                <c:pt idx="76">
                  <c:v>0.81904299999999997</c:v>
                </c:pt>
                <c:pt idx="77">
                  <c:v>0.81904299999999997</c:v>
                </c:pt>
                <c:pt idx="78">
                  <c:v>0.81904299999999997</c:v>
                </c:pt>
                <c:pt idx="79">
                  <c:v>0.81904299999999997</c:v>
                </c:pt>
                <c:pt idx="80">
                  <c:v>0.81904299999999997</c:v>
                </c:pt>
                <c:pt idx="81">
                  <c:v>0.81904299999999997</c:v>
                </c:pt>
                <c:pt idx="82">
                  <c:v>0.81904299999999997</c:v>
                </c:pt>
                <c:pt idx="83">
                  <c:v>0.81904299999999997</c:v>
                </c:pt>
                <c:pt idx="84">
                  <c:v>0.81904299999999997</c:v>
                </c:pt>
                <c:pt idx="85">
                  <c:v>0.81904299999999997</c:v>
                </c:pt>
                <c:pt idx="86">
                  <c:v>0.81904299999999997</c:v>
                </c:pt>
                <c:pt idx="87">
                  <c:v>0.81904299999999997</c:v>
                </c:pt>
                <c:pt idx="88">
                  <c:v>0.81904299999999997</c:v>
                </c:pt>
                <c:pt idx="89">
                  <c:v>0.81904299999999997</c:v>
                </c:pt>
                <c:pt idx="90">
                  <c:v>0.81904299999999997</c:v>
                </c:pt>
                <c:pt idx="91">
                  <c:v>0.81904299999999997</c:v>
                </c:pt>
                <c:pt idx="92">
                  <c:v>0.81904299999999997</c:v>
                </c:pt>
                <c:pt idx="93">
                  <c:v>0.81904299999999997</c:v>
                </c:pt>
                <c:pt idx="94">
                  <c:v>0.81904299999999997</c:v>
                </c:pt>
                <c:pt idx="95">
                  <c:v>0.81904299999999997</c:v>
                </c:pt>
                <c:pt idx="96">
                  <c:v>0.81904299999999997</c:v>
                </c:pt>
                <c:pt idx="97">
                  <c:v>0.81904299999999997</c:v>
                </c:pt>
                <c:pt idx="98">
                  <c:v>0.81904299999999997</c:v>
                </c:pt>
                <c:pt idx="99">
                  <c:v>0.81904299999999997</c:v>
                </c:pt>
                <c:pt idx="100">
                  <c:v>0.81904299999999997</c:v>
                </c:pt>
                <c:pt idx="101">
                  <c:v>0.81904299999999997</c:v>
                </c:pt>
                <c:pt idx="102">
                  <c:v>0.81904299999999997</c:v>
                </c:pt>
                <c:pt idx="103">
                  <c:v>0.81904299999999997</c:v>
                </c:pt>
                <c:pt idx="104">
                  <c:v>0.81904299999999997</c:v>
                </c:pt>
                <c:pt idx="105">
                  <c:v>0.81904299999999997</c:v>
                </c:pt>
                <c:pt idx="106">
                  <c:v>0.81904299999999997</c:v>
                </c:pt>
                <c:pt idx="107">
                  <c:v>0.81904299999999997</c:v>
                </c:pt>
                <c:pt idx="108">
                  <c:v>0.81904299999999997</c:v>
                </c:pt>
                <c:pt idx="109">
                  <c:v>0.81904299999999997</c:v>
                </c:pt>
                <c:pt idx="110">
                  <c:v>0.81904299999999997</c:v>
                </c:pt>
                <c:pt idx="111">
                  <c:v>0.81904299999999997</c:v>
                </c:pt>
                <c:pt idx="112">
                  <c:v>0.81904299999999997</c:v>
                </c:pt>
                <c:pt idx="113">
                  <c:v>0.81904299999999997</c:v>
                </c:pt>
                <c:pt idx="114">
                  <c:v>0.81904299999999997</c:v>
                </c:pt>
                <c:pt idx="115">
                  <c:v>0.81904299999999997</c:v>
                </c:pt>
                <c:pt idx="116">
                  <c:v>0.81904299999999997</c:v>
                </c:pt>
                <c:pt idx="117">
                  <c:v>0.81904299999999997</c:v>
                </c:pt>
                <c:pt idx="118">
                  <c:v>0.81904299999999997</c:v>
                </c:pt>
                <c:pt idx="119">
                  <c:v>0.81904299999999997</c:v>
                </c:pt>
                <c:pt idx="120">
                  <c:v>0.81904299999999997</c:v>
                </c:pt>
                <c:pt idx="121">
                  <c:v>0.81904299999999997</c:v>
                </c:pt>
                <c:pt idx="122">
                  <c:v>0.81904299999999997</c:v>
                </c:pt>
                <c:pt idx="123">
                  <c:v>0.81904299999999997</c:v>
                </c:pt>
                <c:pt idx="124">
                  <c:v>0.81904299999999997</c:v>
                </c:pt>
                <c:pt idx="125">
                  <c:v>0.81904299999999997</c:v>
                </c:pt>
                <c:pt idx="126">
                  <c:v>0.81904299999999997</c:v>
                </c:pt>
                <c:pt idx="127">
                  <c:v>0.81904299999999997</c:v>
                </c:pt>
                <c:pt idx="128">
                  <c:v>0.81904299999999997</c:v>
                </c:pt>
                <c:pt idx="129">
                  <c:v>0.81904299999999997</c:v>
                </c:pt>
                <c:pt idx="130">
                  <c:v>0.81904299999999997</c:v>
                </c:pt>
                <c:pt idx="131">
                  <c:v>0.81904299999999997</c:v>
                </c:pt>
                <c:pt idx="132">
                  <c:v>0.81904299999999997</c:v>
                </c:pt>
                <c:pt idx="133">
                  <c:v>0.81904299999999997</c:v>
                </c:pt>
                <c:pt idx="134">
                  <c:v>0.81904299999999997</c:v>
                </c:pt>
                <c:pt idx="135">
                  <c:v>0.81904299999999997</c:v>
                </c:pt>
                <c:pt idx="136">
                  <c:v>0.81904299999999997</c:v>
                </c:pt>
                <c:pt idx="137">
                  <c:v>0.81904299999999997</c:v>
                </c:pt>
                <c:pt idx="138">
                  <c:v>0.81904299999999997</c:v>
                </c:pt>
                <c:pt idx="139">
                  <c:v>0.81904299999999997</c:v>
                </c:pt>
                <c:pt idx="140">
                  <c:v>0.81904299999999997</c:v>
                </c:pt>
                <c:pt idx="141">
                  <c:v>0.81904299999999997</c:v>
                </c:pt>
                <c:pt idx="142">
                  <c:v>0.81904299999999997</c:v>
                </c:pt>
                <c:pt idx="143">
                  <c:v>0.81904299999999997</c:v>
                </c:pt>
                <c:pt idx="144">
                  <c:v>0.81904299999999997</c:v>
                </c:pt>
                <c:pt idx="145">
                  <c:v>0.81904299999999997</c:v>
                </c:pt>
                <c:pt idx="146">
                  <c:v>0.81904299999999997</c:v>
                </c:pt>
                <c:pt idx="147">
                  <c:v>0.81904299999999997</c:v>
                </c:pt>
                <c:pt idx="148">
                  <c:v>0.81904299999999997</c:v>
                </c:pt>
                <c:pt idx="149">
                  <c:v>0.81904299999999997</c:v>
                </c:pt>
                <c:pt idx="150">
                  <c:v>0.81904299999999997</c:v>
                </c:pt>
                <c:pt idx="151">
                  <c:v>0.81904299999999997</c:v>
                </c:pt>
                <c:pt idx="152">
                  <c:v>0.81904299999999997</c:v>
                </c:pt>
                <c:pt idx="153">
                  <c:v>0.81904299999999997</c:v>
                </c:pt>
                <c:pt idx="154">
                  <c:v>0.81904299999999997</c:v>
                </c:pt>
                <c:pt idx="155">
                  <c:v>0.81904299999999997</c:v>
                </c:pt>
                <c:pt idx="156">
                  <c:v>0.81904299999999997</c:v>
                </c:pt>
                <c:pt idx="157">
                  <c:v>0.81904299999999997</c:v>
                </c:pt>
                <c:pt idx="158">
                  <c:v>0.81904299999999997</c:v>
                </c:pt>
                <c:pt idx="159">
                  <c:v>0.81904299999999997</c:v>
                </c:pt>
                <c:pt idx="160">
                  <c:v>0.81904299999999997</c:v>
                </c:pt>
                <c:pt idx="161">
                  <c:v>0.81904299999999997</c:v>
                </c:pt>
                <c:pt idx="162">
                  <c:v>0.81904299999999997</c:v>
                </c:pt>
                <c:pt idx="163">
                  <c:v>0.81904299999999997</c:v>
                </c:pt>
                <c:pt idx="164">
                  <c:v>0.81904299999999997</c:v>
                </c:pt>
                <c:pt idx="165">
                  <c:v>0.81904299999999997</c:v>
                </c:pt>
                <c:pt idx="166">
                  <c:v>0.81904299999999997</c:v>
                </c:pt>
                <c:pt idx="167">
                  <c:v>0.81904299999999997</c:v>
                </c:pt>
                <c:pt idx="168">
                  <c:v>0.81904299999999997</c:v>
                </c:pt>
                <c:pt idx="169">
                  <c:v>0.81904299999999997</c:v>
                </c:pt>
                <c:pt idx="170">
                  <c:v>0.81904299999999997</c:v>
                </c:pt>
                <c:pt idx="171">
                  <c:v>0.81904299999999997</c:v>
                </c:pt>
                <c:pt idx="172">
                  <c:v>0.81904299999999997</c:v>
                </c:pt>
                <c:pt idx="173">
                  <c:v>0.81904299999999997</c:v>
                </c:pt>
                <c:pt idx="174">
                  <c:v>0.81904299999999997</c:v>
                </c:pt>
                <c:pt idx="175">
                  <c:v>0.81904299999999997</c:v>
                </c:pt>
                <c:pt idx="176">
                  <c:v>0.81904299999999997</c:v>
                </c:pt>
                <c:pt idx="177">
                  <c:v>0.81904299999999997</c:v>
                </c:pt>
                <c:pt idx="178">
                  <c:v>0.81904299999999997</c:v>
                </c:pt>
                <c:pt idx="179">
                  <c:v>0.81904299999999997</c:v>
                </c:pt>
                <c:pt idx="180">
                  <c:v>0.81904299999999997</c:v>
                </c:pt>
                <c:pt idx="181">
                  <c:v>0.81904299999999997</c:v>
                </c:pt>
                <c:pt idx="182">
                  <c:v>0.81904299999999997</c:v>
                </c:pt>
                <c:pt idx="183">
                  <c:v>0.81904299999999997</c:v>
                </c:pt>
                <c:pt idx="184">
                  <c:v>0.81904299999999997</c:v>
                </c:pt>
                <c:pt idx="185">
                  <c:v>0.81904299999999997</c:v>
                </c:pt>
                <c:pt idx="186">
                  <c:v>0.81904299999999997</c:v>
                </c:pt>
                <c:pt idx="187">
                  <c:v>0.81904299999999997</c:v>
                </c:pt>
                <c:pt idx="188">
                  <c:v>0.81904299999999997</c:v>
                </c:pt>
                <c:pt idx="189">
                  <c:v>0.81904299999999997</c:v>
                </c:pt>
                <c:pt idx="190">
                  <c:v>0.81904299999999997</c:v>
                </c:pt>
                <c:pt idx="191">
                  <c:v>0.81904299999999997</c:v>
                </c:pt>
                <c:pt idx="192">
                  <c:v>0.81904299999999997</c:v>
                </c:pt>
                <c:pt idx="193">
                  <c:v>0.81904299999999997</c:v>
                </c:pt>
                <c:pt idx="194">
                  <c:v>0.81904299999999997</c:v>
                </c:pt>
                <c:pt idx="195">
                  <c:v>0.81904299999999997</c:v>
                </c:pt>
                <c:pt idx="196">
                  <c:v>0.81904299999999997</c:v>
                </c:pt>
                <c:pt idx="197">
                  <c:v>0.81904299999999997</c:v>
                </c:pt>
                <c:pt idx="198">
                  <c:v>0.81904299999999997</c:v>
                </c:pt>
                <c:pt idx="199">
                  <c:v>0.81904299999999997</c:v>
                </c:pt>
                <c:pt idx="200">
                  <c:v>0.81904299999999997</c:v>
                </c:pt>
                <c:pt idx="201">
                  <c:v>5.245387</c:v>
                </c:pt>
                <c:pt idx="202">
                  <c:v>5.1828190000000003</c:v>
                </c:pt>
                <c:pt idx="203">
                  <c:v>5.136063</c:v>
                </c:pt>
                <c:pt idx="204">
                  <c:v>5.1347149999999999</c:v>
                </c:pt>
                <c:pt idx="205">
                  <c:v>5.1537629999999996</c:v>
                </c:pt>
                <c:pt idx="206">
                  <c:v>5.1820760000000003</c:v>
                </c:pt>
                <c:pt idx="207">
                  <c:v>5.2106190000000003</c:v>
                </c:pt>
                <c:pt idx="208">
                  <c:v>5.2373710000000004</c:v>
                </c:pt>
                <c:pt idx="209">
                  <c:v>5.2604540000000002</c:v>
                </c:pt>
                <c:pt idx="210">
                  <c:v>5.2788199999999996</c:v>
                </c:pt>
                <c:pt idx="211">
                  <c:v>5.2897720000000001</c:v>
                </c:pt>
                <c:pt idx="212">
                  <c:v>1.333777</c:v>
                </c:pt>
                <c:pt idx="213">
                  <c:v>1.2320329999999999</c:v>
                </c:pt>
                <c:pt idx="214">
                  <c:v>1.1709350000000001</c:v>
                </c:pt>
                <c:pt idx="215">
                  <c:v>1.1806270000000001</c:v>
                </c:pt>
                <c:pt idx="216">
                  <c:v>1.216035</c:v>
                </c:pt>
                <c:pt idx="217">
                  <c:v>1.261034</c:v>
                </c:pt>
                <c:pt idx="218">
                  <c:v>1.3085869999999999</c:v>
                </c:pt>
                <c:pt idx="219">
                  <c:v>1.3557699999999999</c:v>
                </c:pt>
                <c:pt idx="220">
                  <c:v>1.400971</c:v>
                </c:pt>
                <c:pt idx="221">
                  <c:v>1.4434469999999999</c:v>
                </c:pt>
                <c:pt idx="222">
                  <c:v>1.482791</c:v>
                </c:pt>
                <c:pt idx="223">
                  <c:v>1.518748</c:v>
                </c:pt>
                <c:pt idx="224">
                  <c:v>1.5511999999999999</c:v>
                </c:pt>
                <c:pt idx="225">
                  <c:v>1.5798749999999999</c:v>
                </c:pt>
                <c:pt idx="226">
                  <c:v>1.6052109999999999</c:v>
                </c:pt>
                <c:pt idx="227">
                  <c:v>1.6269910000000001</c:v>
                </c:pt>
                <c:pt idx="228">
                  <c:v>1.6452610000000001</c:v>
                </c:pt>
                <c:pt idx="229">
                  <c:v>1.660293</c:v>
                </c:pt>
                <c:pt idx="230">
                  <c:v>1.6717299999999999</c:v>
                </c:pt>
                <c:pt idx="231">
                  <c:v>1.6799219999999999</c:v>
                </c:pt>
                <c:pt idx="232">
                  <c:v>1.684955</c:v>
                </c:pt>
                <c:pt idx="233">
                  <c:v>1.6869270000000001</c:v>
                </c:pt>
                <c:pt idx="234">
                  <c:v>1.6859420000000001</c:v>
                </c:pt>
                <c:pt idx="235">
                  <c:v>1.6821060000000001</c:v>
                </c:pt>
                <c:pt idx="236">
                  <c:v>1.6755260000000001</c:v>
                </c:pt>
                <c:pt idx="237">
                  <c:v>1.666309</c:v>
                </c:pt>
                <c:pt idx="238">
                  <c:v>1.654566</c:v>
                </c:pt>
                <c:pt idx="239">
                  <c:v>1.640406</c:v>
                </c:pt>
                <c:pt idx="240">
                  <c:v>1.6239410000000001</c:v>
                </c:pt>
                <c:pt idx="241">
                  <c:v>1.605288</c:v>
                </c:pt>
                <c:pt idx="242">
                  <c:v>1.5845640000000001</c:v>
                </c:pt>
                <c:pt idx="243">
                  <c:v>1.5618920000000001</c:v>
                </c:pt>
                <c:pt idx="244">
                  <c:v>1.537399</c:v>
                </c:pt>
                <c:pt idx="245">
                  <c:v>1.511215</c:v>
                </c:pt>
                <c:pt idx="246">
                  <c:v>1.483476</c:v>
                </c:pt>
                <c:pt idx="247">
                  <c:v>1.4542630000000001</c:v>
                </c:pt>
                <c:pt idx="248">
                  <c:v>1.4238690000000001</c:v>
                </c:pt>
                <c:pt idx="249">
                  <c:v>1.3923540000000001</c:v>
                </c:pt>
                <c:pt idx="250">
                  <c:v>1.3598680000000001</c:v>
                </c:pt>
                <c:pt idx="251">
                  <c:v>1.32657</c:v>
                </c:pt>
                <c:pt idx="252">
                  <c:v>1.292618</c:v>
                </c:pt>
                <c:pt idx="253">
                  <c:v>1.2581720000000001</c:v>
                </c:pt>
                <c:pt idx="254">
                  <c:v>1.223392</c:v>
                </c:pt>
                <c:pt idx="255">
                  <c:v>1.1884300000000001</c:v>
                </c:pt>
                <c:pt idx="256">
                  <c:v>1.1535489999999999</c:v>
                </c:pt>
                <c:pt idx="257">
                  <c:v>1.1185130000000001</c:v>
                </c:pt>
                <c:pt idx="258">
                  <c:v>1.0842689999999999</c:v>
                </c:pt>
                <c:pt idx="259">
                  <c:v>1.049758</c:v>
                </c:pt>
                <c:pt idx="260">
                  <c:v>1.0167139999999999</c:v>
                </c:pt>
                <c:pt idx="261">
                  <c:v>0.98328899999999997</c:v>
                </c:pt>
                <c:pt idx="262">
                  <c:v>0.95195300000000005</c:v>
                </c:pt>
                <c:pt idx="263">
                  <c:v>0.92012799999999995</c:v>
                </c:pt>
                <c:pt idx="264">
                  <c:v>0.89094499999999999</c:v>
                </c:pt>
                <c:pt idx="265">
                  <c:v>0.86117299999999997</c:v>
                </c:pt>
                <c:pt idx="266">
                  <c:v>0.83451699999999995</c:v>
                </c:pt>
                <c:pt idx="267">
                  <c:v>0.80717899999999998</c:v>
                </c:pt>
                <c:pt idx="268">
                  <c:v>0.78334800000000004</c:v>
                </c:pt>
                <c:pt idx="269">
                  <c:v>0.75970400000000005</c:v>
                </c:pt>
                <c:pt idx="270">
                  <c:v>0.73658100000000004</c:v>
                </c:pt>
                <c:pt idx="271">
                  <c:v>0.71738999999999997</c:v>
                </c:pt>
                <c:pt idx="272">
                  <c:v>0.69835800000000003</c:v>
                </c:pt>
                <c:pt idx="273">
                  <c:v>0.68091900000000005</c:v>
                </c:pt>
                <c:pt idx="274">
                  <c:v>0.66511200000000004</c:v>
                </c:pt>
                <c:pt idx="275">
                  <c:v>0.65093500000000004</c:v>
                </c:pt>
                <c:pt idx="276">
                  <c:v>0.63838600000000001</c:v>
                </c:pt>
                <c:pt idx="277">
                  <c:v>0.62745799999999996</c:v>
                </c:pt>
                <c:pt idx="278">
                  <c:v>0.61813799999999997</c:v>
                </c:pt>
                <c:pt idx="279">
                  <c:v>0.61041000000000001</c:v>
                </c:pt>
                <c:pt idx="280">
                  <c:v>0.60425200000000001</c:v>
                </c:pt>
                <c:pt idx="281">
                  <c:v>0.59963999999999995</c:v>
                </c:pt>
                <c:pt idx="282">
                  <c:v>0.59654099999999999</c:v>
                </c:pt>
                <c:pt idx="283">
                  <c:v>0.59491899999999998</c:v>
                </c:pt>
                <c:pt idx="284">
                  <c:v>0.59473399999999998</c:v>
                </c:pt>
                <c:pt idx="285">
                  <c:v>0.59593600000000002</c:v>
                </c:pt>
                <c:pt idx="286">
                  <c:v>0.598472</c:v>
                </c:pt>
                <c:pt idx="287">
                  <c:v>0.60228000000000004</c:v>
                </c:pt>
                <c:pt idx="288">
                  <c:v>0.60729</c:v>
                </c:pt>
                <c:pt idx="289">
                  <c:v>0.61279499999999998</c:v>
                </c:pt>
                <c:pt idx="290">
                  <c:v>0.62095500000000003</c:v>
                </c:pt>
                <c:pt idx="291">
                  <c:v>0.62854900000000002</c:v>
                </c:pt>
                <c:pt idx="292">
                  <c:v>0.63832199999999994</c:v>
                </c:pt>
                <c:pt idx="293">
                  <c:v>0.64762399999999998</c:v>
                </c:pt>
                <c:pt idx="294">
                  <c:v>0.65857200000000005</c:v>
                </c:pt>
                <c:pt idx="295">
                  <c:v>0.66914899999999999</c:v>
                </c:pt>
                <c:pt idx="296">
                  <c:v>0.68079000000000001</c:v>
                </c:pt>
                <c:pt idx="297">
                  <c:v>0.69216500000000003</c:v>
                </c:pt>
                <c:pt idx="298">
                  <c:v>0.70399800000000001</c:v>
                </c:pt>
                <c:pt idx="299">
                  <c:v>0.71567499999999995</c:v>
                </c:pt>
                <c:pt idx="300">
                  <c:v>0.72720399999999996</c:v>
                </c:pt>
                <c:pt idx="301">
                  <c:v>0.73846299999999998</c:v>
                </c:pt>
                <c:pt idx="302">
                  <c:v>0.74937200000000004</c:v>
                </c:pt>
                <c:pt idx="303">
                  <c:v>0.75982000000000005</c:v>
                </c:pt>
                <c:pt idx="304">
                  <c:v>0.769702</c:v>
                </c:pt>
                <c:pt idx="305">
                  <c:v>0.77892099999999997</c:v>
                </c:pt>
                <c:pt idx="306">
                  <c:v>0.78738699999999995</c:v>
                </c:pt>
                <c:pt idx="307">
                  <c:v>0.79501599999999994</c:v>
                </c:pt>
                <c:pt idx="308">
                  <c:v>0.80173399999999995</c:v>
                </c:pt>
                <c:pt idx="309">
                  <c:v>0.807477</c:v>
                </c:pt>
                <c:pt idx="310">
                  <c:v>0.81218800000000002</c:v>
                </c:pt>
                <c:pt idx="311">
                  <c:v>0.81582200000000005</c:v>
                </c:pt>
                <c:pt idx="312">
                  <c:v>0.81834099999999999</c:v>
                </c:pt>
                <c:pt idx="313">
                  <c:v>0.81971700000000003</c:v>
                </c:pt>
                <c:pt idx="314">
                  <c:v>0.81993300000000002</c:v>
                </c:pt>
                <c:pt idx="315">
                  <c:v>0.81898000000000004</c:v>
                </c:pt>
                <c:pt idx="316">
                  <c:v>0.81685799999999997</c:v>
                </c:pt>
                <c:pt idx="317">
                  <c:v>0.81357699999999999</c:v>
                </c:pt>
                <c:pt idx="318">
                  <c:v>0.80915300000000001</c:v>
                </c:pt>
                <c:pt idx="319">
                  <c:v>0.80361400000000005</c:v>
                </c:pt>
                <c:pt idx="320">
                  <c:v>0.796991</c:v>
                </c:pt>
                <c:pt idx="321">
                  <c:v>0.78932599999999997</c:v>
                </c:pt>
                <c:pt idx="322">
                  <c:v>0.78066599999999997</c:v>
                </c:pt>
                <c:pt idx="323">
                  <c:v>0.771065</c:v>
                </c:pt>
                <c:pt idx="324">
                  <c:v>0.76058400000000004</c:v>
                </c:pt>
                <c:pt idx="325">
                  <c:v>0.74928799999999995</c:v>
                </c:pt>
                <c:pt idx="326">
                  <c:v>0.73724599999999996</c:v>
                </c:pt>
                <c:pt idx="327">
                  <c:v>0.72453599999999996</c:v>
                </c:pt>
                <c:pt idx="328">
                  <c:v>0.71123400000000003</c:v>
                </c:pt>
                <c:pt idx="329">
                  <c:v>0.69742400000000004</c:v>
                </c:pt>
                <c:pt idx="330">
                  <c:v>0.68319200000000002</c:v>
                </c:pt>
                <c:pt idx="331">
                  <c:v>0.66862600000000005</c:v>
                </c:pt>
                <c:pt idx="332">
                  <c:v>0.65381500000000004</c:v>
                </c:pt>
                <c:pt idx="333">
                  <c:v>0.638853</c:v>
                </c:pt>
                <c:pt idx="334">
                  <c:v>0.62383</c:v>
                </c:pt>
                <c:pt idx="335">
                  <c:v>0.60884000000000005</c:v>
                </c:pt>
                <c:pt idx="336">
                  <c:v>0.59397599999999995</c:v>
                </c:pt>
                <c:pt idx="337">
                  <c:v>0.57933000000000001</c:v>
                </c:pt>
                <c:pt idx="338">
                  <c:v>0.56499100000000002</c:v>
                </c:pt>
                <c:pt idx="339">
                  <c:v>0.55104900000000001</c:v>
                </c:pt>
                <c:pt idx="340">
                  <c:v>0.53758899999999998</c:v>
                </c:pt>
                <c:pt idx="341">
                  <c:v>0.52469399999999999</c:v>
                </c:pt>
                <c:pt idx="342">
                  <c:v>0.51244199999999995</c:v>
                </c:pt>
                <c:pt idx="343">
                  <c:v>0.50090699999999999</c:v>
                </c:pt>
                <c:pt idx="344">
                  <c:v>0.49015999999999998</c:v>
                </c:pt>
                <c:pt idx="345">
                  <c:v>0.480265</c:v>
                </c:pt>
                <c:pt idx="346">
                  <c:v>0.47127999999999998</c:v>
                </c:pt>
                <c:pt idx="347">
                  <c:v>0.46326000000000001</c:v>
                </c:pt>
                <c:pt idx="348">
                  <c:v>0.45625199999999999</c:v>
                </c:pt>
                <c:pt idx="349">
                  <c:v>0.450299</c:v>
                </c:pt>
                <c:pt idx="350">
                  <c:v>0.445438</c:v>
                </c:pt>
                <c:pt idx="351">
                  <c:v>0.44169999999999998</c:v>
                </c:pt>
                <c:pt idx="352">
                  <c:v>0.43911099999999997</c:v>
                </c:pt>
                <c:pt idx="353">
                  <c:v>0.43769400000000003</c:v>
                </c:pt>
                <c:pt idx="354">
                  <c:v>0.43746299999999999</c:v>
                </c:pt>
                <c:pt idx="355">
                  <c:v>0.43843199999999999</c:v>
                </c:pt>
                <c:pt idx="356">
                  <c:v>0.44060700000000003</c:v>
                </c:pt>
                <c:pt idx="357">
                  <c:v>0.44399</c:v>
                </c:pt>
                <c:pt idx="358">
                  <c:v>0.44857900000000001</c:v>
                </c:pt>
                <c:pt idx="359">
                  <c:v>0.45436399999999999</c:v>
                </c:pt>
                <c:pt idx="360">
                  <c:v>0.46133299999999999</c:v>
                </c:pt>
                <c:pt idx="361">
                  <c:v>0.46946700000000002</c:v>
                </c:pt>
                <c:pt idx="362">
                  <c:v>0.47873900000000003</c:v>
                </c:pt>
                <c:pt idx="363">
                  <c:v>0.48912099999999997</c:v>
                </c:pt>
                <c:pt idx="364">
                  <c:v>0.50057300000000005</c:v>
                </c:pt>
                <c:pt idx="365">
                  <c:v>0.51305400000000001</c:v>
                </c:pt>
                <c:pt idx="366">
                  <c:v>0.52651599999999998</c:v>
                </c:pt>
                <c:pt idx="367">
                  <c:v>0.54090499999999997</c:v>
                </c:pt>
                <c:pt idx="368">
                  <c:v>0.55616299999999996</c:v>
                </c:pt>
                <c:pt idx="369">
                  <c:v>0.57222600000000001</c:v>
                </c:pt>
                <c:pt idx="370">
                  <c:v>0.58902900000000002</c:v>
                </c:pt>
                <c:pt idx="371">
                  <c:v>0.60614599999999996</c:v>
                </c:pt>
                <c:pt idx="372">
                  <c:v>0.62476200000000004</c:v>
                </c:pt>
                <c:pt idx="373">
                  <c:v>0.64303500000000002</c:v>
                </c:pt>
                <c:pt idx="374">
                  <c:v>0.662582</c:v>
                </c:pt>
                <c:pt idx="375">
                  <c:v>0.68172100000000002</c:v>
                </c:pt>
                <c:pt idx="376">
                  <c:v>0.70189100000000004</c:v>
                </c:pt>
                <c:pt idx="377">
                  <c:v>0.72159600000000002</c:v>
                </c:pt>
                <c:pt idx="378">
                  <c:v>0.74207500000000004</c:v>
                </c:pt>
                <c:pt idx="379">
                  <c:v>0.762046</c:v>
                </c:pt>
                <c:pt idx="380">
                  <c:v>0.78253099999999998</c:v>
                </c:pt>
                <c:pt idx="381">
                  <c:v>0.80254000000000003</c:v>
                </c:pt>
                <c:pt idx="382">
                  <c:v>0.822403</c:v>
                </c:pt>
                <c:pt idx="383">
                  <c:v>0.84205600000000003</c:v>
                </c:pt>
                <c:pt idx="384">
                  <c:v>0.86143400000000003</c:v>
                </c:pt>
                <c:pt idx="385">
                  <c:v>0.88047399999999998</c:v>
                </c:pt>
                <c:pt idx="386">
                  <c:v>0.899119</c:v>
                </c:pt>
                <c:pt idx="387">
                  <c:v>0.91731499999999999</c:v>
                </c:pt>
                <c:pt idx="388">
                  <c:v>0.93501000000000001</c:v>
                </c:pt>
                <c:pt idx="389">
                  <c:v>0.95215899999999998</c:v>
                </c:pt>
                <c:pt idx="390">
                  <c:v>0.96871799999999997</c:v>
                </c:pt>
                <c:pt idx="391">
                  <c:v>0.98464700000000005</c:v>
                </c:pt>
                <c:pt idx="392">
                  <c:v>0.99991099999999999</c:v>
                </c:pt>
                <c:pt idx="393">
                  <c:v>1.0144770000000001</c:v>
                </c:pt>
                <c:pt idx="394">
                  <c:v>1.0283169999999999</c:v>
                </c:pt>
                <c:pt idx="395">
                  <c:v>1.041404</c:v>
                </c:pt>
                <c:pt idx="396">
                  <c:v>1.0537160000000001</c:v>
                </c:pt>
                <c:pt idx="397">
                  <c:v>1.0652349999999999</c:v>
                </c:pt>
                <c:pt idx="398">
                  <c:v>1.0759449999999999</c:v>
                </c:pt>
                <c:pt idx="399">
                  <c:v>1.0858319999999999</c:v>
                </c:pt>
                <c:pt idx="400">
                  <c:v>1.0948869999999999</c:v>
                </c:pt>
                <c:pt idx="401">
                  <c:v>1.1031010000000001</c:v>
                </c:pt>
                <c:pt idx="402">
                  <c:v>1.1104689999999999</c:v>
                </c:pt>
                <c:pt idx="403">
                  <c:v>1.1169899999999999</c:v>
                </c:pt>
                <c:pt idx="404">
                  <c:v>1.12266</c:v>
                </c:pt>
                <c:pt idx="405">
                  <c:v>1.1274839999999999</c:v>
                </c:pt>
                <c:pt idx="406">
                  <c:v>1.131462</c:v>
                </c:pt>
                <c:pt idx="407">
                  <c:v>1.134601</c:v>
                </c:pt>
                <c:pt idx="408">
                  <c:v>1.136908</c:v>
                </c:pt>
                <c:pt idx="409">
                  <c:v>1.1383909999999999</c:v>
                </c:pt>
                <c:pt idx="410">
                  <c:v>1.139059</c:v>
                </c:pt>
                <c:pt idx="411">
                  <c:v>1.138925</c:v>
                </c:pt>
                <c:pt idx="412">
                  <c:v>1.138001</c:v>
                </c:pt>
                <c:pt idx="413">
                  <c:v>1.136301</c:v>
                </c:pt>
                <c:pt idx="414">
                  <c:v>1.13384</c:v>
                </c:pt>
                <c:pt idx="415">
                  <c:v>1.1306369999999999</c:v>
                </c:pt>
                <c:pt idx="416">
                  <c:v>1.1267069999999999</c:v>
                </c:pt>
                <c:pt idx="417">
                  <c:v>1.122071</c:v>
                </c:pt>
                <c:pt idx="418">
                  <c:v>1.116749</c:v>
                </c:pt>
                <c:pt idx="419">
                  <c:v>1.110762</c:v>
                </c:pt>
                <c:pt idx="420">
                  <c:v>1.1041339999999999</c:v>
                </c:pt>
                <c:pt idx="421">
                  <c:v>1.0968880000000001</c:v>
                </c:pt>
                <c:pt idx="422">
                  <c:v>1.0890500000000001</c:v>
                </c:pt>
                <c:pt idx="423">
                  <c:v>1.0806450000000001</c:v>
                </c:pt>
                <c:pt idx="424">
                  <c:v>1.071701</c:v>
                </c:pt>
                <c:pt idx="425">
                  <c:v>1.062246</c:v>
                </c:pt>
                <c:pt idx="426">
                  <c:v>1.052311</c:v>
                </c:pt>
                <c:pt idx="427">
                  <c:v>1.0419240000000001</c:v>
                </c:pt>
                <c:pt idx="428">
                  <c:v>1.031377</c:v>
                </c:pt>
                <c:pt idx="429">
                  <c:v>1.0198400000000001</c:v>
                </c:pt>
                <c:pt idx="430">
                  <c:v>1.00854</c:v>
                </c:pt>
                <c:pt idx="431">
                  <c:v>0.99635899999999999</c:v>
                </c:pt>
                <c:pt idx="432">
                  <c:v>0.98442700000000005</c:v>
                </c:pt>
                <c:pt idx="433">
                  <c:v>0.97173600000000004</c:v>
                </c:pt>
                <c:pt idx="434">
                  <c:v>0.95929900000000001</c:v>
                </c:pt>
                <c:pt idx="435">
                  <c:v>0.94623900000000005</c:v>
                </c:pt>
                <c:pt idx="436">
                  <c:v>0.93342999999999998</c:v>
                </c:pt>
                <c:pt idx="437">
                  <c:v>0.92018</c:v>
                </c:pt>
                <c:pt idx="438">
                  <c:v>0.90697499999999998</c:v>
                </c:pt>
                <c:pt idx="439">
                  <c:v>0.89368599999999998</c:v>
                </c:pt>
                <c:pt idx="440">
                  <c:v>0.88038899999999998</c:v>
                </c:pt>
                <c:pt idx="441">
                  <c:v>0.86719400000000002</c:v>
                </c:pt>
                <c:pt idx="442">
                  <c:v>0.85404100000000005</c:v>
                </c:pt>
                <c:pt idx="443">
                  <c:v>0.84095900000000001</c:v>
                </c:pt>
                <c:pt idx="444">
                  <c:v>0.82797900000000002</c:v>
                </c:pt>
                <c:pt idx="445">
                  <c:v>0.815133</c:v>
                </c:pt>
                <c:pt idx="446">
                  <c:v>0.80244899999999997</c:v>
                </c:pt>
                <c:pt idx="447">
                  <c:v>0.78995300000000002</c:v>
                </c:pt>
                <c:pt idx="448">
                  <c:v>0.77766999999999997</c:v>
                </c:pt>
                <c:pt idx="449">
                  <c:v>0.76562399999999997</c:v>
                </c:pt>
                <c:pt idx="450">
                  <c:v>0.75383699999999998</c:v>
                </c:pt>
                <c:pt idx="451">
                  <c:v>0.74233000000000005</c:v>
                </c:pt>
                <c:pt idx="452">
                  <c:v>0.73112200000000005</c:v>
                </c:pt>
                <c:pt idx="453">
                  <c:v>0.72023199999999998</c:v>
                </c:pt>
                <c:pt idx="454">
                  <c:v>0.70967599999999997</c:v>
                </c:pt>
                <c:pt idx="455">
                  <c:v>0.69947099999999995</c:v>
                </c:pt>
                <c:pt idx="456">
                  <c:v>0.68962999999999997</c:v>
                </c:pt>
                <c:pt idx="457">
                  <c:v>0.67996699999999999</c:v>
                </c:pt>
                <c:pt idx="458">
                  <c:v>0.67114399999999996</c:v>
                </c:pt>
                <c:pt idx="459">
                  <c:v>0.66223699999999996</c:v>
                </c:pt>
                <c:pt idx="460">
                  <c:v>0.65425100000000003</c:v>
                </c:pt>
                <c:pt idx="461">
                  <c:v>0.64614300000000002</c:v>
                </c:pt>
                <c:pt idx="462">
                  <c:v>0.63902400000000004</c:v>
                </c:pt>
                <c:pt idx="463">
                  <c:v>0.63175199999999998</c:v>
                </c:pt>
                <c:pt idx="464">
                  <c:v>0.62552099999999999</c:v>
                </c:pt>
                <c:pt idx="465">
                  <c:v>0.61911000000000005</c:v>
                </c:pt>
                <c:pt idx="466">
                  <c:v>0.61377899999999996</c:v>
                </c:pt>
                <c:pt idx="467">
                  <c:v>0.60824400000000001</c:v>
                </c:pt>
                <c:pt idx="468">
                  <c:v>0.60381899999999999</c:v>
                </c:pt>
                <c:pt idx="469">
                  <c:v>0.59917299999999996</c:v>
                </c:pt>
                <c:pt idx="470">
                  <c:v>0.59546500000000002</c:v>
                </c:pt>
                <c:pt idx="471">
                  <c:v>0.59204599999999996</c:v>
                </c:pt>
                <c:pt idx="472">
                  <c:v>0.58912399999999998</c:v>
                </c:pt>
                <c:pt idx="473">
                  <c:v>0.586619</c:v>
                </c:pt>
                <c:pt idx="474">
                  <c:v>0.58456600000000003</c:v>
                </c:pt>
                <c:pt idx="475">
                  <c:v>0.58294500000000005</c:v>
                </c:pt>
                <c:pt idx="476">
                  <c:v>0.58176000000000005</c:v>
                </c:pt>
                <c:pt idx="477">
                  <c:v>0.58100399999999996</c:v>
                </c:pt>
                <c:pt idx="478">
                  <c:v>0.58067400000000002</c:v>
                </c:pt>
                <c:pt idx="479">
                  <c:v>0.580762</c:v>
                </c:pt>
                <c:pt idx="480">
                  <c:v>0.581264</c:v>
                </c:pt>
                <c:pt idx="481">
                  <c:v>0.58217300000000005</c:v>
                </c:pt>
                <c:pt idx="482">
                  <c:v>0.58348100000000003</c:v>
                </c:pt>
                <c:pt idx="483">
                  <c:v>0.58518199999999998</c:v>
                </c:pt>
                <c:pt idx="484">
                  <c:v>0.58726500000000004</c:v>
                </c:pt>
                <c:pt idx="485">
                  <c:v>0.589723</c:v>
                </c:pt>
                <c:pt idx="486">
                  <c:v>0.59254499999999999</c:v>
                </c:pt>
                <c:pt idx="487">
                  <c:v>0.59572199999999997</c:v>
                </c:pt>
                <c:pt idx="488">
                  <c:v>0.59924299999999997</c:v>
                </c:pt>
                <c:pt idx="489">
                  <c:v>0.60309599999999997</c:v>
                </c:pt>
                <c:pt idx="490">
                  <c:v>0.60726999999999998</c:v>
                </c:pt>
                <c:pt idx="491">
                  <c:v>0.61175100000000004</c:v>
                </c:pt>
                <c:pt idx="492">
                  <c:v>0.61652700000000005</c:v>
                </c:pt>
                <c:pt idx="493">
                  <c:v>0.62158400000000003</c:v>
                </c:pt>
                <c:pt idx="494">
                  <c:v>0.62690800000000002</c:v>
                </c:pt>
                <c:pt idx="495">
                  <c:v>0.63248400000000005</c:v>
                </c:pt>
                <c:pt idx="496">
                  <c:v>0.63829599999999997</c:v>
                </c:pt>
                <c:pt idx="497">
                  <c:v>0.64432999999999996</c:v>
                </c:pt>
                <c:pt idx="498">
                  <c:v>0.65056999999999998</c:v>
                </c:pt>
                <c:pt idx="499">
                  <c:v>0.65699799999999997</c:v>
                </c:pt>
                <c:pt idx="500">
                  <c:v>0.66359900000000005</c:v>
                </c:pt>
                <c:pt idx="501">
                  <c:v>0.67035500000000003</c:v>
                </c:pt>
                <c:pt idx="502">
                  <c:v>0.67725100000000005</c:v>
                </c:pt>
                <c:pt idx="503">
                  <c:v>0.68426799999999999</c:v>
                </c:pt>
                <c:pt idx="504">
                  <c:v>0.69138900000000003</c:v>
                </c:pt>
                <c:pt idx="505">
                  <c:v>0.69859700000000002</c:v>
                </c:pt>
                <c:pt idx="506">
                  <c:v>0.70587599999999995</c:v>
                </c:pt>
                <c:pt idx="507">
                  <c:v>0.71320799999999995</c:v>
                </c:pt>
                <c:pt idx="508">
                  <c:v>0.72057700000000002</c:v>
                </c:pt>
                <c:pt idx="509">
                  <c:v>0.727966</c:v>
                </c:pt>
                <c:pt idx="510">
                  <c:v>0.73535799999999996</c:v>
                </c:pt>
                <c:pt idx="511">
                  <c:v>0.74273900000000004</c:v>
                </c:pt>
                <c:pt idx="512">
                  <c:v>0.75009199999999998</c:v>
                </c:pt>
                <c:pt idx="513">
                  <c:v>0.75740300000000005</c:v>
                </c:pt>
                <c:pt idx="514">
                  <c:v>0.76465700000000003</c:v>
                </c:pt>
                <c:pt idx="515">
                  <c:v>0.77184200000000003</c:v>
                </c:pt>
                <c:pt idx="516">
                  <c:v>0.77894300000000005</c:v>
                </c:pt>
                <c:pt idx="517">
                  <c:v>0.78594799999999998</c:v>
                </c:pt>
                <c:pt idx="518">
                  <c:v>0.79284500000000002</c:v>
                </c:pt>
                <c:pt idx="519">
                  <c:v>0.79962500000000003</c:v>
                </c:pt>
                <c:pt idx="520">
                  <c:v>0.80627499999999996</c:v>
                </c:pt>
                <c:pt idx="521">
                  <c:v>0.81278799999999995</c:v>
                </c:pt>
                <c:pt idx="522">
                  <c:v>0.81915300000000002</c:v>
                </c:pt>
                <c:pt idx="523">
                  <c:v>0.82536500000000002</c:v>
                </c:pt>
                <c:pt idx="524">
                  <c:v>0.83141399999999999</c:v>
                </c:pt>
                <c:pt idx="525">
                  <c:v>0.83729699999999996</c:v>
                </c:pt>
                <c:pt idx="526">
                  <c:v>0.84300600000000003</c:v>
                </c:pt>
                <c:pt idx="527">
                  <c:v>0.84853800000000001</c:v>
                </c:pt>
                <c:pt idx="528">
                  <c:v>0.85379000000000005</c:v>
                </c:pt>
                <c:pt idx="529">
                  <c:v>0.85923700000000003</c:v>
                </c:pt>
                <c:pt idx="530">
                  <c:v>0.86410299999999995</c:v>
                </c:pt>
                <c:pt idx="531">
                  <c:v>0.86881200000000003</c:v>
                </c:pt>
                <c:pt idx="532">
                  <c:v>0.87364799999999998</c:v>
                </c:pt>
                <c:pt idx="533">
                  <c:v>0.87796799999999997</c:v>
                </c:pt>
                <c:pt idx="534">
                  <c:v>0.88221499999999997</c:v>
                </c:pt>
                <c:pt idx="535">
                  <c:v>0.88624000000000003</c:v>
                </c:pt>
                <c:pt idx="536">
                  <c:v>0.89009499999999997</c:v>
                </c:pt>
                <c:pt idx="537">
                  <c:v>0.89375800000000005</c:v>
                </c:pt>
                <c:pt idx="538">
                  <c:v>0.89724400000000004</c:v>
                </c:pt>
                <c:pt idx="539">
                  <c:v>0.90054999999999996</c:v>
                </c:pt>
                <c:pt idx="540">
                  <c:v>0.90368000000000004</c:v>
                </c:pt>
                <c:pt idx="541">
                  <c:v>0.90663800000000005</c:v>
                </c:pt>
                <c:pt idx="542">
                  <c:v>0.90942699999999999</c:v>
                </c:pt>
                <c:pt idx="543">
                  <c:v>0.91205199999999997</c:v>
                </c:pt>
                <c:pt idx="544">
                  <c:v>0.91451499999999997</c:v>
                </c:pt>
                <c:pt idx="545">
                  <c:v>0.91682200000000003</c:v>
                </c:pt>
                <c:pt idx="546">
                  <c:v>0.91897600000000002</c:v>
                </c:pt>
                <c:pt idx="547">
                  <c:v>0.92098100000000005</c:v>
                </c:pt>
                <c:pt idx="548">
                  <c:v>0.92284200000000005</c:v>
                </c:pt>
                <c:pt idx="549">
                  <c:v>0.92456300000000002</c:v>
                </c:pt>
                <c:pt idx="550">
                  <c:v>0.92614799999999997</c:v>
                </c:pt>
                <c:pt idx="551">
                  <c:v>0.92760100000000001</c:v>
                </c:pt>
                <c:pt idx="552">
                  <c:v>0.92892600000000003</c:v>
                </c:pt>
                <c:pt idx="553">
                  <c:v>0.93012600000000001</c:v>
                </c:pt>
                <c:pt idx="554">
                  <c:v>0.93120499999999995</c:v>
                </c:pt>
                <c:pt idx="555">
                  <c:v>0.93216600000000005</c:v>
                </c:pt>
                <c:pt idx="556">
                  <c:v>0.93301199999999995</c:v>
                </c:pt>
                <c:pt idx="557">
                  <c:v>0.93374699999999999</c:v>
                </c:pt>
                <c:pt idx="558">
                  <c:v>0.93437300000000001</c:v>
                </c:pt>
                <c:pt idx="559">
                  <c:v>0.93489199999999995</c:v>
                </c:pt>
                <c:pt idx="560">
                  <c:v>0.935307</c:v>
                </c:pt>
                <c:pt idx="561">
                  <c:v>0.93561899999999998</c:v>
                </c:pt>
                <c:pt idx="562">
                  <c:v>0.93583099999999997</c:v>
                </c:pt>
                <c:pt idx="563">
                  <c:v>0.93594299999999997</c:v>
                </c:pt>
                <c:pt idx="564">
                  <c:v>0.93590700000000004</c:v>
                </c:pt>
                <c:pt idx="565">
                  <c:v>0.93561399999999995</c:v>
                </c:pt>
                <c:pt idx="566">
                  <c:v>0.93523199999999995</c:v>
                </c:pt>
                <c:pt idx="567">
                  <c:v>0.93476400000000004</c:v>
                </c:pt>
                <c:pt idx="568">
                  <c:v>0.93420800000000004</c:v>
                </c:pt>
                <c:pt idx="569">
                  <c:v>0.93356399999999995</c:v>
                </c:pt>
                <c:pt idx="570">
                  <c:v>0.93283300000000002</c:v>
                </c:pt>
                <c:pt idx="571">
                  <c:v>0.93201299999999998</c:v>
                </c:pt>
                <c:pt idx="572">
                  <c:v>0.93110499999999996</c:v>
                </c:pt>
                <c:pt idx="573">
                  <c:v>0.93010899999999996</c:v>
                </c:pt>
                <c:pt idx="574">
                  <c:v>0.92902499999999999</c:v>
                </c:pt>
                <c:pt idx="575">
                  <c:v>0.92785200000000001</c:v>
                </c:pt>
                <c:pt idx="576">
                  <c:v>0.926589</c:v>
                </c:pt>
                <c:pt idx="577">
                  <c:v>0.92523699999999998</c:v>
                </c:pt>
                <c:pt idx="578">
                  <c:v>0.92379500000000003</c:v>
                </c:pt>
                <c:pt idx="579">
                  <c:v>0.92226300000000005</c:v>
                </c:pt>
                <c:pt idx="580">
                  <c:v>0.92063899999999999</c:v>
                </c:pt>
                <c:pt idx="581">
                  <c:v>0.91892300000000005</c:v>
                </c:pt>
                <c:pt idx="582">
                  <c:v>0.91711500000000001</c:v>
                </c:pt>
                <c:pt idx="583">
                  <c:v>0.915215</c:v>
                </c:pt>
                <c:pt idx="584">
                  <c:v>0.91322000000000003</c:v>
                </c:pt>
                <c:pt idx="585">
                  <c:v>0.91113299999999997</c:v>
                </c:pt>
                <c:pt idx="586">
                  <c:v>0.90895099999999995</c:v>
                </c:pt>
                <c:pt idx="587">
                  <c:v>0.90667399999999998</c:v>
                </c:pt>
                <c:pt idx="588">
                  <c:v>0.904304</c:v>
                </c:pt>
                <c:pt idx="589">
                  <c:v>0.90183800000000003</c:v>
                </c:pt>
                <c:pt idx="590">
                  <c:v>0.89927900000000005</c:v>
                </c:pt>
                <c:pt idx="591">
                  <c:v>0.89662399999999998</c:v>
                </c:pt>
                <c:pt idx="592">
                  <c:v>0.893876</c:v>
                </c:pt>
                <c:pt idx="593">
                  <c:v>0.89103500000000002</c:v>
                </c:pt>
                <c:pt idx="594">
                  <c:v>0.8881</c:v>
                </c:pt>
                <c:pt idx="595">
                  <c:v>0.88507400000000003</c:v>
                </c:pt>
                <c:pt idx="596">
                  <c:v>0.88195599999999996</c:v>
                </c:pt>
                <c:pt idx="597">
                  <c:v>0.87882099999999996</c:v>
                </c:pt>
                <c:pt idx="598">
                  <c:v>0.87541999999999998</c:v>
                </c:pt>
                <c:pt idx="599">
                  <c:v>0.87212900000000004</c:v>
                </c:pt>
                <c:pt idx="600">
                  <c:v>0.868529</c:v>
                </c:pt>
                <c:pt idx="601">
                  <c:v>0.86508099999999999</c:v>
                </c:pt>
                <c:pt idx="602">
                  <c:v>0.86128899999999997</c:v>
                </c:pt>
                <c:pt idx="603">
                  <c:v>0.85768900000000003</c:v>
                </c:pt>
                <c:pt idx="604">
                  <c:v>0.85376099999999999</c:v>
                </c:pt>
                <c:pt idx="605">
                  <c:v>0.84982500000000005</c:v>
                </c:pt>
                <c:pt idx="606">
                  <c:v>0.84579599999999999</c:v>
                </c:pt>
                <c:pt idx="607">
                  <c:v>0.8417</c:v>
                </c:pt>
                <c:pt idx="608">
                  <c:v>0.83752899999999997</c:v>
                </c:pt>
                <c:pt idx="609">
                  <c:v>0.833291</c:v>
                </c:pt>
                <c:pt idx="610">
                  <c:v>0.82898799999999995</c:v>
                </c:pt>
                <c:pt idx="611">
                  <c:v>0.82462299999999999</c:v>
                </c:pt>
                <c:pt idx="612">
                  <c:v>0.82020099999999996</c:v>
                </c:pt>
                <c:pt idx="613">
                  <c:v>0.81572599999999995</c:v>
                </c:pt>
                <c:pt idx="614">
                  <c:v>0.81120199999999998</c:v>
                </c:pt>
                <c:pt idx="615">
                  <c:v>0.80663300000000004</c:v>
                </c:pt>
                <c:pt idx="616">
                  <c:v>0.80202499999999999</c:v>
                </c:pt>
                <c:pt idx="617">
                  <c:v>0.79738200000000004</c:v>
                </c:pt>
                <c:pt idx="618">
                  <c:v>0.79271000000000003</c:v>
                </c:pt>
                <c:pt idx="619">
                  <c:v>0.78799399999999997</c:v>
                </c:pt>
                <c:pt idx="620">
                  <c:v>0.78342100000000003</c:v>
                </c:pt>
                <c:pt idx="621">
                  <c:v>0.77883100000000005</c:v>
                </c:pt>
                <c:pt idx="622">
                  <c:v>0.77422999999999997</c:v>
                </c:pt>
                <c:pt idx="623">
                  <c:v>0.76962600000000003</c:v>
                </c:pt>
                <c:pt idx="624">
                  <c:v>0.76502700000000001</c:v>
                </c:pt>
                <c:pt idx="625">
                  <c:v>0.76044100000000003</c:v>
                </c:pt>
                <c:pt idx="626">
                  <c:v>0.75587700000000002</c:v>
                </c:pt>
                <c:pt idx="627">
                  <c:v>0.75134100000000004</c:v>
                </c:pt>
                <c:pt idx="628">
                  <c:v>0.74684399999999995</c:v>
                </c:pt>
                <c:pt idx="629">
                  <c:v>0.742394</c:v>
                </c:pt>
                <c:pt idx="630">
                  <c:v>0.73799999999999999</c:v>
                </c:pt>
                <c:pt idx="631">
                  <c:v>0.73367199999999999</c:v>
                </c:pt>
                <c:pt idx="632">
                  <c:v>0.72941999999999996</c:v>
                </c:pt>
                <c:pt idx="633">
                  <c:v>0.72525399999999995</c:v>
                </c:pt>
                <c:pt idx="634">
                  <c:v>0.72118400000000005</c:v>
                </c:pt>
                <c:pt idx="635">
                  <c:v>0.71722300000000005</c:v>
                </c:pt>
                <c:pt idx="636">
                  <c:v>0.71338000000000001</c:v>
                </c:pt>
                <c:pt idx="637">
                  <c:v>0.70966700000000005</c:v>
                </c:pt>
                <c:pt idx="638">
                  <c:v>0.70609500000000003</c:v>
                </c:pt>
                <c:pt idx="639">
                  <c:v>0.70267599999999997</c:v>
                </c:pt>
                <c:pt idx="640">
                  <c:v>0.69942199999999999</c:v>
                </c:pt>
                <c:pt idx="641">
                  <c:v>0.69634300000000005</c:v>
                </c:pt>
                <c:pt idx="642">
                  <c:v>0.69345199999999996</c:v>
                </c:pt>
                <c:pt idx="643">
                  <c:v>0.69075900000000001</c:v>
                </c:pt>
                <c:pt idx="644">
                  <c:v>0.688276</c:v>
                </c:pt>
                <c:pt idx="645">
                  <c:v>0.68601299999999998</c:v>
                </c:pt>
                <c:pt idx="646">
                  <c:v>0.68398099999999995</c:v>
                </c:pt>
                <c:pt idx="647">
                  <c:v>0.68218999999999996</c:v>
                </c:pt>
                <c:pt idx="648">
                  <c:v>0.68064999999999998</c:v>
                </c:pt>
                <c:pt idx="649">
                  <c:v>0.67922099999999996</c:v>
                </c:pt>
                <c:pt idx="650">
                  <c:v>0.67837999999999998</c:v>
                </c:pt>
                <c:pt idx="651">
                  <c:v>0.67747100000000005</c:v>
                </c:pt>
                <c:pt idx="652">
                  <c:v>0.67720999999999998</c:v>
                </c:pt>
                <c:pt idx="653">
                  <c:v>0.67685600000000001</c:v>
                </c:pt>
                <c:pt idx="654">
                  <c:v>0.67720100000000005</c:v>
                </c:pt>
                <c:pt idx="655">
                  <c:v>0.67742999999999998</c:v>
                </c:pt>
                <c:pt idx="656">
                  <c:v>0.67839499999999997</c:v>
                </c:pt>
                <c:pt idx="657">
                  <c:v>0.67922700000000003</c:v>
                </c:pt>
                <c:pt idx="658">
                  <c:v>0.68081899999999995</c:v>
                </c:pt>
                <c:pt idx="659">
                  <c:v>0.68226500000000001</c:v>
                </c:pt>
                <c:pt idx="660">
                  <c:v>0.68434700000000004</c:v>
                </c:pt>
                <c:pt idx="661">
                  <c:v>0.68664899999999995</c:v>
                </c:pt>
                <c:pt idx="662">
                  <c:v>0.68928400000000001</c:v>
                </c:pt>
                <c:pt idx="663">
                  <c:v>0.69220700000000002</c:v>
                </c:pt>
                <c:pt idx="664">
                  <c:v>0.695434</c:v>
                </c:pt>
                <c:pt idx="665">
                  <c:v>0.69894900000000004</c:v>
                </c:pt>
                <c:pt idx="666">
                  <c:v>0.70274899999999996</c:v>
                </c:pt>
                <c:pt idx="667">
                  <c:v>0.70682500000000004</c:v>
                </c:pt>
                <c:pt idx="668">
                  <c:v>0.71116800000000002</c:v>
                </c:pt>
                <c:pt idx="669">
                  <c:v>0.71576700000000004</c:v>
                </c:pt>
                <c:pt idx="670">
                  <c:v>0.72060999999999997</c:v>
                </c:pt>
                <c:pt idx="671">
                  <c:v>0.72568699999999997</c:v>
                </c:pt>
                <c:pt idx="672">
                  <c:v>0.73098300000000005</c:v>
                </c:pt>
                <c:pt idx="673">
                  <c:v>0.73648400000000003</c:v>
                </c:pt>
                <c:pt idx="674">
                  <c:v>0.74217599999999995</c:v>
                </c:pt>
                <c:pt idx="675">
                  <c:v>0.74804300000000001</c:v>
                </c:pt>
                <c:pt idx="676">
                  <c:v>0.75406799999999996</c:v>
                </c:pt>
                <c:pt idx="677">
                  <c:v>0.76023600000000002</c:v>
                </c:pt>
                <c:pt idx="678">
                  <c:v>0.76652799999999999</c:v>
                </c:pt>
                <c:pt idx="679">
                  <c:v>0.77292700000000003</c:v>
                </c:pt>
                <c:pt idx="680">
                  <c:v>0.77941499999999997</c:v>
                </c:pt>
                <c:pt idx="681">
                  <c:v>0.78597300000000003</c:v>
                </c:pt>
                <c:pt idx="682">
                  <c:v>0.79258200000000001</c:v>
                </c:pt>
                <c:pt idx="683">
                  <c:v>0.79922400000000005</c:v>
                </c:pt>
                <c:pt idx="684">
                  <c:v>0.80588000000000004</c:v>
                </c:pt>
                <c:pt idx="685">
                  <c:v>0.81252999999999997</c:v>
                </c:pt>
                <c:pt idx="686">
                  <c:v>0.81915700000000002</c:v>
                </c:pt>
                <c:pt idx="687">
                  <c:v>0.82574099999999995</c:v>
                </c:pt>
                <c:pt idx="688">
                  <c:v>0.832264</c:v>
                </c:pt>
                <c:pt idx="689">
                  <c:v>0.83870800000000001</c:v>
                </c:pt>
                <c:pt idx="690">
                  <c:v>0.845055</c:v>
                </c:pt>
                <c:pt idx="691">
                  <c:v>0.85128800000000004</c:v>
                </c:pt>
                <c:pt idx="692">
                  <c:v>0.85738999999999999</c:v>
                </c:pt>
                <c:pt idx="693">
                  <c:v>0.863344</c:v>
                </c:pt>
                <c:pt idx="694">
                  <c:v>0.86913600000000002</c:v>
                </c:pt>
                <c:pt idx="695">
                  <c:v>0.874749</c:v>
                </c:pt>
                <c:pt idx="696">
                  <c:v>0.88017000000000001</c:v>
                </c:pt>
                <c:pt idx="697">
                  <c:v>0.88538499999999998</c:v>
                </c:pt>
                <c:pt idx="698">
                  <c:v>0.89038099999999998</c:v>
                </c:pt>
                <c:pt idx="699">
                  <c:v>0.89514700000000003</c:v>
                </c:pt>
                <c:pt idx="700">
                  <c:v>0.89967200000000003</c:v>
                </c:pt>
                <c:pt idx="701">
                  <c:v>0.90394399999999997</c:v>
                </c:pt>
                <c:pt idx="702">
                  <c:v>0.90795599999999999</c:v>
                </c:pt>
                <c:pt idx="703">
                  <c:v>0.91169900000000004</c:v>
                </c:pt>
                <c:pt idx="704">
                  <c:v>0.91516500000000001</c:v>
                </c:pt>
                <c:pt idx="705">
                  <c:v>0.91834800000000005</c:v>
                </c:pt>
                <c:pt idx="706">
                  <c:v>0.92124399999999995</c:v>
                </c:pt>
                <c:pt idx="707">
                  <c:v>0.92384699999999997</c:v>
                </c:pt>
                <c:pt idx="708">
                  <c:v>0.92615400000000003</c:v>
                </c:pt>
                <c:pt idx="709">
                  <c:v>0.92816299999999996</c:v>
                </c:pt>
                <c:pt idx="710">
                  <c:v>0.92987299999999995</c:v>
                </c:pt>
                <c:pt idx="711">
                  <c:v>0.931284</c:v>
                </c:pt>
                <c:pt idx="712">
                  <c:v>0.93239499999999997</c:v>
                </c:pt>
                <c:pt idx="713">
                  <c:v>0.93320899999999996</c:v>
                </c:pt>
                <c:pt idx="714">
                  <c:v>0.933728</c:v>
                </c:pt>
                <c:pt idx="715">
                  <c:v>0.93395600000000001</c:v>
                </c:pt>
                <c:pt idx="716">
                  <c:v>0.93389699999999998</c:v>
                </c:pt>
                <c:pt idx="717">
                  <c:v>0.93355600000000005</c:v>
                </c:pt>
                <c:pt idx="718">
                  <c:v>0.93293999999999999</c:v>
                </c:pt>
                <c:pt idx="719">
                  <c:v>0.93205499999999997</c:v>
                </c:pt>
                <c:pt idx="720">
                  <c:v>0.93090899999999999</c:v>
                </c:pt>
                <c:pt idx="721">
                  <c:v>0.92950999999999995</c:v>
                </c:pt>
                <c:pt idx="722">
                  <c:v>0.92786800000000003</c:v>
                </c:pt>
                <c:pt idx="723">
                  <c:v>0.92599100000000001</c:v>
                </c:pt>
                <c:pt idx="724">
                  <c:v>0.92389100000000002</c:v>
                </c:pt>
                <c:pt idx="725">
                  <c:v>0.92157800000000001</c:v>
                </c:pt>
                <c:pt idx="726">
                  <c:v>0.91906399999999999</c:v>
                </c:pt>
                <c:pt idx="727">
                  <c:v>0.91635999999999995</c:v>
                </c:pt>
                <c:pt idx="728">
                  <c:v>0.91347800000000001</c:v>
                </c:pt>
                <c:pt idx="729">
                  <c:v>0.91043099999999999</c:v>
                </c:pt>
                <c:pt idx="730">
                  <c:v>0.90723100000000001</c:v>
                </c:pt>
                <c:pt idx="731">
                  <c:v>0.90389200000000003</c:v>
                </c:pt>
                <c:pt idx="732">
                  <c:v>0.90042699999999998</c:v>
                </c:pt>
                <c:pt idx="733">
                  <c:v>0.89684799999999998</c:v>
                </c:pt>
                <c:pt idx="734">
                  <c:v>0.89317000000000002</c:v>
                </c:pt>
                <c:pt idx="735">
                  <c:v>0.889405</c:v>
                </c:pt>
                <c:pt idx="736">
                  <c:v>0.88556599999999996</c:v>
                </c:pt>
                <c:pt idx="737">
                  <c:v>0.88166699999999998</c:v>
                </c:pt>
                <c:pt idx="738">
                  <c:v>0.87772099999999997</c:v>
                </c:pt>
                <c:pt idx="739">
                  <c:v>0.87373900000000004</c:v>
                </c:pt>
                <c:pt idx="740">
                  <c:v>0.86973500000000004</c:v>
                </c:pt>
                <c:pt idx="741">
                  <c:v>0.86572099999999996</c:v>
                </c:pt>
                <c:pt idx="742">
                  <c:v>0.86170800000000003</c:v>
                </c:pt>
                <c:pt idx="743">
                  <c:v>0.85770800000000003</c:v>
                </c:pt>
                <c:pt idx="744">
                  <c:v>0.85373100000000002</c:v>
                </c:pt>
                <c:pt idx="745">
                  <c:v>0.84978799999999999</c:v>
                </c:pt>
                <c:pt idx="746">
                  <c:v>0.845889</c:v>
                </c:pt>
                <c:pt idx="747">
                  <c:v>0.84204299999999999</c:v>
                </c:pt>
                <c:pt idx="748">
                  <c:v>0.83826000000000001</c:v>
                </c:pt>
                <c:pt idx="749">
                  <c:v>0.83454600000000001</c:v>
                </c:pt>
                <c:pt idx="750">
                  <c:v>0.83091099999999996</c:v>
                </c:pt>
                <c:pt idx="751">
                  <c:v>0.82735999999999998</c:v>
                </c:pt>
                <c:pt idx="752">
                  <c:v>0.82389999999999997</c:v>
                </c:pt>
                <c:pt idx="753">
                  <c:v>0.82053699999999996</c:v>
                </c:pt>
                <c:pt idx="754">
                  <c:v>0.817276</c:v>
                </c:pt>
                <c:pt idx="755">
                  <c:v>0.81412099999999998</c:v>
                </c:pt>
                <c:pt idx="756">
                  <c:v>0.81107700000000005</c:v>
                </c:pt>
                <c:pt idx="757">
                  <c:v>0.80814600000000003</c:v>
                </c:pt>
                <c:pt idx="758">
                  <c:v>0.80532999999999999</c:v>
                </c:pt>
                <c:pt idx="759">
                  <c:v>0.80263200000000001</c:v>
                </c:pt>
                <c:pt idx="760">
                  <c:v>0.80005199999999999</c:v>
                </c:pt>
                <c:pt idx="761">
                  <c:v>0.79759199999999997</c:v>
                </c:pt>
                <c:pt idx="762">
                  <c:v>0.79525100000000004</c:v>
                </c:pt>
                <c:pt idx="763">
                  <c:v>0.79302899999999998</c:v>
                </c:pt>
                <c:pt idx="764">
                  <c:v>0.79092499999999999</c:v>
                </c:pt>
                <c:pt idx="765">
                  <c:v>0.788937</c:v>
                </c:pt>
                <c:pt idx="766">
                  <c:v>0.78706299999999996</c:v>
                </c:pt>
                <c:pt idx="767">
                  <c:v>0.78530100000000003</c:v>
                </c:pt>
                <c:pt idx="768">
                  <c:v>0.78364800000000001</c:v>
                </c:pt>
                <c:pt idx="769">
                  <c:v>0.78210000000000002</c:v>
                </c:pt>
                <c:pt idx="770">
                  <c:v>0.78065399999999996</c:v>
                </c:pt>
                <c:pt idx="771">
                  <c:v>0.77930500000000003</c:v>
                </c:pt>
                <c:pt idx="772">
                  <c:v>0.77805000000000002</c:v>
                </c:pt>
                <c:pt idx="773">
                  <c:v>0.77688299999999999</c:v>
                </c:pt>
                <c:pt idx="774">
                  <c:v>0.77580099999999996</c:v>
                </c:pt>
                <c:pt idx="775">
                  <c:v>0.77479699999999996</c:v>
                </c:pt>
                <c:pt idx="776">
                  <c:v>0.773868</c:v>
                </c:pt>
                <c:pt idx="777">
                  <c:v>0.773007</c:v>
                </c:pt>
                <c:pt idx="778">
                  <c:v>0.77220900000000003</c:v>
                </c:pt>
                <c:pt idx="779">
                  <c:v>0.77146999999999999</c:v>
                </c:pt>
                <c:pt idx="780">
                  <c:v>0.77078400000000002</c:v>
                </c:pt>
                <c:pt idx="781">
                  <c:v>0.77014499999999997</c:v>
                </c:pt>
                <c:pt idx="782">
                  <c:v>0.76954900000000004</c:v>
                </c:pt>
                <c:pt idx="783">
                  <c:v>0.76899099999999998</c:v>
                </c:pt>
                <c:pt idx="784">
                  <c:v>0.76846499999999995</c:v>
                </c:pt>
                <c:pt idx="785">
                  <c:v>0.76796799999999998</c:v>
                </c:pt>
                <c:pt idx="786">
                  <c:v>0.76749400000000001</c:v>
                </c:pt>
                <c:pt idx="787">
                  <c:v>0.76704000000000006</c:v>
                </c:pt>
                <c:pt idx="788">
                  <c:v>0.76660200000000001</c:v>
                </c:pt>
                <c:pt idx="789">
                  <c:v>0.766177</c:v>
                </c:pt>
                <c:pt idx="790">
                  <c:v>0.76576</c:v>
                </c:pt>
                <c:pt idx="791">
                  <c:v>0.76534999999999997</c:v>
                </c:pt>
                <c:pt idx="792">
                  <c:v>0.76494399999999996</c:v>
                </c:pt>
                <c:pt idx="793">
                  <c:v>0.76454</c:v>
                </c:pt>
                <c:pt idx="794">
                  <c:v>0.76413600000000004</c:v>
                </c:pt>
                <c:pt idx="795">
                  <c:v>0.76373199999999997</c:v>
                </c:pt>
                <c:pt idx="796">
                  <c:v>0.76332599999999995</c:v>
                </c:pt>
                <c:pt idx="797">
                  <c:v>0.76291799999999999</c:v>
                </c:pt>
                <c:pt idx="798">
                  <c:v>0.76250899999999999</c:v>
                </c:pt>
                <c:pt idx="799">
                  <c:v>0.7621</c:v>
                </c:pt>
                <c:pt idx="800">
                  <c:v>0.76168999999999998</c:v>
                </c:pt>
                <c:pt idx="801">
                  <c:v>0.76128300000000004</c:v>
                </c:pt>
                <c:pt idx="802">
                  <c:v>0.76087899999999997</c:v>
                </c:pt>
                <c:pt idx="803">
                  <c:v>0.76048199999999999</c:v>
                </c:pt>
                <c:pt idx="804">
                  <c:v>0.76009400000000005</c:v>
                </c:pt>
                <c:pt idx="805">
                  <c:v>0.759718</c:v>
                </c:pt>
                <c:pt idx="806">
                  <c:v>0.75935900000000001</c:v>
                </c:pt>
                <c:pt idx="807">
                  <c:v>0.759019</c:v>
                </c:pt>
                <c:pt idx="808">
                  <c:v>0.75870400000000005</c:v>
                </c:pt>
                <c:pt idx="809">
                  <c:v>0.75841700000000001</c:v>
                </c:pt>
                <c:pt idx="810">
                  <c:v>0.75816399999999995</c:v>
                </c:pt>
                <c:pt idx="811">
                  <c:v>0.75795000000000001</c:v>
                </c:pt>
                <c:pt idx="812">
                  <c:v>0.75777899999999998</c:v>
                </c:pt>
                <c:pt idx="813">
                  <c:v>0.75765800000000005</c:v>
                </c:pt>
                <c:pt idx="814">
                  <c:v>0.75759200000000004</c:v>
                </c:pt>
                <c:pt idx="815">
                  <c:v>0.75758599999999998</c:v>
                </c:pt>
                <c:pt idx="816">
                  <c:v>0.75764600000000004</c:v>
                </c:pt>
                <c:pt idx="817">
                  <c:v>0.75777799999999995</c:v>
                </c:pt>
                <c:pt idx="818">
                  <c:v>0.75798699999999997</c:v>
                </c:pt>
                <c:pt idx="819">
                  <c:v>0.75827800000000001</c:v>
                </c:pt>
                <c:pt idx="820">
                  <c:v>0.75865700000000003</c:v>
                </c:pt>
                <c:pt idx="821">
                  <c:v>0.75912900000000005</c:v>
                </c:pt>
                <c:pt idx="822">
                  <c:v>0.75969900000000001</c:v>
                </c:pt>
                <c:pt idx="823">
                  <c:v>0.76037100000000002</c:v>
                </c:pt>
                <c:pt idx="824">
                  <c:v>0.76114999999999999</c:v>
                </c:pt>
                <c:pt idx="825">
                  <c:v>0.76204000000000005</c:v>
                </c:pt>
                <c:pt idx="826">
                  <c:v>0.76304300000000003</c:v>
                </c:pt>
                <c:pt idx="827">
                  <c:v>0.76416399999999995</c:v>
                </c:pt>
                <c:pt idx="828">
                  <c:v>0.765405</c:v>
                </c:pt>
                <c:pt idx="829">
                  <c:v>0.76676800000000001</c:v>
                </c:pt>
                <c:pt idx="830">
                  <c:v>0.76825600000000005</c:v>
                </c:pt>
                <c:pt idx="831">
                  <c:v>0.769868</c:v>
                </c:pt>
                <c:pt idx="832">
                  <c:v>0.77160600000000001</c:v>
                </c:pt>
                <c:pt idx="833">
                  <c:v>0.77346899999999996</c:v>
                </c:pt>
                <c:pt idx="834">
                  <c:v>0.77545799999999998</c:v>
                </c:pt>
                <c:pt idx="835">
                  <c:v>0.77757100000000001</c:v>
                </c:pt>
                <c:pt idx="836">
                  <c:v>0.77980700000000003</c:v>
                </c:pt>
                <c:pt idx="837">
                  <c:v>0.78216200000000002</c:v>
                </c:pt>
                <c:pt idx="838">
                  <c:v>0.78463499999999997</c:v>
                </c:pt>
                <c:pt idx="839">
                  <c:v>0.78722099999999995</c:v>
                </c:pt>
                <c:pt idx="840">
                  <c:v>0.78991699999999998</c:v>
                </c:pt>
                <c:pt idx="841">
                  <c:v>0.79271800000000003</c:v>
                </c:pt>
                <c:pt idx="842">
                  <c:v>0.79561899999999997</c:v>
                </c:pt>
                <c:pt idx="843">
                  <c:v>0.79861300000000002</c:v>
                </c:pt>
                <c:pt idx="844">
                  <c:v>0.80169599999999996</c:v>
                </c:pt>
                <c:pt idx="845">
                  <c:v>0.80485899999999999</c:v>
                </c:pt>
                <c:pt idx="846">
                  <c:v>0.80809600000000004</c:v>
                </c:pt>
                <c:pt idx="847">
                  <c:v>0.81140000000000001</c:v>
                </c:pt>
                <c:pt idx="848">
                  <c:v>0.81476099999999996</c:v>
                </c:pt>
                <c:pt idx="849">
                  <c:v>0.81817200000000001</c:v>
                </c:pt>
                <c:pt idx="850">
                  <c:v>0.82162400000000002</c:v>
                </c:pt>
                <c:pt idx="851">
                  <c:v>0.82510799999999995</c:v>
                </c:pt>
                <c:pt idx="852">
                  <c:v>0.82861399999999996</c:v>
                </c:pt>
                <c:pt idx="853">
                  <c:v>0.83213400000000004</c:v>
                </c:pt>
                <c:pt idx="854">
                  <c:v>0.83565699999999998</c:v>
                </c:pt>
                <c:pt idx="855">
                  <c:v>0.83917299999999995</c:v>
                </c:pt>
                <c:pt idx="856">
                  <c:v>0.84267400000000003</c:v>
                </c:pt>
                <c:pt idx="857">
                  <c:v>0.84614800000000001</c:v>
                </c:pt>
                <c:pt idx="858">
                  <c:v>0.84958599999999995</c:v>
                </c:pt>
                <c:pt idx="859">
                  <c:v>0.85297699999999999</c:v>
                </c:pt>
                <c:pt idx="860">
                  <c:v>0.85631299999999999</c:v>
                </c:pt>
                <c:pt idx="861">
                  <c:v>0.85958299999999999</c:v>
                </c:pt>
                <c:pt idx="862">
                  <c:v>0.86277700000000002</c:v>
                </c:pt>
                <c:pt idx="863">
                  <c:v>0.86588699999999996</c:v>
                </c:pt>
                <c:pt idx="864">
                  <c:v>0.86890199999999995</c:v>
                </c:pt>
                <c:pt idx="865">
                  <c:v>0.87181399999999998</c:v>
                </c:pt>
                <c:pt idx="866">
                  <c:v>0.874614</c:v>
                </c:pt>
                <c:pt idx="867">
                  <c:v>0.87729299999999999</c:v>
                </c:pt>
                <c:pt idx="868">
                  <c:v>0.87984499999999999</c:v>
                </c:pt>
                <c:pt idx="869">
                  <c:v>0.88226000000000004</c:v>
                </c:pt>
                <c:pt idx="870">
                  <c:v>0.88453199999999998</c:v>
                </c:pt>
                <c:pt idx="871">
                  <c:v>0.88665300000000002</c:v>
                </c:pt>
                <c:pt idx="872">
                  <c:v>0.88861800000000002</c:v>
                </c:pt>
                <c:pt idx="873">
                  <c:v>0.89041999999999999</c:v>
                </c:pt>
                <c:pt idx="874">
                  <c:v>0.89205400000000001</c:v>
                </c:pt>
                <c:pt idx="875">
                  <c:v>0.89351499999999995</c:v>
                </c:pt>
                <c:pt idx="876">
                  <c:v>0.89479900000000001</c:v>
                </c:pt>
                <c:pt idx="877">
                  <c:v>0.89590000000000003</c:v>
                </c:pt>
                <c:pt idx="878">
                  <c:v>0.89681699999999998</c:v>
                </c:pt>
                <c:pt idx="879">
                  <c:v>0.89754599999999995</c:v>
                </c:pt>
                <c:pt idx="880">
                  <c:v>0.89808600000000005</c:v>
                </c:pt>
                <c:pt idx="881">
                  <c:v>0.89843300000000004</c:v>
                </c:pt>
                <c:pt idx="882">
                  <c:v>0.89858800000000005</c:v>
                </c:pt>
                <c:pt idx="883">
                  <c:v>0.89854999999999996</c:v>
                </c:pt>
                <c:pt idx="884">
                  <c:v>0.89831799999999995</c:v>
                </c:pt>
                <c:pt idx="885">
                  <c:v>0.897895</c:v>
                </c:pt>
                <c:pt idx="886">
                  <c:v>0.89727900000000005</c:v>
                </c:pt>
                <c:pt idx="887">
                  <c:v>0.89647500000000002</c:v>
                </c:pt>
                <c:pt idx="888">
                  <c:v>0.89548300000000003</c:v>
                </c:pt>
                <c:pt idx="889">
                  <c:v>0.89430799999999999</c:v>
                </c:pt>
                <c:pt idx="890">
                  <c:v>0.89295199999999997</c:v>
                </c:pt>
                <c:pt idx="891">
                  <c:v>0.89141999999999999</c:v>
                </c:pt>
                <c:pt idx="892">
                  <c:v>0.88971599999999995</c:v>
                </c:pt>
                <c:pt idx="893">
                  <c:v>0.887845</c:v>
                </c:pt>
                <c:pt idx="894">
                  <c:v>0.88581299999999996</c:v>
                </c:pt>
                <c:pt idx="895">
                  <c:v>0.88362700000000005</c:v>
                </c:pt>
                <c:pt idx="896">
                  <c:v>0.88129199999999996</c:v>
                </c:pt>
                <c:pt idx="897">
                  <c:v>0.87881600000000004</c:v>
                </c:pt>
                <c:pt idx="898">
                  <c:v>0.87620600000000004</c:v>
                </c:pt>
                <c:pt idx="899">
                  <c:v>0.87346999999999997</c:v>
                </c:pt>
                <c:pt idx="900">
                  <c:v>0.87061599999999995</c:v>
                </c:pt>
                <c:pt idx="901">
                  <c:v>0.86765199999999998</c:v>
                </c:pt>
                <c:pt idx="902">
                  <c:v>0.86458900000000005</c:v>
                </c:pt>
                <c:pt idx="903">
                  <c:v>0.861433</c:v>
                </c:pt>
                <c:pt idx="904">
                  <c:v>0.85819500000000004</c:v>
                </c:pt>
                <c:pt idx="905">
                  <c:v>0.85488500000000001</c:v>
                </c:pt>
                <c:pt idx="906">
                  <c:v>0.85151200000000005</c:v>
                </c:pt>
                <c:pt idx="907">
                  <c:v>0.84808499999999998</c:v>
                </c:pt>
                <c:pt idx="908">
                  <c:v>0.844615</c:v>
                </c:pt>
                <c:pt idx="909">
                  <c:v>0.84111100000000005</c:v>
                </c:pt>
                <c:pt idx="910">
                  <c:v>0.837584</c:v>
                </c:pt>
                <c:pt idx="911">
                  <c:v>0.83404299999999998</c:v>
                </c:pt>
                <c:pt idx="912">
                  <c:v>0.83049799999999996</c:v>
                </c:pt>
                <c:pt idx="913">
                  <c:v>0.826959</c:v>
                </c:pt>
                <c:pt idx="914">
                  <c:v>0.82343599999999995</c:v>
                </c:pt>
                <c:pt idx="915">
                  <c:v>0.81993899999999997</c:v>
                </c:pt>
                <c:pt idx="916">
                  <c:v>0.81647499999999995</c:v>
                </c:pt>
                <c:pt idx="917">
                  <c:v>0.81305499999999997</c:v>
                </c:pt>
                <c:pt idx="918">
                  <c:v>0.80968799999999996</c:v>
                </c:pt>
                <c:pt idx="919">
                  <c:v>0.80638100000000001</c:v>
                </c:pt>
                <c:pt idx="920">
                  <c:v>0.80314300000000005</c:v>
                </c:pt>
                <c:pt idx="921">
                  <c:v>0.79998199999999997</c:v>
                </c:pt>
                <c:pt idx="922">
                  <c:v>0.79690499999999997</c:v>
                </c:pt>
                <c:pt idx="923">
                  <c:v>0.79391999999999996</c:v>
                </c:pt>
                <c:pt idx="924">
                  <c:v>0.79103299999999999</c:v>
                </c:pt>
                <c:pt idx="925">
                  <c:v>0.78824899999999998</c:v>
                </c:pt>
                <c:pt idx="926">
                  <c:v>0.78557600000000005</c:v>
                </c:pt>
                <c:pt idx="927">
                  <c:v>0.78301699999999996</c:v>
                </c:pt>
                <c:pt idx="928">
                  <c:v>0.78057799999999999</c:v>
                </c:pt>
                <c:pt idx="929">
                  <c:v>0.77826399999999996</c:v>
                </c:pt>
                <c:pt idx="930">
                  <c:v>0.77607800000000005</c:v>
                </c:pt>
                <c:pt idx="931">
                  <c:v>0.77402199999999999</c:v>
                </c:pt>
                <c:pt idx="932">
                  <c:v>0.77210100000000004</c:v>
                </c:pt>
                <c:pt idx="933">
                  <c:v>0.770316</c:v>
                </c:pt>
                <c:pt idx="934">
                  <c:v>0.76866900000000005</c:v>
                </c:pt>
                <c:pt idx="935">
                  <c:v>0.76716200000000001</c:v>
                </c:pt>
                <c:pt idx="936">
                  <c:v>0.76579399999999997</c:v>
                </c:pt>
                <c:pt idx="937">
                  <c:v>0.764567</c:v>
                </c:pt>
                <c:pt idx="938">
                  <c:v>0.76348000000000005</c:v>
                </c:pt>
                <c:pt idx="939">
                  <c:v>0.76253199999999999</c:v>
                </c:pt>
                <c:pt idx="940">
                  <c:v>0.76172200000000001</c:v>
                </c:pt>
                <c:pt idx="941">
                  <c:v>0.76105</c:v>
                </c:pt>
                <c:pt idx="942">
                  <c:v>0.76051199999999997</c:v>
                </c:pt>
                <c:pt idx="943">
                  <c:v>0.76010699999999998</c:v>
                </c:pt>
                <c:pt idx="944">
                  <c:v>0.75983100000000003</c:v>
                </c:pt>
                <c:pt idx="945">
                  <c:v>0.759683</c:v>
                </c:pt>
                <c:pt idx="946">
                  <c:v>0.75965700000000003</c:v>
                </c:pt>
                <c:pt idx="947">
                  <c:v>0.75975099999999995</c:v>
                </c:pt>
                <c:pt idx="948">
                  <c:v>0.759961</c:v>
                </c:pt>
                <c:pt idx="949">
                  <c:v>0.76028200000000001</c:v>
                </c:pt>
                <c:pt idx="950">
                  <c:v>0.76070899999999997</c:v>
                </c:pt>
                <c:pt idx="951">
                  <c:v>0.761239</c:v>
                </c:pt>
                <c:pt idx="952">
                  <c:v>0.76186500000000001</c:v>
                </c:pt>
                <c:pt idx="953">
                  <c:v>0.76258400000000004</c:v>
                </c:pt>
                <c:pt idx="954">
                  <c:v>0.76338899999999998</c:v>
                </c:pt>
                <c:pt idx="955">
                  <c:v>0.76427599999999996</c:v>
                </c:pt>
                <c:pt idx="956">
                  <c:v>0.76524000000000003</c:v>
                </c:pt>
                <c:pt idx="957">
                  <c:v>0.76627299999999998</c:v>
                </c:pt>
                <c:pt idx="958">
                  <c:v>0.76737200000000005</c:v>
                </c:pt>
                <c:pt idx="959">
                  <c:v>0.76853000000000005</c:v>
                </c:pt>
                <c:pt idx="960">
                  <c:v>0.76974299999999996</c:v>
                </c:pt>
                <c:pt idx="961">
                  <c:v>0.77100400000000002</c:v>
                </c:pt>
                <c:pt idx="962">
                  <c:v>0.77230799999999999</c:v>
                </c:pt>
                <c:pt idx="963">
                  <c:v>0.77365099999999998</c:v>
                </c:pt>
                <c:pt idx="964">
                  <c:v>0.77502499999999996</c:v>
                </c:pt>
                <c:pt idx="965">
                  <c:v>0.77642800000000001</c:v>
                </c:pt>
                <c:pt idx="966">
                  <c:v>0.77785300000000002</c:v>
                </c:pt>
                <c:pt idx="967">
                  <c:v>0.77929599999999999</c:v>
                </c:pt>
                <c:pt idx="968">
                  <c:v>0.78075099999999997</c:v>
                </c:pt>
                <c:pt idx="969">
                  <c:v>0.78221600000000002</c:v>
                </c:pt>
                <c:pt idx="970">
                  <c:v>0.78368499999999996</c:v>
                </c:pt>
                <c:pt idx="971">
                  <c:v>0.78515400000000002</c:v>
                </c:pt>
                <c:pt idx="972">
                  <c:v>0.78661999999999999</c:v>
                </c:pt>
                <c:pt idx="973">
                  <c:v>0.78807899999999997</c:v>
                </c:pt>
                <c:pt idx="974">
                  <c:v>0.78952800000000001</c:v>
                </c:pt>
                <c:pt idx="975">
                  <c:v>0.790964</c:v>
                </c:pt>
                <c:pt idx="976">
                  <c:v>0.79238299999999995</c:v>
                </c:pt>
                <c:pt idx="977">
                  <c:v>0.79378400000000005</c:v>
                </c:pt>
                <c:pt idx="978">
                  <c:v>0.79516500000000001</c:v>
                </c:pt>
                <c:pt idx="979">
                  <c:v>0.79652299999999998</c:v>
                </c:pt>
                <c:pt idx="980">
                  <c:v>0.79785600000000001</c:v>
                </c:pt>
                <c:pt idx="981">
                  <c:v>0.79916399999999999</c:v>
                </c:pt>
                <c:pt idx="982">
                  <c:v>0.80044599999999999</c:v>
                </c:pt>
                <c:pt idx="983">
                  <c:v>0.80169900000000005</c:v>
                </c:pt>
                <c:pt idx="984">
                  <c:v>0.802925</c:v>
                </c:pt>
                <c:pt idx="985">
                  <c:v>0.804122</c:v>
                </c:pt>
                <c:pt idx="986">
                  <c:v>0.80529099999999998</c:v>
                </c:pt>
                <c:pt idx="987">
                  <c:v>0.80643100000000001</c:v>
                </c:pt>
                <c:pt idx="988">
                  <c:v>0.80754400000000004</c:v>
                </c:pt>
                <c:pt idx="989">
                  <c:v>0.80862900000000004</c:v>
                </c:pt>
                <c:pt idx="990">
                  <c:v>0.80968799999999996</c:v>
                </c:pt>
                <c:pt idx="991">
                  <c:v>0.81072200000000005</c:v>
                </c:pt>
                <c:pt idx="992">
                  <c:v>0.81173099999999998</c:v>
                </c:pt>
                <c:pt idx="993">
                  <c:v>0.81271700000000002</c:v>
                </c:pt>
                <c:pt idx="994">
                  <c:v>0.81368200000000002</c:v>
                </c:pt>
                <c:pt idx="995">
                  <c:v>0.81462699999999999</c:v>
                </c:pt>
                <c:pt idx="996">
                  <c:v>0.815554</c:v>
                </c:pt>
                <c:pt idx="997">
                  <c:v>0.81646399999999997</c:v>
                </c:pt>
                <c:pt idx="998">
                  <c:v>0.81735999999999998</c:v>
                </c:pt>
                <c:pt idx="999">
                  <c:v>0.81824200000000002</c:v>
                </c:pt>
                <c:pt idx="1000">
                  <c:v>0.81911400000000001</c:v>
                </c:pt>
                <c:pt idx="1001">
                  <c:v>0.81997600000000004</c:v>
                </c:pt>
                <c:pt idx="1002">
                  <c:v>0.82083099999999998</c:v>
                </c:pt>
                <c:pt idx="1003">
                  <c:v>0.82167999999999997</c:v>
                </c:pt>
                <c:pt idx="1004">
                  <c:v>0.82252499999999995</c:v>
                </c:pt>
                <c:pt idx="1005">
                  <c:v>0.82336799999999999</c:v>
                </c:pt>
                <c:pt idx="1006">
                  <c:v>0.82421</c:v>
                </c:pt>
                <c:pt idx="1007">
                  <c:v>0.82505200000000001</c:v>
                </c:pt>
                <c:pt idx="1008">
                  <c:v>0.82589599999999996</c:v>
                </c:pt>
                <c:pt idx="1009">
                  <c:v>0.82674400000000003</c:v>
                </c:pt>
                <c:pt idx="1010">
                  <c:v>0.82759400000000005</c:v>
                </c:pt>
                <c:pt idx="1011">
                  <c:v>0.82845000000000002</c:v>
                </c:pt>
                <c:pt idx="1012">
                  <c:v>0.82931100000000002</c:v>
                </c:pt>
                <c:pt idx="1013">
                  <c:v>0.83017700000000005</c:v>
                </c:pt>
                <c:pt idx="1014">
                  <c:v>0.83104999999999996</c:v>
                </c:pt>
                <c:pt idx="1015">
                  <c:v>0.831928</c:v>
                </c:pt>
                <c:pt idx="1016">
                  <c:v>0.832812</c:v>
                </c:pt>
                <c:pt idx="1017">
                  <c:v>0.83370200000000005</c:v>
                </c:pt>
                <c:pt idx="1018">
                  <c:v>0.834596</c:v>
                </c:pt>
                <c:pt idx="1019">
                  <c:v>0.83549399999999996</c:v>
                </c:pt>
                <c:pt idx="1020">
                  <c:v>0.836395</c:v>
                </c:pt>
                <c:pt idx="1021">
                  <c:v>0.83729799999999999</c:v>
                </c:pt>
                <c:pt idx="1022">
                  <c:v>0.83820099999999997</c:v>
                </c:pt>
                <c:pt idx="1023">
                  <c:v>0.83910200000000001</c:v>
                </c:pt>
                <c:pt idx="1024">
                  <c:v>0.840001</c:v>
                </c:pt>
                <c:pt idx="1025">
                  <c:v>0.84089499999999995</c:v>
                </c:pt>
                <c:pt idx="1026">
                  <c:v>0.841781</c:v>
                </c:pt>
                <c:pt idx="1027">
                  <c:v>0.84265800000000002</c:v>
                </c:pt>
                <c:pt idx="1028">
                  <c:v>0.84352199999999999</c:v>
                </c:pt>
                <c:pt idx="1029">
                  <c:v>0.84437300000000004</c:v>
                </c:pt>
                <c:pt idx="1030">
                  <c:v>0.84520600000000001</c:v>
                </c:pt>
                <c:pt idx="1031">
                  <c:v>0.84601899999999997</c:v>
                </c:pt>
                <c:pt idx="1032">
                  <c:v>0.84680900000000003</c:v>
                </c:pt>
                <c:pt idx="1033">
                  <c:v>0.84757300000000002</c:v>
                </c:pt>
                <c:pt idx="1034">
                  <c:v>0.84830799999999995</c:v>
                </c:pt>
                <c:pt idx="1035">
                  <c:v>0.84901199999999999</c:v>
                </c:pt>
                <c:pt idx="1036">
                  <c:v>0.84968100000000002</c:v>
                </c:pt>
                <c:pt idx="1037">
                  <c:v>0.85031100000000004</c:v>
                </c:pt>
                <c:pt idx="1038">
                  <c:v>0.85090100000000002</c:v>
                </c:pt>
                <c:pt idx="1039">
                  <c:v>0.85144600000000004</c:v>
                </c:pt>
                <c:pt idx="1040">
                  <c:v>0.85194499999999995</c:v>
                </c:pt>
                <c:pt idx="1041">
                  <c:v>0.85239399999999999</c:v>
                </c:pt>
                <c:pt idx="1042">
                  <c:v>0.85278900000000002</c:v>
                </c:pt>
                <c:pt idx="1043">
                  <c:v>0.85313000000000005</c:v>
                </c:pt>
                <c:pt idx="1044">
                  <c:v>0.85341199999999995</c:v>
                </c:pt>
                <c:pt idx="1045">
                  <c:v>0.85363299999999998</c:v>
                </c:pt>
                <c:pt idx="1046">
                  <c:v>0.85379099999999997</c:v>
                </c:pt>
                <c:pt idx="1047">
                  <c:v>0.85388399999999998</c:v>
                </c:pt>
                <c:pt idx="1048">
                  <c:v>0.85390999999999995</c:v>
                </c:pt>
                <c:pt idx="1049">
                  <c:v>0.85386600000000001</c:v>
                </c:pt>
                <c:pt idx="1050">
                  <c:v>0.85375199999999996</c:v>
                </c:pt>
                <c:pt idx="1051">
                  <c:v>0.85356500000000002</c:v>
                </c:pt>
                <c:pt idx="1052">
                  <c:v>0.85330399999999995</c:v>
                </c:pt>
                <c:pt idx="1053">
                  <c:v>0.85296799999999995</c:v>
                </c:pt>
                <c:pt idx="1054">
                  <c:v>0.85255599999999998</c:v>
                </c:pt>
                <c:pt idx="1055">
                  <c:v>0.85206800000000005</c:v>
                </c:pt>
                <c:pt idx="1056">
                  <c:v>0.85150300000000001</c:v>
                </c:pt>
                <c:pt idx="1057">
                  <c:v>0.85086099999999998</c:v>
                </c:pt>
                <c:pt idx="1058">
                  <c:v>0.85014199999999995</c:v>
                </c:pt>
                <c:pt idx="1059">
                  <c:v>0.84934600000000005</c:v>
                </c:pt>
                <c:pt idx="1060">
                  <c:v>0.84847399999999995</c:v>
                </c:pt>
                <c:pt idx="1061">
                  <c:v>0.84752700000000003</c:v>
                </c:pt>
                <c:pt idx="1062">
                  <c:v>0.84650599999999998</c:v>
                </c:pt>
                <c:pt idx="1063">
                  <c:v>0.84541200000000005</c:v>
                </c:pt>
                <c:pt idx="1064">
                  <c:v>0.84424600000000005</c:v>
                </c:pt>
                <c:pt idx="1065">
                  <c:v>0.84301099999999995</c:v>
                </c:pt>
                <c:pt idx="1066">
                  <c:v>0.84170900000000004</c:v>
                </c:pt>
                <c:pt idx="1067">
                  <c:v>0.84034200000000003</c:v>
                </c:pt>
                <c:pt idx="1068">
                  <c:v>0.83891199999999999</c:v>
                </c:pt>
                <c:pt idx="1069">
                  <c:v>0.837422</c:v>
                </c:pt>
                <c:pt idx="1070">
                  <c:v>0.83587599999999995</c:v>
                </c:pt>
                <c:pt idx="1071">
                  <c:v>0.83427600000000002</c:v>
                </c:pt>
                <c:pt idx="1072">
                  <c:v>0.83262599999999998</c:v>
                </c:pt>
                <c:pt idx="1073">
                  <c:v>0.83092999999999995</c:v>
                </c:pt>
                <c:pt idx="1074">
                  <c:v>0.82919200000000004</c:v>
                </c:pt>
                <c:pt idx="1075">
                  <c:v>0.82741399999999998</c:v>
                </c:pt>
                <c:pt idx="1076">
                  <c:v>0.82560299999999998</c:v>
                </c:pt>
                <c:pt idx="1077">
                  <c:v>0.82376099999999997</c:v>
                </c:pt>
                <c:pt idx="1078">
                  <c:v>0.82189400000000001</c:v>
                </c:pt>
                <c:pt idx="1079">
                  <c:v>0.82000600000000001</c:v>
                </c:pt>
                <c:pt idx="1080">
                  <c:v>0.81810099999999997</c:v>
                </c:pt>
                <c:pt idx="1081">
                  <c:v>0.81618500000000005</c:v>
                </c:pt>
                <c:pt idx="1082">
                  <c:v>0.81426299999999996</c:v>
                </c:pt>
                <c:pt idx="1083">
                  <c:v>0.81233900000000003</c:v>
                </c:pt>
                <c:pt idx="1084">
                  <c:v>0.81041799999999997</c:v>
                </c:pt>
                <c:pt idx="1085">
                  <c:v>0.80850599999999995</c:v>
                </c:pt>
                <c:pt idx="1086">
                  <c:v>0.80660600000000005</c:v>
                </c:pt>
                <c:pt idx="1087">
                  <c:v>0.80472600000000005</c:v>
                </c:pt>
                <c:pt idx="1088">
                  <c:v>0.80286800000000003</c:v>
                </c:pt>
                <c:pt idx="1089">
                  <c:v>0.80103899999999995</c:v>
                </c:pt>
                <c:pt idx="1090">
                  <c:v>0.79924300000000004</c:v>
                </c:pt>
                <c:pt idx="1091">
                  <c:v>0.79748399999999997</c:v>
                </c:pt>
                <c:pt idx="1092">
                  <c:v>0.79576800000000003</c:v>
                </c:pt>
                <c:pt idx="1093">
                  <c:v>0.794099</c:v>
                </c:pt>
                <c:pt idx="1094">
                  <c:v>0.79248200000000002</c:v>
                </c:pt>
                <c:pt idx="1095">
                  <c:v>0.79092099999999999</c:v>
                </c:pt>
                <c:pt idx="1096">
                  <c:v>0.78941899999999998</c:v>
                </c:pt>
                <c:pt idx="1097">
                  <c:v>0.78798100000000004</c:v>
                </c:pt>
                <c:pt idx="1098">
                  <c:v>0.78661099999999995</c:v>
                </c:pt>
                <c:pt idx="1099">
                  <c:v>0.78531099999999998</c:v>
                </c:pt>
                <c:pt idx="1100">
                  <c:v>0.78408599999999995</c:v>
                </c:pt>
                <c:pt idx="1101">
                  <c:v>0.78293900000000005</c:v>
                </c:pt>
                <c:pt idx="1102">
                  <c:v>0.78187099999999998</c:v>
                </c:pt>
                <c:pt idx="1103">
                  <c:v>0.780887</c:v>
                </c:pt>
                <c:pt idx="1104">
                  <c:v>0.77998699999999999</c:v>
                </c:pt>
                <c:pt idx="1105">
                  <c:v>0.77917499999999995</c:v>
                </c:pt>
                <c:pt idx="1106">
                  <c:v>0.77845200000000003</c:v>
                </c:pt>
                <c:pt idx="1107">
                  <c:v>0.77781900000000004</c:v>
                </c:pt>
                <c:pt idx="1108">
                  <c:v>0.777277</c:v>
                </c:pt>
                <c:pt idx="1109">
                  <c:v>0.77682799999999996</c:v>
                </c:pt>
                <c:pt idx="1110">
                  <c:v>0.77647299999999997</c:v>
                </c:pt>
                <c:pt idx="1111">
                  <c:v>0.77621099999999998</c:v>
                </c:pt>
                <c:pt idx="1112">
                  <c:v>0.77604200000000001</c:v>
                </c:pt>
                <c:pt idx="1113">
                  <c:v>0.77596699999999996</c:v>
                </c:pt>
                <c:pt idx="1114">
                  <c:v>0.77598500000000004</c:v>
                </c:pt>
                <c:pt idx="1115">
                  <c:v>0.77609499999999998</c:v>
                </c:pt>
                <c:pt idx="1116">
                  <c:v>0.77629599999999999</c:v>
                </c:pt>
                <c:pt idx="1117">
                  <c:v>0.77658700000000003</c:v>
                </c:pt>
                <c:pt idx="1118">
                  <c:v>0.77696600000000005</c:v>
                </c:pt>
                <c:pt idx="1119">
                  <c:v>0.77743200000000001</c:v>
                </c:pt>
                <c:pt idx="1120">
                  <c:v>0.77798199999999995</c:v>
                </c:pt>
                <c:pt idx="1121">
                  <c:v>0.77861400000000003</c:v>
                </c:pt>
                <c:pt idx="1122">
                  <c:v>0.77932599999999996</c:v>
                </c:pt>
                <c:pt idx="1123">
                  <c:v>0.78011600000000003</c:v>
                </c:pt>
                <c:pt idx="1124">
                  <c:v>0.78097899999999998</c:v>
                </c:pt>
                <c:pt idx="1125">
                  <c:v>0.781914</c:v>
                </c:pt>
                <c:pt idx="1126">
                  <c:v>0.78291699999999997</c:v>
                </c:pt>
                <c:pt idx="1127">
                  <c:v>0.78398400000000001</c:v>
                </c:pt>
                <c:pt idx="1128">
                  <c:v>0.78511299999999995</c:v>
                </c:pt>
                <c:pt idx="1129">
                  <c:v>0.78629899999999997</c:v>
                </c:pt>
                <c:pt idx="1130">
                  <c:v>0.78753899999999999</c:v>
                </c:pt>
                <c:pt idx="1131">
                  <c:v>0.78883000000000003</c:v>
                </c:pt>
                <c:pt idx="1132">
                  <c:v>0.79016699999999995</c:v>
                </c:pt>
                <c:pt idx="1133">
                  <c:v>0.79154599999999997</c:v>
                </c:pt>
                <c:pt idx="1134">
                  <c:v>0.79296299999999997</c:v>
                </c:pt>
                <c:pt idx="1135">
                  <c:v>0.79441499999999998</c:v>
                </c:pt>
                <c:pt idx="1136">
                  <c:v>0.79589799999999999</c:v>
                </c:pt>
                <c:pt idx="1137">
                  <c:v>0.79740599999999995</c:v>
                </c:pt>
                <c:pt idx="1138">
                  <c:v>0.79893700000000001</c:v>
                </c:pt>
                <c:pt idx="1139">
                  <c:v>0.80048699999999995</c:v>
                </c:pt>
                <c:pt idx="1140">
                  <c:v>0.80205000000000004</c:v>
                </c:pt>
                <c:pt idx="1141">
                  <c:v>0.803624</c:v>
                </c:pt>
                <c:pt idx="1142">
                  <c:v>0.80520400000000003</c:v>
                </c:pt>
                <c:pt idx="1143">
                  <c:v>0.80678700000000003</c:v>
                </c:pt>
                <c:pt idx="1144">
                  <c:v>0.808369</c:v>
                </c:pt>
                <c:pt idx="1145">
                  <c:v>0.80994699999999997</c:v>
                </c:pt>
                <c:pt idx="1146">
                  <c:v>0.81151600000000002</c:v>
                </c:pt>
                <c:pt idx="1147">
                  <c:v>0.81307300000000005</c:v>
                </c:pt>
                <c:pt idx="1148">
                  <c:v>0.81461499999999998</c:v>
                </c:pt>
                <c:pt idx="1149">
                  <c:v>0.81613899999999995</c:v>
                </c:pt>
                <c:pt idx="1150">
                  <c:v>0.81764099999999995</c:v>
                </c:pt>
                <c:pt idx="1151">
                  <c:v>0.81911999999999996</c:v>
                </c:pt>
                <c:pt idx="1152">
                  <c:v>0.82057100000000005</c:v>
                </c:pt>
                <c:pt idx="1153">
                  <c:v>0.82199199999999994</c:v>
                </c:pt>
                <c:pt idx="1154">
                  <c:v>0.82338100000000003</c:v>
                </c:pt>
                <c:pt idx="1155">
                  <c:v>0.824735</c:v>
                </c:pt>
                <c:pt idx="1156">
                  <c:v>0.82605200000000001</c:v>
                </c:pt>
                <c:pt idx="1157">
                  <c:v>0.82733100000000004</c:v>
                </c:pt>
                <c:pt idx="1158">
                  <c:v>0.82856799999999997</c:v>
                </c:pt>
                <c:pt idx="1159">
                  <c:v>0.82976300000000003</c:v>
                </c:pt>
                <c:pt idx="1160">
                  <c:v>0.83091400000000004</c:v>
                </c:pt>
                <c:pt idx="1161">
                  <c:v>0.83201999999999998</c:v>
                </c:pt>
                <c:pt idx="1162">
                  <c:v>0.83307799999999999</c:v>
                </c:pt>
                <c:pt idx="1163">
                  <c:v>0.83408899999999997</c:v>
                </c:pt>
                <c:pt idx="1164">
                  <c:v>0.83505200000000002</c:v>
                </c:pt>
                <c:pt idx="1165">
                  <c:v>0.83596400000000004</c:v>
                </c:pt>
                <c:pt idx="1166">
                  <c:v>0.83682699999999999</c:v>
                </c:pt>
                <c:pt idx="1167">
                  <c:v>0.83764000000000005</c:v>
                </c:pt>
                <c:pt idx="1168">
                  <c:v>0.83840099999999995</c:v>
                </c:pt>
                <c:pt idx="1169">
                  <c:v>0.83911199999999997</c:v>
                </c:pt>
                <c:pt idx="1170">
                  <c:v>0.83977199999999996</c:v>
                </c:pt>
                <c:pt idx="1171">
                  <c:v>0.84038100000000004</c:v>
                </c:pt>
                <c:pt idx="1172">
                  <c:v>0.84093899999999999</c:v>
                </c:pt>
                <c:pt idx="1173">
                  <c:v>0.84144699999999994</c:v>
                </c:pt>
                <c:pt idx="1174">
                  <c:v>0.84190600000000004</c:v>
                </c:pt>
                <c:pt idx="1175">
                  <c:v>0.84231500000000004</c:v>
                </c:pt>
                <c:pt idx="1176">
                  <c:v>0.84267599999999998</c:v>
                </c:pt>
                <c:pt idx="1177">
                  <c:v>0.84299000000000002</c:v>
                </c:pt>
                <c:pt idx="1178">
                  <c:v>0.84325600000000001</c:v>
                </c:pt>
                <c:pt idx="1179">
                  <c:v>0.84347700000000003</c:v>
                </c:pt>
                <c:pt idx="1180">
                  <c:v>0.84365299999999999</c:v>
                </c:pt>
                <c:pt idx="1181">
                  <c:v>0.84378500000000001</c:v>
                </c:pt>
                <c:pt idx="1182">
                  <c:v>0.84387500000000004</c:v>
                </c:pt>
                <c:pt idx="1183">
                  <c:v>0.84392299999999998</c:v>
                </c:pt>
                <c:pt idx="1184">
                  <c:v>0.84392999999999996</c:v>
                </c:pt>
                <c:pt idx="1185">
                  <c:v>0.84389899999999995</c:v>
                </c:pt>
                <c:pt idx="1186">
                  <c:v>0.843831</c:v>
                </c:pt>
                <c:pt idx="1187">
                  <c:v>0.84372499999999995</c:v>
                </c:pt>
                <c:pt idx="1188">
                  <c:v>0.84358500000000003</c:v>
                </c:pt>
                <c:pt idx="1189">
                  <c:v>0.84341100000000002</c:v>
                </c:pt>
                <c:pt idx="1190">
                  <c:v>0.84320399999999995</c:v>
                </c:pt>
                <c:pt idx="1191">
                  <c:v>0.84296700000000002</c:v>
                </c:pt>
                <c:pt idx="1192">
                  <c:v>0.84269899999999998</c:v>
                </c:pt>
                <c:pt idx="1193">
                  <c:v>0.84240300000000001</c:v>
                </c:pt>
                <c:pt idx="1194">
                  <c:v>0.84208000000000005</c:v>
                </c:pt>
                <c:pt idx="1195">
                  <c:v>0.84173100000000001</c:v>
                </c:pt>
                <c:pt idx="1196">
                  <c:v>0.84135599999999999</c:v>
                </c:pt>
                <c:pt idx="1197">
                  <c:v>0.84095900000000001</c:v>
                </c:pt>
                <c:pt idx="1198">
                  <c:v>0.84053800000000001</c:v>
                </c:pt>
                <c:pt idx="1199">
                  <c:v>0.84009599999999995</c:v>
                </c:pt>
                <c:pt idx="1200">
                  <c:v>0.83963399999999999</c:v>
                </c:pt>
                <c:pt idx="1201">
                  <c:v>0.83915300000000004</c:v>
                </c:pt>
                <c:pt idx="1202">
                  <c:v>0.83865400000000001</c:v>
                </c:pt>
                <c:pt idx="1203">
                  <c:v>0.83813700000000002</c:v>
                </c:pt>
                <c:pt idx="1204">
                  <c:v>0.83760299999999999</c:v>
                </c:pt>
                <c:pt idx="1205">
                  <c:v>0.83705499999999999</c:v>
                </c:pt>
                <c:pt idx="1206">
                  <c:v>0.83649099999999998</c:v>
                </c:pt>
                <c:pt idx="1207">
                  <c:v>0.83591400000000005</c:v>
                </c:pt>
                <c:pt idx="1208">
                  <c:v>0.83532399999999996</c:v>
                </c:pt>
                <c:pt idx="1209">
                  <c:v>0.83472100000000005</c:v>
                </c:pt>
                <c:pt idx="1210">
                  <c:v>0.83410700000000004</c:v>
                </c:pt>
                <c:pt idx="1211">
                  <c:v>0.83348100000000003</c:v>
                </c:pt>
                <c:pt idx="1212">
                  <c:v>0.83284599999999998</c:v>
                </c:pt>
                <c:pt idx="1213">
                  <c:v>0.83220000000000005</c:v>
                </c:pt>
                <c:pt idx="1214">
                  <c:v>0.83154600000000001</c:v>
                </c:pt>
                <c:pt idx="1215">
                  <c:v>0.83088300000000004</c:v>
                </c:pt>
                <c:pt idx="1216">
                  <c:v>0.83021199999999995</c:v>
                </c:pt>
                <c:pt idx="1217">
                  <c:v>0.82953399999999999</c:v>
                </c:pt>
                <c:pt idx="1218">
                  <c:v>0.82884899999999995</c:v>
                </c:pt>
                <c:pt idx="1219">
                  <c:v>0.82815700000000003</c:v>
                </c:pt>
                <c:pt idx="1220">
                  <c:v>0.82745999999999997</c:v>
                </c:pt>
                <c:pt idx="1221">
                  <c:v>0.82675699999999996</c:v>
                </c:pt>
                <c:pt idx="1222">
                  <c:v>0.82604900000000003</c:v>
                </c:pt>
                <c:pt idx="1223">
                  <c:v>0.82533699999999999</c:v>
                </c:pt>
                <c:pt idx="1224">
                  <c:v>0.82462199999999997</c:v>
                </c:pt>
                <c:pt idx="1225">
                  <c:v>0.82390300000000005</c:v>
                </c:pt>
                <c:pt idx="1226">
                  <c:v>0.82318100000000005</c:v>
                </c:pt>
                <c:pt idx="1227">
                  <c:v>0.82245699999999999</c:v>
                </c:pt>
                <c:pt idx="1228">
                  <c:v>0.82173099999999999</c:v>
                </c:pt>
                <c:pt idx="1229">
                  <c:v>0.82100399999999996</c:v>
                </c:pt>
                <c:pt idx="1230">
                  <c:v>0.82027700000000003</c:v>
                </c:pt>
                <c:pt idx="1231">
                  <c:v>0.81955</c:v>
                </c:pt>
                <c:pt idx="1232">
                  <c:v>0.818824</c:v>
                </c:pt>
                <c:pt idx="1233">
                  <c:v>0.81809799999999999</c:v>
                </c:pt>
                <c:pt idx="1234">
                  <c:v>0.81737499999999996</c:v>
                </c:pt>
                <c:pt idx="1235">
                  <c:v>0.81665500000000002</c:v>
                </c:pt>
                <c:pt idx="1236">
                  <c:v>0.81593700000000002</c:v>
                </c:pt>
                <c:pt idx="1237">
                  <c:v>0.81522399999999995</c:v>
                </c:pt>
                <c:pt idx="1238">
                  <c:v>0.81451600000000002</c:v>
                </c:pt>
                <c:pt idx="1239">
                  <c:v>0.81381300000000001</c:v>
                </c:pt>
                <c:pt idx="1240">
                  <c:v>0.81311599999999995</c:v>
                </c:pt>
                <c:pt idx="1241">
                  <c:v>0.81242599999999998</c:v>
                </c:pt>
                <c:pt idx="1242">
                  <c:v>0.81174400000000002</c:v>
                </c:pt>
                <c:pt idx="1243">
                  <c:v>0.81106999999999996</c:v>
                </c:pt>
                <c:pt idx="1244">
                  <c:v>0.81040599999999996</c:v>
                </c:pt>
                <c:pt idx="1245">
                  <c:v>0.80975200000000003</c:v>
                </c:pt>
                <c:pt idx="1246">
                  <c:v>0.80910899999999997</c:v>
                </c:pt>
                <c:pt idx="1247">
                  <c:v>0.80847800000000003</c:v>
                </c:pt>
                <c:pt idx="1248">
                  <c:v>0.80786000000000002</c:v>
                </c:pt>
                <c:pt idx="1249">
                  <c:v>0.80725499999999994</c:v>
                </c:pt>
                <c:pt idx="1250">
                  <c:v>0.80666499999999997</c:v>
                </c:pt>
                <c:pt idx="1251">
                  <c:v>0.80608999999999997</c:v>
                </c:pt>
                <c:pt idx="1252">
                  <c:v>0.80553200000000003</c:v>
                </c:pt>
                <c:pt idx="1253">
                  <c:v>0.80499100000000001</c:v>
                </c:pt>
                <c:pt idx="1254">
                  <c:v>0.80446700000000004</c:v>
                </c:pt>
                <c:pt idx="1255">
                  <c:v>0.80396299999999998</c:v>
                </c:pt>
                <c:pt idx="1256">
                  <c:v>0.80347900000000005</c:v>
                </c:pt>
                <c:pt idx="1257">
                  <c:v>0.80301500000000003</c:v>
                </c:pt>
                <c:pt idx="1258">
                  <c:v>0.80257199999999995</c:v>
                </c:pt>
                <c:pt idx="1259">
                  <c:v>0.80215199999999998</c:v>
                </c:pt>
                <c:pt idx="1260">
                  <c:v>0.801755</c:v>
                </c:pt>
                <c:pt idx="1261">
                  <c:v>0.80138299999999996</c:v>
                </c:pt>
                <c:pt idx="1262">
                  <c:v>0.80103400000000002</c:v>
                </c:pt>
                <c:pt idx="1263">
                  <c:v>0.80071199999999998</c:v>
                </c:pt>
                <c:pt idx="1264">
                  <c:v>0.80041600000000002</c:v>
                </c:pt>
                <c:pt idx="1265">
                  <c:v>0.80014600000000002</c:v>
                </c:pt>
                <c:pt idx="1266">
                  <c:v>0.79990399999999995</c:v>
                </c:pt>
                <c:pt idx="1267">
                  <c:v>0.79969100000000004</c:v>
                </c:pt>
                <c:pt idx="1268">
                  <c:v>0.79950600000000005</c:v>
                </c:pt>
                <c:pt idx="1269">
                  <c:v>0.79935100000000003</c:v>
                </c:pt>
                <c:pt idx="1270">
                  <c:v>0.79922599999999999</c:v>
                </c:pt>
                <c:pt idx="1271">
                  <c:v>0.79913100000000004</c:v>
                </c:pt>
                <c:pt idx="1272">
                  <c:v>0.79906699999999997</c:v>
                </c:pt>
                <c:pt idx="1273">
                  <c:v>0.79903400000000002</c:v>
                </c:pt>
                <c:pt idx="1274">
                  <c:v>0.79903299999999999</c:v>
                </c:pt>
                <c:pt idx="1275">
                  <c:v>0.79906299999999997</c:v>
                </c:pt>
                <c:pt idx="1276">
                  <c:v>0.799126</c:v>
                </c:pt>
                <c:pt idx="1277">
                  <c:v>0.79922000000000004</c:v>
                </c:pt>
                <c:pt idx="1278">
                  <c:v>0.799346</c:v>
                </c:pt>
                <c:pt idx="1279">
                  <c:v>0.79950500000000002</c:v>
                </c:pt>
                <c:pt idx="1280">
                  <c:v>0.79969500000000004</c:v>
                </c:pt>
                <c:pt idx="1281">
                  <c:v>0.79991800000000002</c:v>
                </c:pt>
                <c:pt idx="1282">
                  <c:v>0.80017199999999999</c:v>
                </c:pt>
                <c:pt idx="1283">
                  <c:v>0.80045699999999997</c:v>
                </c:pt>
                <c:pt idx="1284">
                  <c:v>0.80077299999999996</c:v>
                </c:pt>
                <c:pt idx="1285">
                  <c:v>0.80112000000000005</c:v>
                </c:pt>
                <c:pt idx="1286">
                  <c:v>0.80149700000000001</c:v>
                </c:pt>
                <c:pt idx="1287">
                  <c:v>0.80190399999999995</c:v>
                </c:pt>
                <c:pt idx="1288">
                  <c:v>0.80233900000000002</c:v>
                </c:pt>
                <c:pt idx="1289">
                  <c:v>0.80280200000000002</c:v>
                </c:pt>
                <c:pt idx="1290">
                  <c:v>0.80329300000000003</c:v>
                </c:pt>
                <c:pt idx="1291">
                  <c:v>0.80381100000000005</c:v>
                </c:pt>
                <c:pt idx="1292">
                  <c:v>0.80435400000000001</c:v>
                </c:pt>
                <c:pt idx="1293">
                  <c:v>0.804921</c:v>
                </c:pt>
                <c:pt idx="1294">
                  <c:v>0.80551300000000003</c:v>
                </c:pt>
                <c:pt idx="1295">
                  <c:v>0.80612600000000001</c:v>
                </c:pt>
                <c:pt idx="1296">
                  <c:v>0.80676099999999995</c:v>
                </c:pt>
                <c:pt idx="1297">
                  <c:v>0.80741700000000005</c:v>
                </c:pt>
                <c:pt idx="1298">
                  <c:v>0.808091</c:v>
                </c:pt>
                <c:pt idx="1299">
                  <c:v>0.80878300000000003</c:v>
                </c:pt>
                <c:pt idx="1300">
                  <c:v>0.80949099999999996</c:v>
                </c:pt>
                <c:pt idx="1301">
                  <c:v>0.81021399999999999</c:v>
                </c:pt>
                <c:pt idx="1302">
                  <c:v>0.81094999999999995</c:v>
                </c:pt>
                <c:pt idx="1303">
                  <c:v>0.81169899999999995</c:v>
                </c:pt>
                <c:pt idx="1304">
                  <c:v>0.81245800000000001</c:v>
                </c:pt>
                <c:pt idx="1305">
                  <c:v>0.813226</c:v>
                </c:pt>
                <c:pt idx="1306">
                  <c:v>0.814002</c:v>
                </c:pt>
                <c:pt idx="1307">
                  <c:v>0.81478499999999998</c:v>
                </c:pt>
                <c:pt idx="1308">
                  <c:v>0.81557100000000005</c:v>
                </c:pt>
                <c:pt idx="1309">
                  <c:v>0.816361</c:v>
                </c:pt>
                <c:pt idx="1310">
                  <c:v>0.81715300000000002</c:v>
                </c:pt>
                <c:pt idx="1311">
                  <c:v>0.81794500000000003</c:v>
                </c:pt>
                <c:pt idx="1312">
                  <c:v>0.81873499999999999</c:v>
                </c:pt>
                <c:pt idx="1313">
                  <c:v>0.819523</c:v>
                </c:pt>
                <c:pt idx="1314">
                  <c:v>0.82030599999999998</c:v>
                </c:pt>
                <c:pt idx="1315">
                  <c:v>0.82108300000000001</c:v>
                </c:pt>
                <c:pt idx="1316">
                  <c:v>0.82185299999999994</c:v>
                </c:pt>
                <c:pt idx="1317">
                  <c:v>0.82261499999999999</c:v>
                </c:pt>
                <c:pt idx="1318">
                  <c:v>0.82336600000000004</c:v>
                </c:pt>
                <c:pt idx="1319">
                  <c:v>0.82410700000000003</c:v>
                </c:pt>
                <c:pt idx="1320">
                  <c:v>0.82483399999999996</c:v>
                </c:pt>
                <c:pt idx="1321">
                  <c:v>0.82554799999999995</c:v>
                </c:pt>
                <c:pt idx="1322">
                  <c:v>0.82624600000000004</c:v>
                </c:pt>
                <c:pt idx="1323">
                  <c:v>0.82692900000000003</c:v>
                </c:pt>
                <c:pt idx="1324">
                  <c:v>0.82759300000000002</c:v>
                </c:pt>
                <c:pt idx="1325">
                  <c:v>0.82823999999999998</c:v>
                </c:pt>
                <c:pt idx="1326">
                  <c:v>0.82886599999999999</c:v>
                </c:pt>
                <c:pt idx="1327">
                  <c:v>0.82947199999999999</c:v>
                </c:pt>
                <c:pt idx="1328">
                  <c:v>0.83005700000000004</c:v>
                </c:pt>
                <c:pt idx="1329">
                  <c:v>0.830619</c:v>
                </c:pt>
                <c:pt idx="1330">
                  <c:v>0.83115799999999995</c:v>
                </c:pt>
                <c:pt idx="1331">
                  <c:v>0.83167199999999997</c:v>
                </c:pt>
                <c:pt idx="1332">
                  <c:v>0.83216199999999996</c:v>
                </c:pt>
                <c:pt idx="1333">
                  <c:v>0.83262700000000001</c:v>
                </c:pt>
                <c:pt idx="1334">
                  <c:v>0.83306500000000006</c:v>
                </c:pt>
                <c:pt idx="1335">
                  <c:v>0.83347700000000002</c:v>
                </c:pt>
                <c:pt idx="1336">
                  <c:v>0.83386199999999999</c:v>
                </c:pt>
                <c:pt idx="1337">
                  <c:v>0.83421800000000002</c:v>
                </c:pt>
                <c:pt idx="1338">
                  <c:v>0.83454700000000004</c:v>
                </c:pt>
                <c:pt idx="1339">
                  <c:v>0.83484800000000003</c:v>
                </c:pt>
                <c:pt idx="1340">
                  <c:v>0.83511899999999994</c:v>
                </c:pt>
                <c:pt idx="1341">
                  <c:v>0.83536200000000005</c:v>
                </c:pt>
                <c:pt idx="1342">
                  <c:v>0.83557499999999996</c:v>
                </c:pt>
                <c:pt idx="1343">
                  <c:v>0.83575900000000003</c:v>
                </c:pt>
                <c:pt idx="1344">
                  <c:v>0.83591400000000005</c:v>
                </c:pt>
                <c:pt idx="1345">
                  <c:v>0.83603899999999998</c:v>
                </c:pt>
                <c:pt idx="1346">
                  <c:v>0.83613499999999996</c:v>
                </c:pt>
                <c:pt idx="1347">
                  <c:v>0.83620099999999997</c:v>
                </c:pt>
                <c:pt idx="1348">
                  <c:v>0.83623800000000004</c:v>
                </c:pt>
                <c:pt idx="1349">
                  <c:v>0.83624600000000004</c:v>
                </c:pt>
                <c:pt idx="1350">
                  <c:v>0.83622600000000002</c:v>
                </c:pt>
                <c:pt idx="1351">
                  <c:v>0.83617600000000003</c:v>
                </c:pt>
                <c:pt idx="1352">
                  <c:v>0.83609800000000001</c:v>
                </c:pt>
                <c:pt idx="1353">
                  <c:v>0.83599199999999996</c:v>
                </c:pt>
                <c:pt idx="1354">
                  <c:v>0.83585799999999999</c:v>
                </c:pt>
                <c:pt idx="1355">
                  <c:v>0.83569700000000002</c:v>
                </c:pt>
                <c:pt idx="1356">
                  <c:v>0.83550899999999995</c:v>
                </c:pt>
                <c:pt idx="1357">
                  <c:v>0.83529500000000001</c:v>
                </c:pt>
                <c:pt idx="1358">
                  <c:v>0.83505600000000002</c:v>
                </c:pt>
                <c:pt idx="1359">
                  <c:v>0.83479000000000003</c:v>
                </c:pt>
                <c:pt idx="1360">
                  <c:v>0.83450100000000005</c:v>
                </c:pt>
                <c:pt idx="1361">
                  <c:v>0.83418700000000001</c:v>
                </c:pt>
                <c:pt idx="1362">
                  <c:v>0.83384999999999998</c:v>
                </c:pt>
                <c:pt idx="1363">
                  <c:v>0.83349099999999998</c:v>
                </c:pt>
                <c:pt idx="1364">
                  <c:v>0.83310899999999999</c:v>
                </c:pt>
                <c:pt idx="1365">
                  <c:v>0.83270599999999995</c:v>
                </c:pt>
                <c:pt idx="1366">
                  <c:v>0.832283</c:v>
                </c:pt>
                <c:pt idx="1367">
                  <c:v>0.83184100000000005</c:v>
                </c:pt>
                <c:pt idx="1368">
                  <c:v>0.83137899999999998</c:v>
                </c:pt>
                <c:pt idx="1369">
                  <c:v>0.83089999999999997</c:v>
                </c:pt>
                <c:pt idx="1370">
                  <c:v>0.83040400000000003</c:v>
                </c:pt>
                <c:pt idx="1371">
                  <c:v>0.82989100000000005</c:v>
                </c:pt>
                <c:pt idx="1372">
                  <c:v>0.82936299999999996</c:v>
                </c:pt>
                <c:pt idx="1373">
                  <c:v>0.82882</c:v>
                </c:pt>
                <c:pt idx="1374">
                  <c:v>0.828264</c:v>
                </c:pt>
                <c:pt idx="1375">
                  <c:v>0.82769599999999999</c:v>
                </c:pt>
                <c:pt idx="1376">
                  <c:v>0.82711599999999996</c:v>
                </c:pt>
                <c:pt idx="1377">
                  <c:v>0.82652499999999995</c:v>
                </c:pt>
                <c:pt idx="1378">
                  <c:v>0.82592399999999999</c:v>
                </c:pt>
                <c:pt idx="1379">
                  <c:v>0.82531500000000002</c:v>
                </c:pt>
                <c:pt idx="1380">
                  <c:v>0.82469700000000001</c:v>
                </c:pt>
                <c:pt idx="1381">
                  <c:v>0.82407300000000006</c:v>
                </c:pt>
                <c:pt idx="1382">
                  <c:v>0.82344300000000004</c:v>
                </c:pt>
                <c:pt idx="1383">
                  <c:v>0.82280799999999998</c:v>
                </c:pt>
                <c:pt idx="1384">
                  <c:v>0.82216999999999996</c:v>
                </c:pt>
                <c:pt idx="1385">
                  <c:v>0.82152800000000004</c:v>
                </c:pt>
                <c:pt idx="1386">
                  <c:v>0.82088399999999995</c:v>
                </c:pt>
                <c:pt idx="1387">
                  <c:v>0.82023999999999997</c:v>
                </c:pt>
                <c:pt idx="1388">
                  <c:v>0.81959499999999996</c:v>
                </c:pt>
                <c:pt idx="1389">
                  <c:v>0.81895200000000001</c:v>
                </c:pt>
                <c:pt idx="1390">
                  <c:v>0.81830999999999998</c:v>
                </c:pt>
                <c:pt idx="1391">
                  <c:v>0.81767199999999995</c:v>
                </c:pt>
                <c:pt idx="1392">
                  <c:v>0.81703700000000001</c:v>
                </c:pt>
                <c:pt idx="1393">
                  <c:v>0.81640800000000002</c:v>
                </c:pt>
                <c:pt idx="1394">
                  <c:v>0.81578399999999995</c:v>
                </c:pt>
                <c:pt idx="1395">
                  <c:v>0.81516699999999997</c:v>
                </c:pt>
                <c:pt idx="1396">
                  <c:v>0.814558</c:v>
                </c:pt>
                <c:pt idx="1397">
                  <c:v>0.81395700000000004</c:v>
                </c:pt>
                <c:pt idx="1398">
                  <c:v>0.81336600000000003</c:v>
                </c:pt>
                <c:pt idx="1399">
                  <c:v>0.81278600000000001</c:v>
                </c:pt>
                <c:pt idx="1400">
                  <c:v>0.81221699999999997</c:v>
                </c:pt>
                <c:pt idx="1401">
                  <c:v>0.81166000000000005</c:v>
                </c:pt>
                <c:pt idx="1402">
                  <c:v>0.81111599999999995</c:v>
                </c:pt>
                <c:pt idx="1403">
                  <c:v>0.81058699999999995</c:v>
                </c:pt>
                <c:pt idx="1404">
                  <c:v>0.81007200000000001</c:v>
                </c:pt>
                <c:pt idx="1405">
                  <c:v>0.80957299999999999</c:v>
                </c:pt>
                <c:pt idx="1406">
                  <c:v>0.80908999999999998</c:v>
                </c:pt>
                <c:pt idx="1407">
                  <c:v>0.80862500000000004</c:v>
                </c:pt>
                <c:pt idx="1408">
                  <c:v>0.80817700000000003</c:v>
                </c:pt>
                <c:pt idx="1409">
                  <c:v>0.80774800000000002</c:v>
                </c:pt>
                <c:pt idx="1410">
                  <c:v>0.807338</c:v>
                </c:pt>
                <c:pt idx="1411">
                  <c:v>0.80694900000000003</c:v>
                </c:pt>
                <c:pt idx="1412">
                  <c:v>0.80657999999999996</c:v>
                </c:pt>
                <c:pt idx="1413">
                  <c:v>0.80623199999999995</c:v>
                </c:pt>
                <c:pt idx="1414">
                  <c:v>0.80590600000000001</c:v>
                </c:pt>
                <c:pt idx="1415">
                  <c:v>0.80560299999999996</c:v>
                </c:pt>
                <c:pt idx="1416">
                  <c:v>0.80532199999999998</c:v>
                </c:pt>
                <c:pt idx="1417">
                  <c:v>0.805064</c:v>
                </c:pt>
                <c:pt idx="1418">
                  <c:v>0.80483099999999996</c:v>
                </c:pt>
                <c:pt idx="1419">
                  <c:v>0.80462100000000003</c:v>
                </c:pt>
                <c:pt idx="1420">
                  <c:v>0.80443600000000004</c:v>
                </c:pt>
                <c:pt idx="1421">
                  <c:v>0.80427499999999996</c:v>
                </c:pt>
                <c:pt idx="1422">
                  <c:v>0.80413999999999997</c:v>
                </c:pt>
                <c:pt idx="1423">
                  <c:v>0.80403000000000002</c:v>
                </c:pt>
                <c:pt idx="1424">
                  <c:v>0.80394500000000002</c:v>
                </c:pt>
                <c:pt idx="1425">
                  <c:v>0.80388599999999999</c:v>
                </c:pt>
                <c:pt idx="1426">
                  <c:v>0.80385200000000001</c:v>
                </c:pt>
                <c:pt idx="1427">
                  <c:v>0.803844</c:v>
                </c:pt>
                <c:pt idx="1428">
                  <c:v>0.80386100000000005</c:v>
                </c:pt>
                <c:pt idx="1429">
                  <c:v>0.80390399999999995</c:v>
                </c:pt>
                <c:pt idx="1430">
                  <c:v>0.80397200000000002</c:v>
                </c:pt>
                <c:pt idx="1431">
                  <c:v>0.80406599999999995</c:v>
                </c:pt>
                <c:pt idx="1432">
                  <c:v>0.80418400000000001</c:v>
                </c:pt>
                <c:pt idx="1433">
                  <c:v>0.80432700000000001</c:v>
                </c:pt>
                <c:pt idx="1434">
                  <c:v>0.80449499999999996</c:v>
                </c:pt>
                <c:pt idx="1435">
                  <c:v>0.80468600000000001</c:v>
                </c:pt>
                <c:pt idx="1436">
                  <c:v>0.80490200000000001</c:v>
                </c:pt>
                <c:pt idx="1437">
                  <c:v>0.80513999999999997</c:v>
                </c:pt>
                <c:pt idx="1438">
                  <c:v>0.80540100000000003</c:v>
                </c:pt>
                <c:pt idx="1439">
                  <c:v>0.80568399999999996</c:v>
                </c:pt>
                <c:pt idx="1440">
                  <c:v>0.80598899999999996</c:v>
                </c:pt>
                <c:pt idx="1441">
                  <c:v>0.80631399999999998</c:v>
                </c:pt>
                <c:pt idx="1442">
                  <c:v>0.80666000000000004</c:v>
                </c:pt>
                <c:pt idx="1443">
                  <c:v>0.80702499999999999</c:v>
                </c:pt>
                <c:pt idx="1444">
                  <c:v>0.80740900000000004</c:v>
                </c:pt>
                <c:pt idx="1445">
                  <c:v>0.80781099999999995</c:v>
                </c:pt>
                <c:pt idx="1446">
                  <c:v>0.80822899999999998</c:v>
                </c:pt>
                <c:pt idx="1447">
                  <c:v>0.80866400000000005</c:v>
                </c:pt>
                <c:pt idx="1448">
                  <c:v>0.80911500000000003</c:v>
                </c:pt>
                <c:pt idx="1449">
                  <c:v>0.80957900000000005</c:v>
                </c:pt>
                <c:pt idx="1450">
                  <c:v>0.81005700000000003</c:v>
                </c:pt>
                <c:pt idx="1451">
                  <c:v>0.81054800000000005</c:v>
                </c:pt>
                <c:pt idx="1452">
                  <c:v>0.81105000000000005</c:v>
                </c:pt>
                <c:pt idx="1453">
                  <c:v>0.81156200000000001</c:v>
                </c:pt>
                <c:pt idx="1454">
                  <c:v>0.81208400000000003</c:v>
                </c:pt>
                <c:pt idx="1455">
                  <c:v>0.81261399999999995</c:v>
                </c:pt>
                <c:pt idx="1456">
                  <c:v>0.81315099999999996</c:v>
                </c:pt>
                <c:pt idx="1457">
                  <c:v>0.81369400000000003</c:v>
                </c:pt>
                <c:pt idx="1458">
                  <c:v>0.81424200000000002</c:v>
                </c:pt>
                <c:pt idx="1459">
                  <c:v>0.81479500000000005</c:v>
                </c:pt>
                <c:pt idx="1460">
                  <c:v>0.81535000000000002</c:v>
                </c:pt>
                <c:pt idx="1461">
                  <c:v>0.81590600000000002</c:v>
                </c:pt>
                <c:pt idx="1462">
                  <c:v>0.81646300000000005</c:v>
                </c:pt>
                <c:pt idx="1463">
                  <c:v>0.81701999999999997</c:v>
                </c:pt>
                <c:pt idx="1464">
                  <c:v>0.81757500000000005</c:v>
                </c:pt>
                <c:pt idx="1465">
                  <c:v>0.81812700000000005</c:v>
                </c:pt>
                <c:pt idx="1466">
                  <c:v>0.81867599999999996</c:v>
                </c:pt>
                <c:pt idx="1467">
                  <c:v>0.81921900000000003</c:v>
                </c:pt>
                <c:pt idx="1468">
                  <c:v>0.81975600000000004</c:v>
                </c:pt>
                <c:pt idx="1469">
                  <c:v>0.82028699999999999</c:v>
                </c:pt>
                <c:pt idx="1470">
                  <c:v>0.82080900000000001</c:v>
                </c:pt>
                <c:pt idx="1471">
                  <c:v>0.82132300000000003</c:v>
                </c:pt>
                <c:pt idx="1472">
                  <c:v>0.82182599999999995</c:v>
                </c:pt>
                <c:pt idx="1473">
                  <c:v>0.82231799999999999</c:v>
                </c:pt>
                <c:pt idx="1474">
                  <c:v>0.82279899999999995</c:v>
                </c:pt>
                <c:pt idx="1475">
                  <c:v>0.82326699999999997</c:v>
                </c:pt>
                <c:pt idx="1476">
                  <c:v>0.82372100000000004</c:v>
                </c:pt>
                <c:pt idx="1477">
                  <c:v>0.82416100000000003</c:v>
                </c:pt>
                <c:pt idx="1478">
                  <c:v>0.82458600000000004</c:v>
                </c:pt>
                <c:pt idx="1479">
                  <c:v>0.82499500000000003</c:v>
                </c:pt>
                <c:pt idx="1480">
                  <c:v>0.82538699999999998</c:v>
                </c:pt>
                <c:pt idx="1481">
                  <c:v>0.825762</c:v>
                </c:pt>
                <c:pt idx="1482">
                  <c:v>0.82611999999999997</c:v>
                </c:pt>
                <c:pt idx="1483">
                  <c:v>0.82645900000000005</c:v>
                </c:pt>
                <c:pt idx="1484">
                  <c:v>0.82677900000000004</c:v>
                </c:pt>
                <c:pt idx="1485">
                  <c:v>0.82708000000000004</c:v>
                </c:pt>
                <c:pt idx="1486">
                  <c:v>0.82736200000000004</c:v>
                </c:pt>
                <c:pt idx="1487">
                  <c:v>0.827623</c:v>
                </c:pt>
                <c:pt idx="1488">
                  <c:v>0.82786400000000004</c:v>
                </c:pt>
                <c:pt idx="1489">
                  <c:v>0.82808400000000004</c:v>
                </c:pt>
                <c:pt idx="1490">
                  <c:v>0.82828400000000002</c:v>
                </c:pt>
                <c:pt idx="1491">
                  <c:v>0.82846299999999995</c:v>
                </c:pt>
                <c:pt idx="1492">
                  <c:v>0.82862100000000005</c:v>
                </c:pt>
                <c:pt idx="1493">
                  <c:v>0.82875799999999999</c:v>
                </c:pt>
                <c:pt idx="1494">
                  <c:v>0.82887299999999997</c:v>
                </c:pt>
                <c:pt idx="1495">
                  <c:v>0.82896800000000004</c:v>
                </c:pt>
                <c:pt idx="1496">
                  <c:v>0.82904199999999995</c:v>
                </c:pt>
                <c:pt idx="1497">
                  <c:v>0.82909600000000006</c:v>
                </c:pt>
                <c:pt idx="1498">
                  <c:v>0.82912799999999998</c:v>
                </c:pt>
                <c:pt idx="1499">
                  <c:v>0.82914100000000002</c:v>
                </c:pt>
                <c:pt idx="1500">
                  <c:v>0.82913400000000004</c:v>
                </c:pt>
                <c:pt idx="1501">
                  <c:v>0.82910600000000001</c:v>
                </c:pt>
                <c:pt idx="1502">
                  <c:v>0.82906000000000002</c:v>
                </c:pt>
                <c:pt idx="1503">
                  <c:v>0.82899500000000004</c:v>
                </c:pt>
                <c:pt idx="1504">
                  <c:v>0.82891199999999998</c:v>
                </c:pt>
                <c:pt idx="1505">
                  <c:v>0.82881000000000005</c:v>
                </c:pt>
                <c:pt idx="1506">
                  <c:v>0.82869099999999996</c:v>
                </c:pt>
                <c:pt idx="1507">
                  <c:v>0.82855599999999996</c:v>
                </c:pt>
                <c:pt idx="1508">
                  <c:v>0.82840400000000003</c:v>
                </c:pt>
                <c:pt idx="1509">
                  <c:v>0.82823599999999997</c:v>
                </c:pt>
                <c:pt idx="1510">
                  <c:v>0.82805300000000004</c:v>
                </c:pt>
                <c:pt idx="1511">
                  <c:v>0.82785600000000004</c:v>
                </c:pt>
                <c:pt idx="1512">
                  <c:v>0.82764499999999996</c:v>
                </c:pt>
                <c:pt idx="1513">
                  <c:v>0.82742099999999996</c:v>
                </c:pt>
                <c:pt idx="1514">
                  <c:v>0.82718499999999995</c:v>
                </c:pt>
                <c:pt idx="1515">
                  <c:v>0.82693700000000003</c:v>
                </c:pt>
                <c:pt idx="1516">
                  <c:v>0.82667800000000002</c:v>
                </c:pt>
                <c:pt idx="1517">
                  <c:v>0.82640899999999995</c:v>
                </c:pt>
                <c:pt idx="1518">
                  <c:v>0.82613000000000003</c:v>
                </c:pt>
                <c:pt idx="1519">
                  <c:v>0.82584199999999996</c:v>
                </c:pt>
                <c:pt idx="1520">
                  <c:v>0.82554700000000003</c:v>
                </c:pt>
                <c:pt idx="1521">
                  <c:v>0.82524399999999998</c:v>
                </c:pt>
                <c:pt idx="1522">
                  <c:v>0.82493399999999995</c:v>
                </c:pt>
                <c:pt idx="1523">
                  <c:v>0.82461799999999996</c:v>
                </c:pt>
                <c:pt idx="1524">
                  <c:v>0.82429699999999995</c:v>
                </c:pt>
                <c:pt idx="1525">
                  <c:v>0.82397100000000001</c:v>
                </c:pt>
                <c:pt idx="1526">
                  <c:v>0.82364099999999996</c:v>
                </c:pt>
                <c:pt idx="1527">
                  <c:v>0.82330800000000004</c:v>
                </c:pt>
                <c:pt idx="1528">
                  <c:v>0.82297200000000004</c:v>
                </c:pt>
                <c:pt idx="1529">
                  <c:v>0.82263399999999998</c:v>
                </c:pt>
                <c:pt idx="1530">
                  <c:v>0.822295</c:v>
                </c:pt>
                <c:pt idx="1531">
                  <c:v>0.82195399999999996</c:v>
                </c:pt>
                <c:pt idx="1532">
                  <c:v>0.82161399999999996</c:v>
                </c:pt>
                <c:pt idx="1533">
                  <c:v>0.82127300000000003</c:v>
                </c:pt>
                <c:pt idx="1534">
                  <c:v>0.82093400000000005</c:v>
                </c:pt>
                <c:pt idx="1535">
                  <c:v>0.82059499999999996</c:v>
                </c:pt>
                <c:pt idx="1536">
                  <c:v>0.82025899999999996</c:v>
                </c:pt>
                <c:pt idx="1537">
                  <c:v>0.81992399999999999</c:v>
                </c:pt>
                <c:pt idx="1538">
                  <c:v>0.81959199999999999</c:v>
                </c:pt>
                <c:pt idx="1539">
                  <c:v>0.81926299999999996</c:v>
                </c:pt>
                <c:pt idx="1540">
                  <c:v>0.81893700000000003</c:v>
                </c:pt>
                <c:pt idx="1541">
                  <c:v>0.81861499999999998</c:v>
                </c:pt>
                <c:pt idx="1542">
                  <c:v>0.81829700000000005</c:v>
                </c:pt>
                <c:pt idx="1543">
                  <c:v>0.81798300000000002</c:v>
                </c:pt>
                <c:pt idx="1544">
                  <c:v>0.81767400000000001</c:v>
                </c:pt>
                <c:pt idx="1545">
                  <c:v>0.81737000000000004</c:v>
                </c:pt>
                <c:pt idx="1546">
                  <c:v>0.81706999999999996</c:v>
                </c:pt>
                <c:pt idx="1547">
                  <c:v>0.81677699999999998</c:v>
                </c:pt>
                <c:pt idx="1548">
                  <c:v>0.81648799999999999</c:v>
                </c:pt>
                <c:pt idx="1549">
                  <c:v>0.81620499999999996</c:v>
                </c:pt>
                <c:pt idx="1550">
                  <c:v>0.81592799999999999</c:v>
                </c:pt>
                <c:pt idx="1551">
                  <c:v>0.81565699999999997</c:v>
                </c:pt>
                <c:pt idx="1552">
                  <c:v>0.81539200000000001</c:v>
                </c:pt>
                <c:pt idx="1553">
                  <c:v>0.81513400000000003</c:v>
                </c:pt>
                <c:pt idx="1554">
                  <c:v>0.81488099999999997</c:v>
                </c:pt>
                <c:pt idx="1555">
                  <c:v>0.814635</c:v>
                </c:pt>
                <c:pt idx="1556">
                  <c:v>0.81439499999999998</c:v>
                </c:pt>
                <c:pt idx="1557">
                  <c:v>0.81416200000000005</c:v>
                </c:pt>
                <c:pt idx="1558">
                  <c:v>0.81393599999999999</c:v>
                </c:pt>
                <c:pt idx="1559">
                  <c:v>0.81371599999999999</c:v>
                </c:pt>
                <c:pt idx="1560">
                  <c:v>0.81350199999999995</c:v>
                </c:pt>
                <c:pt idx="1561">
                  <c:v>0.81329499999999999</c:v>
                </c:pt>
                <c:pt idx="1562">
                  <c:v>0.81309500000000001</c:v>
                </c:pt>
                <c:pt idx="1563">
                  <c:v>0.81290099999999998</c:v>
                </c:pt>
                <c:pt idx="1564">
                  <c:v>0.81271499999999997</c:v>
                </c:pt>
                <c:pt idx="1565">
                  <c:v>0.81253399999999998</c:v>
                </c:pt>
                <c:pt idx="1566">
                  <c:v>0.812361</c:v>
                </c:pt>
                <c:pt idx="1567">
                  <c:v>0.81219399999999997</c:v>
                </c:pt>
                <c:pt idx="1568">
                  <c:v>0.81203400000000003</c:v>
                </c:pt>
                <c:pt idx="1569">
                  <c:v>0.81188099999999996</c:v>
                </c:pt>
                <c:pt idx="1570">
                  <c:v>0.81173499999999998</c:v>
                </c:pt>
                <c:pt idx="1571">
                  <c:v>0.81159499999999996</c:v>
                </c:pt>
                <c:pt idx="1572">
                  <c:v>0.81146200000000002</c:v>
                </c:pt>
                <c:pt idx="1573">
                  <c:v>0.81133699999999997</c:v>
                </c:pt>
                <c:pt idx="1574">
                  <c:v>0.81121799999999999</c:v>
                </c:pt>
                <c:pt idx="1575">
                  <c:v>0.81110599999999999</c:v>
                </c:pt>
                <c:pt idx="1576">
                  <c:v>0.81100099999999997</c:v>
                </c:pt>
                <c:pt idx="1577">
                  <c:v>0.81090399999999996</c:v>
                </c:pt>
                <c:pt idx="1578">
                  <c:v>0.81081300000000001</c:v>
                </c:pt>
                <c:pt idx="1579">
                  <c:v>0.81072999999999995</c:v>
                </c:pt>
                <c:pt idx="1580">
                  <c:v>0.81065500000000001</c:v>
                </c:pt>
                <c:pt idx="1581">
                  <c:v>0.81058699999999995</c:v>
                </c:pt>
                <c:pt idx="1582">
                  <c:v>0.81052599999999997</c:v>
                </c:pt>
                <c:pt idx="1583">
                  <c:v>0.81047400000000003</c:v>
                </c:pt>
                <c:pt idx="1584">
                  <c:v>0.81042899999999995</c:v>
                </c:pt>
                <c:pt idx="1585">
                  <c:v>0.810392</c:v>
                </c:pt>
                <c:pt idx="1586">
                  <c:v>0.81036399999999997</c:v>
                </c:pt>
                <c:pt idx="1587">
                  <c:v>0.81034399999999995</c:v>
                </c:pt>
                <c:pt idx="1588">
                  <c:v>0.81033200000000005</c:v>
                </c:pt>
                <c:pt idx="1589">
                  <c:v>0.81032899999999997</c:v>
                </c:pt>
                <c:pt idx="1590">
                  <c:v>0.81033500000000003</c:v>
                </c:pt>
                <c:pt idx="1591">
                  <c:v>0.81034899999999999</c:v>
                </c:pt>
                <c:pt idx="1592">
                  <c:v>0.81037300000000001</c:v>
                </c:pt>
                <c:pt idx="1593">
                  <c:v>0.81040599999999996</c:v>
                </c:pt>
                <c:pt idx="1594">
                  <c:v>0.81044899999999997</c:v>
                </c:pt>
                <c:pt idx="1595">
                  <c:v>0.81050100000000003</c:v>
                </c:pt>
                <c:pt idx="1596">
                  <c:v>0.810562</c:v>
                </c:pt>
                <c:pt idx="1597">
                  <c:v>0.81063399999999997</c:v>
                </c:pt>
                <c:pt idx="1598">
                  <c:v>0.81071499999999996</c:v>
                </c:pt>
                <c:pt idx="1599">
                  <c:v>0.81080700000000006</c:v>
                </c:pt>
                <c:pt idx="1600">
                  <c:v>0.81090799999999996</c:v>
                </c:pt>
                <c:pt idx="1601">
                  <c:v>0.81101999999999996</c:v>
                </c:pt>
                <c:pt idx="1602">
                  <c:v>0.81114299999999995</c:v>
                </c:pt>
                <c:pt idx="1603">
                  <c:v>0.81127499999999997</c:v>
                </c:pt>
                <c:pt idx="1604">
                  <c:v>0.81141799999999997</c:v>
                </c:pt>
                <c:pt idx="1605">
                  <c:v>0.81157199999999996</c:v>
                </c:pt>
                <c:pt idx="1606">
                  <c:v>0.81173600000000001</c:v>
                </c:pt>
                <c:pt idx="1607">
                  <c:v>0.81191000000000002</c:v>
                </c:pt>
                <c:pt idx="1608">
                  <c:v>0.81209500000000001</c:v>
                </c:pt>
                <c:pt idx="1609">
                  <c:v>0.81229099999999999</c:v>
                </c:pt>
                <c:pt idx="1610">
                  <c:v>0.812496</c:v>
                </c:pt>
                <c:pt idx="1611">
                  <c:v>0.81271099999999996</c:v>
                </c:pt>
                <c:pt idx="1612">
                  <c:v>0.81293700000000002</c:v>
                </c:pt>
                <c:pt idx="1613">
                  <c:v>0.81317200000000001</c:v>
                </c:pt>
                <c:pt idx="1614">
                  <c:v>0.81341699999999995</c:v>
                </c:pt>
                <c:pt idx="1615">
                  <c:v>0.81367100000000003</c:v>
                </c:pt>
                <c:pt idx="1616">
                  <c:v>0.81393499999999996</c:v>
                </c:pt>
                <c:pt idx="1617">
                  <c:v>0.81420700000000001</c:v>
                </c:pt>
                <c:pt idx="1618">
                  <c:v>0.81448699999999996</c:v>
                </c:pt>
                <c:pt idx="1619">
                  <c:v>0.81477599999999994</c:v>
                </c:pt>
                <c:pt idx="1620">
                  <c:v>0.81507200000000002</c:v>
                </c:pt>
                <c:pt idx="1621">
                  <c:v>0.81537599999999999</c:v>
                </c:pt>
                <c:pt idx="1622">
                  <c:v>0.81568700000000005</c:v>
                </c:pt>
                <c:pt idx="1623">
                  <c:v>0.81600399999999995</c:v>
                </c:pt>
                <c:pt idx="1624">
                  <c:v>0.81632700000000002</c:v>
                </c:pt>
                <c:pt idx="1625">
                  <c:v>0.81665500000000002</c:v>
                </c:pt>
                <c:pt idx="1626">
                  <c:v>0.81698800000000005</c:v>
                </c:pt>
                <c:pt idx="1627">
                  <c:v>0.817326</c:v>
                </c:pt>
                <c:pt idx="1628">
                  <c:v>0.81766700000000003</c:v>
                </c:pt>
                <c:pt idx="1629">
                  <c:v>0.81801100000000004</c:v>
                </c:pt>
                <c:pt idx="1630">
                  <c:v>0.81835800000000003</c:v>
                </c:pt>
                <c:pt idx="1631">
                  <c:v>0.81870600000000004</c:v>
                </c:pt>
                <c:pt idx="1632">
                  <c:v>0.81905499999999998</c:v>
                </c:pt>
                <c:pt idx="1633">
                  <c:v>0.81940400000000002</c:v>
                </c:pt>
                <c:pt idx="1634">
                  <c:v>0.81975299999999995</c:v>
                </c:pt>
                <c:pt idx="1635">
                  <c:v>0.82010099999999997</c:v>
                </c:pt>
                <c:pt idx="1636">
                  <c:v>0.82044700000000004</c:v>
                </c:pt>
                <c:pt idx="1637">
                  <c:v>0.82079100000000005</c:v>
                </c:pt>
                <c:pt idx="1638">
                  <c:v>0.82113000000000003</c:v>
                </c:pt>
                <c:pt idx="1639">
                  <c:v>0.82146600000000003</c:v>
                </c:pt>
                <c:pt idx="1640">
                  <c:v>0.821797</c:v>
                </c:pt>
                <c:pt idx="1641">
                  <c:v>0.82212099999999999</c:v>
                </c:pt>
                <c:pt idx="1642">
                  <c:v>0.82243999999999995</c:v>
                </c:pt>
                <c:pt idx="1643">
                  <c:v>0.82275100000000001</c:v>
                </c:pt>
                <c:pt idx="1644">
                  <c:v>0.82305399999999995</c:v>
                </c:pt>
                <c:pt idx="1645">
                  <c:v>0.82334799999999997</c:v>
                </c:pt>
                <c:pt idx="1646">
                  <c:v>0.82363299999999995</c:v>
                </c:pt>
                <c:pt idx="1647">
                  <c:v>0.82390699999999994</c:v>
                </c:pt>
                <c:pt idx="1648">
                  <c:v>0.82416999999999996</c:v>
                </c:pt>
                <c:pt idx="1649">
                  <c:v>0.82442199999999999</c:v>
                </c:pt>
                <c:pt idx="1650">
                  <c:v>0.82466200000000001</c:v>
                </c:pt>
                <c:pt idx="1651">
                  <c:v>0.82488799999999995</c:v>
                </c:pt>
                <c:pt idx="1652">
                  <c:v>0.82510099999999997</c:v>
                </c:pt>
                <c:pt idx="1653">
                  <c:v>0.825299</c:v>
                </c:pt>
                <c:pt idx="1654">
                  <c:v>0.82548299999999997</c:v>
                </c:pt>
                <c:pt idx="1655">
                  <c:v>0.82565200000000005</c:v>
                </c:pt>
                <c:pt idx="1656">
                  <c:v>0.82580500000000001</c:v>
                </c:pt>
                <c:pt idx="1657">
                  <c:v>0.82594199999999995</c:v>
                </c:pt>
                <c:pt idx="1658">
                  <c:v>0.82606199999999996</c:v>
                </c:pt>
                <c:pt idx="1659">
                  <c:v>0.82616599999999996</c:v>
                </c:pt>
                <c:pt idx="1660">
                  <c:v>0.82625199999999999</c:v>
                </c:pt>
                <c:pt idx="1661">
                  <c:v>0.82632000000000005</c:v>
                </c:pt>
                <c:pt idx="1662">
                  <c:v>0.82637099999999997</c:v>
                </c:pt>
                <c:pt idx="1663">
                  <c:v>0.82640400000000003</c:v>
                </c:pt>
                <c:pt idx="1664">
                  <c:v>0.82641900000000001</c:v>
                </c:pt>
                <c:pt idx="1665">
                  <c:v>0.82641500000000001</c:v>
                </c:pt>
                <c:pt idx="1666">
                  <c:v>0.82639399999999996</c:v>
                </c:pt>
                <c:pt idx="1667">
                  <c:v>0.82635400000000003</c:v>
                </c:pt>
                <c:pt idx="1668">
                  <c:v>0.82629600000000003</c:v>
                </c:pt>
                <c:pt idx="1669">
                  <c:v>0.82621999999999995</c:v>
                </c:pt>
                <c:pt idx="1670">
                  <c:v>0.82612699999999994</c:v>
                </c:pt>
                <c:pt idx="1671">
                  <c:v>0.82601500000000005</c:v>
                </c:pt>
                <c:pt idx="1672">
                  <c:v>0.82588600000000001</c:v>
                </c:pt>
                <c:pt idx="1673">
                  <c:v>0.82574000000000003</c:v>
                </c:pt>
                <c:pt idx="1674">
                  <c:v>0.82557800000000003</c:v>
                </c:pt>
                <c:pt idx="1675">
                  <c:v>0.82539899999999999</c:v>
                </c:pt>
                <c:pt idx="1676">
                  <c:v>0.82520400000000005</c:v>
                </c:pt>
                <c:pt idx="1677">
                  <c:v>0.82499400000000001</c:v>
                </c:pt>
                <c:pt idx="1678">
                  <c:v>0.82476899999999997</c:v>
                </c:pt>
                <c:pt idx="1679">
                  <c:v>0.82452999999999999</c:v>
                </c:pt>
                <c:pt idx="1680">
                  <c:v>0.82427700000000004</c:v>
                </c:pt>
                <c:pt idx="1681">
                  <c:v>0.82401199999999997</c:v>
                </c:pt>
                <c:pt idx="1682">
                  <c:v>0.82373399999999997</c:v>
                </c:pt>
                <c:pt idx="1683">
                  <c:v>0.82344499999999998</c:v>
                </c:pt>
                <c:pt idx="1684">
                  <c:v>0.82314399999999999</c:v>
                </c:pt>
                <c:pt idx="1685">
                  <c:v>0.82283399999999995</c:v>
                </c:pt>
                <c:pt idx="1686">
                  <c:v>0.822515</c:v>
                </c:pt>
                <c:pt idx="1687">
                  <c:v>0.822187</c:v>
                </c:pt>
                <c:pt idx="1688">
                  <c:v>0.82185299999999994</c:v>
                </c:pt>
                <c:pt idx="1689">
                  <c:v>0.82151099999999999</c:v>
                </c:pt>
                <c:pt idx="1690">
                  <c:v>0.82116400000000001</c:v>
                </c:pt>
                <c:pt idx="1691">
                  <c:v>0.82081199999999999</c:v>
                </c:pt>
                <c:pt idx="1692">
                  <c:v>0.82045599999999996</c:v>
                </c:pt>
                <c:pt idx="1693">
                  <c:v>0.82009799999999999</c:v>
                </c:pt>
                <c:pt idx="1694">
                  <c:v>0.81973700000000005</c:v>
                </c:pt>
                <c:pt idx="1695">
                  <c:v>0.81937499999999996</c:v>
                </c:pt>
                <c:pt idx="1696">
                  <c:v>0.81901400000000002</c:v>
                </c:pt>
                <c:pt idx="1697">
                  <c:v>0.81865299999999996</c:v>
                </c:pt>
                <c:pt idx="1698">
                  <c:v>0.81829300000000005</c:v>
                </c:pt>
                <c:pt idx="1699">
                  <c:v>0.81793700000000003</c:v>
                </c:pt>
                <c:pt idx="1700">
                  <c:v>0.81758399999999998</c:v>
                </c:pt>
                <c:pt idx="1701">
                  <c:v>0.81723500000000004</c:v>
                </c:pt>
                <c:pt idx="1702">
                  <c:v>0.81689199999999995</c:v>
                </c:pt>
                <c:pt idx="1703">
                  <c:v>0.816554</c:v>
                </c:pt>
                <c:pt idx="1704">
                  <c:v>0.81622399999999995</c:v>
                </c:pt>
                <c:pt idx="1705">
                  <c:v>0.81590099999999999</c:v>
                </c:pt>
                <c:pt idx="1706">
                  <c:v>0.81558600000000003</c:v>
                </c:pt>
                <c:pt idx="1707">
                  <c:v>0.81528</c:v>
                </c:pt>
                <c:pt idx="1708">
                  <c:v>0.81498499999999996</c:v>
                </c:pt>
                <c:pt idx="1709">
                  <c:v>0.81469899999999995</c:v>
                </c:pt>
                <c:pt idx="1710">
                  <c:v>0.81442499999999995</c:v>
                </c:pt>
                <c:pt idx="1711">
                  <c:v>0.81416200000000005</c:v>
                </c:pt>
                <c:pt idx="1712">
                  <c:v>0.81391100000000005</c:v>
                </c:pt>
                <c:pt idx="1713">
                  <c:v>0.81367299999999998</c:v>
                </c:pt>
                <c:pt idx="1714">
                  <c:v>0.81344799999999995</c:v>
                </c:pt>
                <c:pt idx="1715">
                  <c:v>0.81323599999999996</c:v>
                </c:pt>
                <c:pt idx="1716">
                  <c:v>0.81303800000000004</c:v>
                </c:pt>
                <c:pt idx="1717">
                  <c:v>0.81285499999999999</c:v>
                </c:pt>
                <c:pt idx="1718">
                  <c:v>0.81268499999999999</c:v>
                </c:pt>
                <c:pt idx="1719">
                  <c:v>0.81252999999999997</c:v>
                </c:pt>
                <c:pt idx="1720">
                  <c:v>0.81238999999999995</c:v>
                </c:pt>
                <c:pt idx="1721">
                  <c:v>0.81226399999999999</c:v>
                </c:pt>
                <c:pt idx="1722">
                  <c:v>0.81215300000000001</c:v>
                </c:pt>
                <c:pt idx="1723">
                  <c:v>0.81205700000000003</c:v>
                </c:pt>
                <c:pt idx="1724">
                  <c:v>0.81197699999999995</c:v>
                </c:pt>
                <c:pt idx="1725">
                  <c:v>0.81191000000000002</c:v>
                </c:pt>
                <c:pt idx="1726">
                  <c:v>0.811859</c:v>
                </c:pt>
                <c:pt idx="1727">
                  <c:v>0.81182200000000004</c:v>
                </c:pt>
                <c:pt idx="1728">
                  <c:v>0.81179999999999997</c:v>
                </c:pt>
                <c:pt idx="1729">
                  <c:v>0.81179199999999996</c:v>
                </c:pt>
                <c:pt idx="1730">
                  <c:v>0.81179699999999999</c:v>
                </c:pt>
                <c:pt idx="1731">
                  <c:v>0.81181599999999998</c:v>
                </c:pt>
                <c:pt idx="1732">
                  <c:v>0.81184900000000004</c:v>
                </c:pt>
                <c:pt idx="1733">
                  <c:v>0.811894</c:v>
                </c:pt>
                <c:pt idx="1734">
                  <c:v>0.81195099999999998</c:v>
                </c:pt>
                <c:pt idx="1735">
                  <c:v>0.81202099999999999</c:v>
                </c:pt>
                <c:pt idx="1736">
                  <c:v>0.81210199999999999</c:v>
                </c:pt>
                <c:pt idx="1737">
                  <c:v>0.81219399999999997</c:v>
                </c:pt>
                <c:pt idx="1738">
                  <c:v>0.81229700000000005</c:v>
                </c:pt>
                <c:pt idx="1739">
                  <c:v>0.81240999999999997</c:v>
                </c:pt>
                <c:pt idx="1740">
                  <c:v>0.81253200000000003</c:v>
                </c:pt>
                <c:pt idx="1741">
                  <c:v>0.81266300000000002</c:v>
                </c:pt>
                <c:pt idx="1742">
                  <c:v>0.81280300000000005</c:v>
                </c:pt>
                <c:pt idx="1743">
                  <c:v>0.81294999999999995</c:v>
                </c:pt>
                <c:pt idx="1744">
                  <c:v>0.81310400000000005</c:v>
                </c:pt>
                <c:pt idx="1745">
                  <c:v>0.81326500000000002</c:v>
                </c:pt>
                <c:pt idx="1746">
                  <c:v>0.81343100000000002</c:v>
                </c:pt>
                <c:pt idx="1747">
                  <c:v>0.81360399999999999</c:v>
                </c:pt>
                <c:pt idx="1748">
                  <c:v>0.81377999999999995</c:v>
                </c:pt>
                <c:pt idx="1749">
                  <c:v>0.81396100000000005</c:v>
                </c:pt>
                <c:pt idx="1750">
                  <c:v>0.81414600000000004</c:v>
                </c:pt>
                <c:pt idx="1751">
                  <c:v>0.81433299999999997</c:v>
                </c:pt>
                <c:pt idx="1752">
                  <c:v>0.814523</c:v>
                </c:pt>
                <c:pt idx="1753">
                  <c:v>0.81471400000000005</c:v>
                </c:pt>
                <c:pt idx="1754">
                  <c:v>0.81490700000000005</c:v>
                </c:pt>
                <c:pt idx="1755">
                  <c:v>0.81510099999999996</c:v>
                </c:pt>
                <c:pt idx="1756">
                  <c:v>0.81529499999999999</c:v>
                </c:pt>
                <c:pt idx="1757">
                  <c:v>0.81548900000000002</c:v>
                </c:pt>
                <c:pt idx="1758">
                  <c:v>0.81568099999999999</c:v>
                </c:pt>
                <c:pt idx="1759">
                  <c:v>0.81587299999999996</c:v>
                </c:pt>
                <c:pt idx="1760">
                  <c:v>0.81606299999999998</c:v>
                </c:pt>
                <c:pt idx="1761">
                  <c:v>0.81625199999999998</c:v>
                </c:pt>
                <c:pt idx="1762">
                  <c:v>0.816438</c:v>
                </c:pt>
                <c:pt idx="1763">
                  <c:v>0.81662100000000004</c:v>
                </c:pt>
                <c:pt idx="1764">
                  <c:v>0.816801</c:v>
                </c:pt>
                <c:pt idx="1765">
                  <c:v>0.81697799999999998</c:v>
                </c:pt>
                <c:pt idx="1766">
                  <c:v>0.81715199999999999</c:v>
                </c:pt>
                <c:pt idx="1767">
                  <c:v>0.81732099999999996</c:v>
                </c:pt>
                <c:pt idx="1768">
                  <c:v>0.81748699999999996</c:v>
                </c:pt>
                <c:pt idx="1769">
                  <c:v>0.81764899999999996</c:v>
                </c:pt>
                <c:pt idx="1770">
                  <c:v>0.81780600000000003</c:v>
                </c:pt>
                <c:pt idx="1771">
                  <c:v>0.81795899999999999</c:v>
                </c:pt>
                <c:pt idx="1772">
                  <c:v>0.81810799999999995</c:v>
                </c:pt>
                <c:pt idx="1773">
                  <c:v>0.81825199999999998</c:v>
                </c:pt>
                <c:pt idx="1774">
                  <c:v>0.81839200000000001</c:v>
                </c:pt>
                <c:pt idx="1775">
                  <c:v>0.818527</c:v>
                </c:pt>
                <c:pt idx="1776">
                  <c:v>0.818658</c:v>
                </c:pt>
                <c:pt idx="1777">
                  <c:v>0.81878399999999996</c:v>
                </c:pt>
                <c:pt idx="1778">
                  <c:v>0.81890499999999999</c:v>
                </c:pt>
                <c:pt idx="1779">
                  <c:v>0.81902299999999995</c:v>
                </c:pt>
                <c:pt idx="1780">
                  <c:v>0.81913599999999998</c:v>
                </c:pt>
                <c:pt idx="1781">
                  <c:v>0.819245</c:v>
                </c:pt>
                <c:pt idx="1782">
                  <c:v>0.81935000000000002</c:v>
                </c:pt>
                <c:pt idx="1783">
                  <c:v>0.81945100000000004</c:v>
                </c:pt>
                <c:pt idx="1784">
                  <c:v>0.81954899999999997</c:v>
                </c:pt>
                <c:pt idx="1785">
                  <c:v>0.81964300000000001</c:v>
                </c:pt>
                <c:pt idx="1786">
                  <c:v>0.81973399999999996</c:v>
                </c:pt>
                <c:pt idx="1787">
                  <c:v>0.81982200000000005</c:v>
                </c:pt>
                <c:pt idx="1788">
                  <c:v>0.81990700000000005</c:v>
                </c:pt>
                <c:pt idx="1789">
                  <c:v>0.81998899999999997</c:v>
                </c:pt>
                <c:pt idx="1790">
                  <c:v>0.82006900000000005</c:v>
                </c:pt>
                <c:pt idx="1791">
                  <c:v>0.82014699999999996</c:v>
                </c:pt>
                <c:pt idx="1792">
                  <c:v>0.82022200000000001</c:v>
                </c:pt>
                <c:pt idx="1793">
                  <c:v>0.82029600000000003</c:v>
                </c:pt>
                <c:pt idx="1794">
                  <c:v>0.82036799999999999</c:v>
                </c:pt>
                <c:pt idx="1795">
                  <c:v>0.820438</c:v>
                </c:pt>
                <c:pt idx="1796">
                  <c:v>0.82050699999999999</c:v>
                </c:pt>
                <c:pt idx="1797">
                  <c:v>0.82057500000000005</c:v>
                </c:pt>
                <c:pt idx="1798">
                  <c:v>0.82064199999999998</c:v>
                </c:pt>
                <c:pt idx="1799">
                  <c:v>0.82070799999999999</c:v>
                </c:pt>
                <c:pt idx="1800">
                  <c:v>0.82077299999999997</c:v>
                </c:pt>
                <c:pt idx="1801">
                  <c:v>0.82083799999999996</c:v>
                </c:pt>
                <c:pt idx="1802">
                  <c:v>0.82090200000000002</c:v>
                </c:pt>
                <c:pt idx="1803">
                  <c:v>0.82096599999999997</c:v>
                </c:pt>
                <c:pt idx="1804">
                  <c:v>0.82102900000000001</c:v>
                </c:pt>
                <c:pt idx="1805">
                  <c:v>0.82109200000000004</c:v>
                </c:pt>
                <c:pt idx="1806">
                  <c:v>0.82115499999999997</c:v>
                </c:pt>
                <c:pt idx="1807">
                  <c:v>0.821218</c:v>
                </c:pt>
                <c:pt idx="1808">
                  <c:v>0.82128000000000001</c:v>
                </c:pt>
                <c:pt idx="1809">
                  <c:v>0.82134200000000002</c:v>
                </c:pt>
                <c:pt idx="1810">
                  <c:v>0.82140400000000002</c:v>
                </c:pt>
                <c:pt idx="1811">
                  <c:v>0.821465</c:v>
                </c:pt>
                <c:pt idx="1812">
                  <c:v>0.82152599999999998</c:v>
                </c:pt>
                <c:pt idx="1813">
                  <c:v>0.82158600000000004</c:v>
                </c:pt>
                <c:pt idx="1814">
                  <c:v>0.82164599999999999</c:v>
                </c:pt>
                <c:pt idx="1815">
                  <c:v>0.82170399999999999</c:v>
                </c:pt>
                <c:pt idx="1816">
                  <c:v>0.82176199999999999</c:v>
                </c:pt>
                <c:pt idx="1817">
                  <c:v>0.82181800000000005</c:v>
                </c:pt>
                <c:pt idx="1818">
                  <c:v>0.82187299999999996</c:v>
                </c:pt>
                <c:pt idx="1819">
                  <c:v>0.82192600000000005</c:v>
                </c:pt>
                <c:pt idx="1820">
                  <c:v>0.82197799999999999</c:v>
                </c:pt>
                <c:pt idx="1821">
                  <c:v>0.82202699999999995</c:v>
                </c:pt>
                <c:pt idx="1822">
                  <c:v>0.82207399999999997</c:v>
                </c:pt>
                <c:pt idx="1823">
                  <c:v>0.82211800000000002</c:v>
                </c:pt>
                <c:pt idx="1824">
                  <c:v>0.82216</c:v>
                </c:pt>
                <c:pt idx="1825">
                  <c:v>0.82219799999999998</c:v>
                </c:pt>
                <c:pt idx="1826">
                  <c:v>0.82223299999999999</c:v>
                </c:pt>
                <c:pt idx="1827">
                  <c:v>0.82226399999999999</c:v>
                </c:pt>
                <c:pt idx="1828">
                  <c:v>0.82229200000000002</c:v>
                </c:pt>
                <c:pt idx="1829">
                  <c:v>0.82231399999999999</c:v>
                </c:pt>
                <c:pt idx="1830">
                  <c:v>0.82233299999999998</c:v>
                </c:pt>
                <c:pt idx="1831">
                  <c:v>0.82234600000000002</c:v>
                </c:pt>
                <c:pt idx="1832">
                  <c:v>0.82235499999999995</c:v>
                </c:pt>
                <c:pt idx="1833">
                  <c:v>0.82235800000000003</c:v>
                </c:pt>
                <c:pt idx="1834">
                  <c:v>0.82235499999999995</c:v>
                </c:pt>
                <c:pt idx="1835">
                  <c:v>0.82234600000000002</c:v>
                </c:pt>
                <c:pt idx="1836">
                  <c:v>0.82233100000000003</c:v>
                </c:pt>
                <c:pt idx="1837">
                  <c:v>0.82230999999999999</c:v>
                </c:pt>
                <c:pt idx="1838">
                  <c:v>0.82228299999999999</c:v>
                </c:pt>
                <c:pt idx="1839">
                  <c:v>0.82224799999999998</c:v>
                </c:pt>
                <c:pt idx="1840">
                  <c:v>0.82220599999999999</c:v>
                </c:pt>
                <c:pt idx="1841">
                  <c:v>0.82215800000000006</c:v>
                </c:pt>
                <c:pt idx="1842">
                  <c:v>0.822102</c:v>
                </c:pt>
                <c:pt idx="1843">
                  <c:v>0.82203899999999996</c:v>
                </c:pt>
                <c:pt idx="1844">
                  <c:v>0.82196800000000003</c:v>
                </c:pt>
                <c:pt idx="1845">
                  <c:v>0.82189000000000001</c:v>
                </c:pt>
                <c:pt idx="1846">
                  <c:v>0.82180399999999998</c:v>
                </c:pt>
                <c:pt idx="1847">
                  <c:v>0.82171000000000005</c:v>
                </c:pt>
                <c:pt idx="1848">
                  <c:v>0.82160900000000003</c:v>
                </c:pt>
                <c:pt idx="1849">
                  <c:v>0.82150100000000004</c:v>
                </c:pt>
                <c:pt idx="1850">
                  <c:v>0.82138500000000003</c:v>
                </c:pt>
                <c:pt idx="1851">
                  <c:v>0.82126200000000005</c:v>
                </c:pt>
                <c:pt idx="1852">
                  <c:v>0.82113100000000006</c:v>
                </c:pt>
                <c:pt idx="1853">
                  <c:v>0.820994</c:v>
                </c:pt>
                <c:pt idx="1854">
                  <c:v>0.82084999999999997</c:v>
                </c:pt>
                <c:pt idx="1855">
                  <c:v>0.82069899999999996</c:v>
                </c:pt>
                <c:pt idx="1856">
                  <c:v>0.82054199999999999</c:v>
                </c:pt>
                <c:pt idx="1857">
                  <c:v>0.82037800000000005</c:v>
                </c:pt>
                <c:pt idx="1858">
                  <c:v>0.82020899999999997</c:v>
                </c:pt>
                <c:pt idx="1859">
                  <c:v>0.82003499999999996</c:v>
                </c:pt>
                <c:pt idx="1860">
                  <c:v>0.819855</c:v>
                </c:pt>
                <c:pt idx="1861">
                  <c:v>0.81967100000000004</c:v>
                </c:pt>
                <c:pt idx="1862">
                  <c:v>0.81948200000000004</c:v>
                </c:pt>
                <c:pt idx="1863">
                  <c:v>0.81928999999999996</c:v>
                </c:pt>
                <c:pt idx="1864">
                  <c:v>0.81909399999999999</c:v>
                </c:pt>
                <c:pt idx="1865">
                  <c:v>0.81889599999999996</c:v>
                </c:pt>
                <c:pt idx="1866">
                  <c:v>0.81869499999999995</c:v>
                </c:pt>
                <c:pt idx="1867">
                  <c:v>0.818492</c:v>
                </c:pt>
                <c:pt idx="1868">
                  <c:v>0.81828699999999999</c:v>
                </c:pt>
                <c:pt idx="1869">
                  <c:v>0.81808199999999998</c:v>
                </c:pt>
                <c:pt idx="1870">
                  <c:v>0.81787699999999997</c:v>
                </c:pt>
                <c:pt idx="1871">
                  <c:v>0.81767199999999995</c:v>
                </c:pt>
                <c:pt idx="1872">
                  <c:v>0.81746799999999997</c:v>
                </c:pt>
                <c:pt idx="1873">
                  <c:v>0.81726500000000002</c:v>
                </c:pt>
                <c:pt idx="1874">
                  <c:v>0.81706400000000001</c:v>
                </c:pt>
                <c:pt idx="1875">
                  <c:v>0.81686599999999998</c:v>
                </c:pt>
                <c:pt idx="1876">
                  <c:v>0.81667100000000004</c:v>
                </c:pt>
                <c:pt idx="1877">
                  <c:v>0.81647999999999998</c:v>
                </c:pt>
                <c:pt idx="1878">
                  <c:v>0.81629300000000005</c:v>
                </c:pt>
                <c:pt idx="1879">
                  <c:v>0.81611100000000003</c:v>
                </c:pt>
                <c:pt idx="1880">
                  <c:v>0.81593499999999997</c:v>
                </c:pt>
                <c:pt idx="1881">
                  <c:v>0.81576400000000004</c:v>
                </c:pt>
                <c:pt idx="1882">
                  <c:v>0.81559999999999999</c:v>
                </c:pt>
                <c:pt idx="1883">
                  <c:v>0.81544399999999995</c:v>
                </c:pt>
                <c:pt idx="1884">
                  <c:v>0.81529399999999996</c:v>
                </c:pt>
                <c:pt idx="1885">
                  <c:v>0.81515300000000002</c:v>
                </c:pt>
                <c:pt idx="1886">
                  <c:v>0.81501999999999997</c:v>
                </c:pt>
                <c:pt idx="1887">
                  <c:v>0.81489599999999995</c:v>
                </c:pt>
                <c:pt idx="1888">
                  <c:v>0.81478200000000001</c:v>
                </c:pt>
                <c:pt idx="1889">
                  <c:v>0.81467699999999998</c:v>
                </c:pt>
                <c:pt idx="1890">
                  <c:v>0.81458200000000003</c:v>
                </c:pt>
                <c:pt idx="1891">
                  <c:v>0.81449800000000006</c:v>
                </c:pt>
                <c:pt idx="1892">
                  <c:v>0.81442400000000004</c:v>
                </c:pt>
                <c:pt idx="1893">
                  <c:v>0.814361</c:v>
                </c:pt>
                <c:pt idx="1894">
                  <c:v>0.81430899999999995</c:v>
                </c:pt>
                <c:pt idx="1895">
                  <c:v>0.81426900000000002</c:v>
                </c:pt>
                <c:pt idx="1896">
                  <c:v>0.81423999999999996</c:v>
                </c:pt>
                <c:pt idx="1897">
                  <c:v>0.81422300000000003</c:v>
                </c:pt>
                <c:pt idx="1898">
                  <c:v>0.81421699999999997</c:v>
                </c:pt>
                <c:pt idx="1899">
                  <c:v>0.81422300000000003</c:v>
                </c:pt>
                <c:pt idx="1900">
                  <c:v>0.81424099999999999</c:v>
                </c:pt>
                <c:pt idx="1901">
                  <c:v>0.81427000000000005</c:v>
                </c:pt>
                <c:pt idx="1902">
                  <c:v>0.81431100000000001</c:v>
                </c:pt>
                <c:pt idx="1903">
                  <c:v>0.81436399999999998</c:v>
                </c:pt>
                <c:pt idx="1904">
                  <c:v>0.81442800000000004</c:v>
                </c:pt>
                <c:pt idx="1905">
                  <c:v>0.81450299999999998</c:v>
                </c:pt>
                <c:pt idx="1906">
                  <c:v>0.81458900000000001</c:v>
                </c:pt>
                <c:pt idx="1907">
                  <c:v>0.81468600000000002</c:v>
                </c:pt>
                <c:pt idx="1908">
                  <c:v>0.81479400000000002</c:v>
                </c:pt>
                <c:pt idx="1909">
                  <c:v>0.81491100000000005</c:v>
                </c:pt>
                <c:pt idx="1910">
                  <c:v>0.81503899999999996</c:v>
                </c:pt>
                <c:pt idx="1911">
                  <c:v>0.81517600000000001</c:v>
                </c:pt>
                <c:pt idx="1912">
                  <c:v>0.81532199999999999</c:v>
                </c:pt>
                <c:pt idx="1913">
                  <c:v>0.81547599999999998</c:v>
                </c:pt>
                <c:pt idx="1914">
                  <c:v>0.815639</c:v>
                </c:pt>
                <c:pt idx="1915">
                  <c:v>0.81580900000000001</c:v>
                </c:pt>
                <c:pt idx="1916">
                  <c:v>0.81598700000000002</c:v>
                </c:pt>
                <c:pt idx="1917">
                  <c:v>0.81617099999999998</c:v>
                </c:pt>
                <c:pt idx="1918">
                  <c:v>0.816361</c:v>
                </c:pt>
                <c:pt idx="1919">
                  <c:v>0.81655699999999998</c:v>
                </c:pt>
                <c:pt idx="1920">
                  <c:v>0.81675699999999996</c:v>
                </c:pt>
                <c:pt idx="1921">
                  <c:v>0.81696199999999997</c:v>
                </c:pt>
                <c:pt idx="1922">
                  <c:v>0.81717099999999998</c:v>
                </c:pt>
                <c:pt idx="1923">
                  <c:v>0.81738299999999997</c:v>
                </c:pt>
                <c:pt idx="1924">
                  <c:v>0.81759700000000002</c:v>
                </c:pt>
                <c:pt idx="1925">
                  <c:v>0.81781400000000004</c:v>
                </c:pt>
                <c:pt idx="1926">
                  <c:v>0.81803199999999998</c:v>
                </c:pt>
                <c:pt idx="1927">
                  <c:v>0.81825000000000003</c:v>
                </c:pt>
                <c:pt idx="1928">
                  <c:v>0.818469</c:v>
                </c:pt>
                <c:pt idx="1929">
                  <c:v>0.81868700000000005</c:v>
                </c:pt>
                <c:pt idx="1930">
                  <c:v>0.81890399999999997</c:v>
                </c:pt>
                <c:pt idx="1931">
                  <c:v>0.81911900000000004</c:v>
                </c:pt>
                <c:pt idx="1932">
                  <c:v>0.81933199999999995</c:v>
                </c:pt>
                <c:pt idx="1933">
                  <c:v>0.81954199999999999</c:v>
                </c:pt>
                <c:pt idx="1934">
                  <c:v>0.81974899999999995</c:v>
                </c:pt>
                <c:pt idx="1935">
                  <c:v>0.81995200000000001</c:v>
                </c:pt>
                <c:pt idx="1936">
                  <c:v>0.82015000000000005</c:v>
                </c:pt>
                <c:pt idx="1937">
                  <c:v>0.82034399999999996</c:v>
                </c:pt>
                <c:pt idx="1938">
                  <c:v>0.82053200000000004</c:v>
                </c:pt>
                <c:pt idx="1939">
                  <c:v>0.82071400000000005</c:v>
                </c:pt>
                <c:pt idx="1940">
                  <c:v>0.82089000000000001</c:v>
                </c:pt>
                <c:pt idx="1941">
                  <c:v>0.82106000000000001</c:v>
                </c:pt>
                <c:pt idx="1942">
                  <c:v>0.82122200000000001</c:v>
                </c:pt>
                <c:pt idx="1943">
                  <c:v>0.82137700000000002</c:v>
                </c:pt>
                <c:pt idx="1944">
                  <c:v>0.82152499999999995</c:v>
                </c:pt>
                <c:pt idx="1945">
                  <c:v>0.82166399999999995</c:v>
                </c:pt>
                <c:pt idx="1946">
                  <c:v>0.82179599999999997</c:v>
                </c:pt>
                <c:pt idx="1947">
                  <c:v>0.82191899999999996</c:v>
                </c:pt>
                <c:pt idx="1948">
                  <c:v>0.82203300000000001</c:v>
                </c:pt>
                <c:pt idx="1949">
                  <c:v>0.82213899999999995</c:v>
                </c:pt>
                <c:pt idx="1950">
                  <c:v>0.822237</c:v>
                </c:pt>
                <c:pt idx="1951">
                  <c:v>0.82232499999999997</c:v>
                </c:pt>
                <c:pt idx="1952">
                  <c:v>0.82240400000000002</c:v>
                </c:pt>
                <c:pt idx="1953">
                  <c:v>0.82247400000000004</c:v>
                </c:pt>
                <c:pt idx="1954">
                  <c:v>0.82253600000000004</c:v>
                </c:pt>
                <c:pt idx="1955">
                  <c:v>0.82258799999999999</c:v>
                </c:pt>
                <c:pt idx="1956">
                  <c:v>0.82263200000000003</c:v>
                </c:pt>
                <c:pt idx="1957">
                  <c:v>0.82266700000000004</c:v>
                </c:pt>
                <c:pt idx="1958">
                  <c:v>0.82269300000000001</c:v>
                </c:pt>
                <c:pt idx="1959">
                  <c:v>0.82271099999999997</c:v>
                </c:pt>
                <c:pt idx="1960">
                  <c:v>0.82272100000000004</c:v>
                </c:pt>
                <c:pt idx="1961">
                  <c:v>0.82272299999999998</c:v>
                </c:pt>
                <c:pt idx="1962">
                  <c:v>0.82271700000000003</c:v>
                </c:pt>
                <c:pt idx="1963">
                  <c:v>0.82270299999999996</c:v>
                </c:pt>
                <c:pt idx="1964">
                  <c:v>0.82268200000000002</c:v>
                </c:pt>
                <c:pt idx="1965">
                  <c:v>0.822654</c:v>
                </c:pt>
                <c:pt idx="1966">
                  <c:v>0.82261899999999999</c:v>
                </c:pt>
                <c:pt idx="1967">
                  <c:v>0.82257800000000003</c:v>
                </c:pt>
                <c:pt idx="1968">
                  <c:v>0.82253100000000001</c:v>
                </c:pt>
                <c:pt idx="1969">
                  <c:v>0.82247800000000004</c:v>
                </c:pt>
                <c:pt idx="1970">
                  <c:v>0.82242000000000004</c:v>
                </c:pt>
                <c:pt idx="1971">
                  <c:v>0.822357</c:v>
                </c:pt>
                <c:pt idx="1972">
                  <c:v>0.82228900000000005</c:v>
                </c:pt>
                <c:pt idx="1973">
                  <c:v>0.82221699999999998</c:v>
                </c:pt>
                <c:pt idx="1974">
                  <c:v>0.82214100000000001</c:v>
                </c:pt>
                <c:pt idx="1975">
                  <c:v>0.82206199999999996</c:v>
                </c:pt>
                <c:pt idx="1976">
                  <c:v>0.82198000000000004</c:v>
                </c:pt>
                <c:pt idx="1977">
                  <c:v>0.82189500000000004</c:v>
                </c:pt>
                <c:pt idx="1978">
                  <c:v>0.82180799999999998</c:v>
                </c:pt>
                <c:pt idx="1979">
                  <c:v>0.82171899999999998</c:v>
                </c:pt>
                <c:pt idx="1980">
                  <c:v>0.82162900000000005</c:v>
                </c:pt>
                <c:pt idx="1981">
                  <c:v>0.82153699999999996</c:v>
                </c:pt>
                <c:pt idx="1982">
                  <c:v>0.82144499999999998</c:v>
                </c:pt>
                <c:pt idx="1983">
                  <c:v>0.82135199999999997</c:v>
                </c:pt>
                <c:pt idx="1984">
                  <c:v>0.82125899999999996</c:v>
                </c:pt>
                <c:pt idx="1985">
                  <c:v>0.82116599999999995</c:v>
                </c:pt>
                <c:pt idx="1986">
                  <c:v>0.82107300000000005</c:v>
                </c:pt>
                <c:pt idx="1987">
                  <c:v>0.82098199999999999</c:v>
                </c:pt>
                <c:pt idx="1988">
                  <c:v>0.82089100000000004</c:v>
                </c:pt>
                <c:pt idx="1989">
                  <c:v>0.82080200000000003</c:v>
                </c:pt>
                <c:pt idx="1990">
                  <c:v>0.82071400000000005</c:v>
                </c:pt>
                <c:pt idx="1991">
                  <c:v>0.82062800000000002</c:v>
                </c:pt>
                <c:pt idx="1992">
                  <c:v>0.82054300000000002</c:v>
                </c:pt>
                <c:pt idx="1993">
                  <c:v>0.820461</c:v>
                </c:pt>
                <c:pt idx="1994">
                  <c:v>0.82038100000000003</c:v>
                </c:pt>
                <c:pt idx="1995">
                  <c:v>0.82030400000000003</c:v>
                </c:pt>
                <c:pt idx="1996">
                  <c:v>0.82022899999999999</c:v>
                </c:pt>
                <c:pt idx="1997">
                  <c:v>0.82015700000000002</c:v>
                </c:pt>
                <c:pt idx="1998">
                  <c:v>0.82008700000000001</c:v>
                </c:pt>
                <c:pt idx="1999">
                  <c:v>0.82001999999999997</c:v>
                </c:pt>
                <c:pt idx="2000">
                  <c:v>0.81995600000000002</c:v>
                </c:pt>
                <c:pt idx="2001">
                  <c:v>0.81989400000000001</c:v>
                </c:pt>
                <c:pt idx="2002">
                  <c:v>0.81984500000000005</c:v>
                </c:pt>
              </c:numCache>
            </c:numRef>
          </c:yVal>
          <c:smooth val="0"/>
          <c:extLst>
            <c:ext xmlns:c16="http://schemas.microsoft.com/office/drawing/2014/chart" uri="{C3380CC4-5D6E-409C-BE32-E72D297353CC}">
              <c16:uniqueId val="{00000000-278F-4872-BAA2-25D7FE0BC8AA}"/>
            </c:ext>
          </c:extLst>
        </c:ser>
        <c:ser>
          <c:idx val="1"/>
          <c:order val="1"/>
          <c:tx>
            <c:strRef>
              <c:f>'[base plot data.xlsx]Sheet3'!$C$2</c:f>
              <c:strCache>
                <c:ptCount val="1"/>
                <c:pt idx="0">
                  <c:v>LLG(a-b)</c:v>
                </c:pt>
              </c:strCache>
            </c:strRef>
          </c:tx>
          <c:spPr>
            <a:ln w="19050" cap="rnd">
              <a:solidFill>
                <a:srgbClr val="00B050"/>
              </a:solidFill>
              <a:round/>
            </a:ln>
            <a:effectLst/>
          </c:spPr>
          <c:marker>
            <c:symbol val="none"/>
          </c:marker>
          <c:xVal>
            <c:numRef>
              <c:f>'[base plot data.xlsx]Sheet3'!$A$3:$A$2005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'[base plot data.xlsx]Sheet3'!$C$3:$C$2005</c:f>
              <c:numCache>
                <c:formatCode>General</c:formatCode>
                <c:ptCount val="2003"/>
                <c:pt idx="0">
                  <c:v>0.81904299999999997</c:v>
                </c:pt>
                <c:pt idx="1">
                  <c:v>0.81904299999999997</c:v>
                </c:pt>
                <c:pt idx="2">
                  <c:v>0.81904299999999997</c:v>
                </c:pt>
                <c:pt idx="3">
                  <c:v>0.81904299999999997</c:v>
                </c:pt>
                <c:pt idx="4">
                  <c:v>0.81904299999999997</c:v>
                </c:pt>
                <c:pt idx="5">
                  <c:v>0.81904299999999997</c:v>
                </c:pt>
                <c:pt idx="6">
                  <c:v>0.81904299999999997</c:v>
                </c:pt>
                <c:pt idx="7">
                  <c:v>0.81904299999999997</c:v>
                </c:pt>
                <c:pt idx="8">
                  <c:v>0.81904299999999997</c:v>
                </c:pt>
                <c:pt idx="9">
                  <c:v>0.81904299999999997</c:v>
                </c:pt>
                <c:pt idx="10">
                  <c:v>0.81904299999999997</c:v>
                </c:pt>
                <c:pt idx="11">
                  <c:v>0.81904299999999997</c:v>
                </c:pt>
                <c:pt idx="12">
                  <c:v>0.81904299999999997</c:v>
                </c:pt>
                <c:pt idx="13">
                  <c:v>0.81904299999999997</c:v>
                </c:pt>
                <c:pt idx="14">
                  <c:v>0.81904299999999997</c:v>
                </c:pt>
                <c:pt idx="15">
                  <c:v>0.81904299999999997</c:v>
                </c:pt>
                <c:pt idx="16">
                  <c:v>0.81904299999999997</c:v>
                </c:pt>
                <c:pt idx="17">
                  <c:v>0.81904299999999997</c:v>
                </c:pt>
                <c:pt idx="18">
                  <c:v>0.81904299999999997</c:v>
                </c:pt>
                <c:pt idx="19">
                  <c:v>0.81904299999999997</c:v>
                </c:pt>
                <c:pt idx="20">
                  <c:v>0.81904299999999997</c:v>
                </c:pt>
                <c:pt idx="21">
                  <c:v>0.81904299999999997</c:v>
                </c:pt>
                <c:pt idx="22">
                  <c:v>0.81904299999999997</c:v>
                </c:pt>
                <c:pt idx="23">
                  <c:v>0.81904299999999997</c:v>
                </c:pt>
                <c:pt idx="24">
                  <c:v>0.81904299999999997</c:v>
                </c:pt>
                <c:pt idx="25">
                  <c:v>0.81904299999999997</c:v>
                </c:pt>
                <c:pt idx="26">
                  <c:v>0.81904299999999997</c:v>
                </c:pt>
                <c:pt idx="27">
                  <c:v>0.81904299999999997</c:v>
                </c:pt>
                <c:pt idx="28">
                  <c:v>0.81904299999999997</c:v>
                </c:pt>
                <c:pt idx="29">
                  <c:v>0.81904299999999997</c:v>
                </c:pt>
                <c:pt idx="30">
                  <c:v>0.81904299999999997</c:v>
                </c:pt>
                <c:pt idx="31">
                  <c:v>0.81904299999999997</c:v>
                </c:pt>
                <c:pt idx="32">
                  <c:v>0.81904299999999997</c:v>
                </c:pt>
                <c:pt idx="33">
                  <c:v>0.81904299999999997</c:v>
                </c:pt>
                <c:pt idx="34">
                  <c:v>0.81904299999999997</c:v>
                </c:pt>
                <c:pt idx="35">
                  <c:v>0.81904299999999997</c:v>
                </c:pt>
                <c:pt idx="36">
                  <c:v>0.81904299999999997</c:v>
                </c:pt>
                <c:pt idx="37">
                  <c:v>0.81904299999999997</c:v>
                </c:pt>
                <c:pt idx="38">
                  <c:v>0.81904299999999997</c:v>
                </c:pt>
                <c:pt idx="39">
                  <c:v>0.81904299999999997</c:v>
                </c:pt>
                <c:pt idx="40">
                  <c:v>0.81904299999999997</c:v>
                </c:pt>
                <c:pt idx="41">
                  <c:v>0.81904299999999997</c:v>
                </c:pt>
                <c:pt idx="42">
                  <c:v>0.81904299999999997</c:v>
                </c:pt>
                <c:pt idx="43">
                  <c:v>0.81904299999999997</c:v>
                </c:pt>
                <c:pt idx="44">
                  <c:v>0.81904299999999997</c:v>
                </c:pt>
                <c:pt idx="45">
                  <c:v>0.81904299999999997</c:v>
                </c:pt>
                <c:pt idx="46">
                  <c:v>0.81904299999999997</c:v>
                </c:pt>
                <c:pt idx="47">
                  <c:v>0.81904299999999997</c:v>
                </c:pt>
                <c:pt idx="48">
                  <c:v>0.81904299999999997</c:v>
                </c:pt>
                <c:pt idx="49">
                  <c:v>0.81904299999999997</c:v>
                </c:pt>
                <c:pt idx="50">
                  <c:v>0.81904299999999997</c:v>
                </c:pt>
                <c:pt idx="51">
                  <c:v>0.81904299999999997</c:v>
                </c:pt>
                <c:pt idx="52">
                  <c:v>0.81904299999999997</c:v>
                </c:pt>
                <c:pt idx="53">
                  <c:v>0.81904299999999997</c:v>
                </c:pt>
                <c:pt idx="54">
                  <c:v>0.81904299999999997</c:v>
                </c:pt>
                <c:pt idx="55">
                  <c:v>0.81904299999999997</c:v>
                </c:pt>
                <c:pt idx="56">
                  <c:v>0.81904299999999997</c:v>
                </c:pt>
                <c:pt idx="57">
                  <c:v>0.81904299999999997</c:v>
                </c:pt>
                <c:pt idx="58">
                  <c:v>0.81904299999999997</c:v>
                </c:pt>
                <c:pt idx="59">
                  <c:v>0.81904299999999997</c:v>
                </c:pt>
                <c:pt idx="60">
                  <c:v>0.81904299999999997</c:v>
                </c:pt>
                <c:pt idx="61">
                  <c:v>0.81904299999999997</c:v>
                </c:pt>
                <c:pt idx="62">
                  <c:v>0.81904299999999997</c:v>
                </c:pt>
                <c:pt idx="63">
                  <c:v>0.81904299999999997</c:v>
                </c:pt>
                <c:pt idx="64">
                  <c:v>0.81904299999999997</c:v>
                </c:pt>
                <c:pt idx="65">
                  <c:v>0.81904299999999997</c:v>
                </c:pt>
                <c:pt idx="66">
                  <c:v>0.81904299999999997</c:v>
                </c:pt>
                <c:pt idx="67">
                  <c:v>0.81904299999999997</c:v>
                </c:pt>
                <c:pt idx="68">
                  <c:v>0.81904299999999997</c:v>
                </c:pt>
                <c:pt idx="69">
                  <c:v>0.81904299999999997</c:v>
                </c:pt>
                <c:pt idx="70">
                  <c:v>0.81904299999999997</c:v>
                </c:pt>
                <c:pt idx="71">
                  <c:v>0.81904299999999997</c:v>
                </c:pt>
                <c:pt idx="72">
                  <c:v>0.81904299999999997</c:v>
                </c:pt>
                <c:pt idx="73">
                  <c:v>0.81904299999999997</c:v>
                </c:pt>
                <c:pt idx="74">
                  <c:v>0.81904299999999997</c:v>
                </c:pt>
                <c:pt idx="75">
                  <c:v>0.81904299999999997</c:v>
                </c:pt>
                <c:pt idx="76">
                  <c:v>0.81904299999999997</c:v>
                </c:pt>
                <c:pt idx="77">
                  <c:v>0.81904299999999997</c:v>
                </c:pt>
                <c:pt idx="78">
                  <c:v>0.81904299999999997</c:v>
                </c:pt>
                <c:pt idx="79">
                  <c:v>0.81904299999999997</c:v>
                </c:pt>
                <c:pt idx="80">
                  <c:v>0.81904299999999997</c:v>
                </c:pt>
                <c:pt idx="81">
                  <c:v>0.81904299999999997</c:v>
                </c:pt>
                <c:pt idx="82">
                  <c:v>0.81904299999999997</c:v>
                </c:pt>
                <c:pt idx="83">
                  <c:v>0.81904299999999997</c:v>
                </c:pt>
                <c:pt idx="84">
                  <c:v>0.81904299999999997</c:v>
                </c:pt>
                <c:pt idx="85">
                  <c:v>0.81904299999999997</c:v>
                </c:pt>
                <c:pt idx="86">
                  <c:v>0.81904299999999997</c:v>
                </c:pt>
                <c:pt idx="87">
                  <c:v>0.81904299999999997</c:v>
                </c:pt>
                <c:pt idx="88">
                  <c:v>0.81904299999999997</c:v>
                </c:pt>
                <c:pt idx="89">
                  <c:v>0.81904299999999997</c:v>
                </c:pt>
                <c:pt idx="90">
                  <c:v>0.81904299999999997</c:v>
                </c:pt>
                <c:pt idx="91">
                  <c:v>0.81904299999999997</c:v>
                </c:pt>
                <c:pt idx="92">
                  <c:v>0.81904299999999997</c:v>
                </c:pt>
                <c:pt idx="93">
                  <c:v>0.81904299999999997</c:v>
                </c:pt>
                <c:pt idx="94">
                  <c:v>0.81904299999999997</c:v>
                </c:pt>
                <c:pt idx="95">
                  <c:v>0.81904299999999997</c:v>
                </c:pt>
                <c:pt idx="96">
                  <c:v>0.81904299999999997</c:v>
                </c:pt>
                <c:pt idx="97">
                  <c:v>0.81904299999999997</c:v>
                </c:pt>
                <c:pt idx="98">
                  <c:v>0.81904299999999997</c:v>
                </c:pt>
                <c:pt idx="99">
                  <c:v>0.81904299999999997</c:v>
                </c:pt>
                <c:pt idx="100">
                  <c:v>0.81904299999999997</c:v>
                </c:pt>
                <c:pt idx="101">
                  <c:v>0.81904299999999997</c:v>
                </c:pt>
                <c:pt idx="102">
                  <c:v>0.81904299999999997</c:v>
                </c:pt>
                <c:pt idx="103">
                  <c:v>0.81904299999999997</c:v>
                </c:pt>
                <c:pt idx="104">
                  <c:v>0.81904299999999997</c:v>
                </c:pt>
                <c:pt idx="105">
                  <c:v>0.81904299999999997</c:v>
                </c:pt>
                <c:pt idx="106">
                  <c:v>0.81904299999999997</c:v>
                </c:pt>
                <c:pt idx="107">
                  <c:v>0.81904299999999997</c:v>
                </c:pt>
                <c:pt idx="108">
                  <c:v>0.81904299999999997</c:v>
                </c:pt>
                <c:pt idx="109">
                  <c:v>0.81904299999999997</c:v>
                </c:pt>
                <c:pt idx="110">
                  <c:v>0.81904299999999997</c:v>
                </c:pt>
                <c:pt idx="111">
                  <c:v>0.81904299999999997</c:v>
                </c:pt>
                <c:pt idx="112">
                  <c:v>0.81904299999999997</c:v>
                </c:pt>
                <c:pt idx="113">
                  <c:v>0.81904299999999997</c:v>
                </c:pt>
                <c:pt idx="114">
                  <c:v>0.81904299999999997</c:v>
                </c:pt>
                <c:pt idx="115">
                  <c:v>0.81904299999999997</c:v>
                </c:pt>
                <c:pt idx="116">
                  <c:v>0.81904299999999997</c:v>
                </c:pt>
                <c:pt idx="117">
                  <c:v>0.81904299999999997</c:v>
                </c:pt>
                <c:pt idx="118">
                  <c:v>0.81904299999999997</c:v>
                </c:pt>
                <c:pt idx="119">
                  <c:v>0.81904299999999997</c:v>
                </c:pt>
                <c:pt idx="120">
                  <c:v>0.81904299999999997</c:v>
                </c:pt>
                <c:pt idx="121">
                  <c:v>0.81904299999999997</c:v>
                </c:pt>
                <c:pt idx="122">
                  <c:v>0.81904299999999997</c:v>
                </c:pt>
                <c:pt idx="123">
                  <c:v>0.81904299999999997</c:v>
                </c:pt>
                <c:pt idx="124">
                  <c:v>0.81904299999999997</c:v>
                </c:pt>
                <c:pt idx="125">
                  <c:v>0.81904299999999997</c:v>
                </c:pt>
                <c:pt idx="126">
                  <c:v>0.81904299999999997</c:v>
                </c:pt>
                <c:pt idx="127">
                  <c:v>0.81904299999999997</c:v>
                </c:pt>
                <c:pt idx="128">
                  <c:v>0.81904299999999997</c:v>
                </c:pt>
                <c:pt idx="129">
                  <c:v>0.81904299999999997</c:v>
                </c:pt>
                <c:pt idx="130">
                  <c:v>0.81904299999999997</c:v>
                </c:pt>
                <c:pt idx="131">
                  <c:v>0.81904299999999997</c:v>
                </c:pt>
                <c:pt idx="132">
                  <c:v>0.81904299999999997</c:v>
                </c:pt>
                <c:pt idx="133">
                  <c:v>0.81904299999999997</c:v>
                </c:pt>
                <c:pt idx="134">
                  <c:v>0.81904299999999997</c:v>
                </c:pt>
                <c:pt idx="135">
                  <c:v>0.81904299999999997</c:v>
                </c:pt>
                <c:pt idx="136">
                  <c:v>0.81904299999999997</c:v>
                </c:pt>
                <c:pt idx="137">
                  <c:v>0.81904299999999997</c:v>
                </c:pt>
                <c:pt idx="138">
                  <c:v>0.81904299999999997</c:v>
                </c:pt>
                <c:pt idx="139">
                  <c:v>0.81904299999999997</c:v>
                </c:pt>
                <c:pt idx="140">
                  <c:v>0.81904299999999997</c:v>
                </c:pt>
                <c:pt idx="141">
                  <c:v>0.81904299999999997</c:v>
                </c:pt>
                <c:pt idx="142">
                  <c:v>0.81904299999999997</c:v>
                </c:pt>
                <c:pt idx="143">
                  <c:v>0.81904299999999997</c:v>
                </c:pt>
                <c:pt idx="144">
                  <c:v>0.81904299999999997</c:v>
                </c:pt>
                <c:pt idx="145">
                  <c:v>0.81904299999999997</c:v>
                </c:pt>
                <c:pt idx="146">
                  <c:v>0.81904299999999997</c:v>
                </c:pt>
                <c:pt idx="147">
                  <c:v>0.81904299999999997</c:v>
                </c:pt>
                <c:pt idx="148">
                  <c:v>0.81904299999999997</c:v>
                </c:pt>
                <c:pt idx="149">
                  <c:v>0.81904299999999997</c:v>
                </c:pt>
                <c:pt idx="150">
                  <c:v>0.81904299999999997</c:v>
                </c:pt>
                <c:pt idx="151">
                  <c:v>0.81904299999999997</c:v>
                </c:pt>
                <c:pt idx="152">
                  <c:v>0.81904299999999997</c:v>
                </c:pt>
                <c:pt idx="153">
                  <c:v>0.81904299999999997</c:v>
                </c:pt>
                <c:pt idx="154">
                  <c:v>0.81904299999999997</c:v>
                </c:pt>
                <c:pt idx="155">
                  <c:v>0.81904299999999997</c:v>
                </c:pt>
                <c:pt idx="156">
                  <c:v>0.81904299999999997</c:v>
                </c:pt>
                <c:pt idx="157">
                  <c:v>0.81904299999999997</c:v>
                </c:pt>
                <c:pt idx="158">
                  <c:v>0.81904299999999997</c:v>
                </c:pt>
                <c:pt idx="159">
                  <c:v>0.81904299999999997</c:v>
                </c:pt>
                <c:pt idx="160">
                  <c:v>0.81904299999999997</c:v>
                </c:pt>
                <c:pt idx="161">
                  <c:v>0.81904299999999997</c:v>
                </c:pt>
                <c:pt idx="162">
                  <c:v>0.81904299999999997</c:v>
                </c:pt>
                <c:pt idx="163">
                  <c:v>0.81904299999999997</c:v>
                </c:pt>
                <c:pt idx="164">
                  <c:v>0.81904299999999997</c:v>
                </c:pt>
                <c:pt idx="165">
                  <c:v>0.81904299999999997</c:v>
                </c:pt>
                <c:pt idx="166">
                  <c:v>0.81904299999999997</c:v>
                </c:pt>
                <c:pt idx="167">
                  <c:v>0.81904299999999997</c:v>
                </c:pt>
                <c:pt idx="168">
                  <c:v>0.81904299999999997</c:v>
                </c:pt>
                <c:pt idx="169">
                  <c:v>0.81904299999999997</c:v>
                </c:pt>
                <c:pt idx="170">
                  <c:v>0.81904299999999997</c:v>
                </c:pt>
                <c:pt idx="171">
                  <c:v>0.81904299999999997</c:v>
                </c:pt>
                <c:pt idx="172">
                  <c:v>0.81904299999999997</c:v>
                </c:pt>
                <c:pt idx="173">
                  <c:v>0.81904299999999997</c:v>
                </c:pt>
                <c:pt idx="174">
                  <c:v>0.81904299999999997</c:v>
                </c:pt>
                <c:pt idx="175">
                  <c:v>0.81904299999999997</c:v>
                </c:pt>
                <c:pt idx="176">
                  <c:v>0.81904299999999997</c:v>
                </c:pt>
                <c:pt idx="177">
                  <c:v>0.81904299999999997</c:v>
                </c:pt>
                <c:pt idx="178">
                  <c:v>0.81904299999999997</c:v>
                </c:pt>
                <c:pt idx="179">
                  <c:v>0.81904299999999997</c:v>
                </c:pt>
                <c:pt idx="180">
                  <c:v>0.81904299999999997</c:v>
                </c:pt>
                <c:pt idx="181">
                  <c:v>0.81904299999999997</c:v>
                </c:pt>
                <c:pt idx="182">
                  <c:v>0.81904299999999997</c:v>
                </c:pt>
                <c:pt idx="183">
                  <c:v>0.81904299999999997</c:v>
                </c:pt>
                <c:pt idx="184">
                  <c:v>0.81904299999999997</c:v>
                </c:pt>
                <c:pt idx="185">
                  <c:v>0.81904299999999997</c:v>
                </c:pt>
                <c:pt idx="186">
                  <c:v>0.81904299999999997</c:v>
                </c:pt>
                <c:pt idx="187">
                  <c:v>0.81904299999999997</c:v>
                </c:pt>
                <c:pt idx="188">
                  <c:v>0.81904299999999997</c:v>
                </c:pt>
                <c:pt idx="189">
                  <c:v>0.81904299999999997</c:v>
                </c:pt>
                <c:pt idx="190">
                  <c:v>0.81904299999999997</c:v>
                </c:pt>
                <c:pt idx="191">
                  <c:v>0.81904299999999997</c:v>
                </c:pt>
                <c:pt idx="192">
                  <c:v>0.81904299999999997</c:v>
                </c:pt>
                <c:pt idx="193">
                  <c:v>0.81904299999999997</c:v>
                </c:pt>
                <c:pt idx="194">
                  <c:v>0.81904299999999997</c:v>
                </c:pt>
                <c:pt idx="195">
                  <c:v>0.81904299999999997</c:v>
                </c:pt>
                <c:pt idx="196">
                  <c:v>0.81904299999999997</c:v>
                </c:pt>
                <c:pt idx="197">
                  <c:v>0.81904299999999997</c:v>
                </c:pt>
                <c:pt idx="198">
                  <c:v>0.81904299999999997</c:v>
                </c:pt>
                <c:pt idx="199">
                  <c:v>0.81904299999999997</c:v>
                </c:pt>
                <c:pt idx="200">
                  <c:v>0.81904299999999997</c:v>
                </c:pt>
                <c:pt idx="201">
                  <c:v>4.4424320000000002</c:v>
                </c:pt>
                <c:pt idx="202">
                  <c:v>4.3646830000000003</c:v>
                </c:pt>
                <c:pt idx="203">
                  <c:v>4.3086669999999998</c:v>
                </c:pt>
                <c:pt idx="204">
                  <c:v>4.3060309999999999</c:v>
                </c:pt>
                <c:pt idx="205">
                  <c:v>4.3260940000000003</c:v>
                </c:pt>
                <c:pt idx="206">
                  <c:v>4.3548090000000004</c:v>
                </c:pt>
                <c:pt idx="207">
                  <c:v>4.3841850000000004</c:v>
                </c:pt>
                <c:pt idx="208">
                  <c:v>4.4110379999999996</c:v>
                </c:pt>
                <c:pt idx="209">
                  <c:v>4.4333210000000003</c:v>
                </c:pt>
                <c:pt idx="210">
                  <c:v>4.4506699999999997</c:v>
                </c:pt>
                <c:pt idx="211">
                  <c:v>4.4608129999999999</c:v>
                </c:pt>
                <c:pt idx="212">
                  <c:v>0.99595</c:v>
                </c:pt>
                <c:pt idx="213">
                  <c:v>0.94572000000000001</c:v>
                </c:pt>
                <c:pt idx="214">
                  <c:v>0.91547599999999996</c:v>
                </c:pt>
                <c:pt idx="215">
                  <c:v>0.91978700000000002</c:v>
                </c:pt>
                <c:pt idx="216">
                  <c:v>0.93675699999999995</c:v>
                </c:pt>
                <c:pt idx="217">
                  <c:v>0.95849200000000001</c:v>
                </c:pt>
                <c:pt idx="218">
                  <c:v>0.98178900000000002</c:v>
                </c:pt>
                <c:pt idx="219">
                  <c:v>1.004918</c:v>
                </c:pt>
                <c:pt idx="220">
                  <c:v>1.0272220000000001</c:v>
                </c:pt>
                <c:pt idx="221">
                  <c:v>1.048346</c:v>
                </c:pt>
                <c:pt idx="222">
                  <c:v>1.0680989999999999</c:v>
                </c:pt>
                <c:pt idx="223">
                  <c:v>1.0863700000000001</c:v>
                </c:pt>
                <c:pt idx="224">
                  <c:v>1.102994</c:v>
                </c:pt>
                <c:pt idx="225">
                  <c:v>1.11815</c:v>
                </c:pt>
                <c:pt idx="226">
                  <c:v>1.1317029999999999</c:v>
                </c:pt>
                <c:pt idx="227">
                  <c:v>1.143645</c:v>
                </c:pt>
                <c:pt idx="228">
                  <c:v>1.1539759999999999</c:v>
                </c:pt>
                <c:pt idx="229">
                  <c:v>1.1627050000000001</c:v>
                </c:pt>
                <c:pt idx="230">
                  <c:v>1.1698440000000001</c:v>
                </c:pt>
                <c:pt idx="231">
                  <c:v>1.1754119999999999</c:v>
                </c:pt>
                <c:pt idx="232">
                  <c:v>1.1794290000000001</c:v>
                </c:pt>
                <c:pt idx="233">
                  <c:v>1.181924</c:v>
                </c:pt>
                <c:pt idx="234">
                  <c:v>1.1829270000000001</c:v>
                </c:pt>
                <c:pt idx="235">
                  <c:v>1.1824730000000001</c:v>
                </c:pt>
                <c:pt idx="236">
                  <c:v>1.1806030000000001</c:v>
                </c:pt>
                <c:pt idx="237">
                  <c:v>1.177359</c:v>
                </c:pt>
                <c:pt idx="238">
                  <c:v>1.17279</c:v>
                </c:pt>
                <c:pt idx="239">
                  <c:v>1.1669480000000001</c:v>
                </c:pt>
                <c:pt idx="240">
                  <c:v>1.1598889999999999</c:v>
                </c:pt>
                <c:pt idx="241">
                  <c:v>1.1516729999999999</c:v>
                </c:pt>
                <c:pt idx="242">
                  <c:v>1.1423620000000001</c:v>
                </c:pt>
                <c:pt idx="243">
                  <c:v>1.132026</c:v>
                </c:pt>
                <c:pt idx="244">
                  <c:v>1.120733</c:v>
                </c:pt>
                <c:pt idx="245">
                  <c:v>1.1090180000000001</c:v>
                </c:pt>
                <c:pt idx="246">
                  <c:v>1.095537</c:v>
                </c:pt>
                <c:pt idx="247">
                  <c:v>1.082211</c:v>
                </c:pt>
                <c:pt idx="248">
                  <c:v>1.0674729999999999</c:v>
                </c:pt>
                <c:pt idx="249">
                  <c:v>1.0528439999999999</c:v>
                </c:pt>
                <c:pt idx="250">
                  <c:v>1.037172</c:v>
                </c:pt>
                <c:pt idx="251">
                  <c:v>1.021558</c:v>
                </c:pt>
                <c:pt idx="252">
                  <c:v>1.00529</c:v>
                </c:pt>
                <c:pt idx="253">
                  <c:v>0.98902100000000004</c:v>
                </c:pt>
                <c:pt idx="254">
                  <c:v>0.97253999999999996</c:v>
                </c:pt>
                <c:pt idx="255">
                  <c:v>0.95601000000000003</c:v>
                </c:pt>
                <c:pt idx="256">
                  <c:v>0.93948500000000001</c:v>
                </c:pt>
                <c:pt idx="257">
                  <c:v>0.92306500000000002</c:v>
                </c:pt>
                <c:pt idx="258">
                  <c:v>0.90681400000000001</c:v>
                </c:pt>
                <c:pt idx="259">
                  <c:v>0.89080899999999996</c:v>
                </c:pt>
                <c:pt idx="260">
                  <c:v>0.87511700000000003</c:v>
                </c:pt>
                <c:pt idx="261">
                  <c:v>0.85980400000000001</c:v>
                </c:pt>
                <c:pt idx="262">
                  <c:v>0.84493099999999999</c:v>
                </c:pt>
                <c:pt idx="263">
                  <c:v>0.83055599999999996</c:v>
                </c:pt>
                <c:pt idx="264">
                  <c:v>0.81672999999999996</c:v>
                </c:pt>
                <c:pt idx="265">
                  <c:v>0.80350299999999997</c:v>
                </c:pt>
                <c:pt idx="266">
                  <c:v>0.79091699999999998</c:v>
                </c:pt>
                <c:pt idx="267">
                  <c:v>0.77901200000000004</c:v>
                </c:pt>
                <c:pt idx="268">
                  <c:v>0.767822</c:v>
                </c:pt>
                <c:pt idx="269">
                  <c:v>0.75737600000000005</c:v>
                </c:pt>
                <c:pt idx="270">
                  <c:v>0.747699</c:v>
                </c:pt>
                <c:pt idx="271">
                  <c:v>0.73880900000000005</c:v>
                </c:pt>
                <c:pt idx="272">
                  <c:v>0.73072099999999995</c:v>
                </c:pt>
                <c:pt idx="273">
                  <c:v>0.72344699999999995</c:v>
                </c:pt>
                <c:pt idx="274">
                  <c:v>0.71699100000000004</c:v>
                </c:pt>
                <c:pt idx="275">
                  <c:v>0.71135400000000004</c:v>
                </c:pt>
                <c:pt idx="276">
                  <c:v>0.70653299999999997</c:v>
                </c:pt>
                <c:pt idx="277">
                  <c:v>0.70252000000000003</c:v>
                </c:pt>
                <c:pt idx="278">
                  <c:v>0.69930400000000004</c:v>
                </c:pt>
                <c:pt idx="279">
                  <c:v>0.69686899999999996</c:v>
                </c:pt>
                <c:pt idx="280">
                  <c:v>0.69519500000000001</c:v>
                </c:pt>
                <c:pt idx="281">
                  <c:v>0.69425800000000004</c:v>
                </c:pt>
                <c:pt idx="282">
                  <c:v>0.69403099999999995</c:v>
                </c:pt>
                <c:pt idx="283">
                  <c:v>0.69448299999999996</c:v>
                </c:pt>
                <c:pt idx="284">
                  <c:v>0.69557999999999998</c:v>
                </c:pt>
                <c:pt idx="285">
                  <c:v>0.69728500000000004</c:v>
                </c:pt>
                <c:pt idx="286">
                  <c:v>0.69955699999999998</c:v>
                </c:pt>
                <c:pt idx="287">
                  <c:v>0.70235300000000001</c:v>
                </c:pt>
                <c:pt idx="288">
                  <c:v>0.705627</c:v>
                </c:pt>
                <c:pt idx="289">
                  <c:v>0.70933000000000002</c:v>
                </c:pt>
                <c:pt idx="290">
                  <c:v>0.71341299999999996</c:v>
                </c:pt>
                <c:pt idx="291">
                  <c:v>0.71782299999999999</c:v>
                </c:pt>
                <c:pt idx="292">
                  <c:v>0.72250800000000004</c:v>
                </c:pt>
                <c:pt idx="293">
                  <c:v>0.72741199999999995</c:v>
                </c:pt>
                <c:pt idx="294">
                  <c:v>0.73248100000000005</c:v>
                </c:pt>
                <c:pt idx="295">
                  <c:v>0.73765899999999995</c:v>
                </c:pt>
                <c:pt idx="296">
                  <c:v>0.74289099999999997</c:v>
                </c:pt>
                <c:pt idx="297">
                  <c:v>0.74812299999999998</c:v>
                </c:pt>
                <c:pt idx="298">
                  <c:v>0.753301</c:v>
                </c:pt>
                <c:pt idx="299">
                  <c:v>0.75837200000000005</c:v>
                </c:pt>
                <c:pt idx="300">
                  <c:v>0.76328499999999999</c:v>
                </c:pt>
                <c:pt idx="301">
                  <c:v>0.76799300000000004</c:v>
                </c:pt>
                <c:pt idx="302">
                  <c:v>0.77244900000000005</c:v>
                </c:pt>
                <c:pt idx="303">
                  <c:v>0.77661000000000002</c:v>
                </c:pt>
                <c:pt idx="304">
                  <c:v>0.78043499999999999</c:v>
                </c:pt>
                <c:pt idx="305">
                  <c:v>0.783887</c:v>
                </c:pt>
                <c:pt idx="306">
                  <c:v>0.78693299999999999</c:v>
                </c:pt>
                <c:pt idx="307">
                  <c:v>0.78954400000000002</c:v>
                </c:pt>
                <c:pt idx="308">
                  <c:v>0.79169199999999995</c:v>
                </c:pt>
                <c:pt idx="309">
                  <c:v>0.79335800000000001</c:v>
                </c:pt>
                <c:pt idx="310">
                  <c:v>0.79452299999999998</c:v>
                </c:pt>
                <c:pt idx="311">
                  <c:v>0.79517300000000002</c:v>
                </c:pt>
                <c:pt idx="312">
                  <c:v>0.79530100000000004</c:v>
                </c:pt>
                <c:pt idx="313">
                  <c:v>0.79490000000000005</c:v>
                </c:pt>
                <c:pt idx="314">
                  <c:v>0.79396999999999995</c:v>
                </c:pt>
                <c:pt idx="315">
                  <c:v>0.79251499999999997</c:v>
                </c:pt>
                <c:pt idx="316">
                  <c:v>0.79054199999999997</c:v>
                </c:pt>
                <c:pt idx="317">
                  <c:v>0.78806200000000004</c:v>
                </c:pt>
                <c:pt idx="318">
                  <c:v>0.78509099999999998</c:v>
                </c:pt>
                <c:pt idx="319">
                  <c:v>0.78164599999999995</c:v>
                </c:pt>
                <c:pt idx="320">
                  <c:v>0.77775099999999997</c:v>
                </c:pt>
                <c:pt idx="321">
                  <c:v>0.77342900000000003</c:v>
                </c:pt>
                <c:pt idx="322">
                  <c:v>0.76871</c:v>
                </c:pt>
                <c:pt idx="323">
                  <c:v>0.76362300000000005</c:v>
                </c:pt>
                <c:pt idx="324">
                  <c:v>0.75820200000000004</c:v>
                </c:pt>
                <c:pt idx="325">
                  <c:v>0.75248199999999998</c:v>
                </c:pt>
                <c:pt idx="326">
                  <c:v>0.74650099999999997</c:v>
                </c:pt>
                <c:pt idx="327">
                  <c:v>0.74029699999999998</c:v>
                </c:pt>
                <c:pt idx="328">
                  <c:v>0.73391099999999998</c:v>
                </c:pt>
                <c:pt idx="329">
                  <c:v>0.72738400000000003</c:v>
                </c:pt>
                <c:pt idx="330">
                  <c:v>0.72075800000000001</c:v>
                </c:pt>
                <c:pt idx="331">
                  <c:v>0.71407500000000002</c:v>
                </c:pt>
                <c:pt idx="332">
                  <c:v>0.70737899999999998</c:v>
                </c:pt>
                <c:pt idx="333">
                  <c:v>0.70071300000000003</c:v>
                </c:pt>
                <c:pt idx="334">
                  <c:v>0.69411999999999996</c:v>
                </c:pt>
                <c:pt idx="335">
                  <c:v>0.68764099999999995</c:v>
                </c:pt>
                <c:pt idx="336">
                  <c:v>0.68131799999999998</c:v>
                </c:pt>
                <c:pt idx="337">
                  <c:v>0.67519300000000004</c:v>
                </c:pt>
                <c:pt idx="338">
                  <c:v>0.66930299999999998</c:v>
                </c:pt>
                <c:pt idx="339">
                  <c:v>0.66368799999999994</c:v>
                </c:pt>
                <c:pt idx="340">
                  <c:v>0.65854100000000004</c:v>
                </c:pt>
                <c:pt idx="341">
                  <c:v>0.65357100000000001</c:v>
                </c:pt>
                <c:pt idx="342">
                  <c:v>0.648953</c:v>
                </c:pt>
                <c:pt idx="343">
                  <c:v>0.64497800000000005</c:v>
                </c:pt>
                <c:pt idx="344">
                  <c:v>0.64115299999999997</c:v>
                </c:pt>
                <c:pt idx="345">
                  <c:v>0.63808100000000001</c:v>
                </c:pt>
                <c:pt idx="346">
                  <c:v>0.63515999999999995</c:v>
                </c:pt>
                <c:pt idx="347">
                  <c:v>0.63310999999999995</c:v>
                </c:pt>
                <c:pt idx="348">
                  <c:v>0.63117900000000005</c:v>
                </c:pt>
                <c:pt idx="349">
                  <c:v>0.63022100000000003</c:v>
                </c:pt>
                <c:pt idx="350">
                  <c:v>0.62934900000000005</c:v>
                </c:pt>
                <c:pt idx="351">
                  <c:v>0.62952900000000001</c:v>
                </c:pt>
                <c:pt idx="352">
                  <c:v>0.62976100000000002</c:v>
                </c:pt>
                <c:pt idx="353">
                  <c:v>0.63110200000000005</c:v>
                </c:pt>
                <c:pt idx="354">
                  <c:v>0.63246199999999997</c:v>
                </c:pt>
                <c:pt idx="355">
                  <c:v>0.63496600000000003</c:v>
                </c:pt>
                <c:pt idx="356">
                  <c:v>0.63745700000000005</c:v>
                </c:pt>
                <c:pt idx="357">
                  <c:v>0.64110299999999998</c:v>
                </c:pt>
                <c:pt idx="358">
                  <c:v>0.64470300000000003</c:v>
                </c:pt>
                <c:pt idx="359">
                  <c:v>0.64944900000000005</c:v>
                </c:pt>
                <c:pt idx="360">
                  <c:v>0.65411799999999998</c:v>
                </c:pt>
                <c:pt idx="361">
                  <c:v>0.65990199999999999</c:v>
                </c:pt>
                <c:pt idx="362">
                  <c:v>0.66557999999999995</c:v>
                </c:pt>
                <c:pt idx="363">
                  <c:v>0.67210899999999996</c:v>
                </c:pt>
                <c:pt idx="364">
                  <c:v>0.67902899999999999</c:v>
                </c:pt>
                <c:pt idx="365">
                  <c:v>0.68638999999999994</c:v>
                </c:pt>
                <c:pt idx="366">
                  <c:v>0.69414299999999995</c:v>
                </c:pt>
                <c:pt idx="367">
                  <c:v>0.70227099999999998</c:v>
                </c:pt>
                <c:pt idx="368">
                  <c:v>0.71073900000000001</c:v>
                </c:pt>
                <c:pt idx="369">
                  <c:v>0.71951900000000002</c:v>
                </c:pt>
                <c:pt idx="370">
                  <c:v>0.728576</c:v>
                </c:pt>
                <c:pt idx="371">
                  <c:v>0.73787999999999998</c:v>
                </c:pt>
                <c:pt idx="372">
                  <c:v>0.74739500000000003</c:v>
                </c:pt>
                <c:pt idx="373">
                  <c:v>0.75708900000000001</c:v>
                </c:pt>
                <c:pt idx="374">
                  <c:v>0.76692499999999997</c:v>
                </c:pt>
                <c:pt idx="375">
                  <c:v>0.77686999999999995</c:v>
                </c:pt>
                <c:pt idx="376">
                  <c:v>0.78688899999999995</c:v>
                </c:pt>
                <c:pt idx="377">
                  <c:v>0.79694699999999996</c:v>
                </c:pt>
                <c:pt idx="378">
                  <c:v>0.80701100000000003</c:v>
                </c:pt>
                <c:pt idx="379">
                  <c:v>0.81704699999999997</c:v>
                </c:pt>
                <c:pt idx="380">
                  <c:v>0.82702200000000003</c:v>
                </c:pt>
                <c:pt idx="381">
                  <c:v>0.83690500000000001</c:v>
                </c:pt>
                <c:pt idx="382">
                  <c:v>0.84666399999999997</c:v>
                </c:pt>
                <c:pt idx="383">
                  <c:v>0.85626899999999995</c:v>
                </c:pt>
                <c:pt idx="384">
                  <c:v>0.86569200000000002</c:v>
                </c:pt>
                <c:pt idx="385">
                  <c:v>0.87490500000000004</c:v>
                </c:pt>
                <c:pt idx="386">
                  <c:v>0.88388299999999997</c:v>
                </c:pt>
                <c:pt idx="387">
                  <c:v>0.89259999999999995</c:v>
                </c:pt>
                <c:pt idx="388">
                  <c:v>0.90103299999999997</c:v>
                </c:pt>
                <c:pt idx="389">
                  <c:v>0.90900300000000001</c:v>
                </c:pt>
                <c:pt idx="390">
                  <c:v>0.91668400000000005</c:v>
                </c:pt>
                <c:pt idx="391">
                  <c:v>0.92402499999999999</c:v>
                </c:pt>
                <c:pt idx="392">
                  <c:v>0.93100899999999998</c:v>
                </c:pt>
                <c:pt idx="393">
                  <c:v>0.93762199999999996</c:v>
                </c:pt>
                <c:pt idx="394">
                  <c:v>0.94384900000000005</c:v>
                </c:pt>
                <c:pt idx="395">
                  <c:v>0.94967999999999997</c:v>
                </c:pt>
                <c:pt idx="396">
                  <c:v>0.95510300000000004</c:v>
                </c:pt>
                <c:pt idx="397">
                  <c:v>0.96011000000000002</c:v>
                </c:pt>
                <c:pt idx="398">
                  <c:v>0.96469199999999999</c:v>
                </c:pt>
                <c:pt idx="399">
                  <c:v>0.96884300000000001</c:v>
                </c:pt>
                <c:pt idx="400">
                  <c:v>0.97255800000000003</c:v>
                </c:pt>
                <c:pt idx="401">
                  <c:v>0.97583500000000001</c:v>
                </c:pt>
                <c:pt idx="402">
                  <c:v>0.97867000000000004</c:v>
                </c:pt>
                <c:pt idx="403">
                  <c:v>0.98106300000000002</c:v>
                </c:pt>
                <c:pt idx="404">
                  <c:v>0.98301400000000005</c:v>
                </c:pt>
                <c:pt idx="405">
                  <c:v>0.98452499999999998</c:v>
                </c:pt>
                <c:pt idx="406">
                  <c:v>0.98559799999999997</c:v>
                </c:pt>
                <c:pt idx="407">
                  <c:v>0.98623700000000003</c:v>
                </c:pt>
                <c:pt idx="408">
                  <c:v>0.98644799999999999</c:v>
                </c:pt>
                <c:pt idx="409">
                  <c:v>0.98623400000000006</c:v>
                </c:pt>
                <c:pt idx="410">
                  <c:v>0.98560499999999995</c:v>
                </c:pt>
                <c:pt idx="411">
                  <c:v>0.98456699999999997</c:v>
                </c:pt>
                <c:pt idx="412">
                  <c:v>0.98312900000000003</c:v>
                </c:pt>
                <c:pt idx="413">
                  <c:v>0.98130099999999998</c:v>
                </c:pt>
                <c:pt idx="414">
                  <c:v>0.97909299999999999</c:v>
                </c:pt>
                <c:pt idx="415">
                  <c:v>0.97651699999999997</c:v>
                </c:pt>
                <c:pt idx="416">
                  <c:v>0.97376799999999997</c:v>
                </c:pt>
                <c:pt idx="417">
                  <c:v>0.97029699999999997</c:v>
                </c:pt>
                <c:pt idx="418">
                  <c:v>0.96687199999999995</c:v>
                </c:pt>
                <c:pt idx="419">
                  <c:v>0.96275699999999997</c:v>
                </c:pt>
                <c:pt idx="420">
                  <c:v>0.958704</c:v>
                </c:pt>
                <c:pt idx="421">
                  <c:v>0.95400300000000005</c:v>
                </c:pt>
                <c:pt idx="422">
                  <c:v>0.94937899999999997</c:v>
                </c:pt>
                <c:pt idx="423">
                  <c:v>0.94415700000000002</c:v>
                </c:pt>
                <c:pt idx="424">
                  <c:v>0.93902200000000002</c:v>
                </c:pt>
                <c:pt idx="425">
                  <c:v>0.93344800000000006</c:v>
                </c:pt>
                <c:pt idx="426">
                  <c:v>0.92771099999999995</c:v>
                </c:pt>
                <c:pt idx="427">
                  <c:v>0.92177200000000004</c:v>
                </c:pt>
                <c:pt idx="428">
                  <c:v>0.91566599999999998</c:v>
                </c:pt>
                <c:pt idx="429">
                  <c:v>0.90940299999999996</c:v>
                </c:pt>
                <c:pt idx="430">
                  <c:v>0.90300400000000003</c:v>
                </c:pt>
                <c:pt idx="431">
                  <c:v>0.89648499999999998</c:v>
                </c:pt>
                <c:pt idx="432">
                  <c:v>0.88986600000000005</c:v>
                </c:pt>
                <c:pt idx="433">
                  <c:v>0.88316399999999995</c:v>
                </c:pt>
                <c:pt idx="434">
                  <c:v>0.87639699999999998</c:v>
                </c:pt>
                <c:pt idx="435">
                  <c:v>0.86958299999999999</c:v>
                </c:pt>
                <c:pt idx="436">
                  <c:v>0.86273900000000003</c:v>
                </c:pt>
                <c:pt idx="437">
                  <c:v>0.85588299999999995</c:v>
                </c:pt>
                <c:pt idx="438">
                  <c:v>0.84903200000000001</c:v>
                </c:pt>
                <c:pt idx="439">
                  <c:v>0.84220200000000001</c:v>
                </c:pt>
                <c:pt idx="440">
                  <c:v>0.83540999999999999</c:v>
                </c:pt>
                <c:pt idx="441">
                  <c:v>0.82867199999999996</c:v>
                </c:pt>
                <c:pt idx="442">
                  <c:v>0.82200300000000004</c:v>
                </c:pt>
                <c:pt idx="443">
                  <c:v>0.81541799999999998</c:v>
                </c:pt>
                <c:pt idx="444">
                  <c:v>0.80893199999999998</c:v>
                </c:pt>
                <c:pt idx="445">
                  <c:v>0.80255699999999996</c:v>
                </c:pt>
                <c:pt idx="446">
                  <c:v>0.79630900000000004</c:v>
                </c:pt>
                <c:pt idx="447">
                  <c:v>0.79019899999999998</c:v>
                </c:pt>
                <c:pt idx="448">
                  <c:v>0.78423900000000002</c:v>
                </c:pt>
                <c:pt idx="449">
                  <c:v>0.77844100000000005</c:v>
                </c:pt>
                <c:pt idx="450">
                  <c:v>0.77281599999999995</c:v>
                </c:pt>
                <c:pt idx="451">
                  <c:v>0.76737299999999997</c:v>
                </c:pt>
                <c:pt idx="452">
                  <c:v>0.76212299999999999</c:v>
                </c:pt>
                <c:pt idx="453">
                  <c:v>0.757073</c:v>
                </c:pt>
                <c:pt idx="454">
                  <c:v>0.75223300000000004</c:v>
                </c:pt>
                <c:pt idx="455">
                  <c:v>0.74761</c:v>
                </c:pt>
                <c:pt idx="456">
                  <c:v>0.74320900000000001</c:v>
                </c:pt>
                <c:pt idx="457">
                  <c:v>0.739039</c:v>
                </c:pt>
                <c:pt idx="458">
                  <c:v>0.73510200000000003</c:v>
                </c:pt>
                <c:pt idx="459">
                  <c:v>0.731406</c:v>
                </c:pt>
                <c:pt idx="460">
                  <c:v>0.72795200000000004</c:v>
                </c:pt>
                <c:pt idx="461">
                  <c:v>0.724746</c:v>
                </c:pt>
                <c:pt idx="462">
                  <c:v>0.72178799999999999</c:v>
                </c:pt>
                <c:pt idx="463">
                  <c:v>0.71908300000000003</c:v>
                </c:pt>
                <c:pt idx="464">
                  <c:v>0.71662999999999999</c:v>
                </c:pt>
                <c:pt idx="465">
                  <c:v>0.71443000000000001</c:v>
                </c:pt>
                <c:pt idx="466">
                  <c:v>0.71248500000000003</c:v>
                </c:pt>
                <c:pt idx="467">
                  <c:v>0.71079199999999998</c:v>
                </c:pt>
                <c:pt idx="468">
                  <c:v>0.70935099999999995</c:v>
                </c:pt>
                <c:pt idx="469">
                  <c:v>0.70816100000000004</c:v>
                </c:pt>
                <c:pt idx="470">
                  <c:v>0.70721800000000001</c:v>
                </c:pt>
                <c:pt idx="471">
                  <c:v>0.70652000000000004</c:v>
                </c:pt>
                <c:pt idx="472">
                  <c:v>0.70606400000000002</c:v>
                </c:pt>
                <c:pt idx="473">
                  <c:v>0.70584499999999994</c:v>
                </c:pt>
                <c:pt idx="474">
                  <c:v>0.70585900000000001</c:v>
                </c:pt>
                <c:pt idx="475">
                  <c:v>0.70610099999999998</c:v>
                </c:pt>
                <c:pt idx="476">
                  <c:v>0.706565</c:v>
                </c:pt>
                <c:pt idx="477">
                  <c:v>0.70724600000000004</c:v>
                </c:pt>
                <c:pt idx="478">
                  <c:v>0.70813700000000002</c:v>
                </c:pt>
                <c:pt idx="479">
                  <c:v>0.70923099999999994</c:v>
                </c:pt>
                <c:pt idx="480">
                  <c:v>0.71052099999999996</c:v>
                </c:pt>
                <c:pt idx="481">
                  <c:v>0.71199999999999997</c:v>
                </c:pt>
                <c:pt idx="482">
                  <c:v>0.71365900000000004</c:v>
                </c:pt>
                <c:pt idx="483">
                  <c:v>0.71548999999999996</c:v>
                </c:pt>
                <c:pt idx="484">
                  <c:v>0.71748400000000001</c:v>
                </c:pt>
                <c:pt idx="485">
                  <c:v>0.719634</c:v>
                </c:pt>
                <c:pt idx="486">
                  <c:v>0.72192900000000004</c:v>
                </c:pt>
                <c:pt idx="487">
                  <c:v>0.72436100000000003</c:v>
                </c:pt>
                <c:pt idx="488">
                  <c:v>0.72692000000000001</c:v>
                </c:pt>
                <c:pt idx="489">
                  <c:v>0.72959600000000002</c:v>
                </c:pt>
                <c:pt idx="490">
                  <c:v>0.73238099999999995</c:v>
                </c:pt>
                <c:pt idx="491">
                  <c:v>0.73526400000000003</c:v>
                </c:pt>
                <c:pt idx="492">
                  <c:v>0.738236</c:v>
                </c:pt>
                <c:pt idx="493">
                  <c:v>0.74128700000000003</c:v>
                </c:pt>
                <c:pt idx="494">
                  <c:v>0.74440799999999996</c:v>
                </c:pt>
                <c:pt idx="495">
                  <c:v>0.74758800000000003</c:v>
                </c:pt>
                <c:pt idx="496">
                  <c:v>0.75081900000000001</c:v>
                </c:pt>
                <c:pt idx="497">
                  <c:v>0.75409099999999996</c:v>
                </c:pt>
                <c:pt idx="498">
                  <c:v>0.75739599999999996</c:v>
                </c:pt>
                <c:pt idx="499">
                  <c:v>0.76072300000000004</c:v>
                </c:pt>
                <c:pt idx="500">
                  <c:v>0.76406499999999999</c:v>
                </c:pt>
                <c:pt idx="501">
                  <c:v>0.76741400000000004</c:v>
                </c:pt>
                <c:pt idx="502">
                  <c:v>0.77076</c:v>
                </c:pt>
                <c:pt idx="503">
                  <c:v>0.77409700000000004</c:v>
                </c:pt>
                <c:pt idx="504">
                  <c:v>0.77741700000000002</c:v>
                </c:pt>
                <c:pt idx="505">
                  <c:v>0.78071299999999999</c:v>
                </c:pt>
                <c:pt idx="506">
                  <c:v>0.78397899999999998</c:v>
                </c:pt>
                <c:pt idx="507">
                  <c:v>0.78720699999999999</c:v>
                </c:pt>
                <c:pt idx="508">
                  <c:v>0.79039300000000001</c:v>
                </c:pt>
                <c:pt idx="509">
                  <c:v>0.79353099999999999</c:v>
                </c:pt>
                <c:pt idx="510">
                  <c:v>0.79661599999999999</c:v>
                </c:pt>
                <c:pt idx="511">
                  <c:v>0.79964400000000002</c:v>
                </c:pt>
                <c:pt idx="512">
                  <c:v>0.80261000000000005</c:v>
                </c:pt>
                <c:pt idx="513">
                  <c:v>0.80551200000000001</c:v>
                </c:pt>
                <c:pt idx="514">
                  <c:v>0.80834499999999998</c:v>
                </c:pt>
                <c:pt idx="515">
                  <c:v>0.81110800000000005</c:v>
                </c:pt>
                <c:pt idx="516">
                  <c:v>0.81379699999999999</c:v>
                </c:pt>
                <c:pt idx="517">
                  <c:v>0.81641300000000006</c:v>
                </c:pt>
                <c:pt idx="518">
                  <c:v>0.81895200000000001</c:v>
                </c:pt>
                <c:pt idx="519">
                  <c:v>0.82141399999999998</c:v>
                </c:pt>
                <c:pt idx="520">
                  <c:v>0.82379899999999995</c:v>
                </c:pt>
                <c:pt idx="521">
                  <c:v>0.82610700000000004</c:v>
                </c:pt>
                <c:pt idx="522">
                  <c:v>0.82833699999999999</c:v>
                </c:pt>
                <c:pt idx="523">
                  <c:v>0.83049099999999998</c:v>
                </c:pt>
                <c:pt idx="524">
                  <c:v>0.83256799999999997</c:v>
                </c:pt>
                <c:pt idx="525">
                  <c:v>0.83457199999999998</c:v>
                </c:pt>
                <c:pt idx="526">
                  <c:v>0.83650199999999997</c:v>
                </c:pt>
                <c:pt idx="527">
                  <c:v>0.83836200000000005</c:v>
                </c:pt>
                <c:pt idx="528">
                  <c:v>0.84015200000000001</c:v>
                </c:pt>
                <c:pt idx="529">
                  <c:v>0.84187400000000001</c:v>
                </c:pt>
                <c:pt idx="530">
                  <c:v>0.84353199999999995</c:v>
                </c:pt>
                <c:pt idx="531">
                  <c:v>0.84512799999999999</c:v>
                </c:pt>
                <c:pt idx="532">
                  <c:v>0.84666399999999997</c:v>
                </c:pt>
                <c:pt idx="533">
                  <c:v>0.84814299999999998</c:v>
                </c:pt>
                <c:pt idx="534">
                  <c:v>0.84956799999999999</c:v>
                </c:pt>
                <c:pt idx="535">
                  <c:v>0.85094000000000003</c:v>
                </c:pt>
                <c:pt idx="536">
                  <c:v>0.85226500000000005</c:v>
                </c:pt>
                <c:pt idx="537">
                  <c:v>0.85354300000000005</c:v>
                </c:pt>
                <c:pt idx="538">
                  <c:v>0.85477700000000001</c:v>
                </c:pt>
                <c:pt idx="539">
                  <c:v>0.85597100000000004</c:v>
                </c:pt>
                <c:pt idx="540">
                  <c:v>0.85712600000000005</c:v>
                </c:pt>
                <c:pt idx="541">
                  <c:v>0.85824599999999995</c:v>
                </c:pt>
                <c:pt idx="542">
                  <c:v>0.85933199999999998</c:v>
                </c:pt>
                <c:pt idx="543">
                  <c:v>0.86038599999999998</c:v>
                </c:pt>
                <c:pt idx="544">
                  <c:v>0.86141100000000004</c:v>
                </c:pt>
                <c:pt idx="545">
                  <c:v>0.86240700000000003</c:v>
                </c:pt>
                <c:pt idx="546">
                  <c:v>0.86337699999999995</c:v>
                </c:pt>
                <c:pt idx="547">
                  <c:v>0.86432200000000003</c:v>
                </c:pt>
                <c:pt idx="548">
                  <c:v>0.86524299999999998</c:v>
                </c:pt>
                <c:pt idx="549">
                  <c:v>0.86614100000000005</c:v>
                </c:pt>
                <c:pt idx="550">
                  <c:v>0.86701600000000001</c:v>
                </c:pt>
                <c:pt idx="551">
                  <c:v>0.867869</c:v>
                </c:pt>
                <c:pt idx="552">
                  <c:v>0.86870000000000003</c:v>
                </c:pt>
                <c:pt idx="553">
                  <c:v>0.86950899999999998</c:v>
                </c:pt>
                <c:pt idx="554">
                  <c:v>0.87029500000000004</c:v>
                </c:pt>
                <c:pt idx="555">
                  <c:v>0.87105699999999997</c:v>
                </c:pt>
                <c:pt idx="556">
                  <c:v>0.87179600000000002</c:v>
                </c:pt>
                <c:pt idx="557">
                  <c:v>0.87250899999999998</c:v>
                </c:pt>
                <c:pt idx="558">
                  <c:v>0.87319599999999997</c:v>
                </c:pt>
                <c:pt idx="559">
                  <c:v>0.87385500000000005</c:v>
                </c:pt>
                <c:pt idx="560">
                  <c:v>0.87448400000000004</c:v>
                </c:pt>
                <c:pt idx="561">
                  <c:v>0.875081</c:v>
                </c:pt>
                <c:pt idx="562">
                  <c:v>0.87564500000000001</c:v>
                </c:pt>
                <c:pt idx="563">
                  <c:v>0.87617199999999995</c:v>
                </c:pt>
                <c:pt idx="564">
                  <c:v>0.87666100000000002</c:v>
                </c:pt>
                <c:pt idx="565">
                  <c:v>0.87710900000000003</c:v>
                </c:pt>
                <c:pt idx="566">
                  <c:v>0.87751299999999999</c:v>
                </c:pt>
                <c:pt idx="567">
                  <c:v>0.87787099999999996</c:v>
                </c:pt>
                <c:pt idx="568">
                  <c:v>0.87817999999999996</c:v>
                </c:pt>
                <c:pt idx="569">
                  <c:v>0.87843700000000002</c:v>
                </c:pt>
                <c:pt idx="570">
                  <c:v>0.87863899999999995</c:v>
                </c:pt>
                <c:pt idx="571">
                  <c:v>0.87878299999999998</c:v>
                </c:pt>
                <c:pt idx="572">
                  <c:v>0.87886600000000004</c:v>
                </c:pt>
                <c:pt idx="573">
                  <c:v>0.87888599999999995</c:v>
                </c:pt>
                <c:pt idx="574">
                  <c:v>0.87883999999999995</c:v>
                </c:pt>
                <c:pt idx="575">
                  <c:v>0.87872399999999995</c:v>
                </c:pt>
                <c:pt idx="576">
                  <c:v>0.87853700000000001</c:v>
                </c:pt>
                <c:pt idx="577">
                  <c:v>0.87827500000000003</c:v>
                </c:pt>
                <c:pt idx="578">
                  <c:v>0.87793699999999997</c:v>
                </c:pt>
                <c:pt idx="579">
                  <c:v>0.87751900000000005</c:v>
                </c:pt>
                <c:pt idx="580">
                  <c:v>0.87702100000000005</c:v>
                </c:pt>
                <c:pt idx="581">
                  <c:v>0.87643800000000005</c:v>
                </c:pt>
                <c:pt idx="582">
                  <c:v>0.87577099999999997</c:v>
                </c:pt>
                <c:pt idx="583">
                  <c:v>0.87501700000000004</c:v>
                </c:pt>
                <c:pt idx="584">
                  <c:v>0.87417500000000004</c:v>
                </c:pt>
                <c:pt idx="585">
                  <c:v>0.87324299999999999</c:v>
                </c:pt>
                <c:pt idx="586">
                  <c:v>0.87222100000000002</c:v>
                </c:pt>
                <c:pt idx="587">
                  <c:v>0.87110699999999996</c:v>
                </c:pt>
                <c:pt idx="588">
                  <c:v>0.86990199999999995</c:v>
                </c:pt>
                <c:pt idx="589">
                  <c:v>0.86860499999999996</c:v>
                </c:pt>
                <c:pt idx="590">
                  <c:v>0.86721499999999996</c:v>
                </c:pt>
                <c:pt idx="591">
                  <c:v>0.865734</c:v>
                </c:pt>
                <c:pt idx="592">
                  <c:v>0.86416199999999999</c:v>
                </c:pt>
                <c:pt idx="593">
                  <c:v>0.86249900000000002</c:v>
                </c:pt>
                <c:pt idx="594">
                  <c:v>0.86074600000000001</c:v>
                </c:pt>
                <c:pt idx="595">
                  <c:v>0.85890500000000003</c:v>
                </c:pt>
                <c:pt idx="596">
                  <c:v>0.85697699999999999</c:v>
                </c:pt>
                <c:pt idx="597">
                  <c:v>0.85496499999999997</c:v>
                </c:pt>
                <c:pt idx="598">
                  <c:v>0.85286899999999999</c:v>
                </c:pt>
                <c:pt idx="599">
                  <c:v>0.85069300000000003</c:v>
                </c:pt>
                <c:pt idx="600">
                  <c:v>0.84843800000000003</c:v>
                </c:pt>
                <c:pt idx="601">
                  <c:v>0.846109</c:v>
                </c:pt>
                <c:pt idx="602">
                  <c:v>0.84370699999999998</c:v>
                </c:pt>
                <c:pt idx="603">
                  <c:v>0.84123599999999998</c:v>
                </c:pt>
                <c:pt idx="604">
                  <c:v>0.83869899999999997</c:v>
                </c:pt>
                <c:pt idx="605">
                  <c:v>0.83610099999999998</c:v>
                </c:pt>
                <c:pt idx="606">
                  <c:v>0.83344600000000002</c:v>
                </c:pt>
                <c:pt idx="607">
                  <c:v>0.83073600000000003</c:v>
                </c:pt>
                <c:pt idx="608">
                  <c:v>0.82797699999999996</c:v>
                </c:pt>
                <c:pt idx="609">
                  <c:v>0.82517399999999996</c:v>
                </c:pt>
                <c:pt idx="610">
                  <c:v>0.82233100000000003</c:v>
                </c:pt>
                <c:pt idx="611">
                  <c:v>0.81945199999999996</c:v>
                </c:pt>
                <c:pt idx="612">
                  <c:v>0.81654400000000005</c:v>
                </c:pt>
                <c:pt idx="613">
                  <c:v>0.81361099999999997</c:v>
                </c:pt>
                <c:pt idx="614">
                  <c:v>0.81065900000000002</c:v>
                </c:pt>
                <c:pt idx="615">
                  <c:v>0.80769299999999999</c:v>
                </c:pt>
                <c:pt idx="616">
                  <c:v>0.80471899999999996</c:v>
                </c:pt>
                <c:pt idx="617">
                  <c:v>0.80174400000000001</c:v>
                </c:pt>
                <c:pt idx="618">
                  <c:v>0.79877100000000001</c:v>
                </c:pt>
                <c:pt idx="619">
                  <c:v>0.79580899999999999</c:v>
                </c:pt>
                <c:pt idx="620">
                  <c:v>0.79286299999999998</c:v>
                </c:pt>
                <c:pt idx="621">
                  <c:v>0.78993899999999995</c:v>
                </c:pt>
                <c:pt idx="622">
                  <c:v>0.78704399999999997</c:v>
                </c:pt>
                <c:pt idx="623">
                  <c:v>0.78418299999999996</c:v>
                </c:pt>
                <c:pt idx="624">
                  <c:v>0.78136399999999995</c:v>
                </c:pt>
                <c:pt idx="625">
                  <c:v>0.77859299999999998</c:v>
                </c:pt>
                <c:pt idx="626">
                  <c:v>0.77587600000000001</c:v>
                </c:pt>
                <c:pt idx="627">
                  <c:v>0.77322000000000002</c:v>
                </c:pt>
                <c:pt idx="628">
                  <c:v>0.77063099999999995</c:v>
                </c:pt>
                <c:pt idx="629">
                  <c:v>0.76811600000000002</c:v>
                </c:pt>
                <c:pt idx="630">
                  <c:v>0.76568099999999994</c:v>
                </c:pt>
                <c:pt idx="631">
                  <c:v>0.76333300000000004</c:v>
                </c:pt>
                <c:pt idx="632">
                  <c:v>0.76107800000000003</c:v>
                </c:pt>
                <c:pt idx="633">
                  <c:v>0.75892099999999996</c:v>
                </c:pt>
                <c:pt idx="634">
                  <c:v>0.75687000000000004</c:v>
                </c:pt>
                <c:pt idx="635">
                  <c:v>0.75492899999999996</c:v>
                </c:pt>
                <c:pt idx="636">
                  <c:v>0.75310500000000002</c:v>
                </c:pt>
                <c:pt idx="637">
                  <c:v>0.75140399999999996</c:v>
                </c:pt>
                <c:pt idx="638">
                  <c:v>0.74982899999999997</c:v>
                </c:pt>
                <c:pt idx="639">
                  <c:v>0.74838800000000005</c:v>
                </c:pt>
                <c:pt idx="640">
                  <c:v>0.74708300000000005</c:v>
                </c:pt>
                <c:pt idx="641">
                  <c:v>0.74592099999999995</c:v>
                </c:pt>
                <c:pt idx="642">
                  <c:v>0.74490500000000004</c:v>
                </c:pt>
                <c:pt idx="643">
                  <c:v>0.74403900000000001</c:v>
                </c:pt>
                <c:pt idx="644">
                  <c:v>0.74332600000000004</c:v>
                </c:pt>
                <c:pt idx="645">
                  <c:v>0.74277099999999996</c:v>
                </c:pt>
                <c:pt idx="646">
                  <c:v>0.74237500000000001</c:v>
                </c:pt>
                <c:pt idx="647">
                  <c:v>0.74214199999999997</c:v>
                </c:pt>
                <c:pt idx="648">
                  <c:v>0.74207199999999995</c:v>
                </c:pt>
                <c:pt idx="649">
                  <c:v>0.74216800000000005</c:v>
                </c:pt>
                <c:pt idx="650">
                  <c:v>0.74243099999999995</c:v>
                </c:pt>
                <c:pt idx="651">
                  <c:v>0.74286200000000002</c:v>
                </c:pt>
                <c:pt idx="652">
                  <c:v>0.74346000000000001</c:v>
                </c:pt>
                <c:pt idx="653">
                  <c:v>0.74422500000000003</c:v>
                </c:pt>
                <c:pt idx="654">
                  <c:v>0.74515699999999996</c:v>
                </c:pt>
                <c:pt idx="655">
                  <c:v>0.74625399999999997</c:v>
                </c:pt>
                <c:pt idx="656">
                  <c:v>0.74751500000000004</c:v>
                </c:pt>
                <c:pt idx="657">
                  <c:v>0.74893600000000005</c:v>
                </c:pt>
                <c:pt idx="658">
                  <c:v>0.75051599999999996</c:v>
                </c:pt>
                <c:pt idx="659">
                  <c:v>0.75224999999999997</c:v>
                </c:pt>
                <c:pt idx="660">
                  <c:v>0.75413600000000003</c:v>
                </c:pt>
                <c:pt idx="661">
                  <c:v>0.75616899999999998</c:v>
                </c:pt>
                <c:pt idx="662">
                  <c:v>0.75834299999999999</c:v>
                </c:pt>
                <c:pt idx="663">
                  <c:v>0.76065499999999997</c:v>
                </c:pt>
                <c:pt idx="664">
                  <c:v>0.76309800000000005</c:v>
                </c:pt>
                <c:pt idx="665">
                  <c:v>0.76566599999999996</c:v>
                </c:pt>
                <c:pt idx="666">
                  <c:v>0.76835299999999995</c:v>
                </c:pt>
                <c:pt idx="667">
                  <c:v>0.77115199999999995</c:v>
                </c:pt>
                <c:pt idx="668">
                  <c:v>0.77405599999999997</c:v>
                </c:pt>
                <c:pt idx="669">
                  <c:v>0.77705599999999997</c:v>
                </c:pt>
                <c:pt idx="670">
                  <c:v>0.78014600000000001</c:v>
                </c:pt>
                <c:pt idx="671">
                  <c:v>0.78331700000000004</c:v>
                </c:pt>
                <c:pt idx="672">
                  <c:v>0.78656000000000004</c:v>
                </c:pt>
                <c:pt idx="673">
                  <c:v>0.78986699999999999</c:v>
                </c:pt>
                <c:pt idx="674">
                  <c:v>0.79322899999999996</c:v>
                </c:pt>
                <c:pt idx="675">
                  <c:v>0.79663700000000004</c:v>
                </c:pt>
                <c:pt idx="676">
                  <c:v>0.80008199999999996</c:v>
                </c:pt>
                <c:pt idx="677">
                  <c:v>0.80355399999999999</c:v>
                </c:pt>
                <c:pt idx="678">
                  <c:v>0.80704500000000001</c:v>
                </c:pt>
                <c:pt idx="679">
                  <c:v>0.81054400000000004</c:v>
                </c:pt>
                <c:pt idx="680">
                  <c:v>0.81404200000000004</c:v>
                </c:pt>
                <c:pt idx="681">
                  <c:v>0.81753100000000001</c:v>
                </c:pt>
                <c:pt idx="682">
                  <c:v>0.82099999999999995</c:v>
                </c:pt>
                <c:pt idx="683">
                  <c:v>0.82443999999999995</c:v>
                </c:pt>
                <c:pt idx="684">
                  <c:v>0.82784199999999997</c:v>
                </c:pt>
                <c:pt idx="685">
                  <c:v>0.83119799999999999</c:v>
                </c:pt>
                <c:pt idx="686">
                  <c:v>0.83449899999999999</c:v>
                </c:pt>
                <c:pt idx="687">
                  <c:v>0.83773500000000001</c:v>
                </c:pt>
                <c:pt idx="688">
                  <c:v>0.84089899999999995</c:v>
                </c:pt>
                <c:pt idx="689">
                  <c:v>0.84398200000000001</c:v>
                </c:pt>
                <c:pt idx="690">
                  <c:v>0.84697800000000001</c:v>
                </c:pt>
                <c:pt idx="691">
                  <c:v>0.84987800000000002</c:v>
                </c:pt>
                <c:pt idx="692">
                  <c:v>0.85267499999999996</c:v>
                </c:pt>
                <c:pt idx="693">
                  <c:v>0.85536299999999998</c:v>
                </c:pt>
                <c:pt idx="694">
                  <c:v>0.857935</c:v>
                </c:pt>
                <c:pt idx="695">
                  <c:v>0.86038599999999998</c:v>
                </c:pt>
                <c:pt idx="696">
                  <c:v>0.86270999999999998</c:v>
                </c:pt>
                <c:pt idx="697">
                  <c:v>0.86490100000000003</c:v>
                </c:pt>
                <c:pt idx="698">
                  <c:v>0.86695699999999998</c:v>
                </c:pt>
                <c:pt idx="699">
                  <c:v>0.86887099999999995</c:v>
                </c:pt>
                <c:pt idx="700">
                  <c:v>0.870641</c:v>
                </c:pt>
                <c:pt idx="701">
                  <c:v>0.87226400000000004</c:v>
                </c:pt>
                <c:pt idx="702">
                  <c:v>0.87373699999999999</c:v>
                </c:pt>
                <c:pt idx="703">
                  <c:v>0.875058</c:v>
                </c:pt>
                <c:pt idx="704">
                  <c:v>0.87622599999999995</c:v>
                </c:pt>
                <c:pt idx="705">
                  <c:v>0.87723799999999996</c:v>
                </c:pt>
                <c:pt idx="706">
                  <c:v>0.87809599999999999</c:v>
                </c:pt>
                <c:pt idx="707">
                  <c:v>0.87879700000000005</c:v>
                </c:pt>
                <c:pt idx="708">
                  <c:v>0.87934400000000001</c:v>
                </c:pt>
                <c:pt idx="709">
                  <c:v>0.87973699999999999</c:v>
                </c:pt>
                <c:pt idx="710">
                  <c:v>0.87997800000000004</c:v>
                </c:pt>
                <c:pt idx="711">
                  <c:v>0.88006700000000004</c:v>
                </c:pt>
                <c:pt idx="712">
                  <c:v>0.88000900000000004</c:v>
                </c:pt>
                <c:pt idx="713">
                  <c:v>0.87980499999999995</c:v>
                </c:pt>
                <c:pt idx="714">
                  <c:v>0.87945899999999999</c:v>
                </c:pt>
                <c:pt idx="715">
                  <c:v>0.87897400000000003</c:v>
                </c:pt>
                <c:pt idx="716">
                  <c:v>0.87835399999999997</c:v>
                </c:pt>
                <c:pt idx="717">
                  <c:v>0.87760499999999997</c:v>
                </c:pt>
                <c:pt idx="718">
                  <c:v>0.87673100000000004</c:v>
                </c:pt>
                <c:pt idx="719">
                  <c:v>0.87573599999999996</c:v>
                </c:pt>
                <c:pt idx="720">
                  <c:v>0.87462700000000004</c:v>
                </c:pt>
                <c:pt idx="721">
                  <c:v>0.87340899999999999</c:v>
                </c:pt>
                <c:pt idx="722">
                  <c:v>0.87208799999999997</c:v>
                </c:pt>
                <c:pt idx="723">
                  <c:v>0.87067000000000005</c:v>
                </c:pt>
                <c:pt idx="724">
                  <c:v>0.86916199999999999</c:v>
                </c:pt>
                <c:pt idx="725">
                  <c:v>0.86756999999999995</c:v>
                </c:pt>
                <c:pt idx="726">
                  <c:v>0.86590100000000003</c:v>
                </c:pt>
                <c:pt idx="727">
                  <c:v>0.86416199999999999</c:v>
                </c:pt>
                <c:pt idx="728">
                  <c:v>0.86236000000000002</c:v>
                </c:pt>
                <c:pt idx="729">
                  <c:v>0.86050099999999996</c:v>
                </c:pt>
                <c:pt idx="730">
                  <c:v>0.85859300000000005</c:v>
                </c:pt>
                <c:pt idx="731">
                  <c:v>0.85664200000000001</c:v>
                </c:pt>
                <c:pt idx="732">
                  <c:v>0.85465599999999997</c:v>
                </c:pt>
                <c:pt idx="733">
                  <c:v>0.85264200000000001</c:v>
                </c:pt>
                <c:pt idx="734">
                  <c:v>0.85060500000000006</c:v>
                </c:pt>
                <c:pt idx="735">
                  <c:v>0.848553</c:v>
                </c:pt>
                <c:pt idx="736">
                  <c:v>0.84649300000000005</c:v>
                </c:pt>
                <c:pt idx="737">
                  <c:v>0.84443000000000001</c:v>
                </c:pt>
                <c:pt idx="738">
                  <c:v>0.84236999999999995</c:v>
                </c:pt>
                <c:pt idx="739">
                  <c:v>0.84031999999999996</c:v>
                </c:pt>
                <c:pt idx="740">
                  <c:v>0.83828599999999998</c:v>
                </c:pt>
                <c:pt idx="741">
                  <c:v>0.83627099999999999</c:v>
                </c:pt>
                <c:pt idx="742">
                  <c:v>0.834283</c:v>
                </c:pt>
                <c:pt idx="743">
                  <c:v>0.83232399999999995</c:v>
                </c:pt>
                <c:pt idx="744">
                  <c:v>0.83040099999999994</c:v>
                </c:pt>
                <c:pt idx="745">
                  <c:v>0.82851699999999995</c:v>
                </c:pt>
                <c:pt idx="746">
                  <c:v>0.82667500000000005</c:v>
                </c:pt>
                <c:pt idx="747">
                  <c:v>0.82488099999999998</c:v>
                </c:pt>
                <c:pt idx="748">
                  <c:v>0.82313499999999995</c:v>
                </c:pt>
                <c:pt idx="749">
                  <c:v>0.82144300000000003</c:v>
                </c:pt>
                <c:pt idx="750">
                  <c:v>0.81980500000000001</c:v>
                </c:pt>
                <c:pt idx="751">
                  <c:v>0.81822399999999995</c:v>
                </c:pt>
                <c:pt idx="752">
                  <c:v>0.81670200000000004</c:v>
                </c:pt>
                <c:pt idx="753">
                  <c:v>0.81524099999999999</c:v>
                </c:pt>
                <c:pt idx="754">
                  <c:v>0.81384000000000001</c:v>
                </c:pt>
                <c:pt idx="755">
                  <c:v>0.81250199999999995</c:v>
                </c:pt>
                <c:pt idx="756">
                  <c:v>0.81122700000000003</c:v>
                </c:pt>
                <c:pt idx="757">
                  <c:v>0.81001299999999998</c:v>
                </c:pt>
                <c:pt idx="758">
                  <c:v>0.808863</c:v>
                </c:pt>
                <c:pt idx="759">
                  <c:v>0.80777399999999999</c:v>
                </c:pt>
                <c:pt idx="760">
                  <c:v>0.80674599999999996</c:v>
                </c:pt>
                <c:pt idx="761">
                  <c:v>0.80577799999999999</c:v>
                </c:pt>
                <c:pt idx="762">
                  <c:v>0.80486899999999995</c:v>
                </c:pt>
                <c:pt idx="763">
                  <c:v>0.80401699999999998</c:v>
                </c:pt>
                <c:pt idx="764">
                  <c:v>0.80322099999999996</c:v>
                </c:pt>
                <c:pt idx="765">
                  <c:v>0.802477</c:v>
                </c:pt>
                <c:pt idx="766">
                  <c:v>0.80178499999999997</c:v>
                </c:pt>
                <c:pt idx="767">
                  <c:v>0.80114200000000002</c:v>
                </c:pt>
                <c:pt idx="768">
                  <c:v>0.80054599999999998</c:v>
                </c:pt>
                <c:pt idx="769">
                  <c:v>0.79999299999999995</c:v>
                </c:pt>
                <c:pt idx="770">
                  <c:v>0.79948200000000003</c:v>
                </c:pt>
                <c:pt idx="771">
                  <c:v>0.79900800000000005</c:v>
                </c:pt>
                <c:pt idx="772">
                  <c:v>0.79857100000000003</c:v>
                </c:pt>
                <c:pt idx="773">
                  <c:v>0.79816600000000004</c:v>
                </c:pt>
                <c:pt idx="774">
                  <c:v>0.79779100000000003</c:v>
                </c:pt>
                <c:pt idx="775">
                  <c:v>0.79744300000000001</c:v>
                </c:pt>
                <c:pt idx="776">
                  <c:v>0.79711900000000002</c:v>
                </c:pt>
                <c:pt idx="777">
                  <c:v>0.79681599999999997</c:v>
                </c:pt>
                <c:pt idx="778">
                  <c:v>0.79653200000000002</c:v>
                </c:pt>
                <c:pt idx="779">
                  <c:v>0.79626399999999997</c:v>
                </c:pt>
                <c:pt idx="780">
                  <c:v>0.79600800000000005</c:v>
                </c:pt>
                <c:pt idx="781">
                  <c:v>0.79576400000000003</c:v>
                </c:pt>
                <c:pt idx="782">
                  <c:v>0.79552699999999998</c:v>
                </c:pt>
                <c:pt idx="783">
                  <c:v>0.79529700000000003</c:v>
                </c:pt>
                <c:pt idx="784">
                  <c:v>0.79507099999999997</c:v>
                </c:pt>
                <c:pt idx="785">
                  <c:v>0.79484699999999997</c:v>
                </c:pt>
                <c:pt idx="786">
                  <c:v>0.794624</c:v>
                </c:pt>
                <c:pt idx="787">
                  <c:v>0.7944</c:v>
                </c:pt>
                <c:pt idx="788">
                  <c:v>0.79417300000000002</c:v>
                </c:pt>
                <c:pt idx="789">
                  <c:v>0.79394399999999998</c:v>
                </c:pt>
                <c:pt idx="790">
                  <c:v>0.79371000000000003</c:v>
                </c:pt>
                <c:pt idx="791">
                  <c:v>0.79347100000000004</c:v>
                </c:pt>
                <c:pt idx="792">
                  <c:v>0.79322800000000004</c:v>
                </c:pt>
                <c:pt idx="793">
                  <c:v>0.79297899999999999</c:v>
                </c:pt>
                <c:pt idx="794">
                  <c:v>0.79272500000000001</c:v>
                </c:pt>
                <c:pt idx="795">
                  <c:v>0.79246700000000003</c:v>
                </c:pt>
                <c:pt idx="796">
                  <c:v>0.79220400000000002</c:v>
                </c:pt>
                <c:pt idx="797">
                  <c:v>0.79193800000000003</c:v>
                </c:pt>
                <c:pt idx="798">
                  <c:v>0.79166999999999998</c:v>
                </c:pt>
                <c:pt idx="799">
                  <c:v>0.79140200000000005</c:v>
                </c:pt>
                <c:pt idx="800">
                  <c:v>0.79113299999999998</c:v>
                </c:pt>
                <c:pt idx="801">
                  <c:v>0.79086800000000002</c:v>
                </c:pt>
                <c:pt idx="802">
                  <c:v>0.79060600000000003</c:v>
                </c:pt>
                <c:pt idx="803">
                  <c:v>0.79035100000000003</c:v>
                </c:pt>
                <c:pt idx="804">
                  <c:v>0.79010499999999995</c:v>
                </c:pt>
                <c:pt idx="805">
                  <c:v>0.78986900000000004</c:v>
                </c:pt>
                <c:pt idx="806">
                  <c:v>0.78964800000000002</c:v>
                </c:pt>
                <c:pt idx="807">
                  <c:v>0.78944300000000001</c:v>
                </c:pt>
                <c:pt idx="808">
                  <c:v>0.78925699999999999</c:v>
                </c:pt>
                <c:pt idx="809">
                  <c:v>0.78909300000000004</c:v>
                </c:pt>
                <c:pt idx="810">
                  <c:v>0.78895499999999996</c:v>
                </c:pt>
                <c:pt idx="811">
                  <c:v>0.78884500000000002</c:v>
                </c:pt>
                <c:pt idx="812">
                  <c:v>0.78876599999999997</c:v>
                </c:pt>
                <c:pt idx="813">
                  <c:v>0.78872100000000001</c:v>
                </c:pt>
                <c:pt idx="814">
                  <c:v>0.78871400000000003</c:v>
                </c:pt>
                <c:pt idx="815">
                  <c:v>0.78874699999999998</c:v>
                </c:pt>
                <c:pt idx="816">
                  <c:v>0.78882399999999997</c:v>
                </c:pt>
                <c:pt idx="817">
                  <c:v>0.78894600000000004</c:v>
                </c:pt>
                <c:pt idx="818">
                  <c:v>0.78911799999999999</c:v>
                </c:pt>
                <c:pt idx="819">
                  <c:v>0.78934099999999996</c:v>
                </c:pt>
                <c:pt idx="820">
                  <c:v>0.78961800000000004</c:v>
                </c:pt>
                <c:pt idx="821">
                  <c:v>0.78995199999999999</c:v>
                </c:pt>
                <c:pt idx="822">
                  <c:v>0.79034400000000005</c:v>
                </c:pt>
                <c:pt idx="823">
                  <c:v>0.79079699999999997</c:v>
                </c:pt>
                <c:pt idx="824">
                  <c:v>0.79131200000000002</c:v>
                </c:pt>
                <c:pt idx="825">
                  <c:v>0.79189100000000001</c:v>
                </c:pt>
                <c:pt idx="826">
                  <c:v>0.79253399999999996</c:v>
                </c:pt>
                <c:pt idx="827">
                  <c:v>0.79324399999999995</c:v>
                </c:pt>
                <c:pt idx="828">
                  <c:v>0.79401999999999995</c:v>
                </c:pt>
                <c:pt idx="829">
                  <c:v>0.79486299999999999</c:v>
                </c:pt>
                <c:pt idx="830">
                  <c:v>0.79577299999999995</c:v>
                </c:pt>
                <c:pt idx="831">
                  <c:v>0.79674999999999996</c:v>
                </c:pt>
                <c:pt idx="832">
                  <c:v>0.797794</c:v>
                </c:pt>
                <c:pt idx="833">
                  <c:v>0.79890300000000003</c:v>
                </c:pt>
                <c:pt idx="834">
                  <c:v>0.80007600000000001</c:v>
                </c:pt>
                <c:pt idx="835">
                  <c:v>0.80131300000000005</c:v>
                </c:pt>
                <c:pt idx="836">
                  <c:v>0.80261199999999999</c:v>
                </c:pt>
                <c:pt idx="837">
                  <c:v>0.80396900000000004</c:v>
                </c:pt>
                <c:pt idx="838">
                  <c:v>0.80538399999999999</c:v>
                </c:pt>
                <c:pt idx="839">
                  <c:v>0.80685300000000004</c:v>
                </c:pt>
                <c:pt idx="840">
                  <c:v>0.80837400000000004</c:v>
                </c:pt>
                <c:pt idx="841">
                  <c:v>0.80994299999999997</c:v>
                </c:pt>
                <c:pt idx="842">
                  <c:v>0.81155699999999997</c:v>
                </c:pt>
                <c:pt idx="843">
                  <c:v>0.81321299999999996</c:v>
                </c:pt>
                <c:pt idx="844">
                  <c:v>0.81490499999999999</c:v>
                </c:pt>
                <c:pt idx="845">
                  <c:v>0.816631</c:v>
                </c:pt>
                <c:pt idx="846">
                  <c:v>0.81838599999999995</c:v>
                </c:pt>
                <c:pt idx="847">
                  <c:v>0.82016599999999995</c:v>
                </c:pt>
                <c:pt idx="848">
                  <c:v>0.82196499999999995</c:v>
                </c:pt>
                <c:pt idx="849">
                  <c:v>0.82377900000000004</c:v>
                </c:pt>
                <c:pt idx="850">
                  <c:v>0.82560299999999998</c:v>
                </c:pt>
                <c:pt idx="851">
                  <c:v>0.82743199999999995</c:v>
                </c:pt>
                <c:pt idx="852">
                  <c:v>0.82926100000000003</c:v>
                </c:pt>
                <c:pt idx="853">
                  <c:v>0.83108499999999996</c:v>
                </c:pt>
                <c:pt idx="854">
                  <c:v>0.83289800000000003</c:v>
                </c:pt>
                <c:pt idx="855">
                  <c:v>0.83469499999999996</c:v>
                </c:pt>
                <c:pt idx="856">
                  <c:v>0.83647199999999999</c:v>
                </c:pt>
                <c:pt idx="857">
                  <c:v>0.83822200000000002</c:v>
                </c:pt>
                <c:pt idx="858">
                  <c:v>0.83994000000000002</c:v>
                </c:pt>
                <c:pt idx="859">
                  <c:v>0.84162199999999998</c:v>
                </c:pt>
                <c:pt idx="860">
                  <c:v>0.84326199999999996</c:v>
                </c:pt>
                <c:pt idx="861">
                  <c:v>0.84485600000000005</c:v>
                </c:pt>
                <c:pt idx="862">
                  <c:v>0.84639799999999998</c:v>
                </c:pt>
                <c:pt idx="863">
                  <c:v>0.84788399999999997</c:v>
                </c:pt>
                <c:pt idx="864">
                  <c:v>0.84931000000000001</c:v>
                </c:pt>
                <c:pt idx="865">
                  <c:v>0.85067000000000004</c:v>
                </c:pt>
                <c:pt idx="866">
                  <c:v>0.851962</c:v>
                </c:pt>
                <c:pt idx="867">
                  <c:v>0.85318000000000005</c:v>
                </c:pt>
                <c:pt idx="868">
                  <c:v>0.85432200000000003</c:v>
                </c:pt>
                <c:pt idx="869">
                  <c:v>0.855383</c:v>
                </c:pt>
                <c:pt idx="870">
                  <c:v>0.85636100000000004</c:v>
                </c:pt>
                <c:pt idx="871">
                  <c:v>0.85725200000000001</c:v>
                </c:pt>
                <c:pt idx="872">
                  <c:v>0.85805299999999995</c:v>
                </c:pt>
                <c:pt idx="873">
                  <c:v>0.85876300000000005</c:v>
                </c:pt>
                <c:pt idx="874">
                  <c:v>0.859379</c:v>
                </c:pt>
                <c:pt idx="875">
                  <c:v>0.85989800000000005</c:v>
                </c:pt>
                <c:pt idx="876">
                  <c:v>0.860321</c:v>
                </c:pt>
                <c:pt idx="877">
                  <c:v>0.86064399999999996</c:v>
                </c:pt>
                <c:pt idx="878">
                  <c:v>0.86086700000000005</c:v>
                </c:pt>
                <c:pt idx="879">
                  <c:v>0.86099000000000003</c:v>
                </c:pt>
                <c:pt idx="880">
                  <c:v>0.861012</c:v>
                </c:pt>
                <c:pt idx="881">
                  <c:v>0.86093399999999998</c:v>
                </c:pt>
                <c:pt idx="882">
                  <c:v>0.86075400000000002</c:v>
                </c:pt>
                <c:pt idx="883">
                  <c:v>0.86047399999999996</c:v>
                </c:pt>
                <c:pt idx="884">
                  <c:v>0.86009500000000005</c:v>
                </c:pt>
                <c:pt idx="885">
                  <c:v>0.85961799999999999</c:v>
                </c:pt>
                <c:pt idx="886">
                  <c:v>0.85904499999999995</c:v>
                </c:pt>
                <c:pt idx="887">
                  <c:v>0.85837600000000003</c:v>
                </c:pt>
                <c:pt idx="888">
                  <c:v>0.85761500000000002</c:v>
                </c:pt>
                <c:pt idx="889">
                  <c:v>0.85676399999999997</c:v>
                </c:pt>
                <c:pt idx="890">
                  <c:v>0.85582499999999995</c:v>
                </c:pt>
                <c:pt idx="891">
                  <c:v>0.85480100000000003</c:v>
                </c:pt>
                <c:pt idx="892">
                  <c:v>0.85369499999999998</c:v>
                </c:pt>
                <c:pt idx="893">
                  <c:v>0.85251100000000002</c:v>
                </c:pt>
                <c:pt idx="894">
                  <c:v>0.85125200000000001</c:v>
                </c:pt>
                <c:pt idx="895">
                  <c:v>0.84992299999999998</c:v>
                </c:pt>
                <c:pt idx="896">
                  <c:v>0.848526</c:v>
                </c:pt>
                <c:pt idx="897">
                  <c:v>0.84706700000000001</c:v>
                </c:pt>
                <c:pt idx="898">
                  <c:v>0.84555000000000002</c:v>
                </c:pt>
                <c:pt idx="899">
                  <c:v>0.84397900000000003</c:v>
                </c:pt>
                <c:pt idx="900">
                  <c:v>0.84235899999999997</c:v>
                </c:pt>
                <c:pt idx="901">
                  <c:v>0.84069499999999997</c:v>
                </c:pt>
                <c:pt idx="902">
                  <c:v>0.83899100000000004</c:v>
                </c:pt>
                <c:pt idx="903">
                  <c:v>0.83725400000000005</c:v>
                </c:pt>
                <c:pt idx="904">
                  <c:v>0.83548699999999998</c:v>
                </c:pt>
                <c:pt idx="905">
                  <c:v>0.83369599999999999</c:v>
                </c:pt>
                <c:pt idx="906">
                  <c:v>0.83188600000000001</c:v>
                </c:pt>
                <c:pt idx="907">
                  <c:v>0.83006199999999997</c:v>
                </c:pt>
                <c:pt idx="908">
                  <c:v>0.82823000000000002</c:v>
                </c:pt>
                <c:pt idx="909">
                  <c:v>0.82639399999999996</c:v>
                </c:pt>
                <c:pt idx="910">
                  <c:v>0.82455900000000004</c:v>
                </c:pt>
                <c:pt idx="911">
                  <c:v>0.82273099999999999</c:v>
                </c:pt>
                <c:pt idx="912">
                  <c:v>0.82091499999999995</c:v>
                </c:pt>
                <c:pt idx="913">
                  <c:v>0.81911500000000004</c:v>
                </c:pt>
                <c:pt idx="914">
                  <c:v>0.81733599999999995</c:v>
                </c:pt>
                <c:pt idx="915">
                  <c:v>0.81558200000000003</c:v>
                </c:pt>
                <c:pt idx="916">
                  <c:v>0.81385799999999997</c:v>
                </c:pt>
                <c:pt idx="917">
                  <c:v>0.81216900000000003</c:v>
                </c:pt>
                <c:pt idx="918">
                  <c:v>0.81051799999999996</c:v>
                </c:pt>
                <c:pt idx="919">
                  <c:v>0.80891000000000002</c:v>
                </c:pt>
                <c:pt idx="920">
                  <c:v>0.80734700000000004</c:v>
                </c:pt>
                <c:pt idx="921">
                  <c:v>0.80583400000000005</c:v>
                </c:pt>
                <c:pt idx="922">
                  <c:v>0.80437400000000003</c:v>
                </c:pt>
                <c:pt idx="923">
                  <c:v>0.80296900000000004</c:v>
                </c:pt>
                <c:pt idx="924">
                  <c:v>0.80162299999999997</c:v>
                </c:pt>
                <c:pt idx="925">
                  <c:v>0.80033900000000002</c:v>
                </c:pt>
                <c:pt idx="926">
                  <c:v>0.79911799999999999</c:v>
                </c:pt>
                <c:pt idx="927">
                  <c:v>0.79796199999999995</c:v>
                </c:pt>
                <c:pt idx="928">
                  <c:v>0.79687399999999997</c:v>
                </c:pt>
                <c:pt idx="929">
                  <c:v>0.79585499999999998</c:v>
                </c:pt>
                <c:pt idx="930">
                  <c:v>0.794906</c:v>
                </c:pt>
                <c:pt idx="931">
                  <c:v>0.79402799999999996</c:v>
                </c:pt>
                <c:pt idx="932">
                  <c:v>0.79322199999999998</c:v>
                </c:pt>
                <c:pt idx="933">
                  <c:v>0.792489</c:v>
                </c:pt>
                <c:pt idx="934">
                  <c:v>0.79182900000000001</c:v>
                </c:pt>
                <c:pt idx="935">
                  <c:v>0.79124099999999997</c:v>
                </c:pt>
                <c:pt idx="936">
                  <c:v>0.79072699999999996</c:v>
                </c:pt>
                <c:pt idx="937">
                  <c:v>0.79028399999999999</c:v>
                </c:pt>
                <c:pt idx="938">
                  <c:v>0.78991299999999998</c:v>
                </c:pt>
                <c:pt idx="939">
                  <c:v>0.78961199999999998</c:v>
                </c:pt>
                <c:pt idx="940">
                  <c:v>0.78938200000000003</c:v>
                </c:pt>
                <c:pt idx="941">
                  <c:v>0.789219</c:v>
                </c:pt>
                <c:pt idx="942">
                  <c:v>0.78912300000000002</c:v>
                </c:pt>
                <c:pt idx="943">
                  <c:v>0.78909200000000002</c:v>
                </c:pt>
                <c:pt idx="944">
                  <c:v>0.78912499999999997</c:v>
                </c:pt>
                <c:pt idx="945">
                  <c:v>0.789219</c:v>
                </c:pt>
                <c:pt idx="946">
                  <c:v>0.78937199999999996</c:v>
                </c:pt>
                <c:pt idx="947">
                  <c:v>0.78958200000000001</c:v>
                </c:pt>
                <c:pt idx="948">
                  <c:v>0.78984600000000005</c:v>
                </c:pt>
                <c:pt idx="949">
                  <c:v>0.79016299999999995</c:v>
                </c:pt>
                <c:pt idx="950">
                  <c:v>0.79052900000000004</c:v>
                </c:pt>
                <c:pt idx="951">
                  <c:v>0.79094200000000003</c:v>
                </c:pt>
                <c:pt idx="952">
                  <c:v>0.79139899999999996</c:v>
                </c:pt>
                <c:pt idx="953">
                  <c:v>0.79189699999999996</c:v>
                </c:pt>
                <c:pt idx="954">
                  <c:v>0.79243399999999997</c:v>
                </c:pt>
                <c:pt idx="955">
                  <c:v>0.79300700000000002</c:v>
                </c:pt>
                <c:pt idx="956">
                  <c:v>0.79361300000000001</c:v>
                </c:pt>
                <c:pt idx="957">
                  <c:v>0.79424899999999998</c:v>
                </c:pt>
                <c:pt idx="958">
                  <c:v>0.79491199999999995</c:v>
                </c:pt>
                <c:pt idx="959">
                  <c:v>0.79559899999999995</c:v>
                </c:pt>
                <c:pt idx="960">
                  <c:v>0.79630800000000002</c:v>
                </c:pt>
                <c:pt idx="961">
                  <c:v>0.797037</c:v>
                </c:pt>
                <c:pt idx="962">
                  <c:v>0.79778099999999996</c:v>
                </c:pt>
                <c:pt idx="963">
                  <c:v>0.798539</c:v>
                </c:pt>
                <c:pt idx="964">
                  <c:v>0.79930800000000002</c:v>
                </c:pt>
                <c:pt idx="965">
                  <c:v>0.80008599999999996</c:v>
                </c:pt>
                <c:pt idx="966">
                  <c:v>0.800871</c:v>
                </c:pt>
                <c:pt idx="967">
                  <c:v>0.80165900000000001</c:v>
                </c:pt>
                <c:pt idx="968">
                  <c:v>0.80244899999999997</c:v>
                </c:pt>
                <c:pt idx="969">
                  <c:v>0.80323900000000004</c:v>
                </c:pt>
                <c:pt idx="970">
                  <c:v>0.80402799999999996</c:v>
                </c:pt>
                <c:pt idx="971">
                  <c:v>0.80481199999999997</c:v>
                </c:pt>
                <c:pt idx="972">
                  <c:v>0.80559000000000003</c:v>
                </c:pt>
                <c:pt idx="973">
                  <c:v>0.80636200000000002</c:v>
                </c:pt>
                <c:pt idx="974">
                  <c:v>0.80712499999999998</c:v>
                </c:pt>
                <c:pt idx="975">
                  <c:v>0.80787900000000001</c:v>
                </c:pt>
                <c:pt idx="976">
                  <c:v>0.80862100000000003</c:v>
                </c:pt>
                <c:pt idx="977">
                  <c:v>0.80935199999999996</c:v>
                </c:pt>
                <c:pt idx="978">
                  <c:v>0.81006999999999996</c:v>
                </c:pt>
                <c:pt idx="979">
                  <c:v>0.81077399999999999</c:v>
                </c:pt>
                <c:pt idx="980">
                  <c:v>0.81146499999999999</c:v>
                </c:pt>
                <c:pt idx="981">
                  <c:v>0.812141</c:v>
                </c:pt>
                <c:pt idx="982">
                  <c:v>0.81280200000000002</c:v>
                </c:pt>
                <c:pt idx="983">
                  <c:v>0.81344799999999995</c:v>
                </c:pt>
                <c:pt idx="984">
                  <c:v>0.814079</c:v>
                </c:pt>
                <c:pt idx="985">
                  <c:v>0.81469499999999995</c:v>
                </c:pt>
                <c:pt idx="986">
                  <c:v>0.81529600000000002</c:v>
                </c:pt>
                <c:pt idx="987">
                  <c:v>0.815882</c:v>
                </c:pt>
                <c:pt idx="988">
                  <c:v>0.81645500000000004</c:v>
                </c:pt>
                <c:pt idx="989">
                  <c:v>0.81701299999999999</c:v>
                </c:pt>
                <c:pt idx="990">
                  <c:v>0.81755800000000001</c:v>
                </c:pt>
                <c:pt idx="991">
                  <c:v>0.81808999999999998</c:v>
                </c:pt>
                <c:pt idx="992">
                  <c:v>0.81860900000000003</c:v>
                </c:pt>
                <c:pt idx="993">
                  <c:v>0.81911800000000001</c:v>
                </c:pt>
                <c:pt idx="994">
                  <c:v>0.81961600000000001</c:v>
                </c:pt>
                <c:pt idx="995">
                  <c:v>0.82010300000000003</c:v>
                </c:pt>
                <c:pt idx="996">
                  <c:v>0.82058200000000003</c:v>
                </c:pt>
                <c:pt idx="997">
                  <c:v>0.821052</c:v>
                </c:pt>
                <c:pt idx="998">
                  <c:v>0.821515</c:v>
                </c:pt>
                <c:pt idx="999">
                  <c:v>0.82197100000000001</c:v>
                </c:pt>
                <c:pt idx="1000">
                  <c:v>0.82242199999999999</c:v>
                </c:pt>
                <c:pt idx="1001">
                  <c:v>0.82286700000000002</c:v>
                </c:pt>
                <c:pt idx="1002">
                  <c:v>0.82330800000000004</c:v>
                </c:pt>
                <c:pt idx="1003">
                  <c:v>0.82374599999999998</c:v>
                </c:pt>
                <c:pt idx="1004">
                  <c:v>0.82418000000000002</c:v>
                </c:pt>
                <c:pt idx="1005">
                  <c:v>0.82461200000000001</c:v>
                </c:pt>
                <c:pt idx="1006">
                  <c:v>0.82504299999999997</c:v>
                </c:pt>
                <c:pt idx="1007">
                  <c:v>0.82547300000000001</c:v>
                </c:pt>
                <c:pt idx="1008">
                  <c:v>0.825901</c:v>
                </c:pt>
                <c:pt idx="1009">
                  <c:v>0.82632899999999998</c:v>
                </c:pt>
                <c:pt idx="1010">
                  <c:v>0.82675699999999996</c:v>
                </c:pt>
                <c:pt idx="1011">
                  <c:v>0.82718499999999995</c:v>
                </c:pt>
                <c:pt idx="1012">
                  <c:v>0.82761300000000004</c:v>
                </c:pt>
                <c:pt idx="1013">
                  <c:v>0.82804199999999994</c:v>
                </c:pt>
                <c:pt idx="1014">
                  <c:v>0.82847000000000004</c:v>
                </c:pt>
                <c:pt idx="1015">
                  <c:v>0.82889800000000002</c:v>
                </c:pt>
                <c:pt idx="1016">
                  <c:v>0.82932499999999998</c:v>
                </c:pt>
                <c:pt idx="1017">
                  <c:v>0.82975100000000002</c:v>
                </c:pt>
                <c:pt idx="1018">
                  <c:v>0.83017600000000003</c:v>
                </c:pt>
                <c:pt idx="1019">
                  <c:v>0.83059899999999998</c:v>
                </c:pt>
                <c:pt idx="1020">
                  <c:v>0.83101899999999995</c:v>
                </c:pt>
                <c:pt idx="1021">
                  <c:v>0.83143599999999995</c:v>
                </c:pt>
                <c:pt idx="1022">
                  <c:v>0.83184899999999995</c:v>
                </c:pt>
                <c:pt idx="1023">
                  <c:v>0.832256</c:v>
                </c:pt>
                <c:pt idx="1024">
                  <c:v>0.83265699999999998</c:v>
                </c:pt>
                <c:pt idx="1025">
                  <c:v>0.83305099999999999</c:v>
                </c:pt>
                <c:pt idx="1026">
                  <c:v>0.83343599999999995</c:v>
                </c:pt>
                <c:pt idx="1027">
                  <c:v>0.833812</c:v>
                </c:pt>
                <c:pt idx="1028">
                  <c:v>0.83417699999999995</c:v>
                </c:pt>
                <c:pt idx="1029">
                  <c:v>0.83452899999999997</c:v>
                </c:pt>
                <c:pt idx="1030">
                  <c:v>0.83486800000000005</c:v>
                </c:pt>
                <c:pt idx="1031">
                  <c:v>0.83519200000000005</c:v>
                </c:pt>
                <c:pt idx="1032">
                  <c:v>0.83550000000000002</c:v>
                </c:pt>
                <c:pt idx="1033">
                  <c:v>0.83579099999999995</c:v>
                </c:pt>
                <c:pt idx="1034">
                  <c:v>0.83606199999999997</c:v>
                </c:pt>
                <c:pt idx="1035">
                  <c:v>0.83631200000000006</c:v>
                </c:pt>
                <c:pt idx="1036">
                  <c:v>0.83654099999999998</c:v>
                </c:pt>
                <c:pt idx="1037">
                  <c:v>0.83674599999999999</c:v>
                </c:pt>
                <c:pt idx="1038">
                  <c:v>0.83692699999999998</c:v>
                </c:pt>
                <c:pt idx="1039">
                  <c:v>0.83708199999999999</c:v>
                </c:pt>
                <c:pt idx="1040">
                  <c:v>0.83721000000000001</c:v>
                </c:pt>
                <c:pt idx="1041">
                  <c:v>0.83730899999999997</c:v>
                </c:pt>
                <c:pt idx="1042">
                  <c:v>0.83737899999999998</c:v>
                </c:pt>
                <c:pt idx="1043">
                  <c:v>0.837418</c:v>
                </c:pt>
                <c:pt idx="1044">
                  <c:v>0.83742499999999997</c:v>
                </c:pt>
                <c:pt idx="1045">
                  <c:v>0.83740000000000003</c:v>
                </c:pt>
                <c:pt idx="1046">
                  <c:v>0.837341</c:v>
                </c:pt>
                <c:pt idx="1047">
                  <c:v>0.83724799999999999</c:v>
                </c:pt>
                <c:pt idx="1048">
                  <c:v>0.83711999999999998</c:v>
                </c:pt>
                <c:pt idx="1049">
                  <c:v>0.83695600000000003</c:v>
                </c:pt>
                <c:pt idx="1050">
                  <c:v>0.83675600000000006</c:v>
                </c:pt>
                <c:pt idx="1051">
                  <c:v>0.83651900000000001</c:v>
                </c:pt>
                <c:pt idx="1052">
                  <c:v>0.83624600000000004</c:v>
                </c:pt>
                <c:pt idx="1053">
                  <c:v>0.83593600000000001</c:v>
                </c:pt>
                <c:pt idx="1054">
                  <c:v>0.83558900000000003</c:v>
                </c:pt>
                <c:pt idx="1055">
                  <c:v>0.83520499999999998</c:v>
                </c:pt>
                <c:pt idx="1056">
                  <c:v>0.83478399999999997</c:v>
                </c:pt>
                <c:pt idx="1057">
                  <c:v>0.83432700000000004</c:v>
                </c:pt>
                <c:pt idx="1058">
                  <c:v>0.83383399999999996</c:v>
                </c:pt>
                <c:pt idx="1059">
                  <c:v>0.83330599999999999</c:v>
                </c:pt>
                <c:pt idx="1060">
                  <c:v>0.83274300000000001</c:v>
                </c:pt>
                <c:pt idx="1061">
                  <c:v>0.83214699999999997</c:v>
                </c:pt>
                <c:pt idx="1062">
                  <c:v>0.83151699999999995</c:v>
                </c:pt>
                <c:pt idx="1063">
                  <c:v>0.83085600000000004</c:v>
                </c:pt>
                <c:pt idx="1064">
                  <c:v>0.83016299999999998</c:v>
                </c:pt>
                <c:pt idx="1065">
                  <c:v>0.82944200000000001</c:v>
                </c:pt>
                <c:pt idx="1066">
                  <c:v>0.82869300000000001</c:v>
                </c:pt>
                <c:pt idx="1067">
                  <c:v>0.82791700000000001</c:v>
                </c:pt>
                <c:pt idx="1068">
                  <c:v>0.82711599999999996</c:v>
                </c:pt>
                <c:pt idx="1069">
                  <c:v>0.82629200000000003</c:v>
                </c:pt>
                <c:pt idx="1070">
                  <c:v>0.82544600000000001</c:v>
                </c:pt>
                <c:pt idx="1071">
                  <c:v>0.82458200000000004</c:v>
                </c:pt>
                <c:pt idx="1072">
                  <c:v>0.82369899999999996</c:v>
                </c:pt>
                <c:pt idx="1073">
                  <c:v>0.822801</c:v>
                </c:pt>
                <c:pt idx="1074">
                  <c:v>0.82189000000000001</c:v>
                </c:pt>
                <c:pt idx="1075">
                  <c:v>0.82096800000000003</c:v>
                </c:pt>
                <c:pt idx="1076">
                  <c:v>0.82003599999999999</c:v>
                </c:pt>
                <c:pt idx="1077">
                  <c:v>0.81909799999999999</c:v>
                </c:pt>
                <c:pt idx="1078">
                  <c:v>0.81815599999999999</c:v>
                </c:pt>
                <c:pt idx="1079">
                  <c:v>0.81721100000000002</c:v>
                </c:pt>
                <c:pt idx="1080">
                  <c:v>0.81626699999999996</c:v>
                </c:pt>
                <c:pt idx="1081">
                  <c:v>0.815326</c:v>
                </c:pt>
                <c:pt idx="1082">
                  <c:v>0.81438999999999995</c:v>
                </c:pt>
                <c:pt idx="1083">
                  <c:v>0.81346099999999999</c:v>
                </c:pt>
                <c:pt idx="1084">
                  <c:v>0.81254300000000002</c:v>
                </c:pt>
                <c:pt idx="1085">
                  <c:v>0.81163600000000002</c:v>
                </c:pt>
                <c:pt idx="1086">
                  <c:v>0.81074500000000005</c:v>
                </c:pt>
                <c:pt idx="1087">
                  <c:v>0.80986999999999998</c:v>
                </c:pt>
                <c:pt idx="1088">
                  <c:v>0.80901500000000004</c:v>
                </c:pt>
                <c:pt idx="1089">
                  <c:v>0.80818100000000004</c:v>
                </c:pt>
                <c:pt idx="1090">
                  <c:v>0.80737000000000003</c:v>
                </c:pt>
                <c:pt idx="1091">
                  <c:v>0.80658600000000003</c:v>
                </c:pt>
                <c:pt idx="1092">
                  <c:v>0.80582900000000002</c:v>
                </c:pt>
                <c:pt idx="1093">
                  <c:v>0.80510099999999996</c:v>
                </c:pt>
                <c:pt idx="1094">
                  <c:v>0.80440500000000004</c:v>
                </c:pt>
                <c:pt idx="1095">
                  <c:v>0.80374299999999999</c:v>
                </c:pt>
                <c:pt idx="1096">
                  <c:v>0.80311500000000002</c:v>
                </c:pt>
                <c:pt idx="1097">
                  <c:v>0.80252299999999999</c:v>
                </c:pt>
                <c:pt idx="1098">
                  <c:v>0.80196999999999996</c:v>
                </c:pt>
                <c:pt idx="1099">
                  <c:v>0.80145500000000003</c:v>
                </c:pt>
                <c:pt idx="1100">
                  <c:v>0.80098100000000005</c:v>
                </c:pt>
                <c:pt idx="1101">
                  <c:v>0.80054800000000004</c:v>
                </c:pt>
                <c:pt idx="1102">
                  <c:v>0.80015700000000001</c:v>
                </c:pt>
                <c:pt idx="1103">
                  <c:v>0.79980899999999999</c:v>
                </c:pt>
                <c:pt idx="1104">
                  <c:v>0.79950500000000002</c:v>
                </c:pt>
                <c:pt idx="1105">
                  <c:v>0.79924600000000001</c:v>
                </c:pt>
                <c:pt idx="1106">
                  <c:v>0.79903100000000005</c:v>
                </c:pt>
                <c:pt idx="1107">
                  <c:v>0.79886100000000004</c:v>
                </c:pt>
                <c:pt idx="1108">
                  <c:v>0.798736</c:v>
                </c:pt>
                <c:pt idx="1109">
                  <c:v>0.79865600000000003</c:v>
                </c:pt>
                <c:pt idx="1110">
                  <c:v>0.79862100000000003</c:v>
                </c:pt>
                <c:pt idx="1111">
                  <c:v>0.79862999999999995</c:v>
                </c:pt>
                <c:pt idx="1112">
                  <c:v>0.79868399999999995</c:v>
                </c:pt>
                <c:pt idx="1113">
                  <c:v>0.79878199999999999</c:v>
                </c:pt>
                <c:pt idx="1114">
                  <c:v>0.79892200000000002</c:v>
                </c:pt>
                <c:pt idx="1115">
                  <c:v>0.79910499999999995</c:v>
                </c:pt>
                <c:pt idx="1116">
                  <c:v>0.79932899999999996</c:v>
                </c:pt>
                <c:pt idx="1117">
                  <c:v>0.799593</c:v>
                </c:pt>
                <c:pt idx="1118">
                  <c:v>0.79989699999999997</c:v>
                </c:pt>
                <c:pt idx="1119">
                  <c:v>0.80023900000000003</c:v>
                </c:pt>
                <c:pt idx="1120">
                  <c:v>0.80061800000000005</c:v>
                </c:pt>
                <c:pt idx="1121">
                  <c:v>0.80103199999999997</c:v>
                </c:pt>
                <c:pt idx="1122">
                  <c:v>0.801481</c:v>
                </c:pt>
                <c:pt idx="1123">
                  <c:v>0.80196100000000003</c:v>
                </c:pt>
                <c:pt idx="1124">
                  <c:v>0.80247299999999999</c:v>
                </c:pt>
                <c:pt idx="1125">
                  <c:v>0.80301400000000001</c:v>
                </c:pt>
                <c:pt idx="1126">
                  <c:v>0.80358200000000002</c:v>
                </c:pt>
                <c:pt idx="1127">
                  <c:v>0.804176</c:v>
                </c:pt>
                <c:pt idx="1128">
                  <c:v>0.80479400000000001</c:v>
                </c:pt>
                <c:pt idx="1129">
                  <c:v>0.80543399999999998</c:v>
                </c:pt>
                <c:pt idx="1130">
                  <c:v>0.80609399999999998</c:v>
                </c:pt>
                <c:pt idx="1131">
                  <c:v>0.80677299999999996</c:v>
                </c:pt>
                <c:pt idx="1132">
                  <c:v>0.80746799999999996</c:v>
                </c:pt>
                <c:pt idx="1133">
                  <c:v>0.80817799999999995</c:v>
                </c:pt>
                <c:pt idx="1134">
                  <c:v>0.80890099999999998</c:v>
                </c:pt>
                <c:pt idx="1135">
                  <c:v>0.80963399999999996</c:v>
                </c:pt>
                <c:pt idx="1136">
                  <c:v>0.81037599999999999</c:v>
                </c:pt>
                <c:pt idx="1137">
                  <c:v>0.81112499999999998</c:v>
                </c:pt>
                <c:pt idx="1138">
                  <c:v>0.81188000000000005</c:v>
                </c:pt>
                <c:pt idx="1139">
                  <c:v>0.81263799999999997</c:v>
                </c:pt>
                <c:pt idx="1140">
                  <c:v>0.81339700000000004</c:v>
                </c:pt>
                <c:pt idx="1141">
                  <c:v>0.81415599999999999</c:v>
                </c:pt>
                <c:pt idx="1142">
                  <c:v>0.81491400000000003</c:v>
                </c:pt>
                <c:pt idx="1143">
                  <c:v>0.81566799999999995</c:v>
                </c:pt>
                <c:pt idx="1144">
                  <c:v>0.81641699999999995</c:v>
                </c:pt>
                <c:pt idx="1145">
                  <c:v>0.81715899999999997</c:v>
                </c:pt>
                <c:pt idx="1146">
                  <c:v>0.81789299999999998</c:v>
                </c:pt>
                <c:pt idx="1147">
                  <c:v>0.81861799999999996</c:v>
                </c:pt>
                <c:pt idx="1148">
                  <c:v>0.81933100000000003</c:v>
                </c:pt>
                <c:pt idx="1149">
                  <c:v>0.82003300000000001</c:v>
                </c:pt>
                <c:pt idx="1150">
                  <c:v>0.82072100000000003</c:v>
                </c:pt>
                <c:pt idx="1151">
                  <c:v>0.82139399999999996</c:v>
                </c:pt>
                <c:pt idx="1152">
                  <c:v>0.822052</c:v>
                </c:pt>
                <c:pt idx="1153">
                  <c:v>0.82269300000000001</c:v>
                </c:pt>
                <c:pt idx="1154">
                  <c:v>0.82331699999999997</c:v>
                </c:pt>
                <c:pt idx="1155">
                  <c:v>0.82392200000000004</c:v>
                </c:pt>
                <c:pt idx="1156">
                  <c:v>0.82450699999999999</c:v>
                </c:pt>
                <c:pt idx="1157">
                  <c:v>0.82507299999999995</c:v>
                </c:pt>
                <c:pt idx="1158">
                  <c:v>0.82561799999999996</c:v>
                </c:pt>
                <c:pt idx="1159">
                  <c:v>0.82614200000000004</c:v>
                </c:pt>
                <c:pt idx="1160">
                  <c:v>0.82664499999999996</c:v>
                </c:pt>
                <c:pt idx="1161">
                  <c:v>0.827125</c:v>
                </c:pt>
                <c:pt idx="1162">
                  <c:v>0.82758299999999996</c:v>
                </c:pt>
                <c:pt idx="1163">
                  <c:v>0.82801800000000003</c:v>
                </c:pt>
                <c:pt idx="1164">
                  <c:v>0.82843</c:v>
                </c:pt>
                <c:pt idx="1165">
                  <c:v>0.82881800000000005</c:v>
                </c:pt>
                <c:pt idx="1166">
                  <c:v>0.82918400000000003</c:v>
                </c:pt>
                <c:pt idx="1167">
                  <c:v>0.82952599999999999</c:v>
                </c:pt>
                <c:pt idx="1168">
                  <c:v>0.82984599999999997</c:v>
                </c:pt>
                <c:pt idx="1169">
                  <c:v>0.83014200000000005</c:v>
                </c:pt>
                <c:pt idx="1170">
                  <c:v>0.83041500000000001</c:v>
                </c:pt>
                <c:pt idx="1171">
                  <c:v>0.83066499999999999</c:v>
                </c:pt>
                <c:pt idx="1172">
                  <c:v>0.83089199999999996</c:v>
                </c:pt>
                <c:pt idx="1173">
                  <c:v>0.83109699999999997</c:v>
                </c:pt>
                <c:pt idx="1174">
                  <c:v>0.83128000000000002</c:v>
                </c:pt>
                <c:pt idx="1175">
                  <c:v>0.83144200000000001</c:v>
                </c:pt>
                <c:pt idx="1176">
                  <c:v>0.83158200000000004</c:v>
                </c:pt>
                <c:pt idx="1177">
                  <c:v>0.83170100000000002</c:v>
                </c:pt>
                <c:pt idx="1178">
                  <c:v>0.83179899999999996</c:v>
                </c:pt>
                <c:pt idx="1179">
                  <c:v>0.83187699999999998</c:v>
                </c:pt>
                <c:pt idx="1180">
                  <c:v>0.83193600000000001</c:v>
                </c:pt>
                <c:pt idx="1181">
                  <c:v>0.83197500000000002</c:v>
                </c:pt>
                <c:pt idx="1182">
                  <c:v>0.83199599999999996</c:v>
                </c:pt>
                <c:pt idx="1183">
                  <c:v>0.83199800000000002</c:v>
                </c:pt>
                <c:pt idx="1184">
                  <c:v>0.83198300000000003</c:v>
                </c:pt>
                <c:pt idx="1185">
                  <c:v>0.831951</c:v>
                </c:pt>
                <c:pt idx="1186">
                  <c:v>0.83190200000000003</c:v>
                </c:pt>
                <c:pt idx="1187">
                  <c:v>0.83183600000000002</c:v>
                </c:pt>
                <c:pt idx="1188">
                  <c:v>0.83175500000000002</c:v>
                </c:pt>
                <c:pt idx="1189">
                  <c:v>0.83165900000000004</c:v>
                </c:pt>
                <c:pt idx="1190">
                  <c:v>0.83154799999999995</c:v>
                </c:pt>
                <c:pt idx="1191">
                  <c:v>0.83142300000000002</c:v>
                </c:pt>
                <c:pt idx="1192">
                  <c:v>0.83128400000000002</c:v>
                </c:pt>
                <c:pt idx="1193">
                  <c:v>0.83113199999999998</c:v>
                </c:pt>
                <c:pt idx="1194">
                  <c:v>0.83096700000000001</c:v>
                </c:pt>
                <c:pt idx="1195">
                  <c:v>0.830789</c:v>
                </c:pt>
                <c:pt idx="1196">
                  <c:v>0.83059899999999998</c:v>
                </c:pt>
                <c:pt idx="1197">
                  <c:v>0.83039799999999997</c:v>
                </c:pt>
                <c:pt idx="1198">
                  <c:v>0.83018599999999998</c:v>
                </c:pt>
                <c:pt idx="1199">
                  <c:v>0.82996199999999998</c:v>
                </c:pt>
                <c:pt idx="1200">
                  <c:v>0.82972900000000005</c:v>
                </c:pt>
                <c:pt idx="1201">
                  <c:v>0.82948500000000003</c:v>
                </c:pt>
                <c:pt idx="1202">
                  <c:v>0.82923100000000005</c:v>
                </c:pt>
                <c:pt idx="1203">
                  <c:v>0.82896700000000001</c:v>
                </c:pt>
                <c:pt idx="1204">
                  <c:v>0.82869499999999996</c:v>
                </c:pt>
                <c:pt idx="1205">
                  <c:v>0.82841299999999995</c:v>
                </c:pt>
                <c:pt idx="1206">
                  <c:v>0.82812300000000005</c:v>
                </c:pt>
                <c:pt idx="1207">
                  <c:v>0.82782500000000003</c:v>
                </c:pt>
                <c:pt idx="1208">
                  <c:v>0.82751799999999998</c:v>
                </c:pt>
                <c:pt idx="1209">
                  <c:v>0.82720400000000005</c:v>
                </c:pt>
                <c:pt idx="1210">
                  <c:v>0.82688200000000001</c:v>
                </c:pt>
                <c:pt idx="1211">
                  <c:v>0.82655299999999998</c:v>
                </c:pt>
                <c:pt idx="1212">
                  <c:v>0.82621699999999998</c:v>
                </c:pt>
                <c:pt idx="1213">
                  <c:v>0.82587500000000003</c:v>
                </c:pt>
                <c:pt idx="1214">
                  <c:v>0.82552499999999995</c:v>
                </c:pt>
                <c:pt idx="1215">
                  <c:v>0.82516999999999996</c:v>
                </c:pt>
                <c:pt idx="1216">
                  <c:v>0.82480799999999999</c:v>
                </c:pt>
                <c:pt idx="1217">
                  <c:v>0.82444099999999998</c:v>
                </c:pt>
                <c:pt idx="1218">
                  <c:v>0.82406900000000005</c:v>
                </c:pt>
                <c:pt idx="1219">
                  <c:v>0.82369099999999995</c:v>
                </c:pt>
                <c:pt idx="1220">
                  <c:v>0.82330899999999996</c:v>
                </c:pt>
                <c:pt idx="1221">
                  <c:v>0.82292200000000004</c:v>
                </c:pt>
                <c:pt idx="1222">
                  <c:v>0.82253100000000001</c:v>
                </c:pt>
                <c:pt idx="1223">
                  <c:v>0.82213700000000001</c:v>
                </c:pt>
                <c:pt idx="1224">
                  <c:v>0.82173799999999997</c:v>
                </c:pt>
                <c:pt idx="1225">
                  <c:v>0.82133699999999998</c:v>
                </c:pt>
                <c:pt idx="1226">
                  <c:v>0.82093300000000002</c:v>
                </c:pt>
                <c:pt idx="1227">
                  <c:v>0.82052700000000001</c:v>
                </c:pt>
                <c:pt idx="1228">
                  <c:v>0.82011999999999996</c:v>
                </c:pt>
                <c:pt idx="1229">
                  <c:v>0.81971000000000005</c:v>
                </c:pt>
                <c:pt idx="1230">
                  <c:v>0.81930000000000003</c:v>
                </c:pt>
                <c:pt idx="1231">
                  <c:v>0.81888899999999998</c:v>
                </c:pt>
                <c:pt idx="1232">
                  <c:v>0.81847899999999996</c:v>
                </c:pt>
                <c:pt idx="1233">
                  <c:v>0.81806900000000005</c:v>
                </c:pt>
                <c:pt idx="1234">
                  <c:v>0.81765900000000002</c:v>
                </c:pt>
                <c:pt idx="1235">
                  <c:v>0.81725199999999998</c:v>
                </c:pt>
                <c:pt idx="1236">
                  <c:v>0.81684599999999996</c:v>
                </c:pt>
                <c:pt idx="1237">
                  <c:v>0.81644399999999995</c:v>
                </c:pt>
                <c:pt idx="1238">
                  <c:v>0.81604399999999999</c:v>
                </c:pt>
                <c:pt idx="1239">
                  <c:v>0.81564899999999996</c:v>
                </c:pt>
                <c:pt idx="1240">
                  <c:v>0.81525700000000001</c:v>
                </c:pt>
                <c:pt idx="1241">
                  <c:v>0.81487100000000001</c:v>
                </c:pt>
                <c:pt idx="1242">
                  <c:v>0.81449000000000005</c:v>
                </c:pt>
                <c:pt idx="1243">
                  <c:v>0.81411599999999995</c:v>
                </c:pt>
                <c:pt idx="1244">
                  <c:v>0.81374800000000003</c:v>
                </c:pt>
                <c:pt idx="1245">
                  <c:v>0.813388</c:v>
                </c:pt>
                <c:pt idx="1246">
                  <c:v>0.81303599999999998</c:v>
                </c:pt>
                <c:pt idx="1247">
                  <c:v>0.812693</c:v>
                </c:pt>
                <c:pt idx="1248">
                  <c:v>0.81235900000000005</c:v>
                </c:pt>
                <c:pt idx="1249">
                  <c:v>0.81203499999999995</c:v>
                </c:pt>
                <c:pt idx="1250">
                  <c:v>0.81172200000000005</c:v>
                </c:pt>
                <c:pt idx="1251">
                  <c:v>0.811419</c:v>
                </c:pt>
                <c:pt idx="1252">
                  <c:v>0.81112899999999999</c:v>
                </c:pt>
                <c:pt idx="1253">
                  <c:v>0.81085099999999999</c:v>
                </c:pt>
                <c:pt idx="1254">
                  <c:v>0.810585</c:v>
                </c:pt>
                <c:pt idx="1255">
                  <c:v>0.81033299999999997</c:v>
                </c:pt>
                <c:pt idx="1256">
                  <c:v>0.81009500000000001</c:v>
                </c:pt>
                <c:pt idx="1257">
                  <c:v>0.80987200000000004</c:v>
                </c:pt>
                <c:pt idx="1258">
                  <c:v>0.80966300000000002</c:v>
                </c:pt>
                <c:pt idx="1259">
                  <c:v>0.80947000000000002</c:v>
                </c:pt>
                <c:pt idx="1260">
                  <c:v>0.80929300000000004</c:v>
                </c:pt>
                <c:pt idx="1261">
                  <c:v>0.80913199999999996</c:v>
                </c:pt>
                <c:pt idx="1262">
                  <c:v>0.80898800000000004</c:v>
                </c:pt>
                <c:pt idx="1263">
                  <c:v>0.80886100000000005</c:v>
                </c:pt>
                <c:pt idx="1264">
                  <c:v>0.808751</c:v>
                </c:pt>
                <c:pt idx="1265">
                  <c:v>0.80865900000000002</c:v>
                </c:pt>
                <c:pt idx="1266">
                  <c:v>0.808585</c:v>
                </c:pt>
                <c:pt idx="1267">
                  <c:v>0.80852900000000005</c:v>
                </c:pt>
                <c:pt idx="1268">
                  <c:v>0.80849099999999996</c:v>
                </c:pt>
                <c:pt idx="1269">
                  <c:v>0.80847199999999997</c:v>
                </c:pt>
                <c:pt idx="1270">
                  <c:v>0.80847199999999997</c:v>
                </c:pt>
                <c:pt idx="1271">
                  <c:v>0.80849000000000004</c:v>
                </c:pt>
                <c:pt idx="1272">
                  <c:v>0.808527</c:v>
                </c:pt>
                <c:pt idx="1273">
                  <c:v>0.80858300000000005</c:v>
                </c:pt>
                <c:pt idx="1274">
                  <c:v>0.80865699999999996</c:v>
                </c:pt>
                <c:pt idx="1275">
                  <c:v>0.80874999999999997</c:v>
                </c:pt>
                <c:pt idx="1276">
                  <c:v>0.80886100000000005</c:v>
                </c:pt>
                <c:pt idx="1277">
                  <c:v>0.80899100000000002</c:v>
                </c:pt>
                <c:pt idx="1278">
                  <c:v>0.80913900000000005</c:v>
                </c:pt>
                <c:pt idx="1279">
                  <c:v>0.80930400000000002</c:v>
                </c:pt>
                <c:pt idx="1280">
                  <c:v>0.80948699999999996</c:v>
                </c:pt>
                <c:pt idx="1281">
                  <c:v>0.80968700000000005</c:v>
                </c:pt>
                <c:pt idx="1282">
                  <c:v>0.80990300000000004</c:v>
                </c:pt>
                <c:pt idx="1283">
                  <c:v>0.81013599999999997</c:v>
                </c:pt>
                <c:pt idx="1284">
                  <c:v>0.81038399999999999</c:v>
                </c:pt>
                <c:pt idx="1285">
                  <c:v>0.81064800000000004</c:v>
                </c:pt>
                <c:pt idx="1286">
                  <c:v>0.81092699999999995</c:v>
                </c:pt>
                <c:pt idx="1287">
                  <c:v>0.81121900000000002</c:v>
                </c:pt>
                <c:pt idx="1288">
                  <c:v>0.81152500000000005</c:v>
                </c:pt>
                <c:pt idx="1289">
                  <c:v>0.81184400000000001</c:v>
                </c:pt>
                <c:pt idx="1290">
                  <c:v>0.81217499999999998</c:v>
                </c:pt>
                <c:pt idx="1291">
                  <c:v>0.81251700000000004</c:v>
                </c:pt>
                <c:pt idx="1292">
                  <c:v>0.81287100000000001</c:v>
                </c:pt>
                <c:pt idx="1293">
                  <c:v>0.81323400000000001</c:v>
                </c:pt>
                <c:pt idx="1294">
                  <c:v>0.81360600000000005</c:v>
                </c:pt>
                <c:pt idx="1295">
                  <c:v>0.81398599999999999</c:v>
                </c:pt>
                <c:pt idx="1296">
                  <c:v>0.81437400000000004</c:v>
                </c:pt>
                <c:pt idx="1297">
                  <c:v>0.81476899999999997</c:v>
                </c:pt>
                <c:pt idx="1298">
                  <c:v>0.81516999999999995</c:v>
                </c:pt>
                <c:pt idx="1299">
                  <c:v>0.81557500000000005</c:v>
                </c:pt>
                <c:pt idx="1300">
                  <c:v>0.81598499999999996</c:v>
                </c:pt>
                <c:pt idx="1301">
                  <c:v>0.81639799999999996</c:v>
                </c:pt>
                <c:pt idx="1302">
                  <c:v>0.81681300000000001</c:v>
                </c:pt>
                <c:pt idx="1303">
                  <c:v>0.81723000000000001</c:v>
                </c:pt>
                <c:pt idx="1304">
                  <c:v>0.81764700000000001</c:v>
                </c:pt>
                <c:pt idx="1305">
                  <c:v>0.81806500000000004</c:v>
                </c:pt>
                <c:pt idx="1306">
                  <c:v>0.81848100000000001</c:v>
                </c:pt>
                <c:pt idx="1307">
                  <c:v>0.81889500000000004</c:v>
                </c:pt>
                <c:pt idx="1308">
                  <c:v>0.81930700000000001</c:v>
                </c:pt>
                <c:pt idx="1309">
                  <c:v>0.81971499999999997</c:v>
                </c:pt>
                <c:pt idx="1310">
                  <c:v>0.82011900000000004</c:v>
                </c:pt>
                <c:pt idx="1311">
                  <c:v>0.82051799999999997</c:v>
                </c:pt>
                <c:pt idx="1312">
                  <c:v>0.82091099999999995</c:v>
                </c:pt>
                <c:pt idx="1313">
                  <c:v>0.82129799999999997</c:v>
                </c:pt>
                <c:pt idx="1314">
                  <c:v>0.82167699999999999</c:v>
                </c:pt>
                <c:pt idx="1315">
                  <c:v>0.82204900000000003</c:v>
                </c:pt>
                <c:pt idx="1316">
                  <c:v>0.82241200000000003</c:v>
                </c:pt>
                <c:pt idx="1317">
                  <c:v>0.822766</c:v>
                </c:pt>
                <c:pt idx="1318">
                  <c:v>0.82311000000000001</c:v>
                </c:pt>
                <c:pt idx="1319">
                  <c:v>0.82344399999999995</c:v>
                </c:pt>
                <c:pt idx="1320">
                  <c:v>0.82376700000000003</c:v>
                </c:pt>
                <c:pt idx="1321">
                  <c:v>0.82407900000000001</c:v>
                </c:pt>
                <c:pt idx="1322">
                  <c:v>0.82437899999999997</c:v>
                </c:pt>
                <c:pt idx="1323">
                  <c:v>0.82466700000000004</c:v>
                </c:pt>
                <c:pt idx="1324">
                  <c:v>0.82494199999999995</c:v>
                </c:pt>
                <c:pt idx="1325">
                  <c:v>0.82520499999999997</c:v>
                </c:pt>
                <c:pt idx="1326">
                  <c:v>0.82545400000000002</c:v>
                </c:pt>
                <c:pt idx="1327">
                  <c:v>0.82569000000000004</c:v>
                </c:pt>
                <c:pt idx="1328">
                  <c:v>0.82591199999999998</c:v>
                </c:pt>
                <c:pt idx="1329">
                  <c:v>0.82612099999999999</c:v>
                </c:pt>
                <c:pt idx="1330">
                  <c:v>0.82631500000000002</c:v>
                </c:pt>
                <c:pt idx="1331">
                  <c:v>0.82649499999999998</c:v>
                </c:pt>
                <c:pt idx="1332">
                  <c:v>0.82666099999999998</c:v>
                </c:pt>
                <c:pt idx="1333">
                  <c:v>0.82681199999999999</c:v>
                </c:pt>
                <c:pt idx="1334">
                  <c:v>0.82694800000000002</c:v>
                </c:pt>
                <c:pt idx="1335">
                  <c:v>0.827071</c:v>
                </c:pt>
                <c:pt idx="1336">
                  <c:v>0.82717799999999997</c:v>
                </c:pt>
                <c:pt idx="1337">
                  <c:v>0.82727099999999998</c:v>
                </c:pt>
                <c:pt idx="1338">
                  <c:v>0.82735000000000003</c:v>
                </c:pt>
                <c:pt idx="1339">
                  <c:v>0.82741500000000001</c:v>
                </c:pt>
                <c:pt idx="1340">
                  <c:v>0.82746500000000001</c:v>
                </c:pt>
                <c:pt idx="1341">
                  <c:v>0.82750100000000004</c:v>
                </c:pt>
                <c:pt idx="1342">
                  <c:v>0.82752300000000001</c:v>
                </c:pt>
                <c:pt idx="1343">
                  <c:v>0.82753100000000002</c:v>
                </c:pt>
                <c:pt idx="1344">
                  <c:v>0.82752599999999998</c:v>
                </c:pt>
                <c:pt idx="1345">
                  <c:v>0.82750800000000002</c:v>
                </c:pt>
                <c:pt idx="1346">
                  <c:v>0.82747599999999999</c:v>
                </c:pt>
                <c:pt idx="1347">
                  <c:v>0.82743199999999995</c:v>
                </c:pt>
                <c:pt idx="1348">
                  <c:v>0.82737499999999997</c:v>
                </c:pt>
                <c:pt idx="1349">
                  <c:v>0.82730499999999996</c:v>
                </c:pt>
                <c:pt idx="1350">
                  <c:v>0.82722399999999996</c:v>
                </c:pt>
                <c:pt idx="1351">
                  <c:v>0.82713099999999995</c:v>
                </c:pt>
                <c:pt idx="1352">
                  <c:v>0.82702600000000004</c:v>
                </c:pt>
                <c:pt idx="1353">
                  <c:v>0.82691099999999995</c:v>
                </c:pt>
                <c:pt idx="1354">
                  <c:v>0.82678399999999996</c:v>
                </c:pt>
                <c:pt idx="1355">
                  <c:v>0.82664700000000002</c:v>
                </c:pt>
                <c:pt idx="1356">
                  <c:v>0.82650000000000001</c:v>
                </c:pt>
                <c:pt idx="1357">
                  <c:v>0.82634399999999997</c:v>
                </c:pt>
                <c:pt idx="1358">
                  <c:v>0.82617799999999997</c:v>
                </c:pt>
                <c:pt idx="1359">
                  <c:v>0.82600300000000004</c:v>
                </c:pt>
                <c:pt idx="1360">
                  <c:v>0.82581899999999997</c:v>
                </c:pt>
                <c:pt idx="1361">
                  <c:v>0.825627</c:v>
                </c:pt>
                <c:pt idx="1362">
                  <c:v>0.82542700000000002</c:v>
                </c:pt>
                <c:pt idx="1363">
                  <c:v>0.82521900000000004</c:v>
                </c:pt>
                <c:pt idx="1364">
                  <c:v>0.82500399999999996</c:v>
                </c:pt>
                <c:pt idx="1365">
                  <c:v>0.82478200000000002</c:v>
                </c:pt>
                <c:pt idx="1366">
                  <c:v>0.82455400000000001</c:v>
                </c:pt>
                <c:pt idx="1367">
                  <c:v>0.82431900000000002</c:v>
                </c:pt>
                <c:pt idx="1368">
                  <c:v>0.82407799999999998</c:v>
                </c:pt>
                <c:pt idx="1369">
                  <c:v>0.82383300000000004</c:v>
                </c:pt>
                <c:pt idx="1370">
                  <c:v>0.82358100000000001</c:v>
                </c:pt>
                <c:pt idx="1371">
                  <c:v>0.823326</c:v>
                </c:pt>
                <c:pt idx="1372">
                  <c:v>0.82306500000000005</c:v>
                </c:pt>
                <c:pt idx="1373">
                  <c:v>0.822801</c:v>
                </c:pt>
                <c:pt idx="1374">
                  <c:v>0.82253200000000004</c:v>
                </c:pt>
                <c:pt idx="1375">
                  <c:v>0.82225999999999999</c:v>
                </c:pt>
                <c:pt idx="1376">
                  <c:v>0.82198599999999999</c:v>
                </c:pt>
                <c:pt idx="1377">
                  <c:v>0.82170799999999999</c:v>
                </c:pt>
                <c:pt idx="1378">
                  <c:v>0.82142800000000005</c:v>
                </c:pt>
                <c:pt idx="1379">
                  <c:v>0.82114500000000001</c:v>
                </c:pt>
                <c:pt idx="1380">
                  <c:v>0.82086099999999995</c:v>
                </c:pt>
                <c:pt idx="1381">
                  <c:v>0.82057500000000005</c:v>
                </c:pt>
                <c:pt idx="1382">
                  <c:v>0.82028800000000002</c:v>
                </c:pt>
                <c:pt idx="1383">
                  <c:v>0.82</c:v>
                </c:pt>
                <c:pt idx="1384">
                  <c:v>0.819712</c:v>
                </c:pt>
                <c:pt idx="1385">
                  <c:v>0.81942300000000001</c:v>
                </c:pt>
                <c:pt idx="1386">
                  <c:v>0.81913499999999995</c:v>
                </c:pt>
                <c:pt idx="1387">
                  <c:v>0.81884599999999996</c:v>
                </c:pt>
                <c:pt idx="1388">
                  <c:v>0.81855900000000004</c:v>
                </c:pt>
                <c:pt idx="1389">
                  <c:v>0.818272</c:v>
                </c:pt>
                <c:pt idx="1390">
                  <c:v>0.81798700000000002</c:v>
                </c:pt>
                <c:pt idx="1391">
                  <c:v>0.81770399999999999</c:v>
                </c:pt>
                <c:pt idx="1392">
                  <c:v>0.81742199999999998</c:v>
                </c:pt>
                <c:pt idx="1393">
                  <c:v>0.81714299999999995</c:v>
                </c:pt>
                <c:pt idx="1394">
                  <c:v>0.81686700000000001</c:v>
                </c:pt>
                <c:pt idx="1395">
                  <c:v>0.81659300000000001</c:v>
                </c:pt>
                <c:pt idx="1396">
                  <c:v>0.81632300000000002</c:v>
                </c:pt>
                <c:pt idx="1397">
                  <c:v>0.81605700000000003</c:v>
                </c:pt>
                <c:pt idx="1398">
                  <c:v>0.81579400000000002</c:v>
                </c:pt>
                <c:pt idx="1399">
                  <c:v>0.81553600000000004</c:v>
                </c:pt>
                <c:pt idx="1400">
                  <c:v>0.81528299999999998</c:v>
                </c:pt>
                <c:pt idx="1401">
                  <c:v>0.81503499999999995</c:v>
                </c:pt>
                <c:pt idx="1402">
                  <c:v>0.81479199999999996</c:v>
                </c:pt>
                <c:pt idx="1403">
                  <c:v>0.81455599999999995</c:v>
                </c:pt>
                <c:pt idx="1404">
                  <c:v>0.81432499999999997</c:v>
                </c:pt>
                <c:pt idx="1405">
                  <c:v>0.81410099999999996</c:v>
                </c:pt>
                <c:pt idx="1406">
                  <c:v>0.81388300000000002</c:v>
                </c:pt>
                <c:pt idx="1407">
                  <c:v>0.81367299999999998</c:v>
                </c:pt>
                <c:pt idx="1408">
                  <c:v>0.81347100000000006</c:v>
                </c:pt>
                <c:pt idx="1409">
                  <c:v>0.813276</c:v>
                </c:pt>
                <c:pt idx="1410">
                  <c:v>0.81308899999999995</c:v>
                </c:pt>
                <c:pt idx="1411">
                  <c:v>0.81291199999999997</c:v>
                </c:pt>
                <c:pt idx="1412">
                  <c:v>0.81274299999999999</c:v>
                </c:pt>
                <c:pt idx="1413">
                  <c:v>0.81258300000000006</c:v>
                </c:pt>
                <c:pt idx="1414">
                  <c:v>0.81243299999999996</c:v>
                </c:pt>
                <c:pt idx="1415">
                  <c:v>0.81229300000000004</c:v>
                </c:pt>
                <c:pt idx="1416">
                  <c:v>0.81216200000000005</c:v>
                </c:pt>
                <c:pt idx="1417">
                  <c:v>0.81204299999999996</c:v>
                </c:pt>
                <c:pt idx="1418">
                  <c:v>0.81193400000000004</c:v>
                </c:pt>
                <c:pt idx="1419">
                  <c:v>0.811836</c:v>
                </c:pt>
                <c:pt idx="1420">
                  <c:v>0.81174900000000005</c:v>
                </c:pt>
                <c:pt idx="1421">
                  <c:v>0.81167400000000001</c:v>
                </c:pt>
                <c:pt idx="1422">
                  <c:v>0.81161000000000005</c:v>
                </c:pt>
                <c:pt idx="1423">
                  <c:v>0.81155900000000003</c:v>
                </c:pt>
                <c:pt idx="1424">
                  <c:v>0.81151899999999999</c:v>
                </c:pt>
                <c:pt idx="1425">
                  <c:v>0.81149099999999996</c:v>
                </c:pt>
                <c:pt idx="1426">
                  <c:v>0.81147599999999998</c:v>
                </c:pt>
                <c:pt idx="1427">
                  <c:v>0.811473</c:v>
                </c:pt>
                <c:pt idx="1428">
                  <c:v>0.81148299999999995</c:v>
                </c:pt>
                <c:pt idx="1429">
                  <c:v>0.81150500000000003</c:v>
                </c:pt>
                <c:pt idx="1430">
                  <c:v>0.81154000000000004</c:v>
                </c:pt>
                <c:pt idx="1431">
                  <c:v>0.81158799999999998</c:v>
                </c:pt>
                <c:pt idx="1432">
                  <c:v>0.81164800000000004</c:v>
                </c:pt>
                <c:pt idx="1433">
                  <c:v>0.81172100000000003</c:v>
                </c:pt>
                <c:pt idx="1434">
                  <c:v>0.81180600000000003</c:v>
                </c:pt>
                <c:pt idx="1435">
                  <c:v>0.81190399999999996</c:v>
                </c:pt>
                <c:pt idx="1436">
                  <c:v>0.81201400000000001</c:v>
                </c:pt>
                <c:pt idx="1437">
                  <c:v>0.81213599999999997</c:v>
                </c:pt>
                <c:pt idx="1438">
                  <c:v>0.81227000000000005</c:v>
                </c:pt>
                <c:pt idx="1439">
                  <c:v>0.81241600000000003</c:v>
                </c:pt>
                <c:pt idx="1440">
                  <c:v>0.81257299999999999</c:v>
                </c:pt>
                <c:pt idx="1441">
                  <c:v>0.81274199999999996</c:v>
                </c:pt>
                <c:pt idx="1442">
                  <c:v>0.81292200000000003</c:v>
                </c:pt>
                <c:pt idx="1443">
                  <c:v>0.81311199999999995</c:v>
                </c:pt>
                <c:pt idx="1444">
                  <c:v>0.81331299999999995</c:v>
                </c:pt>
                <c:pt idx="1445">
                  <c:v>0.81352400000000002</c:v>
                </c:pt>
                <c:pt idx="1446">
                  <c:v>0.81374400000000002</c:v>
                </c:pt>
                <c:pt idx="1447">
                  <c:v>0.81397299999999995</c:v>
                </c:pt>
                <c:pt idx="1448">
                  <c:v>0.81421100000000002</c:v>
                </c:pt>
                <c:pt idx="1449">
                  <c:v>0.81445699999999999</c:v>
                </c:pt>
                <c:pt idx="1450">
                  <c:v>0.81471099999999996</c:v>
                </c:pt>
                <c:pt idx="1451">
                  <c:v>0.81497299999999995</c:v>
                </c:pt>
                <c:pt idx="1452">
                  <c:v>0.81524099999999999</c:v>
                </c:pt>
                <c:pt idx="1453">
                  <c:v>0.81551499999999999</c:v>
                </c:pt>
                <c:pt idx="1454">
                  <c:v>0.81579400000000002</c:v>
                </c:pt>
                <c:pt idx="1455">
                  <c:v>0.816079</c:v>
                </c:pt>
                <c:pt idx="1456">
                  <c:v>0.81636799999999998</c:v>
                </c:pt>
                <c:pt idx="1457">
                  <c:v>0.81666099999999997</c:v>
                </c:pt>
                <c:pt idx="1458">
                  <c:v>0.81695700000000004</c:v>
                </c:pt>
                <c:pt idx="1459">
                  <c:v>0.81725499999999995</c:v>
                </c:pt>
                <c:pt idx="1460">
                  <c:v>0.81755500000000003</c:v>
                </c:pt>
                <c:pt idx="1461">
                  <c:v>0.81785699999999995</c:v>
                </c:pt>
                <c:pt idx="1462">
                  <c:v>0.81815899999999997</c:v>
                </c:pt>
                <c:pt idx="1463">
                  <c:v>0.81846099999999999</c:v>
                </c:pt>
                <c:pt idx="1464">
                  <c:v>0.81876199999999999</c:v>
                </c:pt>
                <c:pt idx="1465">
                  <c:v>0.81906199999999996</c:v>
                </c:pt>
                <c:pt idx="1466">
                  <c:v>0.81935899999999995</c:v>
                </c:pt>
                <c:pt idx="1467">
                  <c:v>0.81965399999999999</c:v>
                </c:pt>
                <c:pt idx="1468">
                  <c:v>0.81994599999999995</c:v>
                </c:pt>
                <c:pt idx="1469">
                  <c:v>0.82023400000000002</c:v>
                </c:pt>
                <c:pt idx="1470">
                  <c:v>0.82051600000000002</c:v>
                </c:pt>
                <c:pt idx="1471">
                  <c:v>0.82079400000000002</c:v>
                </c:pt>
                <c:pt idx="1472">
                  <c:v>0.82106599999999996</c:v>
                </c:pt>
                <c:pt idx="1473">
                  <c:v>0.82133100000000003</c:v>
                </c:pt>
                <c:pt idx="1474">
                  <c:v>0.82159000000000004</c:v>
                </c:pt>
                <c:pt idx="1475">
                  <c:v>0.82184000000000001</c:v>
                </c:pt>
                <c:pt idx="1476">
                  <c:v>0.82208300000000001</c:v>
                </c:pt>
                <c:pt idx="1477">
                  <c:v>0.82231699999999996</c:v>
                </c:pt>
                <c:pt idx="1478">
                  <c:v>0.822542</c:v>
                </c:pt>
                <c:pt idx="1479">
                  <c:v>0.82275799999999999</c:v>
                </c:pt>
                <c:pt idx="1480">
                  <c:v>0.822963</c:v>
                </c:pt>
                <c:pt idx="1481">
                  <c:v>0.82315899999999997</c:v>
                </c:pt>
                <c:pt idx="1482">
                  <c:v>0.82334300000000005</c:v>
                </c:pt>
                <c:pt idx="1483">
                  <c:v>0.82351700000000005</c:v>
                </c:pt>
                <c:pt idx="1484">
                  <c:v>0.82367900000000005</c:v>
                </c:pt>
                <c:pt idx="1485">
                  <c:v>0.82382900000000003</c:v>
                </c:pt>
                <c:pt idx="1486">
                  <c:v>0.82396800000000003</c:v>
                </c:pt>
                <c:pt idx="1487">
                  <c:v>0.82409399999999999</c:v>
                </c:pt>
                <c:pt idx="1488">
                  <c:v>0.82420800000000005</c:v>
                </c:pt>
                <c:pt idx="1489">
                  <c:v>0.82430999999999999</c:v>
                </c:pt>
                <c:pt idx="1490">
                  <c:v>0.82439899999999999</c:v>
                </c:pt>
                <c:pt idx="1491">
                  <c:v>0.82447599999999999</c:v>
                </c:pt>
                <c:pt idx="1492">
                  <c:v>0.82453900000000002</c:v>
                </c:pt>
                <c:pt idx="1493">
                  <c:v>0.82459099999999996</c:v>
                </c:pt>
                <c:pt idx="1494">
                  <c:v>0.82462899999999995</c:v>
                </c:pt>
                <c:pt idx="1495">
                  <c:v>0.82465500000000003</c:v>
                </c:pt>
                <c:pt idx="1496">
                  <c:v>0.82466899999999999</c:v>
                </c:pt>
                <c:pt idx="1497">
                  <c:v>0.82467000000000001</c:v>
                </c:pt>
                <c:pt idx="1498">
                  <c:v>0.82465900000000003</c:v>
                </c:pt>
                <c:pt idx="1499">
                  <c:v>0.82463600000000004</c:v>
                </c:pt>
                <c:pt idx="1500">
                  <c:v>0.82460199999999995</c:v>
                </c:pt>
                <c:pt idx="1501">
                  <c:v>0.82455500000000004</c:v>
                </c:pt>
                <c:pt idx="1502">
                  <c:v>0.82449799999999995</c:v>
                </c:pt>
                <c:pt idx="1503">
                  <c:v>0.82442899999999997</c:v>
                </c:pt>
                <c:pt idx="1504">
                  <c:v>0.82435000000000003</c:v>
                </c:pt>
                <c:pt idx="1505">
                  <c:v>0.82426100000000002</c:v>
                </c:pt>
                <c:pt idx="1506">
                  <c:v>0.82416199999999995</c:v>
                </c:pt>
                <c:pt idx="1507">
                  <c:v>0.82405300000000004</c:v>
                </c:pt>
                <c:pt idx="1508">
                  <c:v>0.82393499999999997</c:v>
                </c:pt>
                <c:pt idx="1509">
                  <c:v>0.82380799999999998</c:v>
                </c:pt>
                <c:pt idx="1510">
                  <c:v>0.82367400000000002</c:v>
                </c:pt>
                <c:pt idx="1511">
                  <c:v>0.82353100000000001</c:v>
                </c:pt>
                <c:pt idx="1512">
                  <c:v>0.82338100000000003</c:v>
                </c:pt>
                <c:pt idx="1513">
                  <c:v>0.82322399999999996</c:v>
                </c:pt>
                <c:pt idx="1514">
                  <c:v>0.82306100000000004</c:v>
                </c:pt>
                <c:pt idx="1515">
                  <c:v>0.82289199999999996</c:v>
                </c:pt>
                <c:pt idx="1516">
                  <c:v>0.82271799999999995</c:v>
                </c:pt>
                <c:pt idx="1517">
                  <c:v>0.82253900000000002</c:v>
                </c:pt>
                <c:pt idx="1518">
                  <c:v>0.82235499999999995</c:v>
                </c:pt>
                <c:pt idx="1519">
                  <c:v>0.82216800000000001</c:v>
                </c:pt>
                <c:pt idx="1520">
                  <c:v>0.82197699999999996</c:v>
                </c:pt>
                <c:pt idx="1521">
                  <c:v>0.82178300000000004</c:v>
                </c:pt>
                <c:pt idx="1522">
                  <c:v>0.82158699999999996</c:v>
                </c:pt>
                <c:pt idx="1523">
                  <c:v>0.82138900000000004</c:v>
                </c:pt>
                <c:pt idx="1524">
                  <c:v>0.82118899999999995</c:v>
                </c:pt>
                <c:pt idx="1525">
                  <c:v>0.82098899999999997</c:v>
                </c:pt>
                <c:pt idx="1526">
                  <c:v>0.82078799999999996</c:v>
                </c:pt>
                <c:pt idx="1527">
                  <c:v>0.82058699999999996</c:v>
                </c:pt>
                <c:pt idx="1528">
                  <c:v>0.82038599999999995</c:v>
                </c:pt>
                <c:pt idx="1529">
                  <c:v>0.82018599999999997</c:v>
                </c:pt>
                <c:pt idx="1530">
                  <c:v>0.81998700000000002</c:v>
                </c:pt>
                <c:pt idx="1531">
                  <c:v>0.81978899999999999</c:v>
                </c:pt>
                <c:pt idx="1532">
                  <c:v>0.81959400000000004</c:v>
                </c:pt>
                <c:pt idx="1533">
                  <c:v>0.81940100000000005</c:v>
                </c:pt>
                <c:pt idx="1534">
                  <c:v>0.81920999999999999</c:v>
                </c:pt>
                <c:pt idx="1535">
                  <c:v>0.81902200000000003</c:v>
                </c:pt>
                <c:pt idx="1536">
                  <c:v>0.81883700000000004</c:v>
                </c:pt>
                <c:pt idx="1537">
                  <c:v>0.81865500000000002</c:v>
                </c:pt>
                <c:pt idx="1538">
                  <c:v>0.81847800000000004</c:v>
                </c:pt>
                <c:pt idx="1539">
                  <c:v>0.81830400000000003</c:v>
                </c:pt>
                <c:pt idx="1540">
                  <c:v>0.81813400000000003</c:v>
                </c:pt>
                <c:pt idx="1541">
                  <c:v>0.81796800000000003</c:v>
                </c:pt>
                <c:pt idx="1542">
                  <c:v>0.81780600000000003</c:v>
                </c:pt>
                <c:pt idx="1543">
                  <c:v>0.81764999999999999</c:v>
                </c:pt>
                <c:pt idx="1544">
                  <c:v>0.81749700000000003</c:v>
                </c:pt>
                <c:pt idx="1545">
                  <c:v>0.81735000000000002</c:v>
                </c:pt>
                <c:pt idx="1546">
                  <c:v>0.81720700000000002</c:v>
                </c:pt>
                <c:pt idx="1547">
                  <c:v>0.81706999999999996</c:v>
                </c:pt>
                <c:pt idx="1548">
                  <c:v>0.81693700000000002</c:v>
                </c:pt>
                <c:pt idx="1549">
                  <c:v>0.81680900000000001</c:v>
                </c:pt>
                <c:pt idx="1550">
                  <c:v>0.81668600000000002</c:v>
                </c:pt>
                <c:pt idx="1551">
                  <c:v>0.81656899999999999</c:v>
                </c:pt>
                <c:pt idx="1552">
                  <c:v>0.81645599999999996</c:v>
                </c:pt>
                <c:pt idx="1553">
                  <c:v>0.81634799999999996</c:v>
                </c:pt>
                <c:pt idx="1554">
                  <c:v>0.816245</c:v>
                </c:pt>
                <c:pt idx="1555">
                  <c:v>0.81614600000000004</c:v>
                </c:pt>
                <c:pt idx="1556">
                  <c:v>0.81605300000000003</c:v>
                </c:pt>
                <c:pt idx="1557">
                  <c:v>0.81596400000000002</c:v>
                </c:pt>
                <c:pt idx="1558">
                  <c:v>0.81588000000000005</c:v>
                </c:pt>
                <c:pt idx="1559">
                  <c:v>0.81579999999999997</c:v>
                </c:pt>
                <c:pt idx="1560">
                  <c:v>0.81572500000000003</c:v>
                </c:pt>
                <c:pt idx="1561">
                  <c:v>0.81565399999999999</c:v>
                </c:pt>
                <c:pt idx="1562">
                  <c:v>0.81558699999999995</c:v>
                </c:pt>
                <c:pt idx="1563">
                  <c:v>0.81552400000000003</c:v>
                </c:pt>
                <c:pt idx="1564">
                  <c:v>0.815465</c:v>
                </c:pt>
                <c:pt idx="1565">
                  <c:v>0.81540999999999997</c:v>
                </c:pt>
                <c:pt idx="1566">
                  <c:v>0.81535899999999994</c:v>
                </c:pt>
                <c:pt idx="1567">
                  <c:v>0.81531200000000004</c:v>
                </c:pt>
                <c:pt idx="1568">
                  <c:v>0.81526799999999999</c:v>
                </c:pt>
                <c:pt idx="1569">
                  <c:v>0.81522700000000003</c:v>
                </c:pt>
                <c:pt idx="1570">
                  <c:v>0.81518999999999997</c:v>
                </c:pt>
                <c:pt idx="1571">
                  <c:v>0.81515599999999999</c:v>
                </c:pt>
                <c:pt idx="1572">
                  <c:v>0.81512499999999999</c:v>
                </c:pt>
                <c:pt idx="1573">
                  <c:v>0.81509699999999996</c:v>
                </c:pt>
                <c:pt idx="1574">
                  <c:v>0.81507300000000005</c:v>
                </c:pt>
                <c:pt idx="1575">
                  <c:v>0.81505099999999997</c:v>
                </c:pt>
                <c:pt idx="1576">
                  <c:v>0.81503199999999998</c:v>
                </c:pt>
                <c:pt idx="1577">
                  <c:v>0.81501599999999996</c:v>
                </c:pt>
                <c:pt idx="1578">
                  <c:v>0.81500300000000003</c:v>
                </c:pt>
                <c:pt idx="1579">
                  <c:v>0.81499200000000005</c:v>
                </c:pt>
                <c:pt idx="1580">
                  <c:v>0.81498400000000004</c:v>
                </c:pt>
                <c:pt idx="1581">
                  <c:v>0.81497900000000001</c:v>
                </c:pt>
                <c:pt idx="1582">
                  <c:v>0.81497699999999995</c:v>
                </c:pt>
                <c:pt idx="1583">
                  <c:v>0.81497799999999998</c:v>
                </c:pt>
                <c:pt idx="1584">
                  <c:v>0.81498099999999996</c:v>
                </c:pt>
                <c:pt idx="1585">
                  <c:v>0.81498700000000002</c:v>
                </c:pt>
                <c:pt idx="1586">
                  <c:v>0.81499600000000005</c:v>
                </c:pt>
                <c:pt idx="1587">
                  <c:v>0.81500799999999995</c:v>
                </c:pt>
                <c:pt idx="1588">
                  <c:v>0.81502200000000002</c:v>
                </c:pt>
                <c:pt idx="1589">
                  <c:v>0.81503999999999999</c:v>
                </c:pt>
                <c:pt idx="1590">
                  <c:v>0.81506100000000004</c:v>
                </c:pt>
                <c:pt idx="1591">
                  <c:v>0.81508499999999995</c:v>
                </c:pt>
                <c:pt idx="1592">
                  <c:v>0.81511199999999995</c:v>
                </c:pt>
                <c:pt idx="1593">
                  <c:v>0.81514299999999995</c:v>
                </c:pt>
                <c:pt idx="1594">
                  <c:v>0.81517700000000004</c:v>
                </c:pt>
                <c:pt idx="1595">
                  <c:v>0.81521399999999999</c:v>
                </c:pt>
                <c:pt idx="1596">
                  <c:v>0.81525599999999998</c:v>
                </c:pt>
                <c:pt idx="1597">
                  <c:v>0.81530000000000002</c:v>
                </c:pt>
                <c:pt idx="1598">
                  <c:v>0.81534899999999999</c:v>
                </c:pt>
                <c:pt idx="1599">
                  <c:v>0.81540199999999996</c:v>
                </c:pt>
                <c:pt idx="1600">
                  <c:v>0.81545800000000002</c:v>
                </c:pt>
                <c:pt idx="1601">
                  <c:v>0.81551899999999999</c:v>
                </c:pt>
                <c:pt idx="1602">
                  <c:v>0.81558299999999995</c:v>
                </c:pt>
                <c:pt idx="1603">
                  <c:v>0.81565200000000004</c:v>
                </c:pt>
                <c:pt idx="1604">
                  <c:v>0.81572599999999995</c:v>
                </c:pt>
                <c:pt idx="1605">
                  <c:v>0.81580299999999994</c:v>
                </c:pt>
                <c:pt idx="1606">
                  <c:v>0.815886</c:v>
                </c:pt>
                <c:pt idx="1607">
                  <c:v>0.81597200000000003</c:v>
                </c:pt>
                <c:pt idx="1608">
                  <c:v>0.81606299999999998</c:v>
                </c:pt>
                <c:pt idx="1609">
                  <c:v>0.81615899999999997</c:v>
                </c:pt>
                <c:pt idx="1610">
                  <c:v>0.81625899999999996</c:v>
                </c:pt>
                <c:pt idx="1611">
                  <c:v>0.81636399999999998</c:v>
                </c:pt>
                <c:pt idx="1612">
                  <c:v>0.816473</c:v>
                </c:pt>
                <c:pt idx="1613">
                  <c:v>0.81658699999999995</c:v>
                </c:pt>
                <c:pt idx="1614">
                  <c:v>0.81670500000000001</c:v>
                </c:pt>
                <c:pt idx="1615">
                  <c:v>0.816828</c:v>
                </c:pt>
                <c:pt idx="1616">
                  <c:v>0.81695399999999996</c:v>
                </c:pt>
                <c:pt idx="1617">
                  <c:v>0.81708599999999998</c:v>
                </c:pt>
                <c:pt idx="1618">
                  <c:v>0.81722099999999998</c:v>
                </c:pt>
                <c:pt idx="1619">
                  <c:v>0.81735999999999998</c:v>
                </c:pt>
                <c:pt idx="1620">
                  <c:v>0.81750299999999998</c:v>
                </c:pt>
                <c:pt idx="1621">
                  <c:v>0.81764899999999996</c:v>
                </c:pt>
                <c:pt idx="1622">
                  <c:v>0.81779999999999997</c:v>
                </c:pt>
                <c:pt idx="1623">
                  <c:v>0.81795300000000004</c:v>
                </c:pt>
                <c:pt idx="1624">
                  <c:v>0.81810899999999998</c:v>
                </c:pt>
                <c:pt idx="1625">
                  <c:v>0.818268</c:v>
                </c:pt>
                <c:pt idx="1626">
                  <c:v>0.81842999999999999</c:v>
                </c:pt>
                <c:pt idx="1627">
                  <c:v>0.81859400000000004</c:v>
                </c:pt>
                <c:pt idx="1628">
                  <c:v>0.81876000000000004</c:v>
                </c:pt>
                <c:pt idx="1629">
                  <c:v>0.81892799999999999</c:v>
                </c:pt>
                <c:pt idx="1630">
                  <c:v>0.81909699999999996</c:v>
                </c:pt>
                <c:pt idx="1631">
                  <c:v>0.81926699999999997</c:v>
                </c:pt>
                <c:pt idx="1632">
                  <c:v>0.819438</c:v>
                </c:pt>
                <c:pt idx="1633">
                  <c:v>0.81960900000000003</c:v>
                </c:pt>
                <c:pt idx="1634">
                  <c:v>0.81977999999999995</c:v>
                </c:pt>
                <c:pt idx="1635">
                  <c:v>0.81994999999999996</c:v>
                </c:pt>
                <c:pt idx="1636">
                  <c:v>0.82011999999999996</c:v>
                </c:pt>
                <c:pt idx="1637">
                  <c:v>0.82028800000000002</c:v>
                </c:pt>
                <c:pt idx="1638">
                  <c:v>0.82045500000000005</c:v>
                </c:pt>
                <c:pt idx="1639">
                  <c:v>0.82062000000000002</c:v>
                </c:pt>
                <c:pt idx="1640">
                  <c:v>0.82078300000000004</c:v>
                </c:pt>
                <c:pt idx="1641">
                  <c:v>0.82094199999999995</c:v>
                </c:pt>
                <c:pt idx="1642">
                  <c:v>0.82109799999999999</c:v>
                </c:pt>
                <c:pt idx="1643">
                  <c:v>0.82125099999999995</c:v>
                </c:pt>
                <c:pt idx="1644">
                  <c:v>0.82139899999999999</c:v>
                </c:pt>
                <c:pt idx="1645">
                  <c:v>0.82154300000000002</c:v>
                </c:pt>
                <c:pt idx="1646">
                  <c:v>0.82168200000000002</c:v>
                </c:pt>
                <c:pt idx="1647">
                  <c:v>0.82181599999999999</c:v>
                </c:pt>
                <c:pt idx="1648">
                  <c:v>0.82194400000000001</c:v>
                </c:pt>
                <c:pt idx="1649">
                  <c:v>0.82206599999999996</c:v>
                </c:pt>
                <c:pt idx="1650">
                  <c:v>0.82218100000000005</c:v>
                </c:pt>
                <c:pt idx="1651">
                  <c:v>0.82228999999999997</c:v>
                </c:pt>
                <c:pt idx="1652">
                  <c:v>0.82239200000000001</c:v>
                </c:pt>
                <c:pt idx="1653">
                  <c:v>0.82248600000000005</c:v>
                </c:pt>
                <c:pt idx="1654">
                  <c:v>0.82257199999999997</c:v>
                </c:pt>
                <c:pt idx="1655">
                  <c:v>0.82264999999999999</c:v>
                </c:pt>
                <c:pt idx="1656">
                  <c:v>0.82272000000000001</c:v>
                </c:pt>
                <c:pt idx="1657">
                  <c:v>0.82278099999999998</c:v>
                </c:pt>
                <c:pt idx="1658">
                  <c:v>0.82283300000000004</c:v>
                </c:pt>
                <c:pt idx="1659">
                  <c:v>0.82287699999999997</c:v>
                </c:pt>
                <c:pt idx="1660">
                  <c:v>0.82291099999999995</c:v>
                </c:pt>
                <c:pt idx="1661">
                  <c:v>0.82293499999999997</c:v>
                </c:pt>
                <c:pt idx="1662">
                  <c:v>0.82295099999999999</c:v>
                </c:pt>
                <c:pt idx="1663">
                  <c:v>0.82295700000000005</c:v>
                </c:pt>
                <c:pt idx="1664">
                  <c:v>0.82295300000000005</c:v>
                </c:pt>
                <c:pt idx="1665">
                  <c:v>0.82293899999999998</c:v>
                </c:pt>
                <c:pt idx="1666">
                  <c:v>0.82291599999999998</c:v>
                </c:pt>
                <c:pt idx="1667">
                  <c:v>0.82288300000000003</c:v>
                </c:pt>
                <c:pt idx="1668">
                  <c:v>0.82284000000000002</c:v>
                </c:pt>
                <c:pt idx="1669">
                  <c:v>0.82278799999999996</c:v>
                </c:pt>
                <c:pt idx="1670">
                  <c:v>0.82272599999999996</c:v>
                </c:pt>
                <c:pt idx="1671">
                  <c:v>0.82265500000000003</c:v>
                </c:pt>
                <c:pt idx="1672">
                  <c:v>0.82257499999999995</c:v>
                </c:pt>
                <c:pt idx="1673">
                  <c:v>0.82248500000000002</c:v>
                </c:pt>
                <c:pt idx="1674">
                  <c:v>0.82238699999999998</c:v>
                </c:pt>
                <c:pt idx="1675">
                  <c:v>0.82228100000000004</c:v>
                </c:pt>
                <c:pt idx="1676">
                  <c:v>0.82216599999999995</c:v>
                </c:pt>
                <c:pt idx="1677">
                  <c:v>0.82204299999999997</c:v>
                </c:pt>
                <c:pt idx="1678">
                  <c:v>0.82191199999999998</c:v>
                </c:pt>
                <c:pt idx="1679">
                  <c:v>0.821774</c:v>
                </c:pt>
                <c:pt idx="1680">
                  <c:v>0.82162900000000005</c:v>
                </c:pt>
                <c:pt idx="1681">
                  <c:v>0.82147800000000004</c:v>
                </c:pt>
                <c:pt idx="1682">
                  <c:v>0.82132000000000005</c:v>
                </c:pt>
                <c:pt idx="1683">
                  <c:v>0.82115700000000003</c:v>
                </c:pt>
                <c:pt idx="1684">
                  <c:v>0.82098800000000005</c:v>
                </c:pt>
                <c:pt idx="1685">
                  <c:v>0.82081499999999996</c:v>
                </c:pt>
                <c:pt idx="1686">
                  <c:v>0.82063699999999995</c:v>
                </c:pt>
                <c:pt idx="1687">
                  <c:v>0.82045500000000005</c:v>
                </c:pt>
                <c:pt idx="1688">
                  <c:v>0.82027000000000005</c:v>
                </c:pt>
                <c:pt idx="1689">
                  <c:v>0.82008199999999998</c:v>
                </c:pt>
                <c:pt idx="1690">
                  <c:v>0.81989100000000004</c:v>
                </c:pt>
                <c:pt idx="1691">
                  <c:v>0.81969899999999996</c:v>
                </c:pt>
                <c:pt idx="1692">
                  <c:v>0.81950500000000004</c:v>
                </c:pt>
                <c:pt idx="1693">
                  <c:v>0.81930999999999998</c:v>
                </c:pt>
                <c:pt idx="1694">
                  <c:v>0.81911599999999996</c:v>
                </c:pt>
                <c:pt idx="1695">
                  <c:v>0.81892100000000001</c:v>
                </c:pt>
                <c:pt idx="1696">
                  <c:v>0.81872699999999998</c:v>
                </c:pt>
                <c:pt idx="1697">
                  <c:v>0.81853500000000001</c:v>
                </c:pt>
                <c:pt idx="1698">
                  <c:v>0.81834399999999996</c:v>
                </c:pt>
                <c:pt idx="1699">
                  <c:v>0.81815499999999997</c:v>
                </c:pt>
                <c:pt idx="1700">
                  <c:v>0.81796999999999997</c:v>
                </c:pt>
                <c:pt idx="1701">
                  <c:v>0.81778700000000004</c:v>
                </c:pt>
                <c:pt idx="1702">
                  <c:v>0.81760900000000003</c:v>
                </c:pt>
                <c:pt idx="1703">
                  <c:v>0.81743399999999999</c:v>
                </c:pt>
                <c:pt idx="1704">
                  <c:v>0.81726399999999999</c:v>
                </c:pt>
                <c:pt idx="1705">
                  <c:v>0.81709900000000002</c:v>
                </c:pt>
                <c:pt idx="1706">
                  <c:v>0.81694</c:v>
                </c:pt>
                <c:pt idx="1707">
                  <c:v>0.81678600000000001</c:v>
                </c:pt>
                <c:pt idx="1708">
                  <c:v>0.81663799999999998</c:v>
                </c:pt>
                <c:pt idx="1709">
                  <c:v>0.81649700000000003</c:v>
                </c:pt>
                <c:pt idx="1710">
                  <c:v>0.81636299999999995</c:v>
                </c:pt>
                <c:pt idx="1711">
                  <c:v>0.81623599999999996</c:v>
                </c:pt>
                <c:pt idx="1712">
                  <c:v>0.81611599999999995</c:v>
                </c:pt>
                <c:pt idx="1713">
                  <c:v>0.81600399999999995</c:v>
                </c:pt>
                <c:pt idx="1714">
                  <c:v>0.81589900000000004</c:v>
                </c:pt>
                <c:pt idx="1715">
                  <c:v>0.81580299999999994</c:v>
                </c:pt>
                <c:pt idx="1716">
                  <c:v>0.81571400000000005</c:v>
                </c:pt>
                <c:pt idx="1717">
                  <c:v>0.81563399999999997</c:v>
                </c:pt>
                <c:pt idx="1718">
                  <c:v>0.81556200000000001</c:v>
                </c:pt>
                <c:pt idx="1719">
                  <c:v>0.81549899999999997</c:v>
                </c:pt>
                <c:pt idx="1720">
                  <c:v>0.81544399999999995</c:v>
                </c:pt>
                <c:pt idx="1721">
                  <c:v>0.81539799999999996</c:v>
                </c:pt>
                <c:pt idx="1722">
                  <c:v>0.81535899999999994</c:v>
                </c:pt>
                <c:pt idx="1723">
                  <c:v>0.81533</c:v>
                </c:pt>
                <c:pt idx="1724">
                  <c:v>0.81530899999999995</c:v>
                </c:pt>
                <c:pt idx="1725">
                  <c:v>0.81529600000000002</c:v>
                </c:pt>
                <c:pt idx="1726">
                  <c:v>0.81529099999999999</c:v>
                </c:pt>
                <c:pt idx="1727">
                  <c:v>0.81529399999999996</c:v>
                </c:pt>
                <c:pt idx="1728">
                  <c:v>0.81530499999999995</c:v>
                </c:pt>
                <c:pt idx="1729">
                  <c:v>0.81532400000000005</c:v>
                </c:pt>
                <c:pt idx="1730">
                  <c:v>0.81535000000000002</c:v>
                </c:pt>
                <c:pt idx="1731">
                  <c:v>0.81538299999999997</c:v>
                </c:pt>
                <c:pt idx="1732">
                  <c:v>0.81542400000000004</c:v>
                </c:pt>
                <c:pt idx="1733">
                  <c:v>0.81547099999999995</c:v>
                </c:pt>
                <c:pt idx="1734">
                  <c:v>0.81552400000000003</c:v>
                </c:pt>
                <c:pt idx="1735">
                  <c:v>0.81558399999999998</c:v>
                </c:pt>
                <c:pt idx="1736">
                  <c:v>0.81564899999999996</c:v>
                </c:pt>
                <c:pt idx="1737">
                  <c:v>0.81572</c:v>
                </c:pt>
                <c:pt idx="1738">
                  <c:v>0.81579599999999997</c:v>
                </c:pt>
                <c:pt idx="1739">
                  <c:v>0.81587699999999996</c:v>
                </c:pt>
                <c:pt idx="1740">
                  <c:v>0.81596299999999999</c:v>
                </c:pt>
                <c:pt idx="1741">
                  <c:v>0.816052</c:v>
                </c:pt>
                <c:pt idx="1742">
                  <c:v>0.81614500000000001</c:v>
                </c:pt>
                <c:pt idx="1743">
                  <c:v>0.81624200000000002</c:v>
                </c:pt>
                <c:pt idx="1744">
                  <c:v>0.81634200000000001</c:v>
                </c:pt>
                <c:pt idx="1745">
                  <c:v>0.81644399999999995</c:v>
                </c:pt>
                <c:pt idx="1746">
                  <c:v>0.81654899999999997</c:v>
                </c:pt>
                <c:pt idx="1747">
                  <c:v>0.81665500000000002</c:v>
                </c:pt>
                <c:pt idx="1748">
                  <c:v>0.81676300000000002</c:v>
                </c:pt>
                <c:pt idx="1749">
                  <c:v>0.81687299999999996</c:v>
                </c:pt>
                <c:pt idx="1750">
                  <c:v>0.81698300000000001</c:v>
                </c:pt>
                <c:pt idx="1751">
                  <c:v>0.81709399999999999</c:v>
                </c:pt>
                <c:pt idx="1752">
                  <c:v>0.81720499999999996</c:v>
                </c:pt>
                <c:pt idx="1753">
                  <c:v>0.81731600000000004</c:v>
                </c:pt>
                <c:pt idx="1754">
                  <c:v>0.81742599999999999</c:v>
                </c:pt>
                <c:pt idx="1755">
                  <c:v>0.81753600000000004</c:v>
                </c:pt>
                <c:pt idx="1756">
                  <c:v>0.81764400000000004</c:v>
                </c:pt>
                <c:pt idx="1757">
                  <c:v>0.81775200000000003</c:v>
                </c:pt>
                <c:pt idx="1758">
                  <c:v>0.81785799999999997</c:v>
                </c:pt>
                <c:pt idx="1759">
                  <c:v>0.81796199999999997</c:v>
                </c:pt>
                <c:pt idx="1760">
                  <c:v>0.81806400000000001</c:v>
                </c:pt>
                <c:pt idx="1761">
                  <c:v>0.818164</c:v>
                </c:pt>
                <c:pt idx="1762">
                  <c:v>0.81826200000000004</c:v>
                </c:pt>
                <c:pt idx="1763">
                  <c:v>0.818357</c:v>
                </c:pt>
                <c:pt idx="1764">
                  <c:v>0.81845000000000001</c:v>
                </c:pt>
                <c:pt idx="1765">
                  <c:v>0.81854000000000005</c:v>
                </c:pt>
                <c:pt idx="1766">
                  <c:v>0.81862699999999999</c:v>
                </c:pt>
                <c:pt idx="1767">
                  <c:v>0.81871099999999997</c:v>
                </c:pt>
                <c:pt idx="1768">
                  <c:v>0.81879199999999996</c:v>
                </c:pt>
                <c:pt idx="1769">
                  <c:v>0.81886999999999999</c:v>
                </c:pt>
                <c:pt idx="1770">
                  <c:v>0.81894400000000001</c:v>
                </c:pt>
                <c:pt idx="1771">
                  <c:v>0.81901599999999997</c:v>
                </c:pt>
                <c:pt idx="1772">
                  <c:v>0.81908499999999995</c:v>
                </c:pt>
                <c:pt idx="1773">
                  <c:v>0.81915000000000004</c:v>
                </c:pt>
                <c:pt idx="1774">
                  <c:v>0.81921200000000005</c:v>
                </c:pt>
                <c:pt idx="1775">
                  <c:v>0.81927099999999997</c:v>
                </c:pt>
                <c:pt idx="1776">
                  <c:v>0.81932700000000003</c:v>
                </c:pt>
                <c:pt idx="1777">
                  <c:v>0.81938100000000003</c:v>
                </c:pt>
                <c:pt idx="1778">
                  <c:v>0.81943100000000002</c:v>
                </c:pt>
                <c:pt idx="1779">
                  <c:v>0.81947899999999996</c:v>
                </c:pt>
                <c:pt idx="1780">
                  <c:v>0.81952400000000003</c:v>
                </c:pt>
                <c:pt idx="1781">
                  <c:v>0.81956700000000005</c:v>
                </c:pt>
                <c:pt idx="1782">
                  <c:v>0.81960699999999997</c:v>
                </c:pt>
                <c:pt idx="1783">
                  <c:v>0.81964499999999996</c:v>
                </c:pt>
                <c:pt idx="1784">
                  <c:v>0.81968099999999999</c:v>
                </c:pt>
                <c:pt idx="1785">
                  <c:v>0.81971499999999997</c:v>
                </c:pt>
                <c:pt idx="1786">
                  <c:v>0.819747</c:v>
                </c:pt>
                <c:pt idx="1787">
                  <c:v>0.81977699999999998</c:v>
                </c:pt>
                <c:pt idx="1788">
                  <c:v>0.81980600000000003</c:v>
                </c:pt>
                <c:pt idx="1789">
                  <c:v>0.81983399999999995</c:v>
                </c:pt>
                <c:pt idx="1790">
                  <c:v>0.81986000000000003</c:v>
                </c:pt>
                <c:pt idx="1791">
                  <c:v>0.81988499999999997</c:v>
                </c:pt>
                <c:pt idx="1792">
                  <c:v>0.81991000000000003</c:v>
                </c:pt>
                <c:pt idx="1793">
                  <c:v>0.81993300000000002</c:v>
                </c:pt>
                <c:pt idx="1794">
                  <c:v>0.81995600000000002</c:v>
                </c:pt>
                <c:pt idx="1795">
                  <c:v>0.81997900000000001</c:v>
                </c:pt>
                <c:pt idx="1796">
                  <c:v>0.82000099999999998</c:v>
                </c:pt>
                <c:pt idx="1797">
                  <c:v>0.82002299999999995</c:v>
                </c:pt>
                <c:pt idx="1798">
                  <c:v>0.82004500000000002</c:v>
                </c:pt>
                <c:pt idx="1799">
                  <c:v>0.82006699999999999</c:v>
                </c:pt>
                <c:pt idx="1800">
                  <c:v>0.82008899999999996</c:v>
                </c:pt>
                <c:pt idx="1801">
                  <c:v>0.82011100000000003</c:v>
                </c:pt>
                <c:pt idx="1802">
                  <c:v>0.820133</c:v>
                </c:pt>
                <c:pt idx="1803">
                  <c:v>0.820156</c:v>
                </c:pt>
                <c:pt idx="1804">
                  <c:v>0.82017899999999999</c:v>
                </c:pt>
                <c:pt idx="1805">
                  <c:v>0.82020199999999999</c:v>
                </c:pt>
                <c:pt idx="1806">
                  <c:v>0.82022600000000001</c:v>
                </c:pt>
                <c:pt idx="1807">
                  <c:v>0.82025000000000003</c:v>
                </c:pt>
                <c:pt idx="1808">
                  <c:v>0.82027399999999995</c:v>
                </c:pt>
                <c:pt idx="1809">
                  <c:v>0.820299</c:v>
                </c:pt>
                <c:pt idx="1810">
                  <c:v>0.82032400000000005</c:v>
                </c:pt>
                <c:pt idx="1811">
                  <c:v>0.82035000000000002</c:v>
                </c:pt>
                <c:pt idx="1812">
                  <c:v>0.82037599999999999</c:v>
                </c:pt>
                <c:pt idx="1813">
                  <c:v>0.82040199999999996</c:v>
                </c:pt>
                <c:pt idx="1814">
                  <c:v>0.82042800000000005</c:v>
                </c:pt>
                <c:pt idx="1815">
                  <c:v>0.82045299999999999</c:v>
                </c:pt>
                <c:pt idx="1816">
                  <c:v>0.82047899999999996</c:v>
                </c:pt>
                <c:pt idx="1817">
                  <c:v>0.82050500000000004</c:v>
                </c:pt>
                <c:pt idx="1818">
                  <c:v>0.82052999999999998</c:v>
                </c:pt>
                <c:pt idx="1819">
                  <c:v>0.82055500000000003</c:v>
                </c:pt>
                <c:pt idx="1820">
                  <c:v>0.82057899999999995</c:v>
                </c:pt>
                <c:pt idx="1821">
                  <c:v>0.82060299999999997</c:v>
                </c:pt>
                <c:pt idx="1822">
                  <c:v>0.82062500000000005</c:v>
                </c:pt>
                <c:pt idx="1823">
                  <c:v>0.82064599999999999</c:v>
                </c:pt>
                <c:pt idx="1824">
                  <c:v>0.82066600000000001</c:v>
                </c:pt>
                <c:pt idx="1825">
                  <c:v>0.820685</c:v>
                </c:pt>
                <c:pt idx="1826">
                  <c:v>0.82070200000000004</c:v>
                </c:pt>
                <c:pt idx="1827">
                  <c:v>0.82071700000000003</c:v>
                </c:pt>
                <c:pt idx="1828">
                  <c:v>0.82072999999999996</c:v>
                </c:pt>
                <c:pt idx="1829">
                  <c:v>0.82074100000000005</c:v>
                </c:pt>
                <c:pt idx="1830">
                  <c:v>0.82074999999999998</c:v>
                </c:pt>
                <c:pt idx="1831">
                  <c:v>0.82075600000000004</c:v>
                </c:pt>
                <c:pt idx="1832">
                  <c:v>0.82075900000000002</c:v>
                </c:pt>
                <c:pt idx="1833">
                  <c:v>0.82076000000000005</c:v>
                </c:pt>
                <c:pt idx="1834">
                  <c:v>0.82075799999999999</c:v>
                </c:pt>
                <c:pt idx="1835">
                  <c:v>0.82075200000000004</c:v>
                </c:pt>
                <c:pt idx="1836">
                  <c:v>0.820743</c:v>
                </c:pt>
                <c:pt idx="1837">
                  <c:v>0.82073099999999999</c:v>
                </c:pt>
                <c:pt idx="1838">
                  <c:v>0.82071499999999997</c:v>
                </c:pt>
                <c:pt idx="1839">
                  <c:v>0.82069599999999998</c:v>
                </c:pt>
                <c:pt idx="1840">
                  <c:v>0.82067199999999996</c:v>
                </c:pt>
                <c:pt idx="1841">
                  <c:v>0.82064499999999996</c:v>
                </c:pt>
                <c:pt idx="1842">
                  <c:v>0.82061399999999995</c:v>
                </c:pt>
                <c:pt idx="1843">
                  <c:v>0.82057899999999995</c:v>
                </c:pt>
                <c:pt idx="1844">
                  <c:v>0.82053900000000002</c:v>
                </c:pt>
                <c:pt idx="1845">
                  <c:v>0.820496</c:v>
                </c:pt>
                <c:pt idx="1846">
                  <c:v>0.82044799999999996</c:v>
                </c:pt>
                <c:pt idx="1847">
                  <c:v>0.82039700000000004</c:v>
                </c:pt>
                <c:pt idx="1848">
                  <c:v>0.82034099999999999</c:v>
                </c:pt>
                <c:pt idx="1849">
                  <c:v>0.82028100000000004</c:v>
                </c:pt>
                <c:pt idx="1850">
                  <c:v>0.82021699999999997</c:v>
                </c:pt>
                <c:pt idx="1851">
                  <c:v>0.82015000000000005</c:v>
                </c:pt>
                <c:pt idx="1852">
                  <c:v>0.82007799999999997</c:v>
                </c:pt>
                <c:pt idx="1853">
                  <c:v>0.82000200000000001</c:v>
                </c:pt>
                <c:pt idx="1854">
                  <c:v>0.81992299999999996</c:v>
                </c:pt>
                <c:pt idx="1855">
                  <c:v>0.81984100000000004</c:v>
                </c:pt>
                <c:pt idx="1856">
                  <c:v>0.81975500000000001</c:v>
                </c:pt>
                <c:pt idx="1857">
                  <c:v>0.81966499999999998</c:v>
                </c:pt>
                <c:pt idx="1858">
                  <c:v>0.819573</c:v>
                </c:pt>
                <c:pt idx="1859">
                  <c:v>0.81947800000000004</c:v>
                </c:pt>
                <c:pt idx="1860">
                  <c:v>0.81938100000000003</c:v>
                </c:pt>
                <c:pt idx="1861">
                  <c:v>0.81928100000000004</c:v>
                </c:pt>
                <c:pt idx="1862">
                  <c:v>0.81917899999999999</c:v>
                </c:pt>
                <c:pt idx="1863">
                  <c:v>0.819075</c:v>
                </c:pt>
                <c:pt idx="1864">
                  <c:v>0.81896899999999995</c:v>
                </c:pt>
                <c:pt idx="1865">
                  <c:v>0.81886199999999998</c:v>
                </c:pt>
                <c:pt idx="1866">
                  <c:v>0.81875399999999998</c:v>
                </c:pt>
                <c:pt idx="1867">
                  <c:v>0.81864599999999998</c:v>
                </c:pt>
                <c:pt idx="1868">
                  <c:v>0.81853699999999996</c:v>
                </c:pt>
                <c:pt idx="1869">
                  <c:v>0.81842800000000004</c:v>
                </c:pt>
                <c:pt idx="1870">
                  <c:v>0.81831900000000002</c:v>
                </c:pt>
                <c:pt idx="1871">
                  <c:v>0.81821100000000002</c:v>
                </c:pt>
                <c:pt idx="1872">
                  <c:v>0.81810300000000002</c:v>
                </c:pt>
                <c:pt idx="1873">
                  <c:v>0.81799699999999997</c:v>
                </c:pt>
                <c:pt idx="1874">
                  <c:v>0.81789199999999995</c:v>
                </c:pt>
                <c:pt idx="1875">
                  <c:v>0.81778899999999999</c:v>
                </c:pt>
                <c:pt idx="1876">
                  <c:v>0.81768799999999997</c:v>
                </c:pt>
                <c:pt idx="1877">
                  <c:v>0.81759000000000004</c:v>
                </c:pt>
                <c:pt idx="1878">
                  <c:v>0.81749499999999997</c:v>
                </c:pt>
                <c:pt idx="1879">
                  <c:v>0.81740199999999996</c:v>
                </c:pt>
                <c:pt idx="1880">
                  <c:v>0.81731399999999998</c:v>
                </c:pt>
                <c:pt idx="1881">
                  <c:v>0.81722799999999995</c:v>
                </c:pt>
                <c:pt idx="1882">
                  <c:v>0.81714699999999996</c:v>
                </c:pt>
                <c:pt idx="1883">
                  <c:v>0.81706999999999996</c:v>
                </c:pt>
                <c:pt idx="1884">
                  <c:v>0.816998</c:v>
                </c:pt>
                <c:pt idx="1885">
                  <c:v>0.81693000000000005</c:v>
                </c:pt>
                <c:pt idx="1886">
                  <c:v>0.81686800000000004</c:v>
                </c:pt>
                <c:pt idx="1887">
                  <c:v>0.81681000000000004</c:v>
                </c:pt>
                <c:pt idx="1888">
                  <c:v>0.81675799999999998</c:v>
                </c:pt>
                <c:pt idx="1889">
                  <c:v>0.81671199999999999</c:v>
                </c:pt>
                <c:pt idx="1890">
                  <c:v>0.81667100000000004</c:v>
                </c:pt>
                <c:pt idx="1891">
                  <c:v>0.81663699999999995</c:v>
                </c:pt>
                <c:pt idx="1892">
                  <c:v>0.816608</c:v>
                </c:pt>
                <c:pt idx="1893">
                  <c:v>0.81658600000000003</c:v>
                </c:pt>
                <c:pt idx="1894">
                  <c:v>0.81657000000000002</c:v>
                </c:pt>
                <c:pt idx="1895">
                  <c:v>0.81655999999999995</c:v>
                </c:pt>
                <c:pt idx="1896">
                  <c:v>0.81655699999999998</c:v>
                </c:pt>
                <c:pt idx="1897">
                  <c:v>0.81655999999999995</c:v>
                </c:pt>
                <c:pt idx="1898">
                  <c:v>0.81657000000000002</c:v>
                </c:pt>
                <c:pt idx="1899">
                  <c:v>0.81658600000000003</c:v>
                </c:pt>
                <c:pt idx="1900">
                  <c:v>0.816608</c:v>
                </c:pt>
                <c:pt idx="1901">
                  <c:v>0.81663699999999995</c:v>
                </c:pt>
                <c:pt idx="1902">
                  <c:v>0.81667199999999995</c:v>
                </c:pt>
                <c:pt idx="1903">
                  <c:v>0.81671300000000002</c:v>
                </c:pt>
                <c:pt idx="1904">
                  <c:v>0.81676000000000004</c:v>
                </c:pt>
                <c:pt idx="1905">
                  <c:v>0.81681300000000001</c:v>
                </c:pt>
                <c:pt idx="1906">
                  <c:v>0.81687200000000004</c:v>
                </c:pt>
                <c:pt idx="1907">
                  <c:v>0.81693700000000002</c:v>
                </c:pt>
                <c:pt idx="1908">
                  <c:v>0.81700600000000001</c:v>
                </c:pt>
                <c:pt idx="1909">
                  <c:v>0.81708099999999995</c:v>
                </c:pt>
                <c:pt idx="1910">
                  <c:v>0.81716100000000003</c:v>
                </c:pt>
                <c:pt idx="1911">
                  <c:v>0.81724600000000003</c:v>
                </c:pt>
                <c:pt idx="1912">
                  <c:v>0.81733500000000003</c:v>
                </c:pt>
                <c:pt idx="1913">
                  <c:v>0.81742800000000004</c:v>
                </c:pt>
                <c:pt idx="1914">
                  <c:v>0.81752499999999995</c:v>
                </c:pt>
                <c:pt idx="1915">
                  <c:v>0.81762500000000005</c:v>
                </c:pt>
                <c:pt idx="1916">
                  <c:v>0.81772900000000004</c:v>
                </c:pt>
                <c:pt idx="1917">
                  <c:v>0.81783600000000001</c:v>
                </c:pt>
                <c:pt idx="1918">
                  <c:v>0.81794500000000003</c:v>
                </c:pt>
                <c:pt idx="1919">
                  <c:v>0.81805700000000003</c:v>
                </c:pt>
                <c:pt idx="1920">
                  <c:v>0.81816999999999995</c:v>
                </c:pt>
                <c:pt idx="1921">
                  <c:v>0.81828500000000004</c:v>
                </c:pt>
                <c:pt idx="1922">
                  <c:v>0.81840100000000005</c:v>
                </c:pt>
                <c:pt idx="1923">
                  <c:v>0.818519</c:v>
                </c:pt>
                <c:pt idx="1924">
                  <c:v>0.81863699999999995</c:v>
                </c:pt>
                <c:pt idx="1925">
                  <c:v>0.81875500000000001</c:v>
                </c:pt>
                <c:pt idx="1926">
                  <c:v>0.81887200000000004</c:v>
                </c:pt>
                <c:pt idx="1927">
                  <c:v>0.81899</c:v>
                </c:pt>
                <c:pt idx="1928">
                  <c:v>0.819106</c:v>
                </c:pt>
                <c:pt idx="1929">
                  <c:v>0.81922200000000001</c:v>
                </c:pt>
                <c:pt idx="1930">
                  <c:v>0.81933500000000004</c:v>
                </c:pt>
                <c:pt idx="1931">
                  <c:v>0.81944799999999995</c:v>
                </c:pt>
                <c:pt idx="1932">
                  <c:v>0.81955800000000001</c:v>
                </c:pt>
                <c:pt idx="1933">
                  <c:v>0.81966499999999998</c:v>
                </c:pt>
                <c:pt idx="1934">
                  <c:v>0.81977</c:v>
                </c:pt>
                <c:pt idx="1935">
                  <c:v>0.81987200000000005</c:v>
                </c:pt>
                <c:pt idx="1936">
                  <c:v>0.81997100000000001</c:v>
                </c:pt>
                <c:pt idx="1937">
                  <c:v>0.82006599999999996</c:v>
                </c:pt>
                <c:pt idx="1938">
                  <c:v>0.82015700000000002</c:v>
                </c:pt>
                <c:pt idx="1939">
                  <c:v>0.820245</c:v>
                </c:pt>
                <c:pt idx="1940">
                  <c:v>0.82032899999999997</c:v>
                </c:pt>
                <c:pt idx="1941">
                  <c:v>0.82040800000000003</c:v>
                </c:pt>
                <c:pt idx="1942">
                  <c:v>0.82048299999999996</c:v>
                </c:pt>
                <c:pt idx="1943">
                  <c:v>0.82055299999999998</c:v>
                </c:pt>
                <c:pt idx="1944">
                  <c:v>0.82061799999999996</c:v>
                </c:pt>
                <c:pt idx="1945">
                  <c:v>0.82067900000000005</c:v>
                </c:pt>
                <c:pt idx="1946">
                  <c:v>0.82073499999999999</c:v>
                </c:pt>
                <c:pt idx="1947">
                  <c:v>0.82078600000000002</c:v>
                </c:pt>
                <c:pt idx="1948">
                  <c:v>0.82083099999999998</c:v>
                </c:pt>
                <c:pt idx="1949">
                  <c:v>0.82087200000000005</c:v>
                </c:pt>
                <c:pt idx="1950">
                  <c:v>0.82090799999999997</c:v>
                </c:pt>
                <c:pt idx="1951">
                  <c:v>0.82093799999999995</c:v>
                </c:pt>
                <c:pt idx="1952">
                  <c:v>0.82096400000000003</c:v>
                </c:pt>
                <c:pt idx="1953">
                  <c:v>0.82098400000000005</c:v>
                </c:pt>
                <c:pt idx="1954">
                  <c:v>0.82099999999999995</c:v>
                </c:pt>
                <c:pt idx="1955">
                  <c:v>0.82101000000000002</c:v>
                </c:pt>
                <c:pt idx="1956">
                  <c:v>0.82101599999999997</c:v>
                </c:pt>
                <c:pt idx="1957">
                  <c:v>0.821017</c:v>
                </c:pt>
                <c:pt idx="1958">
                  <c:v>0.82101400000000002</c:v>
                </c:pt>
                <c:pt idx="1959">
                  <c:v>0.82100600000000001</c:v>
                </c:pt>
                <c:pt idx="1960">
                  <c:v>0.820994</c:v>
                </c:pt>
                <c:pt idx="1961">
                  <c:v>0.82097799999999999</c:v>
                </c:pt>
                <c:pt idx="1962">
                  <c:v>0.82095799999999997</c:v>
                </c:pt>
                <c:pt idx="1963">
                  <c:v>0.82093400000000005</c:v>
                </c:pt>
                <c:pt idx="1964">
                  <c:v>0.82090600000000002</c:v>
                </c:pt>
                <c:pt idx="1965">
                  <c:v>0.82087500000000002</c:v>
                </c:pt>
                <c:pt idx="1966">
                  <c:v>0.82084100000000004</c:v>
                </c:pt>
                <c:pt idx="1967">
                  <c:v>0.82080399999999998</c:v>
                </c:pt>
                <c:pt idx="1968">
                  <c:v>0.82076499999999997</c:v>
                </c:pt>
                <c:pt idx="1969">
                  <c:v>0.82072199999999995</c:v>
                </c:pt>
                <c:pt idx="1970">
                  <c:v>0.82067800000000002</c:v>
                </c:pt>
                <c:pt idx="1971">
                  <c:v>0.820631</c:v>
                </c:pt>
                <c:pt idx="1972">
                  <c:v>0.82058299999999995</c:v>
                </c:pt>
                <c:pt idx="1973">
                  <c:v>0.82053299999999996</c:v>
                </c:pt>
                <c:pt idx="1974">
                  <c:v>0.82048200000000004</c:v>
                </c:pt>
                <c:pt idx="1975">
                  <c:v>0.82042899999999996</c:v>
                </c:pt>
                <c:pt idx="1976">
                  <c:v>0.82037599999999999</c:v>
                </c:pt>
                <c:pt idx="1977">
                  <c:v>0.820322</c:v>
                </c:pt>
                <c:pt idx="1978">
                  <c:v>0.820268</c:v>
                </c:pt>
                <c:pt idx="1979">
                  <c:v>0.82021299999999997</c:v>
                </c:pt>
                <c:pt idx="1980">
                  <c:v>0.82015899999999997</c:v>
                </c:pt>
                <c:pt idx="1981">
                  <c:v>0.82010400000000006</c:v>
                </c:pt>
                <c:pt idx="1982">
                  <c:v>0.82004999999999995</c:v>
                </c:pt>
                <c:pt idx="1983">
                  <c:v>0.81999599999999995</c:v>
                </c:pt>
                <c:pt idx="1984">
                  <c:v>0.81994299999999998</c:v>
                </c:pt>
                <c:pt idx="1985">
                  <c:v>0.81989100000000004</c:v>
                </c:pt>
                <c:pt idx="1986">
                  <c:v>0.81984000000000001</c:v>
                </c:pt>
                <c:pt idx="1987">
                  <c:v>0.81979100000000005</c:v>
                </c:pt>
                <c:pt idx="1988">
                  <c:v>0.81974199999999997</c:v>
                </c:pt>
                <c:pt idx="1989">
                  <c:v>0.81969499999999995</c:v>
                </c:pt>
                <c:pt idx="1990">
                  <c:v>0.81964899999999996</c:v>
                </c:pt>
                <c:pt idx="1991">
                  <c:v>0.81960500000000003</c:v>
                </c:pt>
                <c:pt idx="1992">
                  <c:v>0.81956300000000004</c:v>
                </c:pt>
                <c:pt idx="1993">
                  <c:v>0.81952199999999997</c:v>
                </c:pt>
                <c:pt idx="1994">
                  <c:v>0.81948399999999999</c:v>
                </c:pt>
                <c:pt idx="1995">
                  <c:v>0.81944700000000004</c:v>
                </c:pt>
                <c:pt idx="1996">
                  <c:v>0.81941200000000003</c:v>
                </c:pt>
                <c:pt idx="1997">
                  <c:v>0.81937800000000005</c:v>
                </c:pt>
                <c:pt idx="1998">
                  <c:v>0.81934700000000005</c:v>
                </c:pt>
                <c:pt idx="1999">
                  <c:v>0.81931799999999999</c:v>
                </c:pt>
                <c:pt idx="2000">
                  <c:v>0.81928999999999996</c:v>
                </c:pt>
                <c:pt idx="2001">
                  <c:v>0.81926399999999999</c:v>
                </c:pt>
                <c:pt idx="2002">
                  <c:v>0.819245</c:v>
                </c:pt>
              </c:numCache>
            </c:numRef>
          </c:yVal>
          <c:smooth val="0"/>
          <c:extLst>
            <c:ext xmlns:c16="http://schemas.microsoft.com/office/drawing/2014/chart" uri="{C3380CC4-5D6E-409C-BE32-E72D297353CC}">
              <c16:uniqueId val="{00000001-278F-4872-BAA2-25D7FE0BC8AA}"/>
            </c:ext>
          </c:extLst>
        </c:ser>
        <c:ser>
          <c:idx val="2"/>
          <c:order val="2"/>
          <c:tx>
            <c:strRef>
              <c:f>'[base plot data.xlsx]Sheet3'!$D$2</c:f>
              <c:strCache>
                <c:ptCount val="1"/>
                <c:pt idx="0">
                  <c:v>LL(a-b)</c:v>
                </c:pt>
              </c:strCache>
            </c:strRef>
          </c:tx>
          <c:spPr>
            <a:ln w="12700" cap="rnd">
              <a:solidFill>
                <a:srgbClr val="00B0F0"/>
              </a:solidFill>
              <a:round/>
            </a:ln>
            <a:effectLst/>
          </c:spPr>
          <c:marker>
            <c:symbol val="none"/>
          </c:marker>
          <c:xVal>
            <c:numRef>
              <c:f>'[base plot data.xlsx]Sheet3'!$A$3:$A$2005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'[base plot data.xlsx]Sheet3'!$D$3:$D$2005</c:f>
              <c:numCache>
                <c:formatCode>General</c:formatCode>
                <c:ptCount val="2003"/>
                <c:pt idx="0">
                  <c:v>0.81904299999999997</c:v>
                </c:pt>
                <c:pt idx="1">
                  <c:v>0.81904299999999997</c:v>
                </c:pt>
                <c:pt idx="2">
                  <c:v>0.81904299999999997</c:v>
                </c:pt>
                <c:pt idx="3">
                  <c:v>0.81904299999999997</c:v>
                </c:pt>
                <c:pt idx="4">
                  <c:v>0.81904299999999997</c:v>
                </c:pt>
                <c:pt idx="5">
                  <c:v>0.81904299999999997</c:v>
                </c:pt>
                <c:pt idx="6">
                  <c:v>0.81904299999999997</c:v>
                </c:pt>
                <c:pt idx="7">
                  <c:v>0.81904299999999997</c:v>
                </c:pt>
                <c:pt idx="8">
                  <c:v>0.81904299999999997</c:v>
                </c:pt>
                <c:pt idx="9">
                  <c:v>0.81904299999999997</c:v>
                </c:pt>
                <c:pt idx="10">
                  <c:v>0.81904299999999997</c:v>
                </c:pt>
                <c:pt idx="11">
                  <c:v>0.81904299999999997</c:v>
                </c:pt>
                <c:pt idx="12">
                  <c:v>0.81904299999999997</c:v>
                </c:pt>
                <c:pt idx="13">
                  <c:v>0.81904299999999997</c:v>
                </c:pt>
                <c:pt idx="14">
                  <c:v>0.81904299999999997</c:v>
                </c:pt>
                <c:pt idx="15">
                  <c:v>0.81904299999999997</c:v>
                </c:pt>
                <c:pt idx="16">
                  <c:v>0.81904299999999997</c:v>
                </c:pt>
                <c:pt idx="17">
                  <c:v>0.81904299999999997</c:v>
                </c:pt>
                <c:pt idx="18">
                  <c:v>0.81904299999999997</c:v>
                </c:pt>
                <c:pt idx="19">
                  <c:v>0.81904299999999997</c:v>
                </c:pt>
                <c:pt idx="20">
                  <c:v>0.81904299999999997</c:v>
                </c:pt>
                <c:pt idx="21">
                  <c:v>0.81904299999999997</c:v>
                </c:pt>
                <c:pt idx="22">
                  <c:v>0.81904299999999997</c:v>
                </c:pt>
                <c:pt idx="23">
                  <c:v>0.81904299999999997</c:v>
                </c:pt>
                <c:pt idx="24">
                  <c:v>0.81904299999999997</c:v>
                </c:pt>
                <c:pt idx="25">
                  <c:v>0.81904299999999997</c:v>
                </c:pt>
                <c:pt idx="26">
                  <c:v>0.81904299999999997</c:v>
                </c:pt>
                <c:pt idx="27">
                  <c:v>0.81904299999999997</c:v>
                </c:pt>
                <c:pt idx="28">
                  <c:v>0.81904299999999997</c:v>
                </c:pt>
                <c:pt idx="29">
                  <c:v>0.81904299999999997</c:v>
                </c:pt>
                <c:pt idx="30">
                  <c:v>0.81904299999999997</c:v>
                </c:pt>
                <c:pt idx="31">
                  <c:v>0.81904299999999997</c:v>
                </c:pt>
                <c:pt idx="32">
                  <c:v>0.81904299999999997</c:v>
                </c:pt>
                <c:pt idx="33">
                  <c:v>0.81904299999999997</c:v>
                </c:pt>
                <c:pt idx="34">
                  <c:v>0.81904299999999997</c:v>
                </c:pt>
                <c:pt idx="35">
                  <c:v>0.81904299999999997</c:v>
                </c:pt>
                <c:pt idx="36">
                  <c:v>0.81904299999999997</c:v>
                </c:pt>
                <c:pt idx="37">
                  <c:v>0.81904299999999997</c:v>
                </c:pt>
                <c:pt idx="38">
                  <c:v>0.81904299999999997</c:v>
                </c:pt>
                <c:pt idx="39">
                  <c:v>0.81904299999999997</c:v>
                </c:pt>
                <c:pt idx="40">
                  <c:v>0.81904299999999997</c:v>
                </c:pt>
                <c:pt idx="41">
                  <c:v>0.81904299999999997</c:v>
                </c:pt>
                <c:pt idx="42">
                  <c:v>0.81904299999999997</c:v>
                </c:pt>
                <c:pt idx="43">
                  <c:v>0.81904299999999997</c:v>
                </c:pt>
                <c:pt idx="44">
                  <c:v>0.81904299999999997</c:v>
                </c:pt>
                <c:pt idx="45">
                  <c:v>0.81904299999999997</c:v>
                </c:pt>
                <c:pt idx="46">
                  <c:v>0.81904299999999997</c:v>
                </c:pt>
                <c:pt idx="47">
                  <c:v>0.81904299999999997</c:v>
                </c:pt>
                <c:pt idx="48">
                  <c:v>0.81904299999999997</c:v>
                </c:pt>
                <c:pt idx="49">
                  <c:v>0.81904299999999997</c:v>
                </c:pt>
                <c:pt idx="50">
                  <c:v>0.81904299999999997</c:v>
                </c:pt>
                <c:pt idx="51">
                  <c:v>0.81904299999999997</c:v>
                </c:pt>
                <c:pt idx="52">
                  <c:v>0.81904299999999997</c:v>
                </c:pt>
                <c:pt idx="53">
                  <c:v>0.81904299999999997</c:v>
                </c:pt>
                <c:pt idx="54">
                  <c:v>0.81904299999999997</c:v>
                </c:pt>
                <c:pt idx="55">
                  <c:v>0.81904299999999997</c:v>
                </c:pt>
                <c:pt idx="56">
                  <c:v>0.81904299999999997</c:v>
                </c:pt>
                <c:pt idx="57">
                  <c:v>0.81904299999999997</c:v>
                </c:pt>
                <c:pt idx="58">
                  <c:v>0.81904299999999997</c:v>
                </c:pt>
                <c:pt idx="59">
                  <c:v>0.81904299999999997</c:v>
                </c:pt>
                <c:pt idx="60">
                  <c:v>0.81904299999999997</c:v>
                </c:pt>
                <c:pt idx="61">
                  <c:v>0.81904299999999997</c:v>
                </c:pt>
                <c:pt idx="62">
                  <c:v>0.81904299999999997</c:v>
                </c:pt>
                <c:pt idx="63">
                  <c:v>0.81904299999999997</c:v>
                </c:pt>
                <c:pt idx="64">
                  <c:v>0.81904299999999997</c:v>
                </c:pt>
                <c:pt idx="65">
                  <c:v>0.81904299999999997</c:v>
                </c:pt>
                <c:pt idx="66">
                  <c:v>0.81904299999999997</c:v>
                </c:pt>
                <c:pt idx="67">
                  <c:v>0.81904299999999997</c:v>
                </c:pt>
                <c:pt idx="68">
                  <c:v>0.81904299999999997</c:v>
                </c:pt>
                <c:pt idx="69">
                  <c:v>0.81904299999999997</c:v>
                </c:pt>
                <c:pt idx="70">
                  <c:v>0.81904299999999997</c:v>
                </c:pt>
                <c:pt idx="71">
                  <c:v>0.81904299999999997</c:v>
                </c:pt>
                <c:pt idx="72">
                  <c:v>0.81904299999999997</c:v>
                </c:pt>
                <c:pt idx="73">
                  <c:v>0.81904299999999997</c:v>
                </c:pt>
                <c:pt idx="74">
                  <c:v>0.81904299999999997</c:v>
                </c:pt>
                <c:pt idx="75">
                  <c:v>0.81904299999999997</c:v>
                </c:pt>
                <c:pt idx="76">
                  <c:v>0.81904299999999997</c:v>
                </c:pt>
                <c:pt idx="77">
                  <c:v>0.81904299999999997</c:v>
                </c:pt>
                <c:pt idx="78">
                  <c:v>0.81904299999999997</c:v>
                </c:pt>
                <c:pt idx="79">
                  <c:v>0.81904299999999997</c:v>
                </c:pt>
                <c:pt idx="80">
                  <c:v>0.81904299999999997</c:v>
                </c:pt>
                <c:pt idx="81">
                  <c:v>0.81904299999999997</c:v>
                </c:pt>
                <c:pt idx="82">
                  <c:v>0.81904299999999997</c:v>
                </c:pt>
                <c:pt idx="83">
                  <c:v>0.81904299999999997</c:v>
                </c:pt>
                <c:pt idx="84">
                  <c:v>0.81904299999999997</c:v>
                </c:pt>
                <c:pt idx="85">
                  <c:v>0.81904299999999997</c:v>
                </c:pt>
                <c:pt idx="86">
                  <c:v>0.81904299999999997</c:v>
                </c:pt>
                <c:pt idx="87">
                  <c:v>0.81904299999999997</c:v>
                </c:pt>
                <c:pt idx="88">
                  <c:v>0.81904299999999997</c:v>
                </c:pt>
                <c:pt idx="89">
                  <c:v>0.81904299999999997</c:v>
                </c:pt>
                <c:pt idx="90">
                  <c:v>0.81904299999999997</c:v>
                </c:pt>
                <c:pt idx="91">
                  <c:v>0.81904299999999997</c:v>
                </c:pt>
                <c:pt idx="92">
                  <c:v>0.81904299999999997</c:v>
                </c:pt>
                <c:pt idx="93">
                  <c:v>0.81904299999999997</c:v>
                </c:pt>
                <c:pt idx="94">
                  <c:v>0.81904299999999997</c:v>
                </c:pt>
                <c:pt idx="95">
                  <c:v>0.81904299999999997</c:v>
                </c:pt>
                <c:pt idx="96">
                  <c:v>0.81904299999999997</c:v>
                </c:pt>
                <c:pt idx="97">
                  <c:v>0.81904299999999997</c:v>
                </c:pt>
                <c:pt idx="98">
                  <c:v>0.81904299999999997</c:v>
                </c:pt>
                <c:pt idx="99">
                  <c:v>0.81904299999999997</c:v>
                </c:pt>
                <c:pt idx="100">
                  <c:v>0.81904299999999997</c:v>
                </c:pt>
                <c:pt idx="101">
                  <c:v>0.81904299999999997</c:v>
                </c:pt>
                <c:pt idx="102">
                  <c:v>0.81904299999999997</c:v>
                </c:pt>
                <c:pt idx="103">
                  <c:v>0.81904299999999997</c:v>
                </c:pt>
                <c:pt idx="104">
                  <c:v>0.81904299999999997</c:v>
                </c:pt>
                <c:pt idx="105">
                  <c:v>0.81904299999999997</c:v>
                </c:pt>
                <c:pt idx="106">
                  <c:v>0.81904299999999997</c:v>
                </c:pt>
                <c:pt idx="107">
                  <c:v>0.81904299999999997</c:v>
                </c:pt>
                <c:pt idx="108">
                  <c:v>0.81904299999999997</c:v>
                </c:pt>
                <c:pt idx="109">
                  <c:v>0.81904299999999997</c:v>
                </c:pt>
                <c:pt idx="110">
                  <c:v>0.81904299999999997</c:v>
                </c:pt>
                <c:pt idx="111">
                  <c:v>0.81904299999999997</c:v>
                </c:pt>
                <c:pt idx="112">
                  <c:v>0.81904299999999997</c:v>
                </c:pt>
                <c:pt idx="113">
                  <c:v>0.81904299999999997</c:v>
                </c:pt>
                <c:pt idx="114">
                  <c:v>0.81904299999999997</c:v>
                </c:pt>
                <c:pt idx="115">
                  <c:v>0.81904299999999997</c:v>
                </c:pt>
                <c:pt idx="116">
                  <c:v>0.81904299999999997</c:v>
                </c:pt>
                <c:pt idx="117">
                  <c:v>0.81904299999999997</c:v>
                </c:pt>
                <c:pt idx="118">
                  <c:v>0.81904299999999997</c:v>
                </c:pt>
                <c:pt idx="119">
                  <c:v>0.81904299999999997</c:v>
                </c:pt>
                <c:pt idx="120">
                  <c:v>0.81904299999999997</c:v>
                </c:pt>
                <c:pt idx="121">
                  <c:v>0.81904299999999997</c:v>
                </c:pt>
                <c:pt idx="122">
                  <c:v>0.81904299999999997</c:v>
                </c:pt>
                <c:pt idx="123">
                  <c:v>0.81904299999999997</c:v>
                </c:pt>
                <c:pt idx="124">
                  <c:v>0.81904299999999997</c:v>
                </c:pt>
                <c:pt idx="125">
                  <c:v>0.81904299999999997</c:v>
                </c:pt>
                <c:pt idx="126">
                  <c:v>0.81904299999999997</c:v>
                </c:pt>
                <c:pt idx="127">
                  <c:v>0.81904299999999997</c:v>
                </c:pt>
                <c:pt idx="128">
                  <c:v>0.81904299999999997</c:v>
                </c:pt>
                <c:pt idx="129">
                  <c:v>0.81904299999999997</c:v>
                </c:pt>
                <c:pt idx="130">
                  <c:v>0.81904299999999997</c:v>
                </c:pt>
                <c:pt idx="131">
                  <c:v>0.81904299999999997</c:v>
                </c:pt>
                <c:pt idx="132">
                  <c:v>0.81904299999999997</c:v>
                </c:pt>
                <c:pt idx="133">
                  <c:v>0.81904299999999997</c:v>
                </c:pt>
                <c:pt idx="134">
                  <c:v>0.81904299999999997</c:v>
                </c:pt>
                <c:pt idx="135">
                  <c:v>0.81904299999999997</c:v>
                </c:pt>
                <c:pt idx="136">
                  <c:v>0.81904299999999997</c:v>
                </c:pt>
                <c:pt idx="137">
                  <c:v>0.81904299999999997</c:v>
                </c:pt>
                <c:pt idx="138">
                  <c:v>0.81904299999999997</c:v>
                </c:pt>
                <c:pt idx="139">
                  <c:v>0.81904299999999997</c:v>
                </c:pt>
                <c:pt idx="140">
                  <c:v>0.81904299999999997</c:v>
                </c:pt>
                <c:pt idx="141">
                  <c:v>0.81904299999999997</c:v>
                </c:pt>
                <c:pt idx="142">
                  <c:v>0.81904299999999997</c:v>
                </c:pt>
                <c:pt idx="143">
                  <c:v>0.81904299999999997</c:v>
                </c:pt>
                <c:pt idx="144">
                  <c:v>0.81904299999999997</c:v>
                </c:pt>
                <c:pt idx="145">
                  <c:v>0.81904299999999997</c:v>
                </c:pt>
                <c:pt idx="146">
                  <c:v>0.81904299999999997</c:v>
                </c:pt>
                <c:pt idx="147">
                  <c:v>0.81904299999999997</c:v>
                </c:pt>
                <c:pt idx="148">
                  <c:v>0.81904299999999997</c:v>
                </c:pt>
                <c:pt idx="149">
                  <c:v>0.81904299999999997</c:v>
                </c:pt>
                <c:pt idx="150">
                  <c:v>0.81904299999999997</c:v>
                </c:pt>
                <c:pt idx="151">
                  <c:v>0.81904299999999997</c:v>
                </c:pt>
                <c:pt idx="152">
                  <c:v>0.81904299999999997</c:v>
                </c:pt>
                <c:pt idx="153">
                  <c:v>0.81904299999999997</c:v>
                </c:pt>
                <c:pt idx="154">
                  <c:v>0.81904299999999997</c:v>
                </c:pt>
                <c:pt idx="155">
                  <c:v>0.81904299999999997</c:v>
                </c:pt>
                <c:pt idx="156">
                  <c:v>0.81904299999999997</c:v>
                </c:pt>
                <c:pt idx="157">
                  <c:v>0.81904299999999997</c:v>
                </c:pt>
                <c:pt idx="158">
                  <c:v>0.81904299999999997</c:v>
                </c:pt>
                <c:pt idx="159">
                  <c:v>0.81904299999999997</c:v>
                </c:pt>
                <c:pt idx="160">
                  <c:v>0.81904299999999997</c:v>
                </c:pt>
                <c:pt idx="161">
                  <c:v>0.81904299999999997</c:v>
                </c:pt>
                <c:pt idx="162">
                  <c:v>0.81904299999999997</c:v>
                </c:pt>
                <c:pt idx="163">
                  <c:v>0.81904299999999997</c:v>
                </c:pt>
                <c:pt idx="164">
                  <c:v>0.81904299999999997</c:v>
                </c:pt>
                <c:pt idx="165">
                  <c:v>0.81904299999999997</c:v>
                </c:pt>
                <c:pt idx="166">
                  <c:v>0.81904299999999997</c:v>
                </c:pt>
                <c:pt idx="167">
                  <c:v>0.81904299999999997</c:v>
                </c:pt>
                <c:pt idx="168">
                  <c:v>0.81904299999999997</c:v>
                </c:pt>
                <c:pt idx="169">
                  <c:v>0.81904299999999997</c:v>
                </c:pt>
                <c:pt idx="170">
                  <c:v>0.81904299999999997</c:v>
                </c:pt>
                <c:pt idx="171">
                  <c:v>0.81904299999999997</c:v>
                </c:pt>
                <c:pt idx="172">
                  <c:v>0.81904299999999997</c:v>
                </c:pt>
                <c:pt idx="173">
                  <c:v>0.81904299999999997</c:v>
                </c:pt>
                <c:pt idx="174">
                  <c:v>0.81904299999999997</c:v>
                </c:pt>
                <c:pt idx="175">
                  <c:v>0.81904299999999997</c:v>
                </c:pt>
                <c:pt idx="176">
                  <c:v>0.81904299999999997</c:v>
                </c:pt>
                <c:pt idx="177">
                  <c:v>0.81904299999999997</c:v>
                </c:pt>
                <c:pt idx="178">
                  <c:v>0.81904299999999997</c:v>
                </c:pt>
                <c:pt idx="179">
                  <c:v>0.81904299999999997</c:v>
                </c:pt>
                <c:pt idx="180">
                  <c:v>0.81904299999999997</c:v>
                </c:pt>
                <c:pt idx="181">
                  <c:v>0.81904299999999997</c:v>
                </c:pt>
                <c:pt idx="182">
                  <c:v>0.81904299999999997</c:v>
                </c:pt>
                <c:pt idx="183">
                  <c:v>0.81904299999999997</c:v>
                </c:pt>
                <c:pt idx="184">
                  <c:v>0.81904299999999997</c:v>
                </c:pt>
                <c:pt idx="185">
                  <c:v>0.81904299999999997</c:v>
                </c:pt>
                <c:pt idx="186">
                  <c:v>0.81904299999999997</c:v>
                </c:pt>
                <c:pt idx="187">
                  <c:v>0.81904299999999997</c:v>
                </c:pt>
                <c:pt idx="188">
                  <c:v>0.81904299999999997</c:v>
                </c:pt>
                <c:pt idx="189">
                  <c:v>0.81904299999999997</c:v>
                </c:pt>
                <c:pt idx="190">
                  <c:v>0.81904299999999997</c:v>
                </c:pt>
                <c:pt idx="191">
                  <c:v>0.81904299999999997</c:v>
                </c:pt>
                <c:pt idx="192">
                  <c:v>0.81904299999999997</c:v>
                </c:pt>
                <c:pt idx="193">
                  <c:v>0.81904299999999997</c:v>
                </c:pt>
                <c:pt idx="194">
                  <c:v>0.81904299999999997</c:v>
                </c:pt>
                <c:pt idx="195">
                  <c:v>0.81904299999999997</c:v>
                </c:pt>
                <c:pt idx="196">
                  <c:v>0.81904299999999997</c:v>
                </c:pt>
                <c:pt idx="197">
                  <c:v>0.81904299999999997</c:v>
                </c:pt>
                <c:pt idx="198">
                  <c:v>0.81904299999999997</c:v>
                </c:pt>
                <c:pt idx="199">
                  <c:v>0.81904299999999997</c:v>
                </c:pt>
                <c:pt idx="200">
                  <c:v>0.81904299999999997</c:v>
                </c:pt>
                <c:pt idx="201">
                  <c:v>4.3294879999999996</c:v>
                </c:pt>
                <c:pt idx="202">
                  <c:v>4.2699299999999996</c:v>
                </c:pt>
                <c:pt idx="203">
                  <c:v>4.2300310000000003</c:v>
                </c:pt>
                <c:pt idx="204">
                  <c:v>4.2341949999999997</c:v>
                </c:pt>
                <c:pt idx="205">
                  <c:v>4.2572510000000001</c:v>
                </c:pt>
                <c:pt idx="206">
                  <c:v>4.2873270000000003</c:v>
                </c:pt>
                <c:pt idx="207">
                  <c:v>4.3176300000000003</c:v>
                </c:pt>
                <c:pt idx="208">
                  <c:v>4.3453359999999996</c:v>
                </c:pt>
                <c:pt idx="209">
                  <c:v>4.3685799999999997</c:v>
                </c:pt>
                <c:pt idx="210">
                  <c:v>4.387073</c:v>
                </c:pt>
                <c:pt idx="211">
                  <c:v>4.3983489999999996</c:v>
                </c:pt>
                <c:pt idx="212">
                  <c:v>1.015544</c:v>
                </c:pt>
                <c:pt idx="213">
                  <c:v>0.96237600000000001</c:v>
                </c:pt>
                <c:pt idx="214">
                  <c:v>0.93041200000000002</c:v>
                </c:pt>
                <c:pt idx="215">
                  <c:v>0.93501999999999996</c:v>
                </c:pt>
                <c:pt idx="216">
                  <c:v>0.95300700000000005</c:v>
                </c:pt>
                <c:pt idx="217">
                  <c:v>0.97601700000000002</c:v>
                </c:pt>
                <c:pt idx="218">
                  <c:v>1.0006630000000001</c:v>
                </c:pt>
                <c:pt idx="219">
                  <c:v>1.0251170000000001</c:v>
                </c:pt>
                <c:pt idx="220">
                  <c:v>1.048683</c:v>
                </c:pt>
                <c:pt idx="221">
                  <c:v>1.070983</c:v>
                </c:pt>
                <c:pt idx="222">
                  <c:v>1.091812</c:v>
                </c:pt>
                <c:pt idx="223">
                  <c:v>1.111054</c:v>
                </c:pt>
                <c:pt idx="224">
                  <c:v>1.1285270000000001</c:v>
                </c:pt>
                <c:pt idx="225">
                  <c:v>1.144425</c:v>
                </c:pt>
                <c:pt idx="226">
                  <c:v>1.158604</c:v>
                </c:pt>
                <c:pt idx="227">
                  <c:v>1.1710529999999999</c:v>
                </c:pt>
                <c:pt idx="228">
                  <c:v>1.181775</c:v>
                </c:pt>
                <c:pt idx="229">
                  <c:v>1.190779</c:v>
                </c:pt>
                <c:pt idx="230">
                  <c:v>1.19808</c:v>
                </c:pt>
                <c:pt idx="231">
                  <c:v>1.2036979999999999</c:v>
                </c:pt>
                <c:pt idx="232">
                  <c:v>1.2076579999999999</c:v>
                </c:pt>
                <c:pt idx="233">
                  <c:v>1.209991</c:v>
                </c:pt>
                <c:pt idx="234">
                  <c:v>1.2107319999999999</c:v>
                </c:pt>
                <c:pt idx="235">
                  <c:v>1.209919</c:v>
                </c:pt>
                <c:pt idx="236">
                  <c:v>1.2075979999999999</c:v>
                </c:pt>
                <c:pt idx="237">
                  <c:v>1.203816</c:v>
                </c:pt>
                <c:pt idx="238">
                  <c:v>1.1986270000000001</c:v>
                </c:pt>
                <c:pt idx="239">
                  <c:v>1.192086</c:v>
                </c:pt>
                <c:pt idx="240">
                  <c:v>1.1842569999999999</c:v>
                </c:pt>
                <c:pt idx="241">
                  <c:v>1.175203</c:v>
                </c:pt>
                <c:pt idx="242">
                  <c:v>1.1649940000000001</c:v>
                </c:pt>
                <c:pt idx="243">
                  <c:v>1.153702</c:v>
                </c:pt>
                <c:pt idx="244">
                  <c:v>1.1414040000000001</c:v>
                </c:pt>
                <c:pt idx="245">
                  <c:v>1.128179</c:v>
                </c:pt>
                <c:pt idx="246">
                  <c:v>1.114544</c:v>
                </c:pt>
                <c:pt idx="247">
                  <c:v>1.0992489999999999</c:v>
                </c:pt>
                <c:pt idx="248">
                  <c:v>1.084093</c:v>
                </c:pt>
                <c:pt idx="249">
                  <c:v>1.067666</c:v>
                </c:pt>
                <c:pt idx="250">
                  <c:v>1.0513269999999999</c:v>
                </c:pt>
                <c:pt idx="251">
                  <c:v>1.034122</c:v>
                </c:pt>
                <c:pt idx="252">
                  <c:v>1.016945</c:v>
                </c:pt>
                <c:pt idx="253">
                  <c:v>0.99931999999999999</c:v>
                </c:pt>
                <c:pt idx="254">
                  <c:v>0.98165999999999998</c:v>
                </c:pt>
                <c:pt idx="255">
                  <c:v>0.96396999999999999</c:v>
                </c:pt>
                <c:pt idx="256">
                  <c:v>0.94630999999999998</c:v>
                </c:pt>
                <c:pt idx="257">
                  <c:v>0.92876400000000003</c:v>
                </c:pt>
                <c:pt idx="258">
                  <c:v>0.91142199999999995</c:v>
                </c:pt>
                <c:pt idx="259">
                  <c:v>0.89435699999999996</c:v>
                </c:pt>
                <c:pt idx="260">
                  <c:v>0.87764399999999998</c:v>
                </c:pt>
                <c:pt idx="261">
                  <c:v>0.86134999999999995</c:v>
                </c:pt>
                <c:pt idx="262">
                  <c:v>0.84553999999999996</c:v>
                </c:pt>
                <c:pt idx="263">
                  <c:v>0.83027399999999996</c:v>
                </c:pt>
                <c:pt idx="264">
                  <c:v>0.81560699999999997</c:v>
                </c:pt>
                <c:pt idx="265">
                  <c:v>0.80159000000000002</c:v>
                </c:pt>
                <c:pt idx="266">
                  <c:v>0.78826799999999997</c:v>
                </c:pt>
                <c:pt idx="267">
                  <c:v>0.77568199999999998</c:v>
                </c:pt>
                <c:pt idx="268">
                  <c:v>0.76386699999999996</c:v>
                </c:pt>
                <c:pt idx="269">
                  <c:v>0.75285199999999997</c:v>
                </c:pt>
                <c:pt idx="270">
                  <c:v>0.74266299999999996</c:v>
                </c:pt>
                <c:pt idx="271">
                  <c:v>0.73331900000000005</c:v>
                </c:pt>
                <c:pt idx="272">
                  <c:v>0.72483500000000001</c:v>
                </c:pt>
                <c:pt idx="273">
                  <c:v>0.717221</c:v>
                </c:pt>
                <c:pt idx="274">
                  <c:v>0.71048199999999995</c:v>
                </c:pt>
                <c:pt idx="275">
                  <c:v>0.70461799999999997</c:v>
                </c:pt>
                <c:pt idx="276">
                  <c:v>0.69962400000000002</c:v>
                </c:pt>
                <c:pt idx="277">
                  <c:v>0.69549300000000003</c:v>
                </c:pt>
                <c:pt idx="278">
                  <c:v>0.69220999999999999</c:v>
                </c:pt>
                <c:pt idx="279">
                  <c:v>0.68975799999999998</c:v>
                </c:pt>
                <c:pt idx="280">
                  <c:v>0.68811599999999995</c:v>
                </c:pt>
                <c:pt idx="281">
                  <c:v>0.68725899999999995</c:v>
                </c:pt>
                <c:pt idx="282">
                  <c:v>0.68715499999999996</c:v>
                </c:pt>
                <c:pt idx="283">
                  <c:v>0.687774</c:v>
                </c:pt>
                <c:pt idx="284">
                  <c:v>0.68907700000000005</c:v>
                </c:pt>
                <c:pt idx="285">
                  <c:v>0.69102399999999997</c:v>
                </c:pt>
                <c:pt idx="286">
                  <c:v>0.693573</c:v>
                </c:pt>
                <c:pt idx="287">
                  <c:v>0.69667599999999996</c:v>
                </c:pt>
                <c:pt idx="288">
                  <c:v>0.70028400000000002</c:v>
                </c:pt>
                <c:pt idx="289">
                  <c:v>0.70434600000000003</c:v>
                </c:pt>
                <c:pt idx="290">
                  <c:v>0.70880699999999996</c:v>
                </c:pt>
                <c:pt idx="291">
                  <c:v>0.71361300000000005</c:v>
                </c:pt>
                <c:pt idx="292">
                  <c:v>0.71870500000000004</c:v>
                </c:pt>
                <c:pt idx="293">
                  <c:v>0.72402500000000003</c:v>
                </c:pt>
                <c:pt idx="294">
                  <c:v>0.729514</c:v>
                </c:pt>
                <c:pt idx="295">
                  <c:v>0.73511300000000002</c:v>
                </c:pt>
                <c:pt idx="296">
                  <c:v>0.74076299999999995</c:v>
                </c:pt>
                <c:pt idx="297">
                  <c:v>0.74640499999999999</c:v>
                </c:pt>
                <c:pt idx="298">
                  <c:v>0.75198100000000001</c:v>
                </c:pt>
                <c:pt idx="299">
                  <c:v>0.757436</c:v>
                </c:pt>
                <c:pt idx="300">
                  <c:v>0.762714</c:v>
                </c:pt>
                <c:pt idx="301">
                  <c:v>0.76776599999999995</c:v>
                </c:pt>
                <c:pt idx="302">
                  <c:v>0.77254</c:v>
                </c:pt>
                <c:pt idx="303">
                  <c:v>0.77699099999999999</c:v>
                </c:pt>
                <c:pt idx="304">
                  <c:v>0.78107599999999999</c:v>
                </c:pt>
                <c:pt idx="305">
                  <c:v>0.78475700000000004</c:v>
                </c:pt>
                <c:pt idx="306">
                  <c:v>0.78799600000000003</c:v>
                </c:pt>
                <c:pt idx="307">
                  <c:v>0.79076299999999999</c:v>
                </c:pt>
                <c:pt idx="308">
                  <c:v>0.79303199999999996</c:v>
                </c:pt>
                <c:pt idx="309">
                  <c:v>0.79477799999999998</c:v>
                </c:pt>
                <c:pt idx="310">
                  <c:v>0.79598500000000005</c:v>
                </c:pt>
                <c:pt idx="311">
                  <c:v>0.79663700000000004</c:v>
                </c:pt>
                <c:pt idx="312">
                  <c:v>0.79672699999999996</c:v>
                </c:pt>
                <c:pt idx="313">
                  <c:v>0.79624899999999998</c:v>
                </c:pt>
                <c:pt idx="314">
                  <c:v>0.79520299999999999</c:v>
                </c:pt>
                <c:pt idx="315">
                  <c:v>0.79359400000000002</c:v>
                </c:pt>
                <c:pt idx="316">
                  <c:v>0.79142900000000005</c:v>
                </c:pt>
                <c:pt idx="317">
                  <c:v>0.78872200000000003</c:v>
                </c:pt>
                <c:pt idx="318">
                  <c:v>0.78548899999999999</c:v>
                </c:pt>
                <c:pt idx="319">
                  <c:v>0.78175099999999997</c:v>
                </c:pt>
                <c:pt idx="320">
                  <c:v>0.77753000000000005</c:v>
                </c:pt>
                <c:pt idx="321">
                  <c:v>0.77285599999999999</c:v>
                </c:pt>
                <c:pt idx="322">
                  <c:v>0.76775700000000002</c:v>
                </c:pt>
                <c:pt idx="323">
                  <c:v>0.76226700000000003</c:v>
                </c:pt>
                <c:pt idx="324">
                  <c:v>0.75642200000000004</c:v>
                </c:pt>
                <c:pt idx="325">
                  <c:v>0.75026000000000004</c:v>
                </c:pt>
                <c:pt idx="326">
                  <c:v>0.74382000000000004</c:v>
                </c:pt>
                <c:pt idx="327">
                  <c:v>0.73714500000000005</c:v>
                </c:pt>
                <c:pt idx="328">
                  <c:v>0.73027699999999995</c:v>
                </c:pt>
                <c:pt idx="329">
                  <c:v>0.72326100000000004</c:v>
                </c:pt>
                <c:pt idx="330">
                  <c:v>0.71614199999999995</c:v>
                </c:pt>
                <c:pt idx="331">
                  <c:v>0.70896599999999999</c:v>
                </c:pt>
                <c:pt idx="332">
                  <c:v>0.70177800000000001</c:v>
                </c:pt>
                <c:pt idx="333">
                  <c:v>0.69462400000000002</c:v>
                </c:pt>
                <c:pt idx="334">
                  <c:v>0.68754999999999999</c:v>
                </c:pt>
                <c:pt idx="335">
                  <c:v>0.68060100000000001</c:v>
                </c:pt>
                <c:pt idx="336">
                  <c:v>0.673821</c:v>
                </c:pt>
                <c:pt idx="337">
                  <c:v>0.66725400000000001</c:v>
                </c:pt>
                <c:pt idx="338">
                  <c:v>0.66107199999999999</c:v>
                </c:pt>
                <c:pt idx="339">
                  <c:v>0.65509899999999999</c:v>
                </c:pt>
                <c:pt idx="340">
                  <c:v>0.64936400000000005</c:v>
                </c:pt>
                <c:pt idx="341">
                  <c:v>0.64422999999999997</c:v>
                </c:pt>
                <c:pt idx="342">
                  <c:v>0.63927699999999998</c:v>
                </c:pt>
                <c:pt idx="343">
                  <c:v>0.63498299999999996</c:v>
                </c:pt>
                <c:pt idx="344">
                  <c:v>0.63088299999999997</c:v>
                </c:pt>
                <c:pt idx="345">
                  <c:v>0.62758599999999998</c:v>
                </c:pt>
                <c:pt idx="346">
                  <c:v>0.62444999999999995</c:v>
                </c:pt>
                <c:pt idx="347">
                  <c:v>0.62224699999999999</c:v>
                </c:pt>
                <c:pt idx="348">
                  <c:v>0.62017</c:v>
                </c:pt>
                <c:pt idx="349">
                  <c:v>0.61913099999999999</c:v>
                </c:pt>
                <c:pt idx="350">
                  <c:v>0.61818499999999998</c:v>
                </c:pt>
                <c:pt idx="351">
                  <c:v>0.61836000000000002</c:v>
                </c:pt>
                <c:pt idx="352">
                  <c:v>0.618591</c:v>
                </c:pt>
                <c:pt idx="353">
                  <c:v>0.620004</c:v>
                </c:pt>
                <c:pt idx="354">
                  <c:v>0.62143899999999996</c:v>
                </c:pt>
                <c:pt idx="355">
                  <c:v>0.62409000000000003</c:v>
                </c:pt>
                <c:pt idx="356">
                  <c:v>0.62672799999999995</c:v>
                </c:pt>
                <c:pt idx="357">
                  <c:v>0.63059399999999999</c:v>
                </c:pt>
                <c:pt idx="358">
                  <c:v>0.63441400000000003</c:v>
                </c:pt>
                <c:pt idx="359">
                  <c:v>0.63944999999999996</c:v>
                </c:pt>
                <c:pt idx="360">
                  <c:v>0.64440699999999995</c:v>
                </c:pt>
                <c:pt idx="361">
                  <c:v>0.65054599999999996</c:v>
                </c:pt>
                <c:pt idx="362">
                  <c:v>0.65657399999999999</c:v>
                </c:pt>
                <c:pt idx="363">
                  <c:v>0.66372900000000001</c:v>
                </c:pt>
                <c:pt idx="364">
                  <c:v>0.67074500000000004</c:v>
                </c:pt>
                <c:pt idx="365">
                  <c:v>0.67861499999999997</c:v>
                </c:pt>
                <c:pt idx="366">
                  <c:v>0.68684000000000001</c:v>
                </c:pt>
                <c:pt idx="367">
                  <c:v>0.69547199999999998</c:v>
                </c:pt>
                <c:pt idx="368">
                  <c:v>0.704457</c:v>
                </c:pt>
                <c:pt idx="369">
                  <c:v>0.71377400000000002</c:v>
                </c:pt>
                <c:pt idx="370">
                  <c:v>0.723383</c:v>
                </c:pt>
                <c:pt idx="371">
                  <c:v>0.73325200000000001</c:v>
                </c:pt>
                <c:pt idx="372">
                  <c:v>0.743344</c:v>
                </c:pt>
                <c:pt idx="373">
                  <c:v>0.75362200000000001</c:v>
                </c:pt>
                <c:pt idx="374">
                  <c:v>0.76405000000000001</c:v>
                </c:pt>
                <c:pt idx="375">
                  <c:v>0.77459</c:v>
                </c:pt>
                <c:pt idx="376">
                  <c:v>0.78520699999999999</c:v>
                </c:pt>
                <c:pt idx="377">
                  <c:v>0.79586400000000002</c:v>
                </c:pt>
                <c:pt idx="378">
                  <c:v>0.80652299999999999</c:v>
                </c:pt>
                <c:pt idx="379">
                  <c:v>0.81715099999999996</c:v>
                </c:pt>
                <c:pt idx="380">
                  <c:v>0.82771300000000003</c:v>
                </c:pt>
                <c:pt idx="381">
                  <c:v>0.83817299999999995</c:v>
                </c:pt>
                <c:pt idx="382">
                  <c:v>0.84850099999999995</c:v>
                </c:pt>
                <c:pt idx="383">
                  <c:v>0.85866399999999998</c:v>
                </c:pt>
                <c:pt idx="384">
                  <c:v>0.86863199999999996</c:v>
                </c:pt>
                <c:pt idx="385">
                  <c:v>0.87837600000000005</c:v>
                </c:pt>
                <c:pt idx="386">
                  <c:v>0.88786799999999999</c:v>
                </c:pt>
                <c:pt idx="387">
                  <c:v>0.89708299999999996</c:v>
                </c:pt>
                <c:pt idx="388">
                  <c:v>0.90583999999999998</c:v>
                </c:pt>
                <c:pt idx="389">
                  <c:v>0.914296</c:v>
                </c:pt>
                <c:pt idx="390">
                  <c:v>0.92241099999999998</c:v>
                </c:pt>
                <c:pt idx="391">
                  <c:v>0.93016500000000002</c:v>
                </c:pt>
                <c:pt idx="392">
                  <c:v>0.93754300000000002</c:v>
                </c:pt>
                <c:pt idx="393">
                  <c:v>0.94452700000000001</c:v>
                </c:pt>
                <c:pt idx="394">
                  <c:v>0.95110399999999995</c:v>
                </c:pt>
                <c:pt idx="395">
                  <c:v>0.95726100000000003</c:v>
                </c:pt>
                <c:pt idx="396">
                  <c:v>0.96298700000000004</c:v>
                </c:pt>
                <c:pt idx="397">
                  <c:v>0.96827300000000005</c:v>
                </c:pt>
                <c:pt idx="398">
                  <c:v>0.973109</c:v>
                </c:pt>
                <c:pt idx="399">
                  <c:v>0.977491</c:v>
                </c:pt>
                <c:pt idx="400">
                  <c:v>0.98141299999999998</c:v>
                </c:pt>
                <c:pt idx="401">
                  <c:v>0.98487100000000005</c:v>
                </c:pt>
                <c:pt idx="402">
                  <c:v>0.98786399999999996</c:v>
                </c:pt>
                <c:pt idx="403">
                  <c:v>0.99038899999999996</c:v>
                </c:pt>
                <c:pt idx="404">
                  <c:v>0.992448</c:v>
                </c:pt>
                <c:pt idx="405">
                  <c:v>0.99404300000000001</c:v>
                </c:pt>
                <c:pt idx="406">
                  <c:v>0.99517500000000003</c:v>
                </c:pt>
                <c:pt idx="407">
                  <c:v>0.99585000000000001</c:v>
                </c:pt>
                <c:pt idx="408">
                  <c:v>0.99607199999999996</c:v>
                </c:pt>
                <c:pt idx="409">
                  <c:v>0.99584700000000004</c:v>
                </c:pt>
                <c:pt idx="410">
                  <c:v>0.99518300000000004</c:v>
                </c:pt>
                <c:pt idx="411">
                  <c:v>0.99408700000000005</c:v>
                </c:pt>
                <c:pt idx="412">
                  <c:v>0.99256999999999995</c:v>
                </c:pt>
                <c:pt idx="413">
                  <c:v>0.99063999999999997</c:v>
                </c:pt>
                <c:pt idx="414">
                  <c:v>0.98830799999999996</c:v>
                </c:pt>
                <c:pt idx="415">
                  <c:v>0.98558699999999999</c:v>
                </c:pt>
                <c:pt idx="416">
                  <c:v>0.98268500000000003</c:v>
                </c:pt>
                <c:pt idx="417">
                  <c:v>0.979016</c:v>
                </c:pt>
                <c:pt idx="418">
                  <c:v>0.97539900000000002</c:v>
                </c:pt>
                <c:pt idx="419">
                  <c:v>0.97104900000000005</c:v>
                </c:pt>
                <c:pt idx="420">
                  <c:v>0.96676799999999996</c:v>
                </c:pt>
                <c:pt idx="421">
                  <c:v>0.96179700000000001</c:v>
                </c:pt>
                <c:pt idx="422">
                  <c:v>0.95691000000000004</c:v>
                </c:pt>
                <c:pt idx="423">
                  <c:v>0.95138599999999995</c:v>
                </c:pt>
                <c:pt idx="424">
                  <c:v>0.94595799999999997</c:v>
                </c:pt>
                <c:pt idx="425">
                  <c:v>0.93995200000000001</c:v>
                </c:pt>
                <c:pt idx="426">
                  <c:v>0.93405199999999999</c:v>
                </c:pt>
                <c:pt idx="427">
                  <c:v>0.927728</c:v>
                </c:pt>
                <c:pt idx="428">
                  <c:v>0.92127300000000001</c:v>
                </c:pt>
                <c:pt idx="429">
                  <c:v>0.91463899999999998</c:v>
                </c:pt>
                <c:pt idx="430">
                  <c:v>0.90786699999999998</c:v>
                </c:pt>
                <c:pt idx="431">
                  <c:v>0.90096399999999999</c:v>
                </c:pt>
                <c:pt idx="432">
                  <c:v>0.89395599999999997</c:v>
                </c:pt>
                <c:pt idx="433">
                  <c:v>0.88685800000000004</c:v>
                </c:pt>
                <c:pt idx="434">
                  <c:v>0.879691</c:v>
                </c:pt>
                <c:pt idx="435">
                  <c:v>0.87247300000000005</c:v>
                </c:pt>
                <c:pt idx="436">
                  <c:v>0.86522200000000005</c:v>
                </c:pt>
                <c:pt idx="437">
                  <c:v>0.857958</c:v>
                </c:pt>
                <c:pt idx="438">
                  <c:v>0.85069700000000004</c:v>
                </c:pt>
                <c:pt idx="439">
                  <c:v>0.84345899999999996</c:v>
                </c:pt>
                <c:pt idx="440">
                  <c:v>0.83625899999999997</c:v>
                </c:pt>
                <c:pt idx="441">
                  <c:v>0.82911599999999996</c:v>
                </c:pt>
                <c:pt idx="442">
                  <c:v>0.822044</c:v>
                </c:pt>
                <c:pt idx="443">
                  <c:v>0.81506100000000004</c:v>
                </c:pt>
                <c:pt idx="444">
                  <c:v>0.80818100000000004</c:v>
                </c:pt>
                <c:pt idx="445">
                  <c:v>0.80141899999999999</c:v>
                </c:pt>
                <c:pt idx="446">
                  <c:v>0.79479</c:v>
                </c:pt>
                <c:pt idx="447">
                  <c:v>0.78830500000000003</c:v>
                </c:pt>
                <c:pt idx="448">
                  <c:v>0.78198000000000001</c:v>
                </c:pt>
                <c:pt idx="449">
                  <c:v>0.77582399999999996</c:v>
                </c:pt>
                <c:pt idx="450">
                  <c:v>0.76985099999999995</c:v>
                </c:pt>
                <c:pt idx="451">
                  <c:v>0.76407000000000003</c:v>
                </c:pt>
                <c:pt idx="452">
                  <c:v>0.75849200000000006</c:v>
                </c:pt>
                <c:pt idx="453">
                  <c:v>0.75312599999999996</c:v>
                </c:pt>
                <c:pt idx="454">
                  <c:v>0.74798100000000001</c:v>
                </c:pt>
                <c:pt idx="455">
                  <c:v>0.74306399999999995</c:v>
                </c:pt>
                <c:pt idx="456">
                  <c:v>0.73838199999999998</c:v>
                </c:pt>
                <c:pt idx="457">
                  <c:v>0.73394300000000001</c:v>
                </c:pt>
                <c:pt idx="458">
                  <c:v>0.72975100000000004</c:v>
                </c:pt>
                <c:pt idx="459">
                  <c:v>0.72581200000000001</c:v>
                </c:pt>
                <c:pt idx="460">
                  <c:v>0.72213000000000005</c:v>
                </c:pt>
                <c:pt idx="461">
                  <c:v>0.71870900000000004</c:v>
                </c:pt>
                <c:pt idx="462">
                  <c:v>0.71555100000000005</c:v>
                </c:pt>
                <c:pt idx="463">
                  <c:v>0.71265800000000001</c:v>
                </c:pt>
                <c:pt idx="464">
                  <c:v>0.71003300000000003</c:v>
                </c:pt>
                <c:pt idx="465">
                  <c:v>0.70767500000000005</c:v>
                </c:pt>
                <c:pt idx="466">
                  <c:v>0.70558600000000005</c:v>
                </c:pt>
                <c:pt idx="467">
                  <c:v>0.70376399999999995</c:v>
                </c:pt>
                <c:pt idx="468">
                  <c:v>0.70220800000000005</c:v>
                </c:pt>
                <c:pt idx="469">
                  <c:v>0.70091700000000001</c:v>
                </c:pt>
                <c:pt idx="470">
                  <c:v>0.69988899999999998</c:v>
                </c:pt>
                <c:pt idx="471">
                  <c:v>0.69911999999999996</c:v>
                </c:pt>
                <c:pt idx="472">
                  <c:v>0.69860599999999995</c:v>
                </c:pt>
                <c:pt idx="473">
                  <c:v>0.69834499999999999</c:v>
                </c:pt>
                <c:pt idx="474">
                  <c:v>0.69833000000000001</c:v>
                </c:pt>
                <c:pt idx="475">
                  <c:v>0.69855699999999998</c:v>
                </c:pt>
                <c:pt idx="476">
                  <c:v>0.699021</c:v>
                </c:pt>
                <c:pt idx="477">
                  <c:v>0.69971399999999995</c:v>
                </c:pt>
                <c:pt idx="478">
                  <c:v>0.700631</c:v>
                </c:pt>
                <c:pt idx="479">
                  <c:v>0.70176499999999997</c:v>
                </c:pt>
                <c:pt idx="480">
                  <c:v>0.70310700000000004</c:v>
                </c:pt>
                <c:pt idx="481">
                  <c:v>0.70465</c:v>
                </c:pt>
                <c:pt idx="482">
                  <c:v>0.70638500000000004</c:v>
                </c:pt>
                <c:pt idx="483">
                  <c:v>0.70830499999999996</c:v>
                </c:pt>
                <c:pt idx="484">
                  <c:v>0.71040000000000003</c:v>
                </c:pt>
                <c:pt idx="485">
                  <c:v>0.71265999999999996</c:v>
                </c:pt>
                <c:pt idx="486">
                  <c:v>0.71507699999999996</c:v>
                </c:pt>
                <c:pt idx="487">
                  <c:v>0.71764099999999997</c:v>
                </c:pt>
                <c:pt idx="488">
                  <c:v>0.72034200000000004</c:v>
                </c:pt>
                <c:pt idx="489">
                  <c:v>0.72316999999999998</c:v>
                </c:pt>
                <c:pt idx="490">
                  <c:v>0.72611499999999995</c:v>
                </c:pt>
                <c:pt idx="491">
                  <c:v>0.72916700000000001</c:v>
                </c:pt>
                <c:pt idx="492">
                  <c:v>0.73231599999999997</c:v>
                </c:pt>
                <c:pt idx="493">
                  <c:v>0.73555099999999995</c:v>
                </c:pt>
                <c:pt idx="494">
                  <c:v>0.73886200000000002</c:v>
                </c:pt>
                <c:pt idx="495">
                  <c:v>0.74223899999999998</c:v>
                </c:pt>
                <c:pt idx="496">
                  <c:v>0.745672</c:v>
                </c:pt>
                <c:pt idx="497">
                  <c:v>0.74915200000000004</c:v>
                </c:pt>
                <c:pt idx="498">
                  <c:v>0.75266900000000003</c:v>
                </c:pt>
                <c:pt idx="499">
                  <c:v>0.756212</c:v>
                </c:pt>
                <c:pt idx="500">
                  <c:v>0.75977399999999995</c:v>
                </c:pt>
                <c:pt idx="501">
                  <c:v>0.76334500000000005</c:v>
                </c:pt>
                <c:pt idx="502">
                  <c:v>0.76691600000000004</c:v>
                </c:pt>
                <c:pt idx="503">
                  <c:v>0.77048000000000005</c:v>
                </c:pt>
                <c:pt idx="504">
                  <c:v>0.77402800000000005</c:v>
                </c:pt>
                <c:pt idx="505">
                  <c:v>0.77755200000000002</c:v>
                </c:pt>
                <c:pt idx="506">
                  <c:v>0.78104700000000005</c:v>
                </c:pt>
                <c:pt idx="507">
                  <c:v>0.78450399999999998</c:v>
                </c:pt>
                <c:pt idx="508">
                  <c:v>0.78791699999999998</c:v>
                </c:pt>
                <c:pt idx="509">
                  <c:v>0.79128100000000001</c:v>
                </c:pt>
                <c:pt idx="510">
                  <c:v>0.79459100000000005</c:v>
                </c:pt>
                <c:pt idx="511">
                  <c:v>0.79784100000000002</c:v>
                </c:pt>
                <c:pt idx="512">
                  <c:v>0.80102700000000004</c:v>
                </c:pt>
                <c:pt idx="513">
                  <c:v>0.80414600000000003</c:v>
                </c:pt>
                <c:pt idx="514">
                  <c:v>0.80719200000000002</c:v>
                </c:pt>
                <c:pt idx="515">
                  <c:v>0.81016500000000002</c:v>
                </c:pt>
                <c:pt idx="516">
                  <c:v>0.81306100000000003</c:v>
                </c:pt>
                <c:pt idx="517">
                  <c:v>0.81587699999999996</c:v>
                </c:pt>
                <c:pt idx="518">
                  <c:v>0.81861399999999995</c:v>
                </c:pt>
                <c:pt idx="519">
                  <c:v>0.821268</c:v>
                </c:pt>
                <c:pt idx="520">
                  <c:v>0.82384100000000005</c:v>
                </c:pt>
                <c:pt idx="521">
                  <c:v>0.82633000000000001</c:v>
                </c:pt>
                <c:pt idx="522">
                  <c:v>0.82873699999999995</c:v>
                </c:pt>
                <c:pt idx="523">
                  <c:v>0.83106199999999997</c:v>
                </c:pt>
                <c:pt idx="524">
                  <c:v>0.83330599999999999</c:v>
                </c:pt>
                <c:pt idx="525">
                  <c:v>0.83546900000000002</c:v>
                </c:pt>
                <c:pt idx="526">
                  <c:v>0.83755299999999999</c:v>
                </c:pt>
                <c:pt idx="527">
                  <c:v>0.839561</c:v>
                </c:pt>
                <c:pt idx="528">
                  <c:v>0.84149300000000005</c:v>
                </c:pt>
                <c:pt idx="529">
                  <c:v>0.84335199999999999</c:v>
                </c:pt>
                <c:pt idx="530">
                  <c:v>0.84514</c:v>
                </c:pt>
                <c:pt idx="531">
                  <c:v>0.84686099999999997</c:v>
                </c:pt>
                <c:pt idx="532">
                  <c:v>0.84851500000000002</c:v>
                </c:pt>
                <c:pt idx="533">
                  <c:v>0.85010699999999995</c:v>
                </c:pt>
                <c:pt idx="534">
                  <c:v>0.85163800000000001</c:v>
                </c:pt>
                <c:pt idx="535">
                  <c:v>0.85311199999999998</c:v>
                </c:pt>
                <c:pt idx="536">
                  <c:v>0.85453199999999996</c:v>
                </c:pt>
                <c:pt idx="537">
                  <c:v>0.85589999999999999</c:v>
                </c:pt>
                <c:pt idx="538">
                  <c:v>0.85721899999999995</c:v>
                </c:pt>
                <c:pt idx="539">
                  <c:v>0.85849200000000003</c:v>
                </c:pt>
                <c:pt idx="540">
                  <c:v>0.85972199999999999</c:v>
                </c:pt>
                <c:pt idx="541">
                  <c:v>0.86090999999999995</c:v>
                </c:pt>
                <c:pt idx="542">
                  <c:v>0.86206000000000005</c:v>
                </c:pt>
                <c:pt idx="543">
                  <c:v>0.863174</c:v>
                </c:pt>
                <c:pt idx="544">
                  <c:v>0.86425300000000005</c:v>
                </c:pt>
                <c:pt idx="545">
                  <c:v>0.86529900000000004</c:v>
                </c:pt>
                <c:pt idx="546">
                  <c:v>0.86631499999999995</c:v>
                </c:pt>
                <c:pt idx="547">
                  <c:v>0.86730099999999999</c:v>
                </c:pt>
                <c:pt idx="548">
                  <c:v>0.868259</c:v>
                </c:pt>
                <c:pt idx="549">
                  <c:v>0.86919000000000002</c:v>
                </c:pt>
                <c:pt idx="550">
                  <c:v>0.87009499999999995</c:v>
                </c:pt>
                <c:pt idx="551">
                  <c:v>0.870973</c:v>
                </c:pt>
                <c:pt idx="552">
                  <c:v>0.87182599999999999</c:v>
                </c:pt>
                <c:pt idx="553">
                  <c:v>0.87265300000000001</c:v>
                </c:pt>
                <c:pt idx="554">
                  <c:v>0.87345399999999995</c:v>
                </c:pt>
                <c:pt idx="555">
                  <c:v>0.87422800000000001</c:v>
                </c:pt>
                <c:pt idx="556">
                  <c:v>0.87497499999999995</c:v>
                </c:pt>
                <c:pt idx="557">
                  <c:v>0.87569399999999997</c:v>
                </c:pt>
                <c:pt idx="558">
                  <c:v>0.87638300000000002</c:v>
                </c:pt>
                <c:pt idx="559">
                  <c:v>0.87704199999999999</c:v>
                </c:pt>
                <c:pt idx="560">
                  <c:v>0.87766699999999997</c:v>
                </c:pt>
                <c:pt idx="561">
                  <c:v>0.87825900000000001</c:v>
                </c:pt>
                <c:pt idx="562">
                  <c:v>0.87881399999999998</c:v>
                </c:pt>
                <c:pt idx="563">
                  <c:v>0.87932999999999995</c:v>
                </c:pt>
                <c:pt idx="564">
                  <c:v>0.87980499999999995</c:v>
                </c:pt>
                <c:pt idx="565">
                  <c:v>0.88023700000000005</c:v>
                </c:pt>
                <c:pt idx="566">
                  <c:v>0.88062300000000004</c:v>
                </c:pt>
                <c:pt idx="567">
                  <c:v>0.88095999999999997</c:v>
                </c:pt>
                <c:pt idx="568">
                  <c:v>0.88124599999999997</c:v>
                </c:pt>
                <c:pt idx="569">
                  <c:v>0.88147699999999996</c:v>
                </c:pt>
                <c:pt idx="570">
                  <c:v>0.88165199999999999</c:v>
                </c:pt>
                <c:pt idx="571">
                  <c:v>0.88176600000000005</c:v>
                </c:pt>
                <c:pt idx="572">
                  <c:v>0.88181799999999999</c:v>
                </c:pt>
                <c:pt idx="573">
                  <c:v>0.88180400000000003</c:v>
                </c:pt>
                <c:pt idx="574">
                  <c:v>0.88172099999999998</c:v>
                </c:pt>
                <c:pt idx="575">
                  <c:v>0.88156699999999999</c:v>
                </c:pt>
                <c:pt idx="576">
                  <c:v>0.88133899999999998</c:v>
                </c:pt>
                <c:pt idx="577">
                  <c:v>0.88103500000000001</c:v>
                </c:pt>
                <c:pt idx="578">
                  <c:v>0.88065199999999999</c:v>
                </c:pt>
                <c:pt idx="579">
                  <c:v>0.88018700000000005</c:v>
                </c:pt>
                <c:pt idx="580">
                  <c:v>0.87963899999999995</c:v>
                </c:pt>
                <c:pt idx="581">
                  <c:v>0.87900599999999995</c:v>
                </c:pt>
                <c:pt idx="582">
                  <c:v>0.87828499999999998</c:v>
                </c:pt>
                <c:pt idx="583">
                  <c:v>0.877475</c:v>
                </c:pt>
                <c:pt idx="584">
                  <c:v>0.87657499999999999</c:v>
                </c:pt>
                <c:pt idx="585">
                  <c:v>0.875583</c:v>
                </c:pt>
                <c:pt idx="586">
                  <c:v>0.874498</c:v>
                </c:pt>
                <c:pt idx="587">
                  <c:v>0.87331999999999999</c:v>
                </c:pt>
                <c:pt idx="588">
                  <c:v>0.87204800000000005</c:v>
                </c:pt>
                <c:pt idx="589">
                  <c:v>0.87068100000000004</c:v>
                </c:pt>
                <c:pt idx="590">
                  <c:v>0.86921999999999999</c:v>
                </c:pt>
                <c:pt idx="591">
                  <c:v>0.86766500000000002</c:v>
                </c:pt>
                <c:pt idx="592">
                  <c:v>0.86601600000000001</c:v>
                </c:pt>
                <c:pt idx="593">
                  <c:v>0.86427399999999999</c:v>
                </c:pt>
                <c:pt idx="594">
                  <c:v>0.86243999999999998</c:v>
                </c:pt>
                <c:pt idx="595">
                  <c:v>0.86051500000000003</c:v>
                </c:pt>
                <c:pt idx="596">
                  <c:v>0.85850099999999996</c:v>
                </c:pt>
                <c:pt idx="597">
                  <c:v>0.85639900000000002</c:v>
                </c:pt>
                <c:pt idx="598">
                  <c:v>0.85421199999999997</c:v>
                </c:pt>
                <c:pt idx="599">
                  <c:v>0.85194199999999998</c:v>
                </c:pt>
                <c:pt idx="600">
                  <c:v>0.84959099999999999</c:v>
                </c:pt>
                <c:pt idx="601">
                  <c:v>0.84716199999999997</c:v>
                </c:pt>
                <c:pt idx="602">
                  <c:v>0.84465800000000002</c:v>
                </c:pt>
                <c:pt idx="603">
                  <c:v>0.84208300000000003</c:v>
                </c:pt>
                <c:pt idx="604">
                  <c:v>0.83943999999999996</c:v>
                </c:pt>
                <c:pt idx="605">
                  <c:v>0.83673299999999995</c:v>
                </c:pt>
                <c:pt idx="606">
                  <c:v>0.83396499999999996</c:v>
                </c:pt>
                <c:pt idx="607">
                  <c:v>0.83114100000000002</c:v>
                </c:pt>
                <c:pt idx="608">
                  <c:v>0.82826599999999995</c:v>
                </c:pt>
                <c:pt idx="609">
                  <c:v>0.82534300000000005</c:v>
                </c:pt>
                <c:pt idx="610">
                  <c:v>0.82237899999999997</c:v>
                </c:pt>
                <c:pt idx="611">
                  <c:v>0.81937599999999999</c:v>
                </c:pt>
                <c:pt idx="612">
                  <c:v>0.81634200000000001</c:v>
                </c:pt>
                <c:pt idx="613">
                  <c:v>0.81328100000000003</c:v>
                </c:pt>
                <c:pt idx="614">
                  <c:v>0.810199</c:v>
                </c:pt>
                <c:pt idx="615">
                  <c:v>0.80710099999999996</c:v>
                </c:pt>
                <c:pt idx="616">
                  <c:v>0.80399299999999996</c:v>
                </c:pt>
                <c:pt idx="617">
                  <c:v>0.80088099999999995</c:v>
                </c:pt>
                <c:pt idx="618">
                  <c:v>0.79777200000000004</c:v>
                </c:pt>
                <c:pt idx="619">
                  <c:v>0.79467100000000002</c:v>
                </c:pt>
                <c:pt idx="620">
                  <c:v>0.79158399999999995</c:v>
                </c:pt>
                <c:pt idx="621">
                  <c:v>0.78851899999999997</c:v>
                </c:pt>
                <c:pt idx="622">
                  <c:v>0.78548200000000001</c:v>
                </c:pt>
                <c:pt idx="623">
                  <c:v>0.78247900000000004</c:v>
                </c:pt>
                <c:pt idx="624">
                  <c:v>0.77951700000000002</c:v>
                </c:pt>
                <c:pt idx="625">
                  <c:v>0.77660300000000004</c:v>
                </c:pt>
                <c:pt idx="626">
                  <c:v>0.77374299999999996</c:v>
                </c:pt>
                <c:pt idx="627">
                  <c:v>0.77094499999999999</c:v>
                </c:pt>
                <c:pt idx="628">
                  <c:v>0.76821499999999998</c:v>
                </c:pt>
                <c:pt idx="629">
                  <c:v>0.76556000000000002</c:v>
                </c:pt>
                <c:pt idx="630">
                  <c:v>0.76298600000000005</c:v>
                </c:pt>
                <c:pt idx="631">
                  <c:v>0.76050099999999998</c:v>
                </c:pt>
                <c:pt idx="632">
                  <c:v>0.75811099999999998</c:v>
                </c:pt>
                <c:pt idx="633">
                  <c:v>0.75582300000000002</c:v>
                </c:pt>
                <c:pt idx="634">
                  <c:v>0.75364299999999995</c:v>
                </c:pt>
                <c:pt idx="635">
                  <c:v>0.75157700000000005</c:v>
                </c:pt>
                <c:pt idx="636">
                  <c:v>0.74963199999999997</c:v>
                </c:pt>
                <c:pt idx="637">
                  <c:v>0.74781299999999995</c:v>
                </c:pt>
                <c:pt idx="638">
                  <c:v>0.74612599999999996</c:v>
                </c:pt>
                <c:pt idx="639">
                  <c:v>0.74457700000000004</c:v>
                </c:pt>
                <c:pt idx="640">
                  <c:v>0.74317200000000005</c:v>
                </c:pt>
                <c:pt idx="641">
                  <c:v>0.74191399999999996</c:v>
                </c:pt>
                <c:pt idx="642">
                  <c:v>0.74080900000000005</c:v>
                </c:pt>
                <c:pt idx="643">
                  <c:v>0.73986099999999999</c:v>
                </c:pt>
                <c:pt idx="644">
                  <c:v>0.73907400000000001</c:v>
                </c:pt>
                <c:pt idx="645">
                  <c:v>0.738452</c:v>
                </c:pt>
                <c:pt idx="646">
                  <c:v>0.73799700000000001</c:v>
                </c:pt>
                <c:pt idx="647">
                  <c:v>0.73771399999999998</c:v>
                </c:pt>
                <c:pt idx="648">
                  <c:v>0.73760300000000001</c:v>
                </c:pt>
                <c:pt idx="649">
                  <c:v>0.73766699999999996</c:v>
                </c:pt>
                <c:pt idx="650">
                  <c:v>0.73790699999999998</c:v>
                </c:pt>
                <c:pt idx="651">
                  <c:v>0.73832399999999998</c:v>
                </c:pt>
                <c:pt idx="652">
                  <c:v>0.73891899999999999</c:v>
                </c:pt>
                <c:pt idx="653">
                  <c:v>0.73969099999999999</c:v>
                </c:pt>
                <c:pt idx="654">
                  <c:v>0.74063999999999997</c:v>
                </c:pt>
                <c:pt idx="655">
                  <c:v>0.74176500000000001</c:v>
                </c:pt>
                <c:pt idx="656">
                  <c:v>0.74306300000000003</c:v>
                </c:pt>
                <c:pt idx="657">
                  <c:v>0.744533</c:v>
                </c:pt>
                <c:pt idx="658">
                  <c:v>0.74617199999999995</c:v>
                </c:pt>
                <c:pt idx="659">
                  <c:v>0.74797599999999997</c:v>
                </c:pt>
                <c:pt idx="660">
                  <c:v>0.74994300000000003</c:v>
                </c:pt>
                <c:pt idx="661">
                  <c:v>0.75206600000000001</c:v>
                </c:pt>
                <c:pt idx="662">
                  <c:v>0.75434199999999996</c:v>
                </c:pt>
                <c:pt idx="663">
                  <c:v>0.75676500000000002</c:v>
                </c:pt>
                <c:pt idx="664">
                  <c:v>0.75932900000000003</c:v>
                </c:pt>
                <c:pt idx="665">
                  <c:v>0.76202800000000004</c:v>
                </c:pt>
                <c:pt idx="666">
                  <c:v>0.76485499999999995</c:v>
                </c:pt>
                <c:pt idx="667">
                  <c:v>0.76780199999999998</c:v>
                </c:pt>
                <c:pt idx="668">
                  <c:v>0.77086299999999996</c:v>
                </c:pt>
                <c:pt idx="669">
                  <c:v>0.77402899999999997</c:v>
                </c:pt>
                <c:pt idx="670">
                  <c:v>0.77729199999999998</c:v>
                </c:pt>
                <c:pt idx="671">
                  <c:v>0.780644</c:v>
                </c:pt>
                <c:pt idx="672">
                  <c:v>0.78407400000000005</c:v>
                </c:pt>
                <c:pt idx="673">
                  <c:v>0.78757500000000003</c:v>
                </c:pt>
                <c:pt idx="674">
                  <c:v>0.79113599999999995</c:v>
                </c:pt>
                <c:pt idx="675">
                  <c:v>0.79474900000000004</c:v>
                </c:pt>
                <c:pt idx="676">
                  <c:v>0.79840199999999995</c:v>
                </c:pt>
                <c:pt idx="677">
                  <c:v>0.80208699999999999</c:v>
                </c:pt>
                <c:pt idx="678">
                  <c:v>0.80579299999999998</c:v>
                </c:pt>
                <c:pt idx="679">
                  <c:v>0.80951099999999998</c:v>
                </c:pt>
                <c:pt idx="680">
                  <c:v>0.81323000000000001</c:v>
                </c:pt>
                <c:pt idx="681">
                  <c:v>0.81694</c:v>
                </c:pt>
                <c:pt idx="682">
                  <c:v>0.820631</c:v>
                </c:pt>
                <c:pt idx="683">
                  <c:v>0.82429300000000005</c:v>
                </c:pt>
                <c:pt idx="684">
                  <c:v>0.82791700000000001</c:v>
                </c:pt>
                <c:pt idx="685">
                  <c:v>0.83149200000000001</c:v>
                </c:pt>
                <c:pt idx="686">
                  <c:v>0.83501000000000003</c:v>
                </c:pt>
                <c:pt idx="687">
                  <c:v>0.83846200000000004</c:v>
                </c:pt>
                <c:pt idx="688">
                  <c:v>0.84183699999999995</c:v>
                </c:pt>
                <c:pt idx="689">
                  <c:v>0.84512799999999999</c:v>
                </c:pt>
                <c:pt idx="690">
                  <c:v>0.84832700000000005</c:v>
                </c:pt>
                <c:pt idx="691">
                  <c:v>0.85142499999999999</c:v>
                </c:pt>
                <c:pt idx="692">
                  <c:v>0.85441400000000001</c:v>
                </c:pt>
                <c:pt idx="693">
                  <c:v>0.85728800000000005</c:v>
                </c:pt>
                <c:pt idx="694">
                  <c:v>0.860039</c:v>
                </c:pt>
                <c:pt idx="695">
                  <c:v>0.86266200000000004</c:v>
                </c:pt>
                <c:pt idx="696">
                  <c:v>0.86514999999999997</c:v>
                </c:pt>
                <c:pt idx="697">
                  <c:v>0.86749799999999999</c:v>
                </c:pt>
                <c:pt idx="698">
                  <c:v>0.86970099999999995</c:v>
                </c:pt>
                <c:pt idx="699">
                  <c:v>0.87175400000000003</c:v>
                </c:pt>
                <c:pt idx="700">
                  <c:v>0.87365300000000001</c:v>
                </c:pt>
                <c:pt idx="701">
                  <c:v>0.87539599999999995</c:v>
                </c:pt>
                <c:pt idx="702">
                  <c:v>0.87697899999999995</c:v>
                </c:pt>
                <c:pt idx="703">
                  <c:v>0.87839999999999996</c:v>
                </c:pt>
                <c:pt idx="704">
                  <c:v>0.87965800000000005</c:v>
                </c:pt>
                <c:pt idx="705">
                  <c:v>0.88075000000000003</c:v>
                </c:pt>
                <c:pt idx="706">
                  <c:v>0.88167600000000002</c:v>
                </c:pt>
                <c:pt idx="707">
                  <c:v>0.882436</c:v>
                </c:pt>
                <c:pt idx="708">
                  <c:v>0.88303100000000001</c:v>
                </c:pt>
                <c:pt idx="709">
                  <c:v>0.88346199999999997</c:v>
                </c:pt>
                <c:pt idx="710">
                  <c:v>0.88372899999999999</c:v>
                </c:pt>
                <c:pt idx="711">
                  <c:v>0.88383599999999996</c:v>
                </c:pt>
                <c:pt idx="712">
                  <c:v>0.88378299999999999</c:v>
                </c:pt>
                <c:pt idx="713">
                  <c:v>0.883575</c:v>
                </c:pt>
                <c:pt idx="714">
                  <c:v>0.88321499999999997</c:v>
                </c:pt>
                <c:pt idx="715">
                  <c:v>0.88270599999999999</c:v>
                </c:pt>
                <c:pt idx="716">
                  <c:v>0.88205299999999998</c:v>
                </c:pt>
                <c:pt idx="717">
                  <c:v>0.88126099999999996</c:v>
                </c:pt>
                <c:pt idx="718">
                  <c:v>0.88033499999999998</c:v>
                </c:pt>
                <c:pt idx="719">
                  <c:v>0.87927999999999995</c:v>
                </c:pt>
                <c:pt idx="720">
                  <c:v>0.87810200000000005</c:v>
                </c:pt>
                <c:pt idx="721">
                  <c:v>0.876807</c:v>
                </c:pt>
                <c:pt idx="722">
                  <c:v>0.87540200000000001</c:v>
                </c:pt>
                <c:pt idx="723">
                  <c:v>0.873892</c:v>
                </c:pt>
                <c:pt idx="724">
                  <c:v>0.87228600000000001</c:v>
                </c:pt>
                <c:pt idx="725">
                  <c:v>0.87058999999999997</c:v>
                </c:pt>
                <c:pt idx="726">
                  <c:v>0.86880999999999997</c:v>
                </c:pt>
                <c:pt idx="727">
                  <c:v>0.86695599999999995</c:v>
                </c:pt>
                <c:pt idx="728">
                  <c:v>0.86503300000000005</c:v>
                </c:pt>
                <c:pt idx="729">
                  <c:v>0.86304899999999996</c:v>
                </c:pt>
                <c:pt idx="730">
                  <c:v>0.861012</c:v>
                </c:pt>
                <c:pt idx="731">
                  <c:v>0.85892900000000005</c:v>
                </c:pt>
                <c:pt idx="732">
                  <c:v>0.85680800000000001</c:v>
                </c:pt>
                <c:pt idx="733">
                  <c:v>0.85465599999999997</c:v>
                </c:pt>
                <c:pt idx="734">
                  <c:v>0.85248000000000002</c:v>
                </c:pt>
                <c:pt idx="735">
                  <c:v>0.85028700000000002</c:v>
                </c:pt>
                <c:pt idx="736">
                  <c:v>0.84808499999999998</c:v>
                </c:pt>
                <c:pt idx="737">
                  <c:v>0.84587900000000005</c:v>
                </c:pt>
                <c:pt idx="738">
                  <c:v>0.84367700000000001</c:v>
                </c:pt>
                <c:pt idx="739">
                  <c:v>0.84148500000000004</c:v>
                </c:pt>
                <c:pt idx="740">
                  <c:v>0.83930899999999997</c:v>
                </c:pt>
                <c:pt idx="741">
                  <c:v>0.83715499999999998</c:v>
                </c:pt>
                <c:pt idx="742">
                  <c:v>0.83502799999999999</c:v>
                </c:pt>
                <c:pt idx="743">
                  <c:v>0.83293399999999995</c:v>
                </c:pt>
                <c:pt idx="744">
                  <c:v>0.83087599999999995</c:v>
                </c:pt>
                <c:pt idx="745">
                  <c:v>0.82886099999999996</c:v>
                </c:pt>
                <c:pt idx="746">
                  <c:v>0.82689199999999996</c:v>
                </c:pt>
                <c:pt idx="747">
                  <c:v>0.82497200000000004</c:v>
                </c:pt>
                <c:pt idx="748">
                  <c:v>0.823106</c:v>
                </c:pt>
                <c:pt idx="749">
                  <c:v>0.82129600000000003</c:v>
                </c:pt>
                <c:pt idx="750">
                  <c:v>0.81954400000000005</c:v>
                </c:pt>
                <c:pt idx="751">
                  <c:v>0.817855</c:v>
                </c:pt>
                <c:pt idx="752">
                  <c:v>0.81622799999999995</c:v>
                </c:pt>
                <c:pt idx="753">
                  <c:v>0.814666</c:v>
                </c:pt>
                <c:pt idx="754">
                  <c:v>0.81316999999999995</c:v>
                </c:pt>
                <c:pt idx="755">
                  <c:v>0.81174100000000005</c:v>
                </c:pt>
                <c:pt idx="756">
                  <c:v>0.81037899999999996</c:v>
                </c:pt>
                <c:pt idx="757">
                  <c:v>0.80908500000000005</c:v>
                </c:pt>
                <c:pt idx="758">
                  <c:v>0.80785799999999997</c:v>
                </c:pt>
                <c:pt idx="759">
                  <c:v>0.806697</c:v>
                </c:pt>
                <c:pt idx="760">
                  <c:v>0.80560299999999996</c:v>
                </c:pt>
                <c:pt idx="761">
                  <c:v>0.80457299999999998</c:v>
                </c:pt>
                <c:pt idx="762">
                  <c:v>0.80360600000000004</c:v>
                </c:pt>
                <c:pt idx="763">
                  <c:v>0.80270200000000003</c:v>
                </c:pt>
                <c:pt idx="764">
                  <c:v>0.80185700000000004</c:v>
                </c:pt>
                <c:pt idx="765">
                  <c:v>0.80106999999999995</c:v>
                </c:pt>
                <c:pt idx="766">
                  <c:v>0.80033799999999999</c:v>
                </c:pt>
                <c:pt idx="767">
                  <c:v>0.79965900000000001</c:v>
                </c:pt>
                <c:pt idx="768">
                  <c:v>0.79903100000000005</c:v>
                </c:pt>
                <c:pt idx="769">
                  <c:v>0.79844999999999999</c:v>
                </c:pt>
                <c:pt idx="770">
                  <c:v>0.79791400000000001</c:v>
                </c:pt>
                <c:pt idx="771">
                  <c:v>0.79742000000000002</c:v>
                </c:pt>
                <c:pt idx="772">
                  <c:v>0.79696400000000001</c:v>
                </c:pt>
                <c:pt idx="773">
                  <c:v>0.79654400000000003</c:v>
                </c:pt>
                <c:pt idx="774">
                  <c:v>0.796157</c:v>
                </c:pt>
                <c:pt idx="775">
                  <c:v>0.79579900000000003</c:v>
                </c:pt>
                <c:pt idx="776">
                  <c:v>0.79546700000000004</c:v>
                </c:pt>
                <c:pt idx="777">
                  <c:v>0.79515800000000003</c:v>
                </c:pt>
                <c:pt idx="778">
                  <c:v>0.79486900000000005</c:v>
                </c:pt>
                <c:pt idx="779">
                  <c:v>0.79459800000000003</c:v>
                </c:pt>
                <c:pt idx="780">
                  <c:v>0.79434099999999996</c:v>
                </c:pt>
                <c:pt idx="781">
                  <c:v>0.79409600000000002</c:v>
                </c:pt>
                <c:pt idx="782">
                  <c:v>0.79386000000000001</c:v>
                </c:pt>
                <c:pt idx="783">
                  <c:v>0.79363099999999998</c:v>
                </c:pt>
                <c:pt idx="784">
                  <c:v>0.79340699999999997</c:v>
                </c:pt>
                <c:pt idx="785">
                  <c:v>0.79318500000000003</c:v>
                </c:pt>
                <c:pt idx="786">
                  <c:v>0.79296299999999997</c:v>
                </c:pt>
                <c:pt idx="787">
                  <c:v>0.79274100000000003</c:v>
                </c:pt>
                <c:pt idx="788">
                  <c:v>0.792516</c:v>
                </c:pt>
                <c:pt idx="789">
                  <c:v>0.79228799999999999</c:v>
                </c:pt>
                <c:pt idx="790">
                  <c:v>0.79205499999999995</c:v>
                </c:pt>
                <c:pt idx="791">
                  <c:v>0.79181599999999996</c:v>
                </c:pt>
                <c:pt idx="792">
                  <c:v>0.79157200000000005</c:v>
                </c:pt>
                <c:pt idx="793">
                  <c:v>0.79132199999999997</c:v>
                </c:pt>
                <c:pt idx="794">
                  <c:v>0.79106699999999996</c:v>
                </c:pt>
                <c:pt idx="795">
                  <c:v>0.79080499999999998</c:v>
                </c:pt>
                <c:pt idx="796">
                  <c:v>0.79053899999999999</c:v>
                </c:pt>
                <c:pt idx="797">
                  <c:v>0.790269</c:v>
                </c:pt>
                <c:pt idx="798">
                  <c:v>0.789995</c:v>
                </c:pt>
                <c:pt idx="799">
                  <c:v>0.78971999999999998</c:v>
                </c:pt>
                <c:pt idx="800">
                  <c:v>0.78944499999999995</c:v>
                </c:pt>
                <c:pt idx="801">
                  <c:v>0.78917199999999998</c:v>
                </c:pt>
                <c:pt idx="802">
                  <c:v>0.78890199999999999</c:v>
                </c:pt>
                <c:pt idx="803">
                  <c:v>0.78863899999999998</c:v>
                </c:pt>
                <c:pt idx="804">
                  <c:v>0.78838299999999994</c:v>
                </c:pt>
                <c:pt idx="805">
                  <c:v>0.78813900000000003</c:v>
                </c:pt>
                <c:pt idx="806">
                  <c:v>0.78790800000000005</c:v>
                </c:pt>
                <c:pt idx="807">
                  <c:v>0.78769400000000001</c:v>
                </c:pt>
                <c:pt idx="808">
                  <c:v>0.78749899999999995</c:v>
                </c:pt>
                <c:pt idx="809">
                  <c:v>0.787327</c:v>
                </c:pt>
                <c:pt idx="810">
                  <c:v>0.78718100000000002</c:v>
                </c:pt>
                <c:pt idx="811">
                  <c:v>0.78706299999999996</c:v>
                </c:pt>
                <c:pt idx="812">
                  <c:v>0.78697899999999998</c:v>
                </c:pt>
                <c:pt idx="813">
                  <c:v>0.78692899999999999</c:v>
                </c:pt>
                <c:pt idx="814">
                  <c:v>0.78691900000000004</c:v>
                </c:pt>
                <c:pt idx="815">
                  <c:v>0.78695000000000004</c:v>
                </c:pt>
                <c:pt idx="816">
                  <c:v>0.78702700000000003</c:v>
                </c:pt>
                <c:pt idx="817">
                  <c:v>0.78715199999999996</c:v>
                </c:pt>
                <c:pt idx="818">
                  <c:v>0.78732800000000003</c:v>
                </c:pt>
                <c:pt idx="819">
                  <c:v>0.78755799999999998</c:v>
                </c:pt>
                <c:pt idx="820">
                  <c:v>0.78784600000000005</c:v>
                </c:pt>
                <c:pt idx="821">
                  <c:v>0.788192</c:v>
                </c:pt>
                <c:pt idx="822">
                  <c:v>0.78859999999999997</c:v>
                </c:pt>
                <c:pt idx="823">
                  <c:v>0.789072</c:v>
                </c:pt>
                <c:pt idx="824">
                  <c:v>0.78961000000000003</c:v>
                </c:pt>
                <c:pt idx="825">
                  <c:v>0.79021399999999997</c:v>
                </c:pt>
                <c:pt idx="826">
                  <c:v>0.79088800000000004</c:v>
                </c:pt>
                <c:pt idx="827">
                  <c:v>0.79163099999999997</c:v>
                </c:pt>
                <c:pt idx="828">
                  <c:v>0.79244400000000004</c:v>
                </c:pt>
                <c:pt idx="829">
                  <c:v>0.79332899999999995</c:v>
                </c:pt>
                <c:pt idx="830">
                  <c:v>0.79428500000000002</c:v>
                </c:pt>
                <c:pt idx="831">
                  <c:v>0.79531200000000002</c:v>
                </c:pt>
                <c:pt idx="832">
                  <c:v>0.79640900000000003</c:v>
                </c:pt>
                <c:pt idx="833">
                  <c:v>0.79757599999999995</c:v>
                </c:pt>
                <c:pt idx="834">
                  <c:v>0.79881199999999997</c:v>
                </c:pt>
                <c:pt idx="835">
                  <c:v>0.80011500000000002</c:v>
                </c:pt>
                <c:pt idx="836">
                  <c:v>0.80148299999999995</c:v>
                </c:pt>
                <c:pt idx="837">
                  <c:v>0.80291500000000005</c:v>
                </c:pt>
                <c:pt idx="838">
                  <c:v>0.80440699999999998</c:v>
                </c:pt>
                <c:pt idx="839">
                  <c:v>0.80595799999999995</c:v>
                </c:pt>
                <c:pt idx="840">
                  <c:v>0.80756399999999995</c:v>
                </c:pt>
                <c:pt idx="841">
                  <c:v>0.809222</c:v>
                </c:pt>
                <c:pt idx="842">
                  <c:v>0.81092699999999995</c:v>
                </c:pt>
                <c:pt idx="843">
                  <c:v>0.81267699999999998</c:v>
                </c:pt>
                <c:pt idx="844">
                  <c:v>0.81446799999999997</c:v>
                </c:pt>
                <c:pt idx="845">
                  <c:v>0.81629399999999996</c:v>
                </c:pt>
                <c:pt idx="846">
                  <c:v>0.81815099999999996</c:v>
                </c:pt>
                <c:pt idx="847">
                  <c:v>0.82003499999999996</c:v>
                </c:pt>
                <c:pt idx="848">
                  <c:v>0.82194</c:v>
                </c:pt>
                <c:pt idx="849">
                  <c:v>0.82386199999999998</c:v>
                </c:pt>
                <c:pt idx="850">
                  <c:v>0.82579499999999995</c:v>
                </c:pt>
                <c:pt idx="851">
                  <c:v>0.82773399999999997</c:v>
                </c:pt>
                <c:pt idx="852">
                  <c:v>0.82967299999999999</c:v>
                </c:pt>
                <c:pt idx="853">
                  <c:v>0.83160800000000001</c:v>
                </c:pt>
                <c:pt idx="854">
                  <c:v>0.83353100000000002</c:v>
                </c:pt>
                <c:pt idx="855">
                  <c:v>0.83543900000000004</c:v>
                </c:pt>
                <c:pt idx="856">
                  <c:v>0.83732399999999996</c:v>
                </c:pt>
                <c:pt idx="857">
                  <c:v>0.83918300000000001</c:v>
                </c:pt>
                <c:pt idx="858">
                  <c:v>0.84100799999999998</c:v>
                </c:pt>
                <c:pt idx="859">
                  <c:v>0.84279499999999996</c:v>
                </c:pt>
                <c:pt idx="860">
                  <c:v>0.84453900000000004</c:v>
                </c:pt>
                <c:pt idx="861">
                  <c:v>0.84623300000000001</c:v>
                </c:pt>
                <c:pt idx="862">
                  <c:v>0.84787400000000002</c:v>
                </c:pt>
                <c:pt idx="863">
                  <c:v>0.84945499999999996</c:v>
                </c:pt>
                <c:pt idx="864">
                  <c:v>0.85097199999999995</c:v>
                </c:pt>
                <c:pt idx="865">
                  <c:v>0.85242099999999998</c:v>
                </c:pt>
                <c:pt idx="866">
                  <c:v>0.85379700000000003</c:v>
                </c:pt>
                <c:pt idx="867">
                  <c:v>0.85509599999999997</c:v>
                </c:pt>
                <c:pt idx="868">
                  <c:v>0.85631299999999999</c:v>
                </c:pt>
                <c:pt idx="869">
                  <c:v>0.85744500000000001</c:v>
                </c:pt>
                <c:pt idx="870">
                  <c:v>0.85848899999999995</c:v>
                </c:pt>
                <c:pt idx="871">
                  <c:v>0.85944100000000001</c:v>
                </c:pt>
                <c:pt idx="872">
                  <c:v>0.86029900000000004</c:v>
                </c:pt>
                <c:pt idx="873">
                  <c:v>0.86105900000000002</c:v>
                </c:pt>
                <c:pt idx="874">
                  <c:v>0.86171900000000001</c:v>
                </c:pt>
                <c:pt idx="875">
                  <c:v>0.86227799999999999</c:v>
                </c:pt>
                <c:pt idx="876">
                  <c:v>0.86273299999999997</c:v>
                </c:pt>
                <c:pt idx="877">
                  <c:v>0.86308300000000004</c:v>
                </c:pt>
                <c:pt idx="878">
                  <c:v>0.86332699999999996</c:v>
                </c:pt>
                <c:pt idx="879">
                  <c:v>0.86346400000000001</c:v>
                </c:pt>
                <c:pt idx="880">
                  <c:v>0.86349399999999998</c:v>
                </c:pt>
                <c:pt idx="881">
                  <c:v>0.86341699999999999</c:v>
                </c:pt>
                <c:pt idx="882">
                  <c:v>0.86323300000000003</c:v>
                </c:pt>
                <c:pt idx="883">
                  <c:v>0.86294199999999999</c:v>
                </c:pt>
                <c:pt idx="884">
                  <c:v>0.86254600000000003</c:v>
                </c:pt>
                <c:pt idx="885">
                  <c:v>0.86204499999999995</c:v>
                </c:pt>
                <c:pt idx="886">
                  <c:v>0.86144200000000004</c:v>
                </c:pt>
                <c:pt idx="887">
                  <c:v>0.860738</c:v>
                </c:pt>
                <c:pt idx="888">
                  <c:v>0.85993399999999998</c:v>
                </c:pt>
                <c:pt idx="889">
                  <c:v>0.85903499999999999</c:v>
                </c:pt>
                <c:pt idx="890">
                  <c:v>0.85804199999999997</c:v>
                </c:pt>
                <c:pt idx="891">
                  <c:v>0.856958</c:v>
                </c:pt>
                <c:pt idx="892">
                  <c:v>0.85578699999999996</c:v>
                </c:pt>
                <c:pt idx="893">
                  <c:v>0.85453299999999999</c:v>
                </c:pt>
                <c:pt idx="894">
                  <c:v>0.85319900000000004</c:v>
                </c:pt>
                <c:pt idx="895">
                  <c:v>0.85178900000000002</c:v>
                </c:pt>
                <c:pt idx="896">
                  <c:v>0.85030799999999995</c:v>
                </c:pt>
                <c:pt idx="897">
                  <c:v>0.84875999999999996</c:v>
                </c:pt>
                <c:pt idx="898">
                  <c:v>0.84714900000000004</c:v>
                </c:pt>
                <c:pt idx="899">
                  <c:v>0.84548100000000004</c:v>
                </c:pt>
                <c:pt idx="900">
                  <c:v>0.84376099999999998</c:v>
                </c:pt>
                <c:pt idx="901">
                  <c:v>0.84199299999999999</c:v>
                </c:pt>
                <c:pt idx="902">
                  <c:v>0.84018300000000001</c:v>
                </c:pt>
                <c:pt idx="903">
                  <c:v>0.83833599999999997</c:v>
                </c:pt>
                <c:pt idx="904">
                  <c:v>0.83645800000000003</c:v>
                </c:pt>
                <c:pt idx="905">
                  <c:v>0.83455299999999999</c:v>
                </c:pt>
                <c:pt idx="906">
                  <c:v>0.83262800000000003</c:v>
                </c:pt>
                <c:pt idx="907">
                  <c:v>0.83068900000000001</c:v>
                </c:pt>
                <c:pt idx="908">
                  <c:v>0.828739</c:v>
                </c:pt>
                <c:pt idx="909">
                  <c:v>0.82678600000000002</c:v>
                </c:pt>
                <c:pt idx="910">
                  <c:v>0.82483300000000004</c:v>
                </c:pt>
                <c:pt idx="911">
                  <c:v>0.82288799999999995</c:v>
                </c:pt>
                <c:pt idx="912">
                  <c:v>0.82095399999999996</c:v>
                </c:pt>
                <c:pt idx="913">
                  <c:v>0.81903800000000004</c:v>
                </c:pt>
                <c:pt idx="914">
                  <c:v>0.81714299999999995</c:v>
                </c:pt>
                <c:pt idx="915">
                  <c:v>0.815276</c:v>
                </c:pt>
                <c:pt idx="916">
                  <c:v>0.81344000000000005</c:v>
                </c:pt>
                <c:pt idx="917">
                  <c:v>0.81164099999999995</c:v>
                </c:pt>
                <c:pt idx="918">
                  <c:v>0.80988199999999999</c:v>
                </c:pt>
                <c:pt idx="919">
                  <c:v>0.80816900000000003</c:v>
                </c:pt>
                <c:pt idx="920">
                  <c:v>0.806504</c:v>
                </c:pt>
                <c:pt idx="921">
                  <c:v>0.80489200000000005</c:v>
                </c:pt>
                <c:pt idx="922">
                  <c:v>0.80333600000000005</c:v>
                </c:pt>
                <c:pt idx="923">
                  <c:v>0.80184</c:v>
                </c:pt>
                <c:pt idx="924">
                  <c:v>0.80040599999999995</c:v>
                </c:pt>
                <c:pt idx="925">
                  <c:v>0.799037</c:v>
                </c:pt>
                <c:pt idx="926">
                  <c:v>0.797736</c:v>
                </c:pt>
                <c:pt idx="927">
                  <c:v>0.79650500000000002</c:v>
                </c:pt>
                <c:pt idx="928">
                  <c:v>0.79534499999999997</c:v>
                </c:pt>
                <c:pt idx="929">
                  <c:v>0.79425999999999997</c:v>
                </c:pt>
                <c:pt idx="930">
                  <c:v>0.79324899999999998</c:v>
                </c:pt>
                <c:pt idx="931">
                  <c:v>0.79231399999999996</c:v>
                </c:pt>
                <c:pt idx="932">
                  <c:v>0.79145600000000005</c:v>
                </c:pt>
                <c:pt idx="933">
                  <c:v>0.79067600000000005</c:v>
                </c:pt>
                <c:pt idx="934">
                  <c:v>0.78997300000000004</c:v>
                </c:pt>
                <c:pt idx="935">
                  <c:v>0.78934899999999997</c:v>
                </c:pt>
                <c:pt idx="936">
                  <c:v>0.788802</c:v>
                </c:pt>
                <c:pt idx="937">
                  <c:v>0.78833200000000003</c:v>
                </c:pt>
                <c:pt idx="938">
                  <c:v>0.78793800000000003</c:v>
                </c:pt>
                <c:pt idx="939">
                  <c:v>0.78761999999999999</c:v>
                </c:pt>
                <c:pt idx="940">
                  <c:v>0.78737599999999996</c:v>
                </c:pt>
                <c:pt idx="941">
                  <c:v>0.78720500000000004</c:v>
                </c:pt>
                <c:pt idx="942">
                  <c:v>0.78710599999999997</c:v>
                </c:pt>
                <c:pt idx="943">
                  <c:v>0.787076</c:v>
                </c:pt>
                <c:pt idx="944">
                  <c:v>0.78711299999999995</c:v>
                </c:pt>
                <c:pt idx="945">
                  <c:v>0.78721699999999994</c:v>
                </c:pt>
                <c:pt idx="946">
                  <c:v>0.78738300000000006</c:v>
                </c:pt>
                <c:pt idx="947">
                  <c:v>0.78761000000000003</c:v>
                </c:pt>
                <c:pt idx="948">
                  <c:v>0.78789600000000004</c:v>
                </c:pt>
                <c:pt idx="949">
                  <c:v>0.78823699999999997</c:v>
                </c:pt>
                <c:pt idx="950">
                  <c:v>0.78863099999999997</c:v>
                </c:pt>
                <c:pt idx="951">
                  <c:v>0.78907499999999997</c:v>
                </c:pt>
                <c:pt idx="952">
                  <c:v>0.78956700000000002</c:v>
                </c:pt>
                <c:pt idx="953">
                  <c:v>0.79010199999999997</c:v>
                </c:pt>
                <c:pt idx="954">
                  <c:v>0.79067900000000002</c:v>
                </c:pt>
                <c:pt idx="955">
                  <c:v>0.79129400000000005</c:v>
                </c:pt>
                <c:pt idx="956">
                  <c:v>0.79194399999999998</c:v>
                </c:pt>
                <c:pt idx="957">
                  <c:v>0.79262600000000005</c:v>
                </c:pt>
                <c:pt idx="958">
                  <c:v>0.79333699999999996</c:v>
                </c:pt>
                <c:pt idx="959">
                  <c:v>0.79407399999999995</c:v>
                </c:pt>
                <c:pt idx="960">
                  <c:v>0.79483400000000004</c:v>
                </c:pt>
                <c:pt idx="961">
                  <c:v>0.79561400000000004</c:v>
                </c:pt>
                <c:pt idx="962">
                  <c:v>0.79641200000000001</c:v>
                </c:pt>
                <c:pt idx="963">
                  <c:v>0.79722400000000004</c:v>
                </c:pt>
                <c:pt idx="964">
                  <c:v>0.79804699999999995</c:v>
                </c:pt>
                <c:pt idx="965">
                  <c:v>0.79888000000000003</c:v>
                </c:pt>
                <c:pt idx="966">
                  <c:v>0.79971899999999996</c:v>
                </c:pt>
                <c:pt idx="967">
                  <c:v>0.800562</c:v>
                </c:pt>
                <c:pt idx="968">
                  <c:v>0.80140699999999998</c:v>
                </c:pt>
                <c:pt idx="969">
                  <c:v>0.80225199999999997</c:v>
                </c:pt>
                <c:pt idx="970">
                  <c:v>0.80309399999999997</c:v>
                </c:pt>
                <c:pt idx="971">
                  <c:v>0.80393099999999995</c:v>
                </c:pt>
                <c:pt idx="972">
                  <c:v>0.80476300000000001</c:v>
                </c:pt>
                <c:pt idx="973">
                  <c:v>0.80558600000000002</c:v>
                </c:pt>
                <c:pt idx="974">
                  <c:v>0.80640000000000001</c:v>
                </c:pt>
                <c:pt idx="975">
                  <c:v>0.80720400000000003</c:v>
                </c:pt>
                <c:pt idx="976">
                  <c:v>0.80799500000000002</c:v>
                </c:pt>
                <c:pt idx="977">
                  <c:v>0.80877299999999996</c:v>
                </c:pt>
                <c:pt idx="978">
                  <c:v>0.80953699999999995</c:v>
                </c:pt>
                <c:pt idx="979">
                  <c:v>0.81028599999999995</c:v>
                </c:pt>
                <c:pt idx="980">
                  <c:v>0.81101999999999996</c:v>
                </c:pt>
                <c:pt idx="981">
                  <c:v>0.81173799999999996</c:v>
                </c:pt>
                <c:pt idx="982">
                  <c:v>0.81244000000000005</c:v>
                </c:pt>
                <c:pt idx="983">
                  <c:v>0.81312499999999999</c:v>
                </c:pt>
                <c:pt idx="984">
                  <c:v>0.81379400000000002</c:v>
                </c:pt>
                <c:pt idx="985">
                  <c:v>0.814446</c:v>
                </c:pt>
                <c:pt idx="986">
                  <c:v>0.81508199999999997</c:v>
                </c:pt>
                <c:pt idx="987">
                  <c:v>0.81570200000000004</c:v>
                </c:pt>
                <c:pt idx="988">
                  <c:v>0.81630599999999998</c:v>
                </c:pt>
                <c:pt idx="989">
                  <c:v>0.81689500000000004</c:v>
                </c:pt>
                <c:pt idx="990">
                  <c:v>0.817469</c:v>
                </c:pt>
                <c:pt idx="991">
                  <c:v>0.81802900000000001</c:v>
                </c:pt>
                <c:pt idx="992">
                  <c:v>0.81857599999999997</c:v>
                </c:pt>
                <c:pt idx="993">
                  <c:v>0.81911100000000003</c:v>
                </c:pt>
                <c:pt idx="994">
                  <c:v>0.81963299999999994</c:v>
                </c:pt>
                <c:pt idx="995">
                  <c:v>0.82014500000000001</c:v>
                </c:pt>
                <c:pt idx="996">
                  <c:v>0.82064599999999999</c:v>
                </c:pt>
                <c:pt idx="997">
                  <c:v>0.82113899999999995</c:v>
                </c:pt>
                <c:pt idx="998">
                  <c:v>0.82162299999999999</c:v>
                </c:pt>
                <c:pt idx="999">
                  <c:v>0.82210000000000005</c:v>
                </c:pt>
                <c:pt idx="1000">
                  <c:v>0.82257100000000005</c:v>
                </c:pt>
                <c:pt idx="1001">
                  <c:v>0.82303599999999999</c:v>
                </c:pt>
                <c:pt idx="1002">
                  <c:v>0.82349700000000003</c:v>
                </c:pt>
                <c:pt idx="1003">
                  <c:v>0.82395300000000005</c:v>
                </c:pt>
                <c:pt idx="1004">
                  <c:v>0.824407</c:v>
                </c:pt>
                <c:pt idx="1005">
                  <c:v>0.82485799999999998</c:v>
                </c:pt>
                <c:pt idx="1006">
                  <c:v>0.82530700000000001</c:v>
                </c:pt>
                <c:pt idx="1007">
                  <c:v>0.82575500000000002</c:v>
                </c:pt>
                <c:pt idx="1008">
                  <c:v>0.82620300000000002</c:v>
                </c:pt>
                <c:pt idx="1009">
                  <c:v>0.82665</c:v>
                </c:pt>
                <c:pt idx="1010">
                  <c:v>0.82709699999999997</c:v>
                </c:pt>
                <c:pt idx="1011">
                  <c:v>0.82754399999999995</c:v>
                </c:pt>
                <c:pt idx="1012">
                  <c:v>0.82799100000000003</c:v>
                </c:pt>
                <c:pt idx="1013">
                  <c:v>0.82843900000000004</c:v>
                </c:pt>
                <c:pt idx="1014">
                  <c:v>0.82888700000000004</c:v>
                </c:pt>
                <c:pt idx="1015">
                  <c:v>0.82933599999999996</c:v>
                </c:pt>
                <c:pt idx="1016">
                  <c:v>0.82978399999999997</c:v>
                </c:pt>
                <c:pt idx="1017">
                  <c:v>0.83023100000000005</c:v>
                </c:pt>
                <c:pt idx="1018">
                  <c:v>0.830677</c:v>
                </c:pt>
                <c:pt idx="1019">
                  <c:v>0.831121</c:v>
                </c:pt>
                <c:pt idx="1020">
                  <c:v>0.83156300000000005</c:v>
                </c:pt>
                <c:pt idx="1021">
                  <c:v>0.83200200000000002</c:v>
                </c:pt>
                <c:pt idx="1022">
                  <c:v>0.83243699999999998</c:v>
                </c:pt>
                <c:pt idx="1023">
                  <c:v>0.83286700000000002</c:v>
                </c:pt>
                <c:pt idx="1024">
                  <c:v>0.83328999999999998</c:v>
                </c:pt>
                <c:pt idx="1025">
                  <c:v>0.83370599999999995</c:v>
                </c:pt>
                <c:pt idx="1026">
                  <c:v>0.83411400000000002</c:v>
                </c:pt>
                <c:pt idx="1027">
                  <c:v>0.83451200000000003</c:v>
                </c:pt>
                <c:pt idx="1028">
                  <c:v>0.83489899999999995</c:v>
                </c:pt>
                <c:pt idx="1029">
                  <c:v>0.83527300000000004</c:v>
                </c:pt>
                <c:pt idx="1030">
                  <c:v>0.83563399999999999</c:v>
                </c:pt>
                <c:pt idx="1031">
                  <c:v>0.83597900000000003</c:v>
                </c:pt>
                <c:pt idx="1032">
                  <c:v>0.83630700000000002</c:v>
                </c:pt>
                <c:pt idx="1033">
                  <c:v>0.83661700000000006</c:v>
                </c:pt>
                <c:pt idx="1034">
                  <c:v>0.83690799999999999</c:v>
                </c:pt>
                <c:pt idx="1035">
                  <c:v>0.83717600000000003</c:v>
                </c:pt>
                <c:pt idx="1036">
                  <c:v>0.83742300000000003</c:v>
                </c:pt>
                <c:pt idx="1037">
                  <c:v>0.83764400000000006</c:v>
                </c:pt>
                <c:pt idx="1038">
                  <c:v>0.83784099999999995</c:v>
                </c:pt>
                <c:pt idx="1039">
                  <c:v>0.83801000000000003</c:v>
                </c:pt>
                <c:pt idx="1040">
                  <c:v>0.83814999999999995</c:v>
                </c:pt>
                <c:pt idx="1041">
                  <c:v>0.83826100000000003</c:v>
                </c:pt>
                <c:pt idx="1042">
                  <c:v>0.83833999999999997</c:v>
                </c:pt>
                <c:pt idx="1043">
                  <c:v>0.83838699999999999</c:v>
                </c:pt>
                <c:pt idx="1044">
                  <c:v>0.83840099999999995</c:v>
                </c:pt>
                <c:pt idx="1045">
                  <c:v>0.83838100000000004</c:v>
                </c:pt>
                <c:pt idx="1046">
                  <c:v>0.83832499999999999</c:v>
                </c:pt>
                <c:pt idx="1047">
                  <c:v>0.83823199999999998</c:v>
                </c:pt>
                <c:pt idx="1048">
                  <c:v>0.83810300000000004</c:v>
                </c:pt>
                <c:pt idx="1049">
                  <c:v>0.83793600000000001</c:v>
                </c:pt>
                <c:pt idx="1050">
                  <c:v>0.837731</c:v>
                </c:pt>
                <c:pt idx="1051">
                  <c:v>0.83748699999999998</c:v>
                </c:pt>
                <c:pt idx="1052">
                  <c:v>0.83720399999999995</c:v>
                </c:pt>
                <c:pt idx="1053">
                  <c:v>0.83688200000000001</c:v>
                </c:pt>
                <c:pt idx="1054">
                  <c:v>0.83652000000000004</c:v>
                </c:pt>
                <c:pt idx="1055">
                  <c:v>0.83611999999999997</c:v>
                </c:pt>
                <c:pt idx="1056">
                  <c:v>0.83567999999999998</c:v>
                </c:pt>
                <c:pt idx="1057">
                  <c:v>0.835202</c:v>
                </c:pt>
                <c:pt idx="1058">
                  <c:v>0.83468500000000001</c:v>
                </c:pt>
                <c:pt idx="1059">
                  <c:v>0.83413099999999996</c:v>
                </c:pt>
                <c:pt idx="1060">
                  <c:v>0.83353999999999995</c:v>
                </c:pt>
                <c:pt idx="1061">
                  <c:v>0.83291300000000001</c:v>
                </c:pt>
                <c:pt idx="1062">
                  <c:v>0.83225000000000005</c:v>
                </c:pt>
                <c:pt idx="1063">
                  <c:v>0.83155299999999999</c:v>
                </c:pt>
                <c:pt idx="1064">
                  <c:v>0.83082400000000001</c:v>
                </c:pt>
                <c:pt idx="1065">
                  <c:v>0.830063</c:v>
                </c:pt>
                <c:pt idx="1066">
                  <c:v>0.82927200000000001</c:v>
                </c:pt>
                <c:pt idx="1067">
                  <c:v>0.82845299999999999</c:v>
                </c:pt>
                <c:pt idx="1068">
                  <c:v>0.82760699999999998</c:v>
                </c:pt>
                <c:pt idx="1069">
                  <c:v>0.826735</c:v>
                </c:pt>
                <c:pt idx="1070">
                  <c:v>0.82584100000000005</c:v>
                </c:pt>
                <c:pt idx="1071">
                  <c:v>0.82492600000000005</c:v>
                </c:pt>
                <c:pt idx="1072">
                  <c:v>0.82399100000000003</c:v>
                </c:pt>
                <c:pt idx="1073">
                  <c:v>0.82303999999999999</c:v>
                </c:pt>
                <c:pt idx="1074">
                  <c:v>0.82207399999999997</c:v>
                </c:pt>
                <c:pt idx="1075">
                  <c:v>0.82109600000000005</c:v>
                </c:pt>
                <c:pt idx="1076">
                  <c:v>0.82010799999999995</c:v>
                </c:pt>
                <c:pt idx="1077">
                  <c:v>0.81911199999999995</c:v>
                </c:pt>
                <c:pt idx="1078">
                  <c:v>0.81811100000000003</c:v>
                </c:pt>
                <c:pt idx="1079">
                  <c:v>0.81710799999999995</c:v>
                </c:pt>
                <c:pt idx="1080">
                  <c:v>0.81610499999999997</c:v>
                </c:pt>
                <c:pt idx="1081">
                  <c:v>0.81510400000000005</c:v>
                </c:pt>
                <c:pt idx="1082">
                  <c:v>0.81410800000000005</c:v>
                </c:pt>
                <c:pt idx="1083">
                  <c:v>0.81311999999999995</c:v>
                </c:pt>
                <c:pt idx="1084">
                  <c:v>0.81214200000000003</c:v>
                </c:pt>
                <c:pt idx="1085">
                  <c:v>0.81117600000000001</c:v>
                </c:pt>
                <c:pt idx="1086">
                  <c:v>0.810226</c:v>
                </c:pt>
                <c:pt idx="1087">
                  <c:v>0.80929399999999996</c:v>
                </c:pt>
                <c:pt idx="1088">
                  <c:v>0.80838200000000004</c:v>
                </c:pt>
                <c:pt idx="1089">
                  <c:v>0.80749199999999999</c:v>
                </c:pt>
                <c:pt idx="1090">
                  <c:v>0.80662699999999998</c:v>
                </c:pt>
                <c:pt idx="1091">
                  <c:v>0.80578899999999998</c:v>
                </c:pt>
                <c:pt idx="1092">
                  <c:v>0.80498099999999995</c:v>
                </c:pt>
                <c:pt idx="1093">
                  <c:v>0.804203</c:v>
                </c:pt>
                <c:pt idx="1094">
                  <c:v>0.80345900000000003</c:v>
                </c:pt>
                <c:pt idx="1095">
                  <c:v>0.80274999999999996</c:v>
                </c:pt>
                <c:pt idx="1096">
                  <c:v>0.80207799999999996</c:v>
                </c:pt>
                <c:pt idx="1097">
                  <c:v>0.80144400000000005</c:v>
                </c:pt>
                <c:pt idx="1098">
                  <c:v>0.80085099999999998</c:v>
                </c:pt>
                <c:pt idx="1099">
                  <c:v>0.80029899999999998</c:v>
                </c:pt>
                <c:pt idx="1100">
                  <c:v>0.79978899999999997</c:v>
                </c:pt>
                <c:pt idx="1101">
                  <c:v>0.79932400000000003</c:v>
                </c:pt>
                <c:pt idx="1102">
                  <c:v>0.79890399999999995</c:v>
                </c:pt>
                <c:pt idx="1103">
                  <c:v>0.79852900000000004</c:v>
                </c:pt>
                <c:pt idx="1104">
                  <c:v>0.79820100000000005</c:v>
                </c:pt>
                <c:pt idx="1105">
                  <c:v>0.79792099999999999</c:v>
                </c:pt>
                <c:pt idx="1106">
                  <c:v>0.79768799999999995</c:v>
                </c:pt>
                <c:pt idx="1107">
                  <c:v>0.79750200000000004</c:v>
                </c:pt>
                <c:pt idx="1108">
                  <c:v>0.79736499999999999</c:v>
                </c:pt>
                <c:pt idx="1109">
                  <c:v>0.79727599999999998</c:v>
                </c:pt>
                <c:pt idx="1110">
                  <c:v>0.79723500000000003</c:v>
                </c:pt>
                <c:pt idx="1111">
                  <c:v>0.79724200000000001</c:v>
                </c:pt>
                <c:pt idx="1112">
                  <c:v>0.79729499999999998</c:v>
                </c:pt>
                <c:pt idx="1113">
                  <c:v>0.79739599999999999</c:v>
                </c:pt>
                <c:pt idx="1114">
                  <c:v>0.797543</c:v>
                </c:pt>
                <c:pt idx="1115">
                  <c:v>0.79773400000000005</c:v>
                </c:pt>
                <c:pt idx="1116">
                  <c:v>0.79797099999999999</c:v>
                </c:pt>
                <c:pt idx="1117">
                  <c:v>0.79825000000000002</c:v>
                </c:pt>
                <c:pt idx="1118">
                  <c:v>0.79857199999999995</c:v>
                </c:pt>
                <c:pt idx="1119">
                  <c:v>0.79893400000000003</c:v>
                </c:pt>
                <c:pt idx="1120">
                  <c:v>0.79933600000000005</c:v>
                </c:pt>
                <c:pt idx="1121">
                  <c:v>0.79977600000000004</c:v>
                </c:pt>
                <c:pt idx="1122">
                  <c:v>0.80025199999999996</c:v>
                </c:pt>
                <c:pt idx="1123">
                  <c:v>0.80076400000000003</c:v>
                </c:pt>
                <c:pt idx="1124">
                  <c:v>0.80130800000000002</c:v>
                </c:pt>
                <c:pt idx="1125">
                  <c:v>0.80188400000000004</c:v>
                </c:pt>
                <c:pt idx="1126">
                  <c:v>0.80249000000000004</c:v>
                </c:pt>
                <c:pt idx="1127">
                  <c:v>0.80312300000000003</c:v>
                </c:pt>
                <c:pt idx="1128">
                  <c:v>0.803782</c:v>
                </c:pt>
                <c:pt idx="1129">
                  <c:v>0.80446499999999999</c:v>
                </c:pt>
                <c:pt idx="1130">
                  <c:v>0.80517000000000005</c:v>
                </c:pt>
                <c:pt idx="1131">
                  <c:v>0.805894</c:v>
                </c:pt>
                <c:pt idx="1132">
                  <c:v>0.80663700000000005</c:v>
                </c:pt>
                <c:pt idx="1133">
                  <c:v>0.80739499999999997</c:v>
                </c:pt>
                <c:pt idx="1134">
                  <c:v>0.80816699999999997</c:v>
                </c:pt>
                <c:pt idx="1135">
                  <c:v>0.80894999999999995</c:v>
                </c:pt>
                <c:pt idx="1136">
                  <c:v>0.80974299999999999</c:v>
                </c:pt>
                <c:pt idx="1137">
                  <c:v>0.81054400000000004</c:v>
                </c:pt>
                <c:pt idx="1138">
                  <c:v>0.81135100000000004</c:v>
                </c:pt>
                <c:pt idx="1139">
                  <c:v>0.81216100000000002</c:v>
                </c:pt>
                <c:pt idx="1140">
                  <c:v>0.81297299999999995</c:v>
                </c:pt>
                <c:pt idx="1141">
                  <c:v>0.81378499999999998</c:v>
                </c:pt>
                <c:pt idx="1142">
                  <c:v>0.81459599999999999</c:v>
                </c:pt>
                <c:pt idx="1143">
                  <c:v>0.81540199999999996</c:v>
                </c:pt>
                <c:pt idx="1144">
                  <c:v>0.81620300000000001</c:v>
                </c:pt>
                <c:pt idx="1145">
                  <c:v>0.81699699999999997</c:v>
                </c:pt>
                <c:pt idx="1146">
                  <c:v>0.81778300000000004</c:v>
                </c:pt>
                <c:pt idx="1147">
                  <c:v>0.81855800000000001</c:v>
                </c:pt>
                <c:pt idx="1148">
                  <c:v>0.81932199999999999</c:v>
                </c:pt>
                <c:pt idx="1149">
                  <c:v>0.82007200000000002</c:v>
                </c:pt>
                <c:pt idx="1150">
                  <c:v>0.82080799999999998</c:v>
                </c:pt>
                <c:pt idx="1151">
                  <c:v>0.82152899999999995</c:v>
                </c:pt>
                <c:pt idx="1152">
                  <c:v>0.82223199999999996</c:v>
                </c:pt>
                <c:pt idx="1153">
                  <c:v>0.82291800000000004</c:v>
                </c:pt>
                <c:pt idx="1154">
                  <c:v>0.82358500000000001</c:v>
                </c:pt>
                <c:pt idx="1155">
                  <c:v>0.82423199999999996</c:v>
                </c:pt>
                <c:pt idx="1156">
                  <c:v>0.82485799999999998</c:v>
                </c:pt>
                <c:pt idx="1157">
                  <c:v>0.82546200000000003</c:v>
                </c:pt>
                <c:pt idx="1158">
                  <c:v>0.82604500000000003</c:v>
                </c:pt>
                <c:pt idx="1159">
                  <c:v>0.82660400000000001</c:v>
                </c:pt>
                <c:pt idx="1160">
                  <c:v>0.82714100000000002</c:v>
                </c:pt>
                <c:pt idx="1161">
                  <c:v>0.82765299999999997</c:v>
                </c:pt>
                <c:pt idx="1162">
                  <c:v>0.82814100000000002</c:v>
                </c:pt>
                <c:pt idx="1163">
                  <c:v>0.82860500000000004</c:v>
                </c:pt>
                <c:pt idx="1164">
                  <c:v>0.829044</c:v>
                </c:pt>
                <c:pt idx="1165">
                  <c:v>0.829457</c:v>
                </c:pt>
                <c:pt idx="1166">
                  <c:v>0.82984599999999997</c:v>
                </c:pt>
                <c:pt idx="1167">
                  <c:v>0.83021</c:v>
                </c:pt>
                <c:pt idx="1168">
                  <c:v>0.83054899999999998</c:v>
                </c:pt>
                <c:pt idx="1169">
                  <c:v>0.83086199999999999</c:v>
                </c:pt>
                <c:pt idx="1170">
                  <c:v>0.83115099999999997</c:v>
                </c:pt>
                <c:pt idx="1171">
                  <c:v>0.83141500000000002</c:v>
                </c:pt>
                <c:pt idx="1172">
                  <c:v>0.83165500000000003</c:v>
                </c:pt>
                <c:pt idx="1173">
                  <c:v>0.83187100000000003</c:v>
                </c:pt>
                <c:pt idx="1174">
                  <c:v>0.83206199999999997</c:v>
                </c:pt>
                <c:pt idx="1175">
                  <c:v>0.83223100000000005</c:v>
                </c:pt>
                <c:pt idx="1176">
                  <c:v>0.832376</c:v>
                </c:pt>
                <c:pt idx="1177">
                  <c:v>0.83249899999999999</c:v>
                </c:pt>
                <c:pt idx="1178">
                  <c:v>0.83259899999999998</c:v>
                </c:pt>
                <c:pt idx="1179">
                  <c:v>0.83267800000000003</c:v>
                </c:pt>
                <c:pt idx="1180">
                  <c:v>0.83273600000000003</c:v>
                </c:pt>
                <c:pt idx="1181">
                  <c:v>0.83277299999999999</c:v>
                </c:pt>
                <c:pt idx="1182">
                  <c:v>0.83279000000000003</c:v>
                </c:pt>
                <c:pt idx="1183">
                  <c:v>0.83278700000000005</c:v>
                </c:pt>
                <c:pt idx="1184">
                  <c:v>0.83276600000000001</c:v>
                </c:pt>
                <c:pt idx="1185">
                  <c:v>0.83272599999999997</c:v>
                </c:pt>
                <c:pt idx="1186">
                  <c:v>0.83266799999999996</c:v>
                </c:pt>
                <c:pt idx="1187">
                  <c:v>0.832592</c:v>
                </c:pt>
                <c:pt idx="1188">
                  <c:v>0.83250000000000002</c:v>
                </c:pt>
                <c:pt idx="1189">
                  <c:v>0.83239200000000002</c:v>
                </c:pt>
                <c:pt idx="1190">
                  <c:v>0.83226800000000001</c:v>
                </c:pt>
                <c:pt idx="1191">
                  <c:v>0.83212900000000001</c:v>
                </c:pt>
                <c:pt idx="1192">
                  <c:v>0.83197600000000005</c:v>
                </c:pt>
                <c:pt idx="1193">
                  <c:v>0.83180799999999999</c:v>
                </c:pt>
                <c:pt idx="1194">
                  <c:v>0.83162700000000001</c:v>
                </c:pt>
                <c:pt idx="1195">
                  <c:v>0.83143199999999995</c:v>
                </c:pt>
                <c:pt idx="1196">
                  <c:v>0.83122499999999999</c:v>
                </c:pt>
                <c:pt idx="1197">
                  <c:v>0.83100600000000002</c:v>
                </c:pt>
                <c:pt idx="1198">
                  <c:v>0.83077500000000004</c:v>
                </c:pt>
                <c:pt idx="1199">
                  <c:v>0.83053299999999997</c:v>
                </c:pt>
                <c:pt idx="1200">
                  <c:v>0.83028000000000002</c:v>
                </c:pt>
                <c:pt idx="1201">
                  <c:v>0.83001599999999998</c:v>
                </c:pt>
                <c:pt idx="1202">
                  <c:v>0.82974199999999998</c:v>
                </c:pt>
                <c:pt idx="1203">
                  <c:v>0.82945800000000003</c:v>
                </c:pt>
                <c:pt idx="1204">
                  <c:v>0.82916500000000004</c:v>
                </c:pt>
                <c:pt idx="1205">
                  <c:v>0.82886300000000002</c:v>
                </c:pt>
                <c:pt idx="1206">
                  <c:v>0.82855100000000004</c:v>
                </c:pt>
                <c:pt idx="1207">
                  <c:v>0.82823199999999997</c:v>
                </c:pt>
                <c:pt idx="1208">
                  <c:v>0.82790399999999997</c:v>
                </c:pt>
                <c:pt idx="1209">
                  <c:v>0.82756799999999997</c:v>
                </c:pt>
                <c:pt idx="1210">
                  <c:v>0.82722499999999999</c:v>
                </c:pt>
                <c:pt idx="1211">
                  <c:v>0.826874</c:v>
                </c:pt>
                <c:pt idx="1212">
                  <c:v>0.82651600000000003</c:v>
                </c:pt>
                <c:pt idx="1213">
                  <c:v>0.826152</c:v>
                </c:pt>
                <c:pt idx="1214">
                  <c:v>0.82578099999999999</c:v>
                </c:pt>
                <c:pt idx="1215">
                  <c:v>0.825403</c:v>
                </c:pt>
                <c:pt idx="1216">
                  <c:v>0.82501999999999998</c:v>
                </c:pt>
                <c:pt idx="1217">
                  <c:v>0.82463200000000003</c:v>
                </c:pt>
                <c:pt idx="1218">
                  <c:v>0.82423800000000003</c:v>
                </c:pt>
                <c:pt idx="1219">
                  <c:v>0.82383899999999999</c:v>
                </c:pt>
                <c:pt idx="1220">
                  <c:v>0.82343500000000003</c:v>
                </c:pt>
                <c:pt idx="1221">
                  <c:v>0.82302699999999995</c:v>
                </c:pt>
                <c:pt idx="1222">
                  <c:v>0.82261499999999999</c:v>
                </c:pt>
                <c:pt idx="1223">
                  <c:v>0.82219900000000001</c:v>
                </c:pt>
                <c:pt idx="1224">
                  <c:v>0.82177999999999995</c:v>
                </c:pt>
                <c:pt idx="1225">
                  <c:v>0.82135800000000003</c:v>
                </c:pt>
                <c:pt idx="1226">
                  <c:v>0.82093400000000005</c:v>
                </c:pt>
                <c:pt idx="1227">
                  <c:v>0.82050699999999999</c:v>
                </c:pt>
                <c:pt idx="1228">
                  <c:v>0.820079</c:v>
                </c:pt>
                <c:pt idx="1229">
                  <c:v>0.81964999999999999</c:v>
                </c:pt>
                <c:pt idx="1230">
                  <c:v>0.81921999999999995</c:v>
                </c:pt>
                <c:pt idx="1231">
                  <c:v>0.81878899999999999</c:v>
                </c:pt>
                <c:pt idx="1232">
                  <c:v>0.81835899999999995</c:v>
                </c:pt>
                <c:pt idx="1233">
                  <c:v>0.81793000000000005</c:v>
                </c:pt>
                <c:pt idx="1234">
                  <c:v>0.81750100000000003</c:v>
                </c:pt>
                <c:pt idx="1235">
                  <c:v>0.817075</c:v>
                </c:pt>
                <c:pt idx="1236">
                  <c:v>0.81665100000000002</c:v>
                </c:pt>
                <c:pt idx="1237">
                  <c:v>0.81623000000000001</c:v>
                </c:pt>
                <c:pt idx="1238">
                  <c:v>0.81581199999999998</c:v>
                </c:pt>
                <c:pt idx="1239">
                  <c:v>0.81539899999999998</c:v>
                </c:pt>
                <c:pt idx="1240">
                  <c:v>0.81498999999999999</c:v>
                </c:pt>
                <c:pt idx="1241">
                  <c:v>0.81458600000000003</c:v>
                </c:pt>
                <c:pt idx="1242">
                  <c:v>0.81418900000000005</c:v>
                </c:pt>
                <c:pt idx="1243">
                  <c:v>0.81379800000000002</c:v>
                </c:pt>
                <c:pt idx="1244">
                  <c:v>0.81341399999999997</c:v>
                </c:pt>
                <c:pt idx="1245">
                  <c:v>0.81303800000000004</c:v>
                </c:pt>
                <c:pt idx="1246">
                  <c:v>0.81267</c:v>
                </c:pt>
                <c:pt idx="1247">
                  <c:v>0.81231100000000001</c:v>
                </c:pt>
                <c:pt idx="1248">
                  <c:v>0.81196199999999996</c:v>
                </c:pt>
                <c:pt idx="1249">
                  <c:v>0.81162400000000001</c:v>
                </c:pt>
                <c:pt idx="1250">
                  <c:v>0.81129600000000002</c:v>
                </c:pt>
                <c:pt idx="1251">
                  <c:v>0.81098000000000003</c:v>
                </c:pt>
                <c:pt idx="1252">
                  <c:v>0.81067699999999998</c:v>
                </c:pt>
                <c:pt idx="1253">
                  <c:v>0.81038500000000002</c:v>
                </c:pt>
                <c:pt idx="1254">
                  <c:v>0.81010800000000005</c:v>
                </c:pt>
                <c:pt idx="1255">
                  <c:v>0.80984400000000001</c:v>
                </c:pt>
                <c:pt idx="1256">
                  <c:v>0.80959499999999995</c:v>
                </c:pt>
                <c:pt idx="1257">
                  <c:v>0.809361</c:v>
                </c:pt>
                <c:pt idx="1258">
                  <c:v>0.80914200000000003</c:v>
                </c:pt>
                <c:pt idx="1259">
                  <c:v>0.80893899999999996</c:v>
                </c:pt>
                <c:pt idx="1260">
                  <c:v>0.80875300000000006</c:v>
                </c:pt>
                <c:pt idx="1261">
                  <c:v>0.80858399999999997</c:v>
                </c:pt>
                <c:pt idx="1262">
                  <c:v>0.80843200000000004</c:v>
                </c:pt>
                <c:pt idx="1263">
                  <c:v>0.80829799999999996</c:v>
                </c:pt>
                <c:pt idx="1264">
                  <c:v>0.80818199999999996</c:v>
                </c:pt>
                <c:pt idx="1265">
                  <c:v>0.80808400000000002</c:v>
                </c:pt>
                <c:pt idx="1266">
                  <c:v>0.80800499999999997</c:v>
                </c:pt>
                <c:pt idx="1267">
                  <c:v>0.80794500000000002</c:v>
                </c:pt>
                <c:pt idx="1268">
                  <c:v>0.80790399999999996</c:v>
                </c:pt>
                <c:pt idx="1269">
                  <c:v>0.80788300000000002</c:v>
                </c:pt>
                <c:pt idx="1270">
                  <c:v>0.80788000000000004</c:v>
                </c:pt>
                <c:pt idx="1271">
                  <c:v>0.80789800000000001</c:v>
                </c:pt>
                <c:pt idx="1272">
                  <c:v>0.80793499999999996</c:v>
                </c:pt>
                <c:pt idx="1273">
                  <c:v>0.80799100000000001</c:v>
                </c:pt>
                <c:pt idx="1274">
                  <c:v>0.80806699999999998</c:v>
                </c:pt>
                <c:pt idx="1275">
                  <c:v>0.80816200000000005</c:v>
                </c:pt>
                <c:pt idx="1276">
                  <c:v>0.80827700000000002</c:v>
                </c:pt>
                <c:pt idx="1277">
                  <c:v>0.80841099999999999</c:v>
                </c:pt>
                <c:pt idx="1278">
                  <c:v>0.80856300000000003</c:v>
                </c:pt>
                <c:pt idx="1279">
                  <c:v>0.80873499999999998</c:v>
                </c:pt>
                <c:pt idx="1280">
                  <c:v>0.80892399999999998</c:v>
                </c:pt>
                <c:pt idx="1281">
                  <c:v>0.80913199999999996</c:v>
                </c:pt>
                <c:pt idx="1282">
                  <c:v>0.80935699999999999</c:v>
                </c:pt>
                <c:pt idx="1283">
                  <c:v>0.80959899999999996</c:v>
                </c:pt>
                <c:pt idx="1284">
                  <c:v>0.80985799999999997</c:v>
                </c:pt>
                <c:pt idx="1285">
                  <c:v>0.81013299999999999</c:v>
                </c:pt>
                <c:pt idx="1286">
                  <c:v>0.81042400000000003</c:v>
                </c:pt>
                <c:pt idx="1287">
                  <c:v>0.81072900000000003</c:v>
                </c:pt>
                <c:pt idx="1288">
                  <c:v>0.81104900000000002</c:v>
                </c:pt>
                <c:pt idx="1289">
                  <c:v>0.81138299999999997</c:v>
                </c:pt>
                <c:pt idx="1290">
                  <c:v>0.81172900000000003</c:v>
                </c:pt>
                <c:pt idx="1291">
                  <c:v>0.81208800000000003</c:v>
                </c:pt>
                <c:pt idx="1292">
                  <c:v>0.81245800000000001</c:v>
                </c:pt>
                <c:pt idx="1293">
                  <c:v>0.81283899999999998</c:v>
                </c:pt>
                <c:pt idx="1294">
                  <c:v>0.81323000000000001</c:v>
                </c:pt>
                <c:pt idx="1295">
                  <c:v>0.81362999999999996</c:v>
                </c:pt>
                <c:pt idx="1296">
                  <c:v>0.81403700000000001</c:v>
                </c:pt>
                <c:pt idx="1297">
                  <c:v>0.81445299999999998</c:v>
                </c:pt>
                <c:pt idx="1298">
                  <c:v>0.81487399999999999</c:v>
                </c:pt>
                <c:pt idx="1299">
                  <c:v>0.81530100000000005</c:v>
                </c:pt>
                <c:pt idx="1300">
                  <c:v>0.81573300000000004</c:v>
                </c:pt>
                <c:pt idx="1301">
                  <c:v>0.816168</c:v>
                </c:pt>
                <c:pt idx="1302">
                  <c:v>0.81660600000000005</c:v>
                </c:pt>
                <c:pt idx="1303">
                  <c:v>0.81704699999999997</c:v>
                </c:pt>
                <c:pt idx="1304">
                  <c:v>0.81748799999999999</c:v>
                </c:pt>
                <c:pt idx="1305">
                  <c:v>0.81792900000000002</c:v>
                </c:pt>
                <c:pt idx="1306">
                  <c:v>0.81836900000000001</c:v>
                </c:pt>
                <c:pt idx="1307">
                  <c:v>0.81880799999999998</c:v>
                </c:pt>
                <c:pt idx="1308">
                  <c:v>0.81924399999999997</c:v>
                </c:pt>
                <c:pt idx="1309">
                  <c:v>0.81967699999999999</c:v>
                </c:pt>
                <c:pt idx="1310">
                  <c:v>0.820106</c:v>
                </c:pt>
                <c:pt idx="1311">
                  <c:v>0.82052899999999995</c:v>
                </c:pt>
                <c:pt idx="1312">
                  <c:v>0.82094699999999998</c:v>
                </c:pt>
                <c:pt idx="1313">
                  <c:v>0.82135800000000003</c:v>
                </c:pt>
                <c:pt idx="1314">
                  <c:v>0.82176199999999999</c:v>
                </c:pt>
                <c:pt idx="1315">
                  <c:v>0.82215700000000003</c:v>
                </c:pt>
                <c:pt idx="1316">
                  <c:v>0.82254400000000005</c:v>
                </c:pt>
                <c:pt idx="1317">
                  <c:v>0.82292200000000004</c:v>
                </c:pt>
                <c:pt idx="1318">
                  <c:v>0.82328900000000005</c:v>
                </c:pt>
                <c:pt idx="1319">
                  <c:v>0.82364599999999999</c:v>
                </c:pt>
                <c:pt idx="1320">
                  <c:v>0.82399199999999995</c:v>
                </c:pt>
                <c:pt idx="1321">
                  <c:v>0.824326</c:v>
                </c:pt>
                <c:pt idx="1322">
                  <c:v>0.82464700000000002</c:v>
                </c:pt>
                <c:pt idx="1323">
                  <c:v>0.82495600000000002</c:v>
                </c:pt>
                <c:pt idx="1324">
                  <c:v>0.82525199999999999</c:v>
                </c:pt>
                <c:pt idx="1325">
                  <c:v>0.82553500000000002</c:v>
                </c:pt>
                <c:pt idx="1326">
                  <c:v>0.82580399999999998</c:v>
                </c:pt>
                <c:pt idx="1327">
                  <c:v>0.82605799999999996</c:v>
                </c:pt>
                <c:pt idx="1328">
                  <c:v>0.82629799999999998</c:v>
                </c:pt>
                <c:pt idx="1329">
                  <c:v>0.82652300000000001</c:v>
                </c:pt>
                <c:pt idx="1330">
                  <c:v>0.82673399999999997</c:v>
                </c:pt>
                <c:pt idx="1331">
                  <c:v>0.82692900000000003</c:v>
                </c:pt>
                <c:pt idx="1332">
                  <c:v>0.82711000000000001</c:v>
                </c:pt>
                <c:pt idx="1333">
                  <c:v>0.82727399999999995</c:v>
                </c:pt>
                <c:pt idx="1334">
                  <c:v>0.82742400000000005</c:v>
                </c:pt>
                <c:pt idx="1335">
                  <c:v>0.82755800000000002</c:v>
                </c:pt>
                <c:pt idx="1336">
                  <c:v>0.827677</c:v>
                </c:pt>
                <c:pt idx="1337">
                  <c:v>0.82777999999999996</c:v>
                </c:pt>
                <c:pt idx="1338">
                  <c:v>0.82786800000000005</c:v>
                </c:pt>
                <c:pt idx="1339">
                  <c:v>0.82794000000000001</c:v>
                </c:pt>
                <c:pt idx="1340">
                  <c:v>0.82799699999999998</c:v>
                </c:pt>
                <c:pt idx="1341">
                  <c:v>0.82804</c:v>
                </c:pt>
                <c:pt idx="1342">
                  <c:v>0.828067</c:v>
                </c:pt>
                <c:pt idx="1343">
                  <c:v>0.82807900000000001</c:v>
                </c:pt>
                <c:pt idx="1344">
                  <c:v>0.82807699999999995</c:v>
                </c:pt>
                <c:pt idx="1345">
                  <c:v>0.82806100000000005</c:v>
                </c:pt>
                <c:pt idx="1346">
                  <c:v>0.82803000000000004</c:v>
                </c:pt>
                <c:pt idx="1347">
                  <c:v>0.827986</c:v>
                </c:pt>
                <c:pt idx="1348">
                  <c:v>0.827928</c:v>
                </c:pt>
                <c:pt idx="1349">
                  <c:v>0.82785699999999995</c:v>
                </c:pt>
                <c:pt idx="1350">
                  <c:v>0.82777199999999995</c:v>
                </c:pt>
                <c:pt idx="1351">
                  <c:v>0.82767500000000005</c:v>
                </c:pt>
                <c:pt idx="1352">
                  <c:v>0.82756600000000002</c:v>
                </c:pt>
                <c:pt idx="1353">
                  <c:v>0.82744399999999996</c:v>
                </c:pt>
                <c:pt idx="1354">
                  <c:v>0.82731100000000002</c:v>
                </c:pt>
                <c:pt idx="1355">
                  <c:v>0.82716599999999996</c:v>
                </c:pt>
                <c:pt idx="1356">
                  <c:v>0.82701100000000005</c:v>
                </c:pt>
                <c:pt idx="1357">
                  <c:v>0.82684400000000002</c:v>
                </c:pt>
                <c:pt idx="1358">
                  <c:v>0.82666799999999996</c:v>
                </c:pt>
                <c:pt idx="1359">
                  <c:v>0.82648200000000005</c:v>
                </c:pt>
                <c:pt idx="1360">
                  <c:v>0.82628599999999996</c:v>
                </c:pt>
                <c:pt idx="1361">
                  <c:v>0.82608099999999995</c:v>
                </c:pt>
                <c:pt idx="1362">
                  <c:v>0.82586700000000002</c:v>
                </c:pt>
                <c:pt idx="1363">
                  <c:v>0.82564499999999996</c:v>
                </c:pt>
                <c:pt idx="1364">
                  <c:v>0.82541500000000001</c:v>
                </c:pt>
                <c:pt idx="1365">
                  <c:v>0.82517799999999997</c:v>
                </c:pt>
                <c:pt idx="1366">
                  <c:v>0.82493300000000003</c:v>
                </c:pt>
                <c:pt idx="1367">
                  <c:v>0.82468200000000003</c:v>
                </c:pt>
                <c:pt idx="1368">
                  <c:v>0.82442400000000005</c:v>
                </c:pt>
                <c:pt idx="1369">
                  <c:v>0.82416</c:v>
                </c:pt>
                <c:pt idx="1370">
                  <c:v>0.82389000000000001</c:v>
                </c:pt>
                <c:pt idx="1371">
                  <c:v>0.82361499999999999</c:v>
                </c:pt>
                <c:pt idx="1372">
                  <c:v>0.82333599999999996</c:v>
                </c:pt>
                <c:pt idx="1373">
                  <c:v>0.82305200000000001</c:v>
                </c:pt>
                <c:pt idx="1374">
                  <c:v>0.82276300000000002</c:v>
                </c:pt>
                <c:pt idx="1375">
                  <c:v>0.82247099999999995</c:v>
                </c:pt>
                <c:pt idx="1376">
                  <c:v>0.82217600000000002</c:v>
                </c:pt>
                <c:pt idx="1377">
                  <c:v>0.82187699999999997</c:v>
                </c:pt>
                <c:pt idx="1378">
                  <c:v>0.82157599999999997</c:v>
                </c:pt>
                <c:pt idx="1379">
                  <c:v>0.821272</c:v>
                </c:pt>
                <c:pt idx="1380">
                  <c:v>0.820967</c:v>
                </c:pt>
                <c:pt idx="1381">
                  <c:v>0.82065999999999995</c:v>
                </c:pt>
                <c:pt idx="1382">
                  <c:v>0.82035100000000005</c:v>
                </c:pt>
                <c:pt idx="1383">
                  <c:v>0.82004200000000005</c:v>
                </c:pt>
                <c:pt idx="1384">
                  <c:v>0.81973200000000002</c:v>
                </c:pt>
                <c:pt idx="1385">
                  <c:v>0.81942199999999998</c:v>
                </c:pt>
                <c:pt idx="1386">
                  <c:v>0.81911299999999998</c:v>
                </c:pt>
                <c:pt idx="1387">
                  <c:v>0.81880299999999995</c:v>
                </c:pt>
                <c:pt idx="1388">
                  <c:v>0.81849499999999997</c:v>
                </c:pt>
                <c:pt idx="1389">
                  <c:v>0.81818800000000003</c:v>
                </c:pt>
                <c:pt idx="1390">
                  <c:v>0.81788300000000003</c:v>
                </c:pt>
                <c:pt idx="1391">
                  <c:v>0.81757899999999994</c:v>
                </c:pt>
                <c:pt idx="1392">
                  <c:v>0.81727799999999995</c:v>
                </c:pt>
                <c:pt idx="1393">
                  <c:v>0.81697900000000001</c:v>
                </c:pt>
                <c:pt idx="1394">
                  <c:v>0.81668399999999997</c:v>
                </c:pt>
                <c:pt idx="1395">
                  <c:v>0.81639200000000001</c:v>
                </c:pt>
                <c:pt idx="1396">
                  <c:v>0.81610400000000005</c:v>
                </c:pt>
                <c:pt idx="1397">
                  <c:v>0.81581999999999999</c:v>
                </c:pt>
                <c:pt idx="1398">
                  <c:v>0.81554000000000004</c:v>
                </c:pt>
                <c:pt idx="1399">
                  <c:v>0.81526600000000005</c:v>
                </c:pt>
                <c:pt idx="1400">
                  <c:v>0.81499699999999997</c:v>
                </c:pt>
                <c:pt idx="1401">
                  <c:v>0.81473300000000004</c:v>
                </c:pt>
                <c:pt idx="1402">
                  <c:v>0.81447599999999998</c:v>
                </c:pt>
                <c:pt idx="1403">
                  <c:v>0.81422399999999995</c:v>
                </c:pt>
                <c:pt idx="1404">
                  <c:v>0.81398000000000004</c:v>
                </c:pt>
                <c:pt idx="1405">
                  <c:v>0.81374299999999999</c:v>
                </c:pt>
                <c:pt idx="1406">
                  <c:v>0.81351300000000004</c:v>
                </c:pt>
                <c:pt idx="1407">
                  <c:v>0.81329200000000001</c:v>
                </c:pt>
                <c:pt idx="1408">
                  <c:v>0.81307799999999997</c:v>
                </c:pt>
                <c:pt idx="1409">
                  <c:v>0.81287299999999996</c:v>
                </c:pt>
                <c:pt idx="1410">
                  <c:v>0.81267699999999998</c:v>
                </c:pt>
                <c:pt idx="1411">
                  <c:v>0.81249099999999996</c:v>
                </c:pt>
                <c:pt idx="1412">
                  <c:v>0.81231399999999998</c:v>
                </c:pt>
                <c:pt idx="1413">
                  <c:v>0.81214699999999995</c:v>
                </c:pt>
                <c:pt idx="1414">
                  <c:v>0.81199100000000002</c:v>
                </c:pt>
                <c:pt idx="1415">
                  <c:v>0.81184500000000004</c:v>
                </c:pt>
                <c:pt idx="1416">
                  <c:v>0.81171000000000004</c:v>
                </c:pt>
                <c:pt idx="1417">
                  <c:v>0.81158600000000003</c:v>
                </c:pt>
                <c:pt idx="1418">
                  <c:v>0.81147400000000003</c:v>
                </c:pt>
                <c:pt idx="1419">
                  <c:v>0.81137400000000004</c:v>
                </c:pt>
                <c:pt idx="1420">
                  <c:v>0.81128500000000003</c:v>
                </c:pt>
                <c:pt idx="1421">
                  <c:v>0.81120899999999996</c:v>
                </c:pt>
                <c:pt idx="1422">
                  <c:v>0.81114600000000003</c:v>
                </c:pt>
                <c:pt idx="1423">
                  <c:v>0.81109500000000001</c:v>
                </c:pt>
                <c:pt idx="1424">
                  <c:v>0.811056</c:v>
                </c:pt>
                <c:pt idx="1425">
                  <c:v>0.81103099999999995</c:v>
                </c:pt>
                <c:pt idx="1426">
                  <c:v>0.81101900000000005</c:v>
                </c:pt>
                <c:pt idx="1427">
                  <c:v>0.81101999999999996</c:v>
                </c:pt>
                <c:pt idx="1428">
                  <c:v>0.81103400000000003</c:v>
                </c:pt>
                <c:pt idx="1429">
                  <c:v>0.81106199999999995</c:v>
                </c:pt>
                <c:pt idx="1430">
                  <c:v>0.81110300000000002</c:v>
                </c:pt>
                <c:pt idx="1431">
                  <c:v>0.81115700000000002</c:v>
                </c:pt>
                <c:pt idx="1432">
                  <c:v>0.81122399999999995</c:v>
                </c:pt>
                <c:pt idx="1433">
                  <c:v>0.81130500000000005</c:v>
                </c:pt>
                <c:pt idx="1434">
                  <c:v>0.81139899999999998</c:v>
                </c:pt>
                <c:pt idx="1435">
                  <c:v>0.81150599999999995</c:v>
                </c:pt>
                <c:pt idx="1436">
                  <c:v>0.81162500000000004</c:v>
                </c:pt>
                <c:pt idx="1437">
                  <c:v>0.81175799999999998</c:v>
                </c:pt>
                <c:pt idx="1438">
                  <c:v>0.81190300000000004</c:v>
                </c:pt>
                <c:pt idx="1439">
                  <c:v>0.81206</c:v>
                </c:pt>
                <c:pt idx="1440">
                  <c:v>0.81223000000000001</c:v>
                </c:pt>
                <c:pt idx="1441">
                  <c:v>0.81241099999999999</c:v>
                </c:pt>
                <c:pt idx="1442">
                  <c:v>0.81260299999999996</c:v>
                </c:pt>
                <c:pt idx="1443">
                  <c:v>0.81280699999999995</c:v>
                </c:pt>
                <c:pt idx="1444">
                  <c:v>0.81302099999999999</c:v>
                </c:pt>
                <c:pt idx="1445">
                  <c:v>0.81324600000000002</c:v>
                </c:pt>
                <c:pt idx="1446">
                  <c:v>0.81348100000000001</c:v>
                </c:pt>
                <c:pt idx="1447">
                  <c:v>0.81372500000000003</c:v>
                </c:pt>
                <c:pt idx="1448">
                  <c:v>0.81397799999999998</c:v>
                </c:pt>
                <c:pt idx="1449">
                  <c:v>0.81423900000000005</c:v>
                </c:pt>
                <c:pt idx="1450">
                  <c:v>0.81450900000000004</c:v>
                </c:pt>
                <c:pt idx="1451">
                  <c:v>0.81478600000000001</c:v>
                </c:pt>
                <c:pt idx="1452">
                  <c:v>0.81506999999999996</c:v>
                </c:pt>
                <c:pt idx="1453">
                  <c:v>0.81535999999999997</c:v>
                </c:pt>
                <c:pt idx="1454">
                  <c:v>0.81565500000000002</c:v>
                </c:pt>
                <c:pt idx="1455">
                  <c:v>0.81595600000000001</c:v>
                </c:pt>
                <c:pt idx="1456">
                  <c:v>0.81626100000000001</c:v>
                </c:pt>
                <c:pt idx="1457">
                  <c:v>0.81657000000000002</c:v>
                </c:pt>
                <c:pt idx="1458">
                  <c:v>0.816882</c:v>
                </c:pt>
                <c:pt idx="1459">
                  <c:v>0.81719699999999995</c:v>
                </c:pt>
                <c:pt idx="1460">
                  <c:v>0.81751300000000005</c:v>
                </c:pt>
                <c:pt idx="1461">
                  <c:v>0.81783099999999997</c:v>
                </c:pt>
                <c:pt idx="1462">
                  <c:v>0.81814900000000002</c:v>
                </c:pt>
                <c:pt idx="1463">
                  <c:v>0.81846699999999994</c:v>
                </c:pt>
                <c:pt idx="1464">
                  <c:v>0.81878300000000004</c:v>
                </c:pt>
                <c:pt idx="1465">
                  <c:v>0.81909900000000002</c:v>
                </c:pt>
                <c:pt idx="1466">
                  <c:v>0.819411</c:v>
                </c:pt>
                <c:pt idx="1467">
                  <c:v>0.81972100000000003</c:v>
                </c:pt>
                <c:pt idx="1468">
                  <c:v>0.82002699999999995</c:v>
                </c:pt>
                <c:pt idx="1469">
                  <c:v>0.82032899999999997</c:v>
                </c:pt>
                <c:pt idx="1470">
                  <c:v>0.82062599999999997</c:v>
                </c:pt>
                <c:pt idx="1471">
                  <c:v>0.82091700000000001</c:v>
                </c:pt>
                <c:pt idx="1472">
                  <c:v>0.82120300000000002</c:v>
                </c:pt>
                <c:pt idx="1473">
                  <c:v>0.82148100000000002</c:v>
                </c:pt>
                <c:pt idx="1474">
                  <c:v>0.82175200000000004</c:v>
                </c:pt>
                <c:pt idx="1475">
                  <c:v>0.82201400000000002</c:v>
                </c:pt>
                <c:pt idx="1476">
                  <c:v>0.82226900000000003</c:v>
                </c:pt>
                <c:pt idx="1477">
                  <c:v>0.82251399999999997</c:v>
                </c:pt>
                <c:pt idx="1478">
                  <c:v>0.82274999999999998</c:v>
                </c:pt>
                <c:pt idx="1479">
                  <c:v>0.82297500000000001</c:v>
                </c:pt>
                <c:pt idx="1480">
                  <c:v>0.82319100000000001</c:v>
                </c:pt>
                <c:pt idx="1481">
                  <c:v>0.82339499999999999</c:v>
                </c:pt>
                <c:pt idx="1482">
                  <c:v>0.82358799999999999</c:v>
                </c:pt>
                <c:pt idx="1483">
                  <c:v>0.82377</c:v>
                </c:pt>
                <c:pt idx="1484">
                  <c:v>0.82393899999999998</c:v>
                </c:pt>
                <c:pt idx="1485">
                  <c:v>0.82409699999999997</c:v>
                </c:pt>
                <c:pt idx="1486">
                  <c:v>0.82424200000000003</c:v>
                </c:pt>
                <c:pt idx="1487">
                  <c:v>0.82437400000000005</c:v>
                </c:pt>
                <c:pt idx="1488">
                  <c:v>0.82449300000000003</c:v>
                </c:pt>
                <c:pt idx="1489">
                  <c:v>0.8246</c:v>
                </c:pt>
                <c:pt idx="1490">
                  <c:v>0.82469300000000001</c:v>
                </c:pt>
                <c:pt idx="1491">
                  <c:v>0.82477299999999998</c:v>
                </c:pt>
                <c:pt idx="1492">
                  <c:v>0.82484000000000002</c:v>
                </c:pt>
                <c:pt idx="1493">
                  <c:v>0.82489400000000002</c:v>
                </c:pt>
                <c:pt idx="1494">
                  <c:v>0.82493399999999995</c:v>
                </c:pt>
                <c:pt idx="1495">
                  <c:v>0.82496100000000006</c:v>
                </c:pt>
                <c:pt idx="1496">
                  <c:v>0.82497600000000004</c:v>
                </c:pt>
                <c:pt idx="1497">
                  <c:v>0.82497699999999996</c:v>
                </c:pt>
                <c:pt idx="1498">
                  <c:v>0.82496599999999998</c:v>
                </c:pt>
                <c:pt idx="1499">
                  <c:v>0.82494199999999995</c:v>
                </c:pt>
                <c:pt idx="1500">
                  <c:v>0.82490600000000003</c:v>
                </c:pt>
                <c:pt idx="1501">
                  <c:v>0.82485799999999998</c:v>
                </c:pt>
                <c:pt idx="1502">
                  <c:v>0.82479800000000003</c:v>
                </c:pt>
                <c:pt idx="1503">
                  <c:v>0.82472599999999996</c:v>
                </c:pt>
                <c:pt idx="1504">
                  <c:v>0.82464400000000004</c:v>
                </c:pt>
                <c:pt idx="1505">
                  <c:v>0.82455100000000003</c:v>
                </c:pt>
                <c:pt idx="1506">
                  <c:v>0.82444700000000004</c:v>
                </c:pt>
                <c:pt idx="1507">
                  <c:v>0.82433400000000001</c:v>
                </c:pt>
                <c:pt idx="1508">
                  <c:v>0.82421</c:v>
                </c:pt>
                <c:pt idx="1509">
                  <c:v>0.82407799999999998</c:v>
                </c:pt>
                <c:pt idx="1510">
                  <c:v>0.82393700000000003</c:v>
                </c:pt>
                <c:pt idx="1511">
                  <c:v>0.82378799999999996</c:v>
                </c:pt>
                <c:pt idx="1512">
                  <c:v>0.82363200000000003</c:v>
                </c:pt>
                <c:pt idx="1513">
                  <c:v>0.82346799999999998</c:v>
                </c:pt>
                <c:pt idx="1514">
                  <c:v>0.82329699999999995</c:v>
                </c:pt>
                <c:pt idx="1515">
                  <c:v>0.82312099999999999</c:v>
                </c:pt>
                <c:pt idx="1516">
                  <c:v>0.82293799999999995</c:v>
                </c:pt>
                <c:pt idx="1517">
                  <c:v>0.82275100000000001</c:v>
                </c:pt>
                <c:pt idx="1518">
                  <c:v>0.82255900000000004</c:v>
                </c:pt>
                <c:pt idx="1519">
                  <c:v>0.82236200000000004</c:v>
                </c:pt>
                <c:pt idx="1520">
                  <c:v>0.82216199999999995</c:v>
                </c:pt>
                <c:pt idx="1521">
                  <c:v>0.821959</c:v>
                </c:pt>
                <c:pt idx="1522">
                  <c:v>0.82175399999999998</c:v>
                </c:pt>
                <c:pt idx="1523">
                  <c:v>0.821546</c:v>
                </c:pt>
                <c:pt idx="1524">
                  <c:v>0.82133699999999998</c:v>
                </c:pt>
                <c:pt idx="1525">
                  <c:v>0.82112700000000005</c:v>
                </c:pt>
                <c:pt idx="1526">
                  <c:v>0.82091599999999998</c:v>
                </c:pt>
                <c:pt idx="1527">
                  <c:v>0.82070399999999999</c:v>
                </c:pt>
                <c:pt idx="1528">
                  <c:v>0.82049300000000003</c:v>
                </c:pt>
                <c:pt idx="1529">
                  <c:v>0.82028299999999998</c:v>
                </c:pt>
                <c:pt idx="1530">
                  <c:v>0.82007399999999997</c:v>
                </c:pt>
                <c:pt idx="1531">
                  <c:v>0.81986599999999998</c:v>
                </c:pt>
                <c:pt idx="1532">
                  <c:v>0.81966000000000006</c:v>
                </c:pt>
                <c:pt idx="1533">
                  <c:v>0.81945599999999996</c:v>
                </c:pt>
                <c:pt idx="1534">
                  <c:v>0.81925499999999996</c:v>
                </c:pt>
                <c:pt idx="1535">
                  <c:v>0.81905700000000004</c:v>
                </c:pt>
                <c:pt idx="1536">
                  <c:v>0.81886199999999998</c:v>
                </c:pt>
                <c:pt idx="1537">
                  <c:v>0.81867000000000001</c:v>
                </c:pt>
                <c:pt idx="1538">
                  <c:v>0.81848200000000004</c:v>
                </c:pt>
                <c:pt idx="1539">
                  <c:v>0.81829799999999997</c:v>
                </c:pt>
                <c:pt idx="1540">
                  <c:v>0.81811800000000001</c:v>
                </c:pt>
                <c:pt idx="1541">
                  <c:v>0.81794199999999995</c:v>
                </c:pt>
                <c:pt idx="1542">
                  <c:v>0.81777100000000003</c:v>
                </c:pt>
                <c:pt idx="1543">
                  <c:v>0.817604</c:v>
                </c:pt>
                <c:pt idx="1544">
                  <c:v>0.817442</c:v>
                </c:pt>
                <c:pt idx="1545">
                  <c:v>0.81728500000000004</c:v>
                </c:pt>
                <c:pt idx="1546">
                  <c:v>0.817133</c:v>
                </c:pt>
                <c:pt idx="1547">
                  <c:v>0.81698599999999999</c:v>
                </c:pt>
                <c:pt idx="1548">
                  <c:v>0.81684400000000001</c:v>
                </c:pt>
                <c:pt idx="1549">
                  <c:v>0.81670799999999999</c:v>
                </c:pt>
                <c:pt idx="1550">
                  <c:v>0.81657599999999997</c:v>
                </c:pt>
                <c:pt idx="1551">
                  <c:v>0.81645000000000001</c:v>
                </c:pt>
                <c:pt idx="1552">
                  <c:v>0.81632800000000005</c:v>
                </c:pt>
                <c:pt idx="1553">
                  <c:v>0.81621200000000005</c:v>
                </c:pt>
                <c:pt idx="1554">
                  <c:v>0.81610099999999997</c:v>
                </c:pt>
                <c:pt idx="1555">
                  <c:v>0.81599500000000003</c:v>
                </c:pt>
                <c:pt idx="1556">
                  <c:v>0.81589400000000001</c:v>
                </c:pt>
                <c:pt idx="1557">
                  <c:v>0.81579800000000002</c:v>
                </c:pt>
                <c:pt idx="1558">
                  <c:v>0.81570600000000004</c:v>
                </c:pt>
                <c:pt idx="1559">
                  <c:v>0.81562000000000001</c:v>
                </c:pt>
                <c:pt idx="1560">
                  <c:v>0.81553799999999999</c:v>
                </c:pt>
                <c:pt idx="1561">
                  <c:v>0.81545999999999996</c:v>
                </c:pt>
                <c:pt idx="1562">
                  <c:v>0.81538699999999997</c:v>
                </c:pt>
                <c:pt idx="1563">
                  <c:v>0.81531799999999999</c:v>
                </c:pt>
                <c:pt idx="1564">
                  <c:v>0.81525400000000003</c:v>
                </c:pt>
                <c:pt idx="1565">
                  <c:v>0.81519299999999995</c:v>
                </c:pt>
                <c:pt idx="1566">
                  <c:v>0.815137</c:v>
                </c:pt>
                <c:pt idx="1567">
                  <c:v>0.81508400000000003</c:v>
                </c:pt>
                <c:pt idx="1568">
                  <c:v>0.81503599999999998</c:v>
                </c:pt>
                <c:pt idx="1569">
                  <c:v>0.81499100000000002</c:v>
                </c:pt>
                <c:pt idx="1570">
                  <c:v>0.81494900000000003</c:v>
                </c:pt>
                <c:pt idx="1571">
                  <c:v>0.81491100000000005</c:v>
                </c:pt>
                <c:pt idx="1572">
                  <c:v>0.81487699999999996</c:v>
                </c:pt>
                <c:pt idx="1573">
                  <c:v>0.81484599999999996</c:v>
                </c:pt>
                <c:pt idx="1574">
                  <c:v>0.81481800000000004</c:v>
                </c:pt>
                <c:pt idx="1575">
                  <c:v>0.81479299999999999</c:v>
                </c:pt>
                <c:pt idx="1576">
                  <c:v>0.81477200000000005</c:v>
                </c:pt>
                <c:pt idx="1577">
                  <c:v>0.81475299999999995</c:v>
                </c:pt>
                <c:pt idx="1578">
                  <c:v>0.81473799999999996</c:v>
                </c:pt>
                <c:pt idx="1579">
                  <c:v>0.81472599999999995</c:v>
                </c:pt>
                <c:pt idx="1580">
                  <c:v>0.81471700000000002</c:v>
                </c:pt>
                <c:pt idx="1581">
                  <c:v>0.81471099999999996</c:v>
                </c:pt>
                <c:pt idx="1582">
                  <c:v>0.81470799999999999</c:v>
                </c:pt>
                <c:pt idx="1583">
                  <c:v>0.81470799999999999</c:v>
                </c:pt>
                <c:pt idx="1584">
                  <c:v>0.81471099999999996</c:v>
                </c:pt>
                <c:pt idx="1585">
                  <c:v>0.81471700000000002</c:v>
                </c:pt>
                <c:pt idx="1586">
                  <c:v>0.81472699999999998</c:v>
                </c:pt>
                <c:pt idx="1587">
                  <c:v>0.81473899999999999</c:v>
                </c:pt>
                <c:pt idx="1588">
                  <c:v>0.81475500000000001</c:v>
                </c:pt>
                <c:pt idx="1589">
                  <c:v>0.814774</c:v>
                </c:pt>
                <c:pt idx="1590">
                  <c:v>0.81479699999999999</c:v>
                </c:pt>
                <c:pt idx="1591">
                  <c:v>0.81482299999999996</c:v>
                </c:pt>
                <c:pt idx="1592">
                  <c:v>0.81485300000000005</c:v>
                </c:pt>
                <c:pt idx="1593">
                  <c:v>0.814886</c:v>
                </c:pt>
                <c:pt idx="1594">
                  <c:v>0.81492299999999995</c:v>
                </c:pt>
                <c:pt idx="1595">
                  <c:v>0.81496400000000002</c:v>
                </c:pt>
                <c:pt idx="1596">
                  <c:v>0.81500899999999998</c:v>
                </c:pt>
                <c:pt idx="1597">
                  <c:v>0.81505799999999995</c:v>
                </c:pt>
                <c:pt idx="1598">
                  <c:v>0.81511100000000003</c:v>
                </c:pt>
                <c:pt idx="1599">
                  <c:v>0.815168</c:v>
                </c:pt>
                <c:pt idx="1600">
                  <c:v>0.81522899999999998</c:v>
                </c:pt>
                <c:pt idx="1601">
                  <c:v>0.81529499999999999</c:v>
                </c:pt>
                <c:pt idx="1602">
                  <c:v>0.81536600000000004</c:v>
                </c:pt>
                <c:pt idx="1603">
                  <c:v>0.81544099999999997</c:v>
                </c:pt>
                <c:pt idx="1604">
                  <c:v>0.81552000000000002</c:v>
                </c:pt>
                <c:pt idx="1605">
                  <c:v>0.815604</c:v>
                </c:pt>
                <c:pt idx="1606">
                  <c:v>0.815693</c:v>
                </c:pt>
                <c:pt idx="1607">
                  <c:v>0.81578700000000004</c:v>
                </c:pt>
                <c:pt idx="1608">
                  <c:v>0.81588499999999997</c:v>
                </c:pt>
                <c:pt idx="1609">
                  <c:v>0.81598899999999996</c:v>
                </c:pt>
                <c:pt idx="1610">
                  <c:v>0.81609699999999996</c:v>
                </c:pt>
                <c:pt idx="1611">
                  <c:v>0.81620999999999999</c:v>
                </c:pt>
                <c:pt idx="1612">
                  <c:v>0.81632700000000002</c:v>
                </c:pt>
                <c:pt idx="1613">
                  <c:v>0.81645000000000001</c:v>
                </c:pt>
                <c:pt idx="1614">
                  <c:v>0.816577</c:v>
                </c:pt>
                <c:pt idx="1615">
                  <c:v>0.81670799999999999</c:v>
                </c:pt>
                <c:pt idx="1616">
                  <c:v>0.81684500000000004</c:v>
                </c:pt>
                <c:pt idx="1617">
                  <c:v>0.81698499999999996</c:v>
                </c:pt>
                <c:pt idx="1618">
                  <c:v>0.81713000000000002</c:v>
                </c:pt>
                <c:pt idx="1619">
                  <c:v>0.81727899999999998</c:v>
                </c:pt>
                <c:pt idx="1620">
                  <c:v>0.81743200000000005</c:v>
                </c:pt>
                <c:pt idx="1621">
                  <c:v>0.81758799999999998</c:v>
                </c:pt>
                <c:pt idx="1622">
                  <c:v>0.81774899999999995</c:v>
                </c:pt>
                <c:pt idx="1623">
                  <c:v>0.81791199999999997</c:v>
                </c:pt>
                <c:pt idx="1624">
                  <c:v>0.818079</c:v>
                </c:pt>
                <c:pt idx="1625">
                  <c:v>0.81824799999999998</c:v>
                </c:pt>
                <c:pt idx="1626">
                  <c:v>0.81842000000000004</c:v>
                </c:pt>
                <c:pt idx="1627">
                  <c:v>0.81859499999999996</c:v>
                </c:pt>
                <c:pt idx="1628">
                  <c:v>0.81877100000000003</c:v>
                </c:pt>
                <c:pt idx="1629">
                  <c:v>0.81894900000000004</c:v>
                </c:pt>
                <c:pt idx="1630">
                  <c:v>0.819129</c:v>
                </c:pt>
                <c:pt idx="1631">
                  <c:v>0.81930899999999995</c:v>
                </c:pt>
                <c:pt idx="1632">
                  <c:v>0.81949000000000005</c:v>
                </c:pt>
                <c:pt idx="1633">
                  <c:v>0.81967100000000004</c:v>
                </c:pt>
                <c:pt idx="1634">
                  <c:v>0.81985200000000003</c:v>
                </c:pt>
                <c:pt idx="1635">
                  <c:v>0.82003300000000001</c:v>
                </c:pt>
                <c:pt idx="1636">
                  <c:v>0.82021200000000005</c:v>
                </c:pt>
                <c:pt idx="1637">
                  <c:v>0.82038999999999995</c:v>
                </c:pt>
                <c:pt idx="1638">
                  <c:v>0.82056600000000002</c:v>
                </c:pt>
                <c:pt idx="1639">
                  <c:v>0.82074000000000003</c:v>
                </c:pt>
                <c:pt idx="1640">
                  <c:v>0.82091099999999995</c:v>
                </c:pt>
                <c:pt idx="1641">
                  <c:v>0.821079</c:v>
                </c:pt>
                <c:pt idx="1642">
                  <c:v>0.82124399999999997</c:v>
                </c:pt>
                <c:pt idx="1643">
                  <c:v>0.82140500000000005</c:v>
                </c:pt>
                <c:pt idx="1644">
                  <c:v>0.82156099999999999</c:v>
                </c:pt>
                <c:pt idx="1645">
                  <c:v>0.821712</c:v>
                </c:pt>
                <c:pt idx="1646">
                  <c:v>0.82185799999999998</c:v>
                </c:pt>
                <c:pt idx="1647">
                  <c:v>0.82199800000000001</c:v>
                </c:pt>
                <c:pt idx="1648">
                  <c:v>0.82213199999999997</c:v>
                </c:pt>
                <c:pt idx="1649">
                  <c:v>0.82225999999999999</c:v>
                </c:pt>
                <c:pt idx="1650">
                  <c:v>0.82238100000000003</c:v>
                </c:pt>
                <c:pt idx="1651">
                  <c:v>0.82249399999999995</c:v>
                </c:pt>
                <c:pt idx="1652">
                  <c:v>0.8226</c:v>
                </c:pt>
                <c:pt idx="1653">
                  <c:v>0.82269800000000004</c:v>
                </c:pt>
                <c:pt idx="1654">
                  <c:v>0.82278799999999996</c:v>
                </c:pt>
                <c:pt idx="1655">
                  <c:v>0.82286899999999996</c:v>
                </c:pt>
                <c:pt idx="1656">
                  <c:v>0.82294199999999995</c:v>
                </c:pt>
                <c:pt idx="1657">
                  <c:v>0.82300499999999999</c:v>
                </c:pt>
                <c:pt idx="1658">
                  <c:v>0.82305899999999999</c:v>
                </c:pt>
                <c:pt idx="1659">
                  <c:v>0.82310300000000003</c:v>
                </c:pt>
                <c:pt idx="1660">
                  <c:v>0.82313800000000004</c:v>
                </c:pt>
                <c:pt idx="1661">
                  <c:v>0.82316299999999998</c:v>
                </c:pt>
                <c:pt idx="1662">
                  <c:v>0.82317799999999997</c:v>
                </c:pt>
                <c:pt idx="1663">
                  <c:v>0.823183</c:v>
                </c:pt>
                <c:pt idx="1664">
                  <c:v>0.82317700000000005</c:v>
                </c:pt>
                <c:pt idx="1665">
                  <c:v>0.82316199999999995</c:v>
                </c:pt>
                <c:pt idx="1666">
                  <c:v>0.82313599999999998</c:v>
                </c:pt>
                <c:pt idx="1667">
                  <c:v>0.82310000000000005</c:v>
                </c:pt>
                <c:pt idx="1668">
                  <c:v>0.82305300000000003</c:v>
                </c:pt>
                <c:pt idx="1669">
                  <c:v>0.82299699999999998</c:v>
                </c:pt>
                <c:pt idx="1670">
                  <c:v>0.82293099999999997</c:v>
                </c:pt>
                <c:pt idx="1671">
                  <c:v>0.822855</c:v>
                </c:pt>
                <c:pt idx="1672">
                  <c:v>0.82276899999999997</c:v>
                </c:pt>
                <c:pt idx="1673">
                  <c:v>0.82267400000000002</c:v>
                </c:pt>
                <c:pt idx="1674">
                  <c:v>0.82257000000000002</c:v>
                </c:pt>
                <c:pt idx="1675">
                  <c:v>0.82245599999999996</c:v>
                </c:pt>
                <c:pt idx="1676">
                  <c:v>0.82233400000000001</c:v>
                </c:pt>
                <c:pt idx="1677">
                  <c:v>0.82220400000000005</c:v>
                </c:pt>
                <c:pt idx="1678">
                  <c:v>0.82206500000000005</c:v>
                </c:pt>
                <c:pt idx="1679">
                  <c:v>0.82191899999999996</c:v>
                </c:pt>
                <c:pt idx="1680">
                  <c:v>0.821766</c:v>
                </c:pt>
                <c:pt idx="1681">
                  <c:v>0.82160599999999995</c:v>
                </c:pt>
                <c:pt idx="1682">
                  <c:v>0.82143900000000003</c:v>
                </c:pt>
                <c:pt idx="1683">
                  <c:v>0.82126600000000005</c:v>
                </c:pt>
                <c:pt idx="1684">
                  <c:v>0.82108800000000004</c:v>
                </c:pt>
                <c:pt idx="1685">
                  <c:v>0.82090399999999997</c:v>
                </c:pt>
                <c:pt idx="1686">
                  <c:v>0.820716</c:v>
                </c:pt>
                <c:pt idx="1687">
                  <c:v>0.82052400000000003</c:v>
                </c:pt>
                <c:pt idx="1688">
                  <c:v>0.82032899999999997</c:v>
                </c:pt>
                <c:pt idx="1689">
                  <c:v>0.82013000000000003</c:v>
                </c:pt>
                <c:pt idx="1690">
                  <c:v>0.81992900000000002</c:v>
                </c:pt>
                <c:pt idx="1691">
                  <c:v>0.81972599999999995</c:v>
                </c:pt>
                <c:pt idx="1692">
                  <c:v>0.81952199999999997</c:v>
                </c:pt>
                <c:pt idx="1693">
                  <c:v>0.81931600000000004</c:v>
                </c:pt>
                <c:pt idx="1694">
                  <c:v>0.81911100000000003</c:v>
                </c:pt>
                <c:pt idx="1695">
                  <c:v>0.81890600000000002</c:v>
                </c:pt>
                <c:pt idx="1696">
                  <c:v>0.81870100000000001</c:v>
                </c:pt>
                <c:pt idx="1697">
                  <c:v>0.81849799999999995</c:v>
                </c:pt>
                <c:pt idx="1698">
                  <c:v>0.81829700000000005</c:v>
                </c:pt>
                <c:pt idx="1699">
                  <c:v>0.81809900000000002</c:v>
                </c:pt>
                <c:pt idx="1700">
                  <c:v>0.81790300000000005</c:v>
                </c:pt>
                <c:pt idx="1701">
                  <c:v>0.81771099999999997</c:v>
                </c:pt>
                <c:pt idx="1702">
                  <c:v>0.81752199999999997</c:v>
                </c:pt>
                <c:pt idx="1703">
                  <c:v>0.81733800000000001</c:v>
                </c:pt>
                <c:pt idx="1704">
                  <c:v>0.81715899999999997</c:v>
                </c:pt>
                <c:pt idx="1705">
                  <c:v>0.81698499999999996</c:v>
                </c:pt>
                <c:pt idx="1706">
                  <c:v>0.81681700000000002</c:v>
                </c:pt>
                <c:pt idx="1707">
                  <c:v>0.81665500000000002</c:v>
                </c:pt>
                <c:pt idx="1708">
                  <c:v>0.8165</c:v>
                </c:pt>
                <c:pt idx="1709">
                  <c:v>0.81635100000000005</c:v>
                </c:pt>
                <c:pt idx="1710">
                  <c:v>0.81620899999999996</c:v>
                </c:pt>
                <c:pt idx="1711">
                  <c:v>0.81607499999999999</c:v>
                </c:pt>
                <c:pt idx="1712">
                  <c:v>0.81594900000000004</c:v>
                </c:pt>
                <c:pt idx="1713">
                  <c:v>0.81583000000000006</c:v>
                </c:pt>
                <c:pt idx="1714">
                  <c:v>0.81572</c:v>
                </c:pt>
                <c:pt idx="1715">
                  <c:v>0.81561799999999995</c:v>
                </c:pt>
                <c:pt idx="1716">
                  <c:v>0.81552500000000006</c:v>
                </c:pt>
                <c:pt idx="1717">
                  <c:v>0.81544000000000005</c:v>
                </c:pt>
                <c:pt idx="1718">
                  <c:v>0.81536399999999998</c:v>
                </c:pt>
                <c:pt idx="1719">
                  <c:v>0.81529700000000005</c:v>
                </c:pt>
                <c:pt idx="1720">
                  <c:v>0.81523900000000005</c:v>
                </c:pt>
                <c:pt idx="1721">
                  <c:v>0.81518999999999997</c:v>
                </c:pt>
                <c:pt idx="1722">
                  <c:v>0.81514900000000001</c:v>
                </c:pt>
                <c:pt idx="1723">
                  <c:v>0.81511800000000001</c:v>
                </c:pt>
                <c:pt idx="1724">
                  <c:v>0.81509500000000001</c:v>
                </c:pt>
                <c:pt idx="1725">
                  <c:v>0.81508100000000006</c:v>
                </c:pt>
                <c:pt idx="1726">
                  <c:v>0.81507600000000002</c:v>
                </c:pt>
                <c:pt idx="1727">
                  <c:v>0.81507799999999997</c:v>
                </c:pt>
                <c:pt idx="1728">
                  <c:v>0.81508999999999998</c:v>
                </c:pt>
                <c:pt idx="1729">
                  <c:v>0.81510899999999997</c:v>
                </c:pt>
                <c:pt idx="1730">
                  <c:v>0.81513599999999997</c:v>
                </c:pt>
                <c:pt idx="1731">
                  <c:v>0.81517099999999998</c:v>
                </c:pt>
                <c:pt idx="1732">
                  <c:v>0.81521299999999997</c:v>
                </c:pt>
                <c:pt idx="1733">
                  <c:v>0.81526200000000004</c:v>
                </c:pt>
                <c:pt idx="1734">
                  <c:v>0.81531799999999999</c:v>
                </c:pt>
                <c:pt idx="1735">
                  <c:v>0.81537999999999999</c:v>
                </c:pt>
                <c:pt idx="1736">
                  <c:v>0.81544899999999998</c:v>
                </c:pt>
                <c:pt idx="1737">
                  <c:v>0.815523</c:v>
                </c:pt>
                <c:pt idx="1738">
                  <c:v>0.81560299999999997</c:v>
                </c:pt>
                <c:pt idx="1739">
                  <c:v>0.81568700000000005</c:v>
                </c:pt>
                <c:pt idx="1740">
                  <c:v>0.81577699999999997</c:v>
                </c:pt>
                <c:pt idx="1741">
                  <c:v>0.81587100000000001</c:v>
                </c:pt>
                <c:pt idx="1742">
                  <c:v>0.81596900000000006</c:v>
                </c:pt>
                <c:pt idx="1743">
                  <c:v>0.81606999999999996</c:v>
                </c:pt>
                <c:pt idx="1744">
                  <c:v>0.81617499999999998</c:v>
                </c:pt>
                <c:pt idx="1745">
                  <c:v>0.81628299999999998</c:v>
                </c:pt>
                <c:pt idx="1746">
                  <c:v>0.81639300000000004</c:v>
                </c:pt>
                <c:pt idx="1747">
                  <c:v>0.81650500000000004</c:v>
                </c:pt>
                <c:pt idx="1748">
                  <c:v>0.81661799999999996</c:v>
                </c:pt>
                <c:pt idx="1749">
                  <c:v>0.81673399999999996</c:v>
                </c:pt>
                <c:pt idx="1750">
                  <c:v>0.81684999999999997</c:v>
                </c:pt>
                <c:pt idx="1751">
                  <c:v>0.81696599999999997</c:v>
                </c:pt>
                <c:pt idx="1752">
                  <c:v>0.817083</c:v>
                </c:pt>
                <c:pt idx="1753">
                  <c:v>0.81720000000000004</c:v>
                </c:pt>
                <c:pt idx="1754">
                  <c:v>0.81731600000000004</c:v>
                </c:pt>
                <c:pt idx="1755">
                  <c:v>0.81743200000000005</c:v>
                </c:pt>
                <c:pt idx="1756">
                  <c:v>0.81754700000000002</c:v>
                </c:pt>
                <c:pt idx="1757">
                  <c:v>0.81766000000000005</c:v>
                </c:pt>
                <c:pt idx="1758">
                  <c:v>0.81777200000000005</c:v>
                </c:pt>
                <c:pt idx="1759">
                  <c:v>0.817882</c:v>
                </c:pt>
                <c:pt idx="1760">
                  <c:v>0.81798999999999999</c:v>
                </c:pt>
                <c:pt idx="1761">
                  <c:v>0.81809600000000005</c:v>
                </c:pt>
                <c:pt idx="1762">
                  <c:v>0.81820000000000004</c:v>
                </c:pt>
                <c:pt idx="1763">
                  <c:v>0.81830099999999995</c:v>
                </c:pt>
                <c:pt idx="1764">
                  <c:v>0.81839899999999999</c:v>
                </c:pt>
                <c:pt idx="1765">
                  <c:v>0.81849400000000005</c:v>
                </c:pt>
                <c:pt idx="1766">
                  <c:v>0.81858699999999995</c:v>
                </c:pt>
                <c:pt idx="1767">
                  <c:v>0.81867599999999996</c:v>
                </c:pt>
                <c:pt idx="1768">
                  <c:v>0.81876199999999999</c:v>
                </c:pt>
                <c:pt idx="1769">
                  <c:v>0.81884500000000005</c:v>
                </c:pt>
                <c:pt idx="1770">
                  <c:v>0.81892399999999999</c:v>
                </c:pt>
                <c:pt idx="1771">
                  <c:v>0.81900099999999998</c:v>
                </c:pt>
                <c:pt idx="1772">
                  <c:v>0.81907399999999997</c:v>
                </c:pt>
                <c:pt idx="1773">
                  <c:v>0.81914399999999998</c:v>
                </c:pt>
                <c:pt idx="1774">
                  <c:v>0.81920999999999999</c:v>
                </c:pt>
                <c:pt idx="1775">
                  <c:v>0.81927399999999995</c:v>
                </c:pt>
                <c:pt idx="1776">
                  <c:v>0.81933400000000001</c:v>
                </c:pt>
                <c:pt idx="1777">
                  <c:v>0.81939099999999998</c:v>
                </c:pt>
                <c:pt idx="1778">
                  <c:v>0.81944499999999998</c:v>
                </c:pt>
                <c:pt idx="1779">
                  <c:v>0.81949700000000003</c:v>
                </c:pt>
                <c:pt idx="1780">
                  <c:v>0.81954499999999997</c:v>
                </c:pt>
                <c:pt idx="1781">
                  <c:v>0.81959099999999996</c:v>
                </c:pt>
                <c:pt idx="1782">
                  <c:v>0.819635</c:v>
                </c:pt>
                <c:pt idx="1783">
                  <c:v>0.81967599999999996</c:v>
                </c:pt>
                <c:pt idx="1784">
                  <c:v>0.81971499999999997</c:v>
                </c:pt>
                <c:pt idx="1785">
                  <c:v>0.81975200000000004</c:v>
                </c:pt>
                <c:pt idx="1786">
                  <c:v>0.81978700000000004</c:v>
                </c:pt>
                <c:pt idx="1787">
                  <c:v>0.81981999999999999</c:v>
                </c:pt>
                <c:pt idx="1788">
                  <c:v>0.819851</c:v>
                </c:pt>
                <c:pt idx="1789">
                  <c:v>0.81988099999999997</c:v>
                </c:pt>
                <c:pt idx="1790">
                  <c:v>0.81991000000000003</c:v>
                </c:pt>
                <c:pt idx="1791">
                  <c:v>0.81993799999999994</c:v>
                </c:pt>
                <c:pt idx="1792">
                  <c:v>0.81996500000000005</c:v>
                </c:pt>
                <c:pt idx="1793">
                  <c:v>0.81999</c:v>
                </c:pt>
                <c:pt idx="1794">
                  <c:v>0.82001599999999997</c:v>
                </c:pt>
                <c:pt idx="1795">
                  <c:v>0.82003999999999999</c:v>
                </c:pt>
                <c:pt idx="1796">
                  <c:v>0.82006500000000004</c:v>
                </c:pt>
                <c:pt idx="1797">
                  <c:v>0.82008899999999996</c:v>
                </c:pt>
                <c:pt idx="1798">
                  <c:v>0.82011199999999995</c:v>
                </c:pt>
                <c:pt idx="1799">
                  <c:v>0.82013599999999998</c:v>
                </c:pt>
                <c:pt idx="1800">
                  <c:v>0.82016</c:v>
                </c:pt>
                <c:pt idx="1801">
                  <c:v>0.82018400000000002</c:v>
                </c:pt>
                <c:pt idx="1802">
                  <c:v>0.82020800000000005</c:v>
                </c:pt>
                <c:pt idx="1803">
                  <c:v>0.82023199999999996</c:v>
                </c:pt>
                <c:pt idx="1804">
                  <c:v>0.82025700000000001</c:v>
                </c:pt>
                <c:pt idx="1805">
                  <c:v>0.82028100000000004</c:v>
                </c:pt>
                <c:pt idx="1806">
                  <c:v>0.82030700000000001</c:v>
                </c:pt>
                <c:pt idx="1807">
                  <c:v>0.82033199999999995</c:v>
                </c:pt>
                <c:pt idx="1808">
                  <c:v>0.82035800000000003</c:v>
                </c:pt>
                <c:pt idx="1809">
                  <c:v>0.82038500000000003</c:v>
                </c:pt>
                <c:pt idx="1810">
                  <c:v>0.820411</c:v>
                </c:pt>
                <c:pt idx="1811">
                  <c:v>0.820438</c:v>
                </c:pt>
                <c:pt idx="1812">
                  <c:v>0.820465</c:v>
                </c:pt>
                <c:pt idx="1813">
                  <c:v>0.820492</c:v>
                </c:pt>
                <c:pt idx="1814">
                  <c:v>0.820519</c:v>
                </c:pt>
                <c:pt idx="1815">
                  <c:v>0.82054700000000003</c:v>
                </c:pt>
                <c:pt idx="1816">
                  <c:v>0.82057400000000003</c:v>
                </c:pt>
                <c:pt idx="1817">
                  <c:v>0.8206</c:v>
                </c:pt>
                <c:pt idx="1818">
                  <c:v>0.82062599999999997</c:v>
                </c:pt>
                <c:pt idx="1819">
                  <c:v>0.82065200000000005</c:v>
                </c:pt>
                <c:pt idx="1820">
                  <c:v>0.82067699999999999</c:v>
                </c:pt>
                <c:pt idx="1821">
                  <c:v>0.82070100000000001</c:v>
                </c:pt>
                <c:pt idx="1822">
                  <c:v>0.82072400000000001</c:v>
                </c:pt>
                <c:pt idx="1823">
                  <c:v>0.82074599999999998</c:v>
                </c:pt>
                <c:pt idx="1824">
                  <c:v>0.82076700000000002</c:v>
                </c:pt>
                <c:pt idx="1825">
                  <c:v>0.82078499999999999</c:v>
                </c:pt>
                <c:pt idx="1826">
                  <c:v>0.82080299999999995</c:v>
                </c:pt>
                <c:pt idx="1827">
                  <c:v>0.82081800000000005</c:v>
                </c:pt>
                <c:pt idx="1828">
                  <c:v>0.82083099999999998</c:v>
                </c:pt>
                <c:pt idx="1829">
                  <c:v>0.82084199999999996</c:v>
                </c:pt>
                <c:pt idx="1830">
                  <c:v>0.82084999999999997</c:v>
                </c:pt>
                <c:pt idx="1831">
                  <c:v>0.82085600000000003</c:v>
                </c:pt>
                <c:pt idx="1832">
                  <c:v>0.82085900000000001</c:v>
                </c:pt>
                <c:pt idx="1833">
                  <c:v>0.82085799999999998</c:v>
                </c:pt>
                <c:pt idx="1834">
                  <c:v>0.820855</c:v>
                </c:pt>
                <c:pt idx="1835">
                  <c:v>0.82084800000000002</c:v>
                </c:pt>
                <c:pt idx="1836">
                  <c:v>0.82083799999999996</c:v>
                </c:pt>
                <c:pt idx="1837">
                  <c:v>0.820824</c:v>
                </c:pt>
                <c:pt idx="1838">
                  <c:v>0.82080699999999995</c:v>
                </c:pt>
                <c:pt idx="1839">
                  <c:v>0.82078499999999999</c:v>
                </c:pt>
                <c:pt idx="1840">
                  <c:v>0.82076000000000005</c:v>
                </c:pt>
                <c:pt idx="1841">
                  <c:v>0.82072999999999996</c:v>
                </c:pt>
                <c:pt idx="1842">
                  <c:v>0.82069700000000001</c:v>
                </c:pt>
                <c:pt idx="1843">
                  <c:v>0.82065900000000003</c:v>
                </c:pt>
                <c:pt idx="1844">
                  <c:v>0.82061700000000004</c:v>
                </c:pt>
                <c:pt idx="1845">
                  <c:v>0.82057000000000002</c:v>
                </c:pt>
                <c:pt idx="1846">
                  <c:v>0.820519</c:v>
                </c:pt>
                <c:pt idx="1847">
                  <c:v>0.82046399999999997</c:v>
                </c:pt>
                <c:pt idx="1848">
                  <c:v>0.82040500000000005</c:v>
                </c:pt>
                <c:pt idx="1849">
                  <c:v>0.82034099999999999</c:v>
                </c:pt>
                <c:pt idx="1850">
                  <c:v>0.82027300000000003</c:v>
                </c:pt>
                <c:pt idx="1851">
                  <c:v>0.82020099999999996</c:v>
                </c:pt>
                <c:pt idx="1852">
                  <c:v>0.82012499999999999</c:v>
                </c:pt>
                <c:pt idx="1853">
                  <c:v>0.82004500000000002</c:v>
                </c:pt>
                <c:pt idx="1854">
                  <c:v>0.81996100000000005</c:v>
                </c:pt>
                <c:pt idx="1855">
                  <c:v>0.81987399999999999</c:v>
                </c:pt>
                <c:pt idx="1856">
                  <c:v>0.81978300000000004</c:v>
                </c:pt>
                <c:pt idx="1857">
                  <c:v>0.81968799999999997</c:v>
                </c:pt>
                <c:pt idx="1858">
                  <c:v>0.81959099999999996</c:v>
                </c:pt>
                <c:pt idx="1859">
                  <c:v>0.81949000000000005</c:v>
                </c:pt>
                <c:pt idx="1860">
                  <c:v>0.81938699999999998</c:v>
                </c:pt>
                <c:pt idx="1861">
                  <c:v>0.81928199999999995</c:v>
                </c:pt>
                <c:pt idx="1862">
                  <c:v>0.81917399999999996</c:v>
                </c:pt>
                <c:pt idx="1863">
                  <c:v>0.81906400000000001</c:v>
                </c:pt>
                <c:pt idx="1864">
                  <c:v>0.81895300000000004</c:v>
                </c:pt>
                <c:pt idx="1865">
                  <c:v>0.81884000000000001</c:v>
                </c:pt>
                <c:pt idx="1866">
                  <c:v>0.81872599999999995</c:v>
                </c:pt>
                <c:pt idx="1867">
                  <c:v>0.81861200000000001</c:v>
                </c:pt>
                <c:pt idx="1868">
                  <c:v>0.81849700000000003</c:v>
                </c:pt>
                <c:pt idx="1869">
                  <c:v>0.81838200000000005</c:v>
                </c:pt>
                <c:pt idx="1870">
                  <c:v>0.81826699999999997</c:v>
                </c:pt>
                <c:pt idx="1871">
                  <c:v>0.81815300000000002</c:v>
                </c:pt>
                <c:pt idx="1872">
                  <c:v>0.81803999999999999</c:v>
                </c:pt>
                <c:pt idx="1873">
                  <c:v>0.81792799999999999</c:v>
                </c:pt>
                <c:pt idx="1874">
                  <c:v>0.81781800000000004</c:v>
                </c:pt>
                <c:pt idx="1875">
                  <c:v>0.81770900000000002</c:v>
                </c:pt>
                <c:pt idx="1876">
                  <c:v>0.81760299999999997</c:v>
                </c:pt>
                <c:pt idx="1877">
                  <c:v>0.8175</c:v>
                </c:pt>
                <c:pt idx="1878">
                  <c:v>0.81739899999999999</c:v>
                </c:pt>
                <c:pt idx="1879">
                  <c:v>0.81730199999999997</c:v>
                </c:pt>
                <c:pt idx="1880">
                  <c:v>0.81720899999999996</c:v>
                </c:pt>
                <c:pt idx="1881">
                  <c:v>0.81711900000000004</c:v>
                </c:pt>
                <c:pt idx="1882">
                  <c:v>0.81703400000000004</c:v>
                </c:pt>
                <c:pt idx="1883">
                  <c:v>0.81695300000000004</c:v>
                </c:pt>
                <c:pt idx="1884">
                  <c:v>0.81687699999999996</c:v>
                </c:pt>
                <c:pt idx="1885">
                  <c:v>0.816805</c:v>
                </c:pt>
                <c:pt idx="1886">
                  <c:v>0.81674000000000002</c:v>
                </c:pt>
                <c:pt idx="1887">
                  <c:v>0.81667900000000004</c:v>
                </c:pt>
                <c:pt idx="1888">
                  <c:v>0.81662500000000005</c:v>
                </c:pt>
                <c:pt idx="1889">
                  <c:v>0.81657599999999997</c:v>
                </c:pt>
                <c:pt idx="1890">
                  <c:v>0.81653399999999998</c:v>
                </c:pt>
                <c:pt idx="1891">
                  <c:v>0.81649799999999995</c:v>
                </c:pt>
                <c:pt idx="1892">
                  <c:v>0.81646799999999997</c:v>
                </c:pt>
                <c:pt idx="1893">
                  <c:v>0.81644399999999995</c:v>
                </c:pt>
                <c:pt idx="1894">
                  <c:v>0.81642800000000004</c:v>
                </c:pt>
                <c:pt idx="1895">
                  <c:v>0.81641799999999998</c:v>
                </c:pt>
                <c:pt idx="1896">
                  <c:v>0.81641399999999997</c:v>
                </c:pt>
                <c:pt idx="1897">
                  <c:v>0.81641799999999998</c:v>
                </c:pt>
                <c:pt idx="1898">
                  <c:v>0.81642800000000004</c:v>
                </c:pt>
                <c:pt idx="1899">
                  <c:v>0.81644499999999998</c:v>
                </c:pt>
                <c:pt idx="1900">
                  <c:v>0.816469</c:v>
                </c:pt>
                <c:pt idx="1901">
                  <c:v>0.81649899999999997</c:v>
                </c:pt>
                <c:pt idx="1902">
                  <c:v>0.81653600000000004</c:v>
                </c:pt>
                <c:pt idx="1903">
                  <c:v>0.81657999999999997</c:v>
                </c:pt>
                <c:pt idx="1904">
                  <c:v>0.81662999999999997</c:v>
                </c:pt>
                <c:pt idx="1905">
                  <c:v>0.81668600000000002</c:v>
                </c:pt>
                <c:pt idx="1906">
                  <c:v>0.81674800000000003</c:v>
                </c:pt>
                <c:pt idx="1907">
                  <c:v>0.81681599999999999</c:v>
                </c:pt>
                <c:pt idx="1908">
                  <c:v>0.81688899999999998</c:v>
                </c:pt>
                <c:pt idx="1909">
                  <c:v>0.81696800000000003</c:v>
                </c:pt>
                <c:pt idx="1910">
                  <c:v>0.81705300000000003</c:v>
                </c:pt>
                <c:pt idx="1911">
                  <c:v>0.81714200000000003</c:v>
                </c:pt>
                <c:pt idx="1912">
                  <c:v>0.81723599999999996</c:v>
                </c:pt>
                <c:pt idx="1913">
                  <c:v>0.817334</c:v>
                </c:pt>
                <c:pt idx="1914">
                  <c:v>0.81743600000000005</c:v>
                </c:pt>
                <c:pt idx="1915">
                  <c:v>0.81754199999999999</c:v>
                </c:pt>
                <c:pt idx="1916">
                  <c:v>0.81765200000000005</c:v>
                </c:pt>
                <c:pt idx="1917">
                  <c:v>0.81776400000000005</c:v>
                </c:pt>
                <c:pt idx="1918">
                  <c:v>0.81788000000000005</c:v>
                </c:pt>
                <c:pt idx="1919">
                  <c:v>0.817998</c:v>
                </c:pt>
                <c:pt idx="1920">
                  <c:v>0.81811699999999998</c:v>
                </c:pt>
                <c:pt idx="1921">
                  <c:v>0.81823900000000005</c:v>
                </c:pt>
                <c:pt idx="1922">
                  <c:v>0.81836200000000003</c:v>
                </c:pt>
                <c:pt idx="1923">
                  <c:v>0.81848500000000002</c:v>
                </c:pt>
                <c:pt idx="1924">
                  <c:v>0.81860999999999995</c:v>
                </c:pt>
                <c:pt idx="1925">
                  <c:v>0.81873399999999996</c:v>
                </c:pt>
                <c:pt idx="1926">
                  <c:v>0.818859</c:v>
                </c:pt>
                <c:pt idx="1927">
                  <c:v>0.81898300000000002</c:v>
                </c:pt>
                <c:pt idx="1928">
                  <c:v>0.819106</c:v>
                </c:pt>
                <c:pt idx="1929">
                  <c:v>0.81922799999999996</c:v>
                </c:pt>
                <c:pt idx="1930">
                  <c:v>0.81934799999999997</c:v>
                </c:pt>
                <c:pt idx="1931">
                  <c:v>0.81946600000000003</c:v>
                </c:pt>
                <c:pt idx="1932">
                  <c:v>0.81958299999999995</c:v>
                </c:pt>
                <c:pt idx="1933">
                  <c:v>0.81969599999999998</c:v>
                </c:pt>
                <c:pt idx="1934">
                  <c:v>0.81980699999999995</c:v>
                </c:pt>
                <c:pt idx="1935">
                  <c:v>0.81991499999999995</c:v>
                </c:pt>
                <c:pt idx="1936">
                  <c:v>0.82001999999999997</c:v>
                </c:pt>
                <c:pt idx="1937">
                  <c:v>0.82011999999999996</c:v>
                </c:pt>
                <c:pt idx="1938">
                  <c:v>0.82021699999999997</c:v>
                </c:pt>
                <c:pt idx="1939">
                  <c:v>0.82030999999999998</c:v>
                </c:pt>
                <c:pt idx="1940">
                  <c:v>0.82039899999999999</c:v>
                </c:pt>
                <c:pt idx="1941">
                  <c:v>0.82048299999999996</c:v>
                </c:pt>
                <c:pt idx="1942">
                  <c:v>0.82056200000000001</c:v>
                </c:pt>
                <c:pt idx="1943">
                  <c:v>0.82063699999999995</c:v>
                </c:pt>
                <c:pt idx="1944">
                  <c:v>0.82070600000000005</c:v>
                </c:pt>
                <c:pt idx="1945">
                  <c:v>0.82077100000000003</c:v>
                </c:pt>
                <c:pt idx="1946">
                  <c:v>0.82082999999999995</c:v>
                </c:pt>
                <c:pt idx="1947">
                  <c:v>0.82088399999999995</c:v>
                </c:pt>
                <c:pt idx="1948">
                  <c:v>0.82093300000000002</c:v>
                </c:pt>
                <c:pt idx="1949">
                  <c:v>0.82097600000000004</c:v>
                </c:pt>
                <c:pt idx="1950">
                  <c:v>0.82101400000000002</c:v>
                </c:pt>
                <c:pt idx="1951">
                  <c:v>0.82104699999999997</c:v>
                </c:pt>
                <c:pt idx="1952">
                  <c:v>0.821075</c:v>
                </c:pt>
                <c:pt idx="1953">
                  <c:v>0.82109699999999997</c:v>
                </c:pt>
                <c:pt idx="1954">
                  <c:v>0.82111400000000001</c:v>
                </c:pt>
                <c:pt idx="1955">
                  <c:v>0.82112499999999999</c:v>
                </c:pt>
                <c:pt idx="1956">
                  <c:v>0.82113199999999997</c:v>
                </c:pt>
                <c:pt idx="1957">
                  <c:v>0.82113400000000003</c:v>
                </c:pt>
                <c:pt idx="1958">
                  <c:v>0.82113100000000006</c:v>
                </c:pt>
                <c:pt idx="1959">
                  <c:v>0.82112300000000005</c:v>
                </c:pt>
                <c:pt idx="1960">
                  <c:v>0.82111100000000004</c:v>
                </c:pt>
                <c:pt idx="1961">
                  <c:v>0.82109399999999999</c:v>
                </c:pt>
                <c:pt idx="1962">
                  <c:v>0.82107300000000005</c:v>
                </c:pt>
                <c:pt idx="1963">
                  <c:v>0.82104900000000003</c:v>
                </c:pt>
                <c:pt idx="1964">
                  <c:v>0.82101999999999997</c:v>
                </c:pt>
                <c:pt idx="1965">
                  <c:v>0.82098800000000005</c:v>
                </c:pt>
                <c:pt idx="1966">
                  <c:v>0.82095200000000002</c:v>
                </c:pt>
                <c:pt idx="1967">
                  <c:v>0.82091400000000003</c:v>
                </c:pt>
                <c:pt idx="1968">
                  <c:v>0.82087200000000005</c:v>
                </c:pt>
                <c:pt idx="1969">
                  <c:v>0.820828</c:v>
                </c:pt>
                <c:pt idx="1970">
                  <c:v>0.82078099999999998</c:v>
                </c:pt>
                <c:pt idx="1971">
                  <c:v>0.82073300000000005</c:v>
                </c:pt>
                <c:pt idx="1972">
                  <c:v>0.82068200000000002</c:v>
                </c:pt>
                <c:pt idx="1973">
                  <c:v>0.82062900000000005</c:v>
                </c:pt>
                <c:pt idx="1974">
                  <c:v>0.82057599999999997</c:v>
                </c:pt>
                <c:pt idx="1975">
                  <c:v>0.82052000000000003</c:v>
                </c:pt>
                <c:pt idx="1976">
                  <c:v>0.82046399999999997</c:v>
                </c:pt>
                <c:pt idx="1977">
                  <c:v>0.82040800000000003</c:v>
                </c:pt>
                <c:pt idx="1978">
                  <c:v>0.82035000000000002</c:v>
                </c:pt>
                <c:pt idx="1979">
                  <c:v>0.82029300000000005</c:v>
                </c:pt>
                <c:pt idx="1980">
                  <c:v>0.82023500000000005</c:v>
                </c:pt>
                <c:pt idx="1981">
                  <c:v>0.82017700000000004</c:v>
                </c:pt>
                <c:pt idx="1982">
                  <c:v>0.82011999999999996</c:v>
                </c:pt>
                <c:pt idx="1983">
                  <c:v>0.82006299999999999</c:v>
                </c:pt>
                <c:pt idx="1984">
                  <c:v>0.82000700000000004</c:v>
                </c:pt>
                <c:pt idx="1985">
                  <c:v>0.81995200000000001</c:v>
                </c:pt>
                <c:pt idx="1986">
                  <c:v>0.81989800000000002</c:v>
                </c:pt>
                <c:pt idx="1987">
                  <c:v>0.81984599999999996</c:v>
                </c:pt>
                <c:pt idx="1988">
                  <c:v>0.81979400000000002</c:v>
                </c:pt>
                <c:pt idx="1989">
                  <c:v>0.81974400000000003</c:v>
                </c:pt>
                <c:pt idx="1990">
                  <c:v>0.81969499999999995</c:v>
                </c:pt>
                <c:pt idx="1991">
                  <c:v>0.81964899999999996</c:v>
                </c:pt>
                <c:pt idx="1992">
                  <c:v>0.819604</c:v>
                </c:pt>
                <c:pt idx="1993">
                  <c:v>0.81955999999999996</c:v>
                </c:pt>
                <c:pt idx="1994">
                  <c:v>0.819519</c:v>
                </c:pt>
                <c:pt idx="1995">
                  <c:v>0.81947999999999999</c:v>
                </c:pt>
                <c:pt idx="1996">
                  <c:v>0.819442</c:v>
                </c:pt>
                <c:pt idx="1997">
                  <c:v>0.81940599999999997</c:v>
                </c:pt>
                <c:pt idx="1998">
                  <c:v>0.81937300000000002</c:v>
                </c:pt>
                <c:pt idx="1999">
                  <c:v>0.81934099999999999</c:v>
                </c:pt>
                <c:pt idx="2000">
                  <c:v>0.81931200000000004</c:v>
                </c:pt>
                <c:pt idx="2001">
                  <c:v>0.81928400000000001</c:v>
                </c:pt>
                <c:pt idx="2002">
                  <c:v>0.81926200000000005</c:v>
                </c:pt>
              </c:numCache>
            </c:numRef>
          </c:yVal>
          <c:smooth val="0"/>
          <c:extLst>
            <c:ext xmlns:c16="http://schemas.microsoft.com/office/drawing/2014/chart" uri="{C3380CC4-5D6E-409C-BE32-E72D297353CC}">
              <c16:uniqueId val="{00000002-278F-4872-BAA2-25D7FE0BC8AA}"/>
            </c:ext>
          </c:extLst>
        </c:ser>
        <c:ser>
          <c:idx val="3"/>
          <c:order val="3"/>
          <c:tx>
            <c:strRef>
              <c:f>'[base plot data.xlsx]Sheet3'!$E$2</c:f>
              <c:strCache>
                <c:ptCount val="1"/>
                <c:pt idx="0">
                  <c:v>LG(a)</c:v>
                </c:pt>
              </c:strCache>
            </c:strRef>
          </c:tx>
          <c:spPr>
            <a:ln w="12700" cap="rnd">
              <a:solidFill>
                <a:srgbClr val="7030A0"/>
              </a:solidFill>
              <a:round/>
            </a:ln>
            <a:effectLst/>
          </c:spPr>
          <c:marker>
            <c:symbol val="none"/>
          </c:marker>
          <c:xVal>
            <c:numRef>
              <c:f>'[base plot data.xlsx]Sheet3'!$A$3:$A$2005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'[base plot data.xlsx]Sheet3'!$E$3:$E$2005</c:f>
              <c:numCache>
                <c:formatCode>General</c:formatCode>
                <c:ptCount val="2003"/>
                <c:pt idx="0">
                  <c:v>0.81904299999999997</c:v>
                </c:pt>
                <c:pt idx="1">
                  <c:v>0.81904299999999997</c:v>
                </c:pt>
                <c:pt idx="2">
                  <c:v>0.81904299999999997</c:v>
                </c:pt>
                <c:pt idx="3">
                  <c:v>0.81904299999999997</c:v>
                </c:pt>
                <c:pt idx="4">
                  <c:v>0.81904299999999997</c:v>
                </c:pt>
                <c:pt idx="5">
                  <c:v>0.81904299999999997</c:v>
                </c:pt>
                <c:pt idx="6">
                  <c:v>0.81904299999999997</c:v>
                </c:pt>
                <c:pt idx="7">
                  <c:v>0.81904299999999997</c:v>
                </c:pt>
                <c:pt idx="8">
                  <c:v>0.81904299999999997</c:v>
                </c:pt>
                <c:pt idx="9">
                  <c:v>0.81904299999999997</c:v>
                </c:pt>
                <c:pt idx="10">
                  <c:v>0.81904299999999997</c:v>
                </c:pt>
                <c:pt idx="11">
                  <c:v>0.81904299999999997</c:v>
                </c:pt>
                <c:pt idx="12">
                  <c:v>0.81904299999999997</c:v>
                </c:pt>
                <c:pt idx="13">
                  <c:v>0.81904299999999997</c:v>
                </c:pt>
                <c:pt idx="14">
                  <c:v>0.81904299999999997</c:v>
                </c:pt>
                <c:pt idx="15">
                  <c:v>0.81904299999999997</c:v>
                </c:pt>
                <c:pt idx="16">
                  <c:v>0.81904299999999997</c:v>
                </c:pt>
                <c:pt idx="17">
                  <c:v>0.81904299999999997</c:v>
                </c:pt>
                <c:pt idx="18">
                  <c:v>0.81904299999999997</c:v>
                </c:pt>
                <c:pt idx="19">
                  <c:v>0.81904299999999997</c:v>
                </c:pt>
                <c:pt idx="20">
                  <c:v>0.81904299999999997</c:v>
                </c:pt>
                <c:pt idx="21">
                  <c:v>0.81904299999999997</c:v>
                </c:pt>
                <c:pt idx="22">
                  <c:v>0.81904299999999997</c:v>
                </c:pt>
                <c:pt idx="23">
                  <c:v>0.81904299999999997</c:v>
                </c:pt>
                <c:pt idx="24">
                  <c:v>0.81904299999999997</c:v>
                </c:pt>
                <c:pt idx="25">
                  <c:v>0.81904299999999997</c:v>
                </c:pt>
                <c:pt idx="26">
                  <c:v>0.81904299999999997</c:v>
                </c:pt>
                <c:pt idx="27">
                  <c:v>0.81904299999999997</c:v>
                </c:pt>
                <c:pt idx="28">
                  <c:v>0.81904299999999997</c:v>
                </c:pt>
                <c:pt idx="29">
                  <c:v>0.81904299999999997</c:v>
                </c:pt>
                <c:pt idx="30">
                  <c:v>0.81904299999999997</c:v>
                </c:pt>
                <c:pt idx="31">
                  <c:v>0.81904299999999997</c:v>
                </c:pt>
                <c:pt idx="32">
                  <c:v>0.81904299999999997</c:v>
                </c:pt>
                <c:pt idx="33">
                  <c:v>0.81904299999999997</c:v>
                </c:pt>
                <c:pt idx="34">
                  <c:v>0.81904299999999997</c:v>
                </c:pt>
                <c:pt idx="35">
                  <c:v>0.81904299999999997</c:v>
                </c:pt>
                <c:pt idx="36">
                  <c:v>0.81904299999999997</c:v>
                </c:pt>
                <c:pt idx="37">
                  <c:v>0.81904299999999997</c:v>
                </c:pt>
                <c:pt idx="38">
                  <c:v>0.81904299999999997</c:v>
                </c:pt>
                <c:pt idx="39">
                  <c:v>0.81904299999999997</c:v>
                </c:pt>
                <c:pt idx="40">
                  <c:v>0.81904299999999997</c:v>
                </c:pt>
                <c:pt idx="41">
                  <c:v>0.81904299999999997</c:v>
                </c:pt>
                <c:pt idx="42">
                  <c:v>0.81904299999999997</c:v>
                </c:pt>
                <c:pt idx="43">
                  <c:v>0.81904299999999997</c:v>
                </c:pt>
                <c:pt idx="44">
                  <c:v>0.81904299999999997</c:v>
                </c:pt>
                <c:pt idx="45">
                  <c:v>0.81904299999999997</c:v>
                </c:pt>
                <c:pt idx="46">
                  <c:v>0.81904299999999997</c:v>
                </c:pt>
                <c:pt idx="47">
                  <c:v>0.81904299999999997</c:v>
                </c:pt>
                <c:pt idx="48">
                  <c:v>0.81904299999999997</c:v>
                </c:pt>
                <c:pt idx="49">
                  <c:v>0.81904299999999997</c:v>
                </c:pt>
                <c:pt idx="50">
                  <c:v>0.81904299999999997</c:v>
                </c:pt>
                <c:pt idx="51">
                  <c:v>0.81904299999999997</c:v>
                </c:pt>
                <c:pt idx="52">
                  <c:v>0.81904299999999997</c:v>
                </c:pt>
                <c:pt idx="53">
                  <c:v>0.81904299999999997</c:v>
                </c:pt>
                <c:pt idx="54">
                  <c:v>0.81904299999999997</c:v>
                </c:pt>
                <c:pt idx="55">
                  <c:v>0.81904299999999997</c:v>
                </c:pt>
                <c:pt idx="56">
                  <c:v>0.81904299999999997</c:v>
                </c:pt>
                <c:pt idx="57">
                  <c:v>0.81904299999999997</c:v>
                </c:pt>
                <c:pt idx="58">
                  <c:v>0.81904299999999997</c:v>
                </c:pt>
                <c:pt idx="59">
                  <c:v>0.81904299999999997</c:v>
                </c:pt>
                <c:pt idx="60">
                  <c:v>0.81904299999999997</c:v>
                </c:pt>
                <c:pt idx="61">
                  <c:v>0.81904299999999997</c:v>
                </c:pt>
                <c:pt idx="62">
                  <c:v>0.81904299999999997</c:v>
                </c:pt>
                <c:pt idx="63">
                  <c:v>0.81904299999999997</c:v>
                </c:pt>
                <c:pt idx="64">
                  <c:v>0.81904299999999997</c:v>
                </c:pt>
                <c:pt idx="65">
                  <c:v>0.81904299999999997</c:v>
                </c:pt>
                <c:pt idx="66">
                  <c:v>0.81904299999999997</c:v>
                </c:pt>
                <c:pt idx="67">
                  <c:v>0.81904299999999997</c:v>
                </c:pt>
                <c:pt idx="68">
                  <c:v>0.81904299999999997</c:v>
                </c:pt>
                <c:pt idx="69">
                  <c:v>0.81904299999999997</c:v>
                </c:pt>
                <c:pt idx="70">
                  <c:v>0.81904299999999997</c:v>
                </c:pt>
                <c:pt idx="71">
                  <c:v>0.81904299999999997</c:v>
                </c:pt>
                <c:pt idx="72">
                  <c:v>0.81904299999999997</c:v>
                </c:pt>
                <c:pt idx="73">
                  <c:v>0.81904299999999997</c:v>
                </c:pt>
                <c:pt idx="74">
                  <c:v>0.81904299999999997</c:v>
                </c:pt>
                <c:pt idx="75">
                  <c:v>0.81904299999999997</c:v>
                </c:pt>
                <c:pt idx="76">
                  <c:v>0.81904299999999997</c:v>
                </c:pt>
                <c:pt idx="77">
                  <c:v>0.81904299999999997</c:v>
                </c:pt>
                <c:pt idx="78">
                  <c:v>0.81904299999999997</c:v>
                </c:pt>
                <c:pt idx="79">
                  <c:v>0.81904299999999997</c:v>
                </c:pt>
                <c:pt idx="80">
                  <c:v>0.81904299999999997</c:v>
                </c:pt>
                <c:pt idx="81">
                  <c:v>0.81904299999999997</c:v>
                </c:pt>
                <c:pt idx="82">
                  <c:v>0.81904299999999997</c:v>
                </c:pt>
                <c:pt idx="83">
                  <c:v>0.81904299999999997</c:v>
                </c:pt>
                <c:pt idx="84">
                  <c:v>0.81904299999999997</c:v>
                </c:pt>
                <c:pt idx="85">
                  <c:v>0.81904299999999997</c:v>
                </c:pt>
                <c:pt idx="86">
                  <c:v>0.81904299999999997</c:v>
                </c:pt>
                <c:pt idx="87">
                  <c:v>0.81904299999999997</c:v>
                </c:pt>
                <c:pt idx="88">
                  <c:v>0.81904299999999997</c:v>
                </c:pt>
                <c:pt idx="89">
                  <c:v>0.81904299999999997</c:v>
                </c:pt>
                <c:pt idx="90">
                  <c:v>0.81904299999999997</c:v>
                </c:pt>
                <c:pt idx="91">
                  <c:v>0.81904299999999997</c:v>
                </c:pt>
                <c:pt idx="92">
                  <c:v>0.81904299999999997</c:v>
                </c:pt>
                <c:pt idx="93">
                  <c:v>0.81904299999999997</c:v>
                </c:pt>
                <c:pt idx="94">
                  <c:v>0.81904299999999997</c:v>
                </c:pt>
                <c:pt idx="95">
                  <c:v>0.81904299999999997</c:v>
                </c:pt>
                <c:pt idx="96">
                  <c:v>0.81904299999999997</c:v>
                </c:pt>
                <c:pt idx="97">
                  <c:v>0.81904299999999997</c:v>
                </c:pt>
                <c:pt idx="98">
                  <c:v>0.81904299999999997</c:v>
                </c:pt>
                <c:pt idx="99">
                  <c:v>0.81904299999999997</c:v>
                </c:pt>
                <c:pt idx="100">
                  <c:v>0.81904299999999997</c:v>
                </c:pt>
                <c:pt idx="101">
                  <c:v>0.81904299999999997</c:v>
                </c:pt>
                <c:pt idx="102">
                  <c:v>0.81904299999999997</c:v>
                </c:pt>
                <c:pt idx="103">
                  <c:v>0.81904299999999997</c:v>
                </c:pt>
                <c:pt idx="104">
                  <c:v>0.81904299999999997</c:v>
                </c:pt>
                <c:pt idx="105">
                  <c:v>0.81904299999999997</c:v>
                </c:pt>
                <c:pt idx="106">
                  <c:v>0.81904299999999997</c:v>
                </c:pt>
                <c:pt idx="107">
                  <c:v>0.81904299999999997</c:v>
                </c:pt>
                <c:pt idx="108">
                  <c:v>0.81904299999999997</c:v>
                </c:pt>
                <c:pt idx="109">
                  <c:v>0.81904299999999997</c:v>
                </c:pt>
                <c:pt idx="110">
                  <c:v>0.81904299999999997</c:v>
                </c:pt>
                <c:pt idx="111">
                  <c:v>0.81904299999999997</c:v>
                </c:pt>
                <c:pt idx="112">
                  <c:v>0.81904299999999997</c:v>
                </c:pt>
                <c:pt idx="113">
                  <c:v>0.81904299999999997</c:v>
                </c:pt>
                <c:pt idx="114">
                  <c:v>0.81904299999999997</c:v>
                </c:pt>
                <c:pt idx="115">
                  <c:v>0.81904299999999997</c:v>
                </c:pt>
                <c:pt idx="116">
                  <c:v>0.81904299999999997</c:v>
                </c:pt>
                <c:pt idx="117">
                  <c:v>0.81904299999999997</c:v>
                </c:pt>
                <c:pt idx="118">
                  <c:v>0.81904299999999997</c:v>
                </c:pt>
                <c:pt idx="119">
                  <c:v>0.81904299999999997</c:v>
                </c:pt>
                <c:pt idx="120">
                  <c:v>0.81904299999999997</c:v>
                </c:pt>
                <c:pt idx="121">
                  <c:v>0.81904299999999997</c:v>
                </c:pt>
                <c:pt idx="122">
                  <c:v>0.81904299999999997</c:v>
                </c:pt>
                <c:pt idx="123">
                  <c:v>0.81904299999999997</c:v>
                </c:pt>
                <c:pt idx="124">
                  <c:v>0.81904299999999997</c:v>
                </c:pt>
                <c:pt idx="125">
                  <c:v>0.81904299999999997</c:v>
                </c:pt>
                <c:pt idx="126">
                  <c:v>0.81904299999999997</c:v>
                </c:pt>
                <c:pt idx="127">
                  <c:v>0.81904299999999997</c:v>
                </c:pt>
                <c:pt idx="128">
                  <c:v>0.81904299999999997</c:v>
                </c:pt>
                <c:pt idx="129">
                  <c:v>0.81904299999999997</c:v>
                </c:pt>
                <c:pt idx="130">
                  <c:v>0.81904299999999997</c:v>
                </c:pt>
                <c:pt idx="131">
                  <c:v>0.81904299999999997</c:v>
                </c:pt>
                <c:pt idx="132">
                  <c:v>0.81904299999999997</c:v>
                </c:pt>
                <c:pt idx="133">
                  <c:v>0.81904299999999997</c:v>
                </c:pt>
                <c:pt idx="134">
                  <c:v>0.81904299999999997</c:v>
                </c:pt>
                <c:pt idx="135">
                  <c:v>0.81904299999999997</c:v>
                </c:pt>
                <c:pt idx="136">
                  <c:v>0.81904299999999997</c:v>
                </c:pt>
                <c:pt idx="137">
                  <c:v>0.81904299999999997</c:v>
                </c:pt>
                <c:pt idx="138">
                  <c:v>0.81904299999999997</c:v>
                </c:pt>
                <c:pt idx="139">
                  <c:v>0.81904299999999997</c:v>
                </c:pt>
                <c:pt idx="140">
                  <c:v>0.81904299999999997</c:v>
                </c:pt>
                <c:pt idx="141">
                  <c:v>0.81904299999999997</c:v>
                </c:pt>
                <c:pt idx="142">
                  <c:v>0.81904299999999997</c:v>
                </c:pt>
                <c:pt idx="143">
                  <c:v>0.81904299999999997</c:v>
                </c:pt>
                <c:pt idx="144">
                  <c:v>0.81904299999999997</c:v>
                </c:pt>
                <c:pt idx="145">
                  <c:v>0.81904299999999997</c:v>
                </c:pt>
                <c:pt idx="146">
                  <c:v>0.81904299999999997</c:v>
                </c:pt>
                <c:pt idx="147">
                  <c:v>0.81904299999999997</c:v>
                </c:pt>
                <c:pt idx="148">
                  <c:v>0.81904299999999997</c:v>
                </c:pt>
                <c:pt idx="149">
                  <c:v>0.81904299999999997</c:v>
                </c:pt>
                <c:pt idx="150">
                  <c:v>0.81904299999999997</c:v>
                </c:pt>
                <c:pt idx="151">
                  <c:v>0.81904299999999997</c:v>
                </c:pt>
                <c:pt idx="152">
                  <c:v>0.81904299999999997</c:v>
                </c:pt>
                <c:pt idx="153">
                  <c:v>0.81904299999999997</c:v>
                </c:pt>
                <c:pt idx="154">
                  <c:v>0.81904299999999997</c:v>
                </c:pt>
                <c:pt idx="155">
                  <c:v>0.81904299999999997</c:v>
                </c:pt>
                <c:pt idx="156">
                  <c:v>0.81904299999999997</c:v>
                </c:pt>
                <c:pt idx="157">
                  <c:v>0.81904299999999997</c:v>
                </c:pt>
                <c:pt idx="158">
                  <c:v>0.81904299999999997</c:v>
                </c:pt>
                <c:pt idx="159">
                  <c:v>0.81904299999999997</c:v>
                </c:pt>
                <c:pt idx="160">
                  <c:v>0.81904299999999997</c:v>
                </c:pt>
                <c:pt idx="161">
                  <c:v>0.81904299999999997</c:v>
                </c:pt>
                <c:pt idx="162">
                  <c:v>0.81904299999999997</c:v>
                </c:pt>
                <c:pt idx="163">
                  <c:v>0.81904299999999997</c:v>
                </c:pt>
                <c:pt idx="164">
                  <c:v>0.81904299999999997</c:v>
                </c:pt>
                <c:pt idx="165">
                  <c:v>0.81904299999999997</c:v>
                </c:pt>
                <c:pt idx="166">
                  <c:v>0.81904299999999997</c:v>
                </c:pt>
                <c:pt idx="167">
                  <c:v>0.81904299999999997</c:v>
                </c:pt>
                <c:pt idx="168">
                  <c:v>0.81904299999999997</c:v>
                </c:pt>
                <c:pt idx="169">
                  <c:v>0.81904299999999997</c:v>
                </c:pt>
                <c:pt idx="170">
                  <c:v>0.81904299999999997</c:v>
                </c:pt>
                <c:pt idx="171">
                  <c:v>0.81904299999999997</c:v>
                </c:pt>
                <c:pt idx="172">
                  <c:v>0.81904299999999997</c:v>
                </c:pt>
                <c:pt idx="173">
                  <c:v>0.81904299999999997</c:v>
                </c:pt>
                <c:pt idx="174">
                  <c:v>0.81904299999999997</c:v>
                </c:pt>
                <c:pt idx="175">
                  <c:v>0.81904299999999997</c:v>
                </c:pt>
                <c:pt idx="176">
                  <c:v>0.81904299999999997</c:v>
                </c:pt>
                <c:pt idx="177">
                  <c:v>0.81904299999999997</c:v>
                </c:pt>
                <c:pt idx="178">
                  <c:v>0.81904299999999997</c:v>
                </c:pt>
                <c:pt idx="179">
                  <c:v>0.81904299999999997</c:v>
                </c:pt>
                <c:pt idx="180">
                  <c:v>0.81904299999999997</c:v>
                </c:pt>
                <c:pt idx="181">
                  <c:v>0.81904299999999997</c:v>
                </c:pt>
                <c:pt idx="182">
                  <c:v>0.81904299999999997</c:v>
                </c:pt>
                <c:pt idx="183">
                  <c:v>0.81904299999999997</c:v>
                </c:pt>
                <c:pt idx="184">
                  <c:v>0.81904299999999997</c:v>
                </c:pt>
                <c:pt idx="185">
                  <c:v>0.81904299999999997</c:v>
                </c:pt>
                <c:pt idx="186">
                  <c:v>0.81904299999999997</c:v>
                </c:pt>
                <c:pt idx="187">
                  <c:v>0.81904299999999997</c:v>
                </c:pt>
                <c:pt idx="188">
                  <c:v>0.81904299999999997</c:v>
                </c:pt>
                <c:pt idx="189">
                  <c:v>0.81904299999999997</c:v>
                </c:pt>
                <c:pt idx="190">
                  <c:v>0.81904299999999997</c:v>
                </c:pt>
                <c:pt idx="191">
                  <c:v>0.81904299999999997</c:v>
                </c:pt>
                <c:pt idx="192">
                  <c:v>0.81904299999999997</c:v>
                </c:pt>
                <c:pt idx="193">
                  <c:v>0.81904299999999997</c:v>
                </c:pt>
                <c:pt idx="194">
                  <c:v>0.81904299999999997</c:v>
                </c:pt>
                <c:pt idx="195">
                  <c:v>0.81904299999999997</c:v>
                </c:pt>
                <c:pt idx="196">
                  <c:v>0.81904299999999997</c:v>
                </c:pt>
                <c:pt idx="197">
                  <c:v>0.81904299999999997</c:v>
                </c:pt>
                <c:pt idx="198">
                  <c:v>0.81904299999999997</c:v>
                </c:pt>
                <c:pt idx="199">
                  <c:v>0.81904299999999997</c:v>
                </c:pt>
                <c:pt idx="200">
                  <c:v>0.81904299999999997</c:v>
                </c:pt>
                <c:pt idx="201">
                  <c:v>3.655268</c:v>
                </c:pt>
                <c:pt idx="202">
                  <c:v>3.712018</c:v>
                </c:pt>
                <c:pt idx="203">
                  <c:v>3.7729539999999999</c:v>
                </c:pt>
                <c:pt idx="204">
                  <c:v>3.8091699999999999</c:v>
                </c:pt>
                <c:pt idx="205">
                  <c:v>3.8325119999999999</c:v>
                </c:pt>
                <c:pt idx="206">
                  <c:v>3.8482880000000002</c:v>
                </c:pt>
                <c:pt idx="207">
                  <c:v>3.8597570000000001</c:v>
                </c:pt>
                <c:pt idx="208">
                  <c:v>3.8683709999999998</c:v>
                </c:pt>
                <c:pt idx="209">
                  <c:v>3.8749989999999999</c:v>
                </c:pt>
                <c:pt idx="210">
                  <c:v>3.8801899999999998</c:v>
                </c:pt>
                <c:pt idx="211">
                  <c:v>3.8836580000000001</c:v>
                </c:pt>
                <c:pt idx="212">
                  <c:v>0.81130500000000005</c:v>
                </c:pt>
                <c:pt idx="213">
                  <c:v>0.81294699999999998</c:v>
                </c:pt>
                <c:pt idx="214">
                  <c:v>0.81269599999999997</c:v>
                </c:pt>
                <c:pt idx="215">
                  <c:v>0.808388</c:v>
                </c:pt>
                <c:pt idx="216">
                  <c:v>0.80212399999999995</c:v>
                </c:pt>
                <c:pt idx="217">
                  <c:v>0.79500099999999996</c:v>
                </c:pt>
                <c:pt idx="218">
                  <c:v>0.78775799999999996</c:v>
                </c:pt>
                <c:pt idx="219">
                  <c:v>0.78067500000000001</c:v>
                </c:pt>
                <c:pt idx="220">
                  <c:v>0.77389699999999995</c:v>
                </c:pt>
                <c:pt idx="221">
                  <c:v>0.76751800000000003</c:v>
                </c:pt>
                <c:pt idx="222">
                  <c:v>0.76153300000000002</c:v>
                </c:pt>
                <c:pt idx="223">
                  <c:v>0.75597499999999995</c:v>
                </c:pt>
                <c:pt idx="224">
                  <c:v>0.75085000000000002</c:v>
                </c:pt>
                <c:pt idx="225">
                  <c:v>0.74615799999999999</c:v>
                </c:pt>
                <c:pt idx="226">
                  <c:v>0.741896</c:v>
                </c:pt>
                <c:pt idx="227">
                  <c:v>0.73805900000000002</c:v>
                </c:pt>
                <c:pt idx="228">
                  <c:v>0.73441599999999996</c:v>
                </c:pt>
                <c:pt idx="229">
                  <c:v>0.73148000000000002</c:v>
                </c:pt>
                <c:pt idx="230">
                  <c:v>0.72891700000000004</c:v>
                </c:pt>
                <c:pt idx="231">
                  <c:v>0.72676200000000002</c:v>
                </c:pt>
                <c:pt idx="232">
                  <c:v>0.72500200000000004</c:v>
                </c:pt>
                <c:pt idx="233">
                  <c:v>0.72363599999999995</c:v>
                </c:pt>
                <c:pt idx="234">
                  <c:v>0.72265699999999999</c:v>
                </c:pt>
                <c:pt idx="235">
                  <c:v>0.72206099999999995</c:v>
                </c:pt>
                <c:pt idx="236">
                  <c:v>0.72184000000000004</c:v>
                </c:pt>
                <c:pt idx="237">
                  <c:v>0.72198799999999996</c:v>
                </c:pt>
                <c:pt idx="238">
                  <c:v>0.72249699999999994</c:v>
                </c:pt>
                <c:pt idx="239">
                  <c:v>0.72335799999999995</c:v>
                </c:pt>
                <c:pt idx="240">
                  <c:v>0.72456299999999996</c:v>
                </c:pt>
                <c:pt idx="241">
                  <c:v>0.72609999999999997</c:v>
                </c:pt>
                <c:pt idx="242">
                  <c:v>0.72795799999999999</c:v>
                </c:pt>
                <c:pt idx="243">
                  <c:v>0.73012600000000005</c:v>
                </c:pt>
                <c:pt idx="244">
                  <c:v>0.73258900000000005</c:v>
                </c:pt>
                <c:pt idx="245">
                  <c:v>0.73533300000000001</c:v>
                </c:pt>
                <c:pt idx="246">
                  <c:v>0.738344</c:v>
                </c:pt>
                <c:pt idx="247">
                  <c:v>0.74160499999999996</c:v>
                </c:pt>
                <c:pt idx="248">
                  <c:v>0.74509999999999998</c:v>
                </c:pt>
                <c:pt idx="249">
                  <c:v>0.74880999999999998</c:v>
                </c:pt>
                <c:pt idx="250">
                  <c:v>0.752718</c:v>
                </c:pt>
                <c:pt idx="251">
                  <c:v>0.75680400000000003</c:v>
                </c:pt>
                <c:pt idx="252">
                  <c:v>0.76104899999999998</c:v>
                </c:pt>
                <c:pt idx="253">
                  <c:v>0.76543399999999995</c:v>
                </c:pt>
                <c:pt idx="254">
                  <c:v>0.76993599999999995</c:v>
                </c:pt>
                <c:pt idx="255">
                  <c:v>0.77453700000000003</c:v>
                </c:pt>
                <c:pt idx="256">
                  <c:v>0.77921499999999999</c:v>
                </c:pt>
                <c:pt idx="257">
                  <c:v>0.78394900000000001</c:v>
                </c:pt>
                <c:pt idx="258">
                  <c:v>0.78871800000000003</c:v>
                </c:pt>
                <c:pt idx="259">
                  <c:v>0.79350100000000001</c:v>
                </c:pt>
                <c:pt idx="260">
                  <c:v>0.79827899999999996</c:v>
                </c:pt>
                <c:pt idx="261">
                  <c:v>0.80302899999999999</c:v>
                </c:pt>
                <c:pt idx="262">
                  <c:v>0.80773300000000003</c:v>
                </c:pt>
                <c:pt idx="263">
                  <c:v>0.81237099999999995</c:v>
                </c:pt>
                <c:pt idx="264">
                  <c:v>0.81692500000000001</c:v>
                </c:pt>
                <c:pt idx="265">
                  <c:v>0.821376</c:v>
                </c:pt>
                <c:pt idx="266">
                  <c:v>0.825708</c:v>
                </c:pt>
                <c:pt idx="267">
                  <c:v>0.82990299999999995</c:v>
                </c:pt>
                <c:pt idx="268">
                  <c:v>0.83394800000000002</c:v>
                </c:pt>
                <c:pt idx="269">
                  <c:v>0.83782699999999999</c:v>
                </c:pt>
                <c:pt idx="270">
                  <c:v>0.84152899999999997</c:v>
                </c:pt>
                <c:pt idx="271">
                  <c:v>0.84504000000000001</c:v>
                </c:pt>
                <c:pt idx="272">
                  <c:v>0.84835099999999997</c:v>
                </c:pt>
                <c:pt idx="273">
                  <c:v>0.85145199999999999</c:v>
                </c:pt>
                <c:pt idx="274">
                  <c:v>0.85433499999999996</c:v>
                </c:pt>
                <c:pt idx="275">
                  <c:v>0.85699499999999995</c:v>
                </c:pt>
                <c:pt idx="276">
                  <c:v>0.85942600000000002</c:v>
                </c:pt>
                <c:pt idx="277">
                  <c:v>0.86162399999999995</c:v>
                </c:pt>
                <c:pt idx="278">
                  <c:v>0.86358800000000002</c:v>
                </c:pt>
                <c:pt idx="279">
                  <c:v>0.86531599999999997</c:v>
                </c:pt>
                <c:pt idx="280">
                  <c:v>0.86680999999999997</c:v>
                </c:pt>
                <c:pt idx="281">
                  <c:v>0.86807100000000004</c:v>
                </c:pt>
                <c:pt idx="282">
                  <c:v>0.86910299999999996</c:v>
                </c:pt>
                <c:pt idx="283">
                  <c:v>0.86990999999999996</c:v>
                </c:pt>
                <c:pt idx="284">
                  <c:v>0.87049900000000002</c:v>
                </c:pt>
                <c:pt idx="285">
                  <c:v>0.87087599999999998</c:v>
                </c:pt>
                <c:pt idx="286">
                  <c:v>0.87104999999999999</c:v>
                </c:pt>
                <c:pt idx="287">
                  <c:v>0.871031</c:v>
                </c:pt>
                <c:pt idx="288">
                  <c:v>0.87082700000000002</c:v>
                </c:pt>
                <c:pt idx="289">
                  <c:v>0.87045099999999997</c:v>
                </c:pt>
                <c:pt idx="290">
                  <c:v>0.86991399999999997</c:v>
                </c:pt>
                <c:pt idx="291">
                  <c:v>0.86922999999999995</c:v>
                </c:pt>
                <c:pt idx="292">
                  <c:v>0.86841000000000002</c:v>
                </c:pt>
                <c:pt idx="293">
                  <c:v>0.86746999999999996</c:v>
                </c:pt>
                <c:pt idx="294">
                  <c:v>0.86642300000000005</c:v>
                </c:pt>
                <c:pt idx="295">
                  <c:v>0.86528300000000002</c:v>
                </c:pt>
                <c:pt idx="296">
                  <c:v>0.864066</c:v>
                </c:pt>
                <c:pt idx="297">
                  <c:v>0.86278500000000002</c:v>
                </c:pt>
                <c:pt idx="298">
                  <c:v>0.861456</c:v>
                </c:pt>
                <c:pt idx="299">
                  <c:v>0.86009400000000003</c:v>
                </c:pt>
                <c:pt idx="300">
                  <c:v>0.85871200000000003</c:v>
                </c:pt>
                <c:pt idx="301">
                  <c:v>0.857325</c:v>
                </c:pt>
                <c:pt idx="302">
                  <c:v>0.85594599999999998</c:v>
                </c:pt>
                <c:pt idx="303">
                  <c:v>0.85458999999999996</c:v>
                </c:pt>
                <c:pt idx="304">
                  <c:v>0.85326900000000006</c:v>
                </c:pt>
                <c:pt idx="305">
                  <c:v>0.85199400000000003</c:v>
                </c:pt>
                <c:pt idx="306">
                  <c:v>0.85077800000000003</c:v>
                </c:pt>
                <c:pt idx="307">
                  <c:v>0.84963200000000005</c:v>
                </c:pt>
                <c:pt idx="308">
                  <c:v>0.84856500000000001</c:v>
                </c:pt>
                <c:pt idx="309">
                  <c:v>0.84758699999999998</c:v>
                </c:pt>
                <c:pt idx="310">
                  <c:v>0.84670599999999996</c:v>
                </c:pt>
                <c:pt idx="311">
                  <c:v>0.84592999999999996</c:v>
                </c:pt>
                <c:pt idx="312">
                  <c:v>0.84526400000000002</c:v>
                </c:pt>
                <c:pt idx="313">
                  <c:v>0.84471399999999996</c:v>
                </c:pt>
                <c:pt idx="314">
                  <c:v>0.84428599999999998</c:v>
                </c:pt>
                <c:pt idx="315">
                  <c:v>0.84398200000000001</c:v>
                </c:pt>
                <c:pt idx="316">
                  <c:v>0.843804</c:v>
                </c:pt>
                <c:pt idx="317">
                  <c:v>0.84375500000000003</c:v>
                </c:pt>
                <c:pt idx="318">
                  <c:v>0.843835</c:v>
                </c:pt>
                <c:pt idx="319">
                  <c:v>0.84404299999999999</c:v>
                </c:pt>
                <c:pt idx="320">
                  <c:v>0.84437700000000004</c:v>
                </c:pt>
                <c:pt idx="321">
                  <c:v>0.84483600000000003</c:v>
                </c:pt>
                <c:pt idx="322">
                  <c:v>0.84541599999999995</c:v>
                </c:pt>
                <c:pt idx="323">
                  <c:v>0.84611199999999998</c:v>
                </c:pt>
                <c:pt idx="324">
                  <c:v>0.84692000000000001</c:v>
                </c:pt>
                <c:pt idx="325">
                  <c:v>0.84783200000000003</c:v>
                </c:pt>
                <c:pt idx="326">
                  <c:v>0.84884400000000004</c:v>
                </c:pt>
                <c:pt idx="327">
                  <c:v>0.84994700000000001</c:v>
                </c:pt>
                <c:pt idx="328">
                  <c:v>0.851132</c:v>
                </c:pt>
                <c:pt idx="329">
                  <c:v>0.85239200000000004</c:v>
                </c:pt>
                <c:pt idx="330">
                  <c:v>0.85371699999999995</c:v>
                </c:pt>
                <c:pt idx="331">
                  <c:v>0.855097</c:v>
                </c:pt>
                <c:pt idx="332">
                  <c:v>0.85652099999999998</c:v>
                </c:pt>
                <c:pt idx="333">
                  <c:v>0.85797999999999996</c:v>
                </c:pt>
                <c:pt idx="334">
                  <c:v>0.85946100000000003</c:v>
                </c:pt>
                <c:pt idx="335">
                  <c:v>0.86095500000000003</c:v>
                </c:pt>
                <c:pt idx="336">
                  <c:v>0.86244900000000002</c:v>
                </c:pt>
                <c:pt idx="337">
                  <c:v>0.86393200000000003</c:v>
                </c:pt>
                <c:pt idx="338">
                  <c:v>0.86539299999999997</c:v>
                </c:pt>
                <c:pt idx="339">
                  <c:v>0.86682000000000003</c:v>
                </c:pt>
                <c:pt idx="340">
                  <c:v>0.86820200000000003</c:v>
                </c:pt>
                <c:pt idx="341">
                  <c:v>0.86952799999999997</c:v>
                </c:pt>
                <c:pt idx="342">
                  <c:v>0.87078699999999998</c:v>
                </c:pt>
                <c:pt idx="343">
                  <c:v>0.87196799999999997</c:v>
                </c:pt>
                <c:pt idx="344">
                  <c:v>0.873062</c:v>
                </c:pt>
                <c:pt idx="345">
                  <c:v>0.874058</c:v>
                </c:pt>
                <c:pt idx="346">
                  <c:v>0.87494700000000003</c:v>
                </c:pt>
                <c:pt idx="347">
                  <c:v>0.87572099999999997</c:v>
                </c:pt>
                <c:pt idx="348">
                  <c:v>0.87637100000000001</c:v>
                </c:pt>
                <c:pt idx="349">
                  <c:v>0.87689099999999998</c:v>
                </c:pt>
                <c:pt idx="350">
                  <c:v>0.87727200000000005</c:v>
                </c:pt>
                <c:pt idx="351">
                  <c:v>0.87751000000000001</c:v>
                </c:pt>
                <c:pt idx="352">
                  <c:v>0.87759900000000002</c:v>
                </c:pt>
                <c:pt idx="353">
                  <c:v>0.87753300000000001</c:v>
                </c:pt>
                <c:pt idx="354">
                  <c:v>0.87731000000000003</c:v>
                </c:pt>
                <c:pt idx="355">
                  <c:v>0.87692599999999998</c:v>
                </c:pt>
                <c:pt idx="356">
                  <c:v>0.87638000000000005</c:v>
                </c:pt>
                <c:pt idx="357">
                  <c:v>0.87566900000000003</c:v>
                </c:pt>
                <c:pt idx="358">
                  <c:v>0.87479399999999996</c:v>
                </c:pt>
                <c:pt idx="359">
                  <c:v>0.87375499999999995</c:v>
                </c:pt>
                <c:pt idx="360">
                  <c:v>0.87255199999999999</c:v>
                </c:pt>
                <c:pt idx="361">
                  <c:v>0.87118799999999996</c:v>
                </c:pt>
                <c:pt idx="362">
                  <c:v>0.86966500000000002</c:v>
                </c:pt>
                <c:pt idx="363">
                  <c:v>0.86798699999999995</c:v>
                </c:pt>
                <c:pt idx="364">
                  <c:v>0.86615799999999998</c:v>
                </c:pt>
                <c:pt idx="365">
                  <c:v>0.86418300000000003</c:v>
                </c:pt>
                <c:pt idx="366">
                  <c:v>0.86206799999999995</c:v>
                </c:pt>
                <c:pt idx="367">
                  <c:v>0.85981799999999997</c:v>
                </c:pt>
                <c:pt idx="368">
                  <c:v>0.85744200000000004</c:v>
                </c:pt>
                <c:pt idx="369">
                  <c:v>0.85494499999999995</c:v>
                </c:pt>
                <c:pt idx="370">
                  <c:v>0.85233599999999998</c:v>
                </c:pt>
                <c:pt idx="371">
                  <c:v>0.84962400000000005</c:v>
                </c:pt>
                <c:pt idx="372">
                  <c:v>0.84681700000000004</c:v>
                </c:pt>
                <c:pt idx="373">
                  <c:v>0.84392500000000004</c:v>
                </c:pt>
                <c:pt idx="374">
                  <c:v>0.84095699999999995</c:v>
                </c:pt>
                <c:pt idx="375">
                  <c:v>0.83792299999999997</c:v>
                </c:pt>
                <c:pt idx="376">
                  <c:v>0.83483200000000002</c:v>
                </c:pt>
                <c:pt idx="377">
                  <c:v>0.83169700000000002</c:v>
                </c:pt>
                <c:pt idx="378">
                  <c:v>0.82852599999999998</c:v>
                </c:pt>
                <c:pt idx="379">
                  <c:v>0.82533000000000001</c:v>
                </c:pt>
                <c:pt idx="380">
                  <c:v>0.82212099999999999</c:v>
                </c:pt>
                <c:pt idx="381">
                  <c:v>0.81890799999999997</c:v>
                </c:pt>
                <c:pt idx="382">
                  <c:v>0.81570100000000001</c:v>
                </c:pt>
                <c:pt idx="383">
                  <c:v>0.81251200000000001</c:v>
                </c:pt>
                <c:pt idx="384">
                  <c:v>0.80935100000000004</c:v>
                </c:pt>
                <c:pt idx="385">
                  <c:v>0.80622700000000003</c:v>
                </c:pt>
                <c:pt idx="386">
                  <c:v>0.80315099999999995</c:v>
                </c:pt>
                <c:pt idx="387">
                  <c:v>0.80013100000000004</c:v>
                </c:pt>
                <c:pt idx="388">
                  <c:v>0.79717800000000005</c:v>
                </c:pt>
                <c:pt idx="389">
                  <c:v>0.79430000000000001</c:v>
                </c:pt>
                <c:pt idx="390">
                  <c:v>0.79150500000000001</c:v>
                </c:pt>
                <c:pt idx="391">
                  <c:v>0.788802</c:v>
                </c:pt>
                <c:pt idx="392">
                  <c:v>0.78619899999999998</c:v>
                </c:pt>
                <c:pt idx="393">
                  <c:v>0.78370200000000001</c:v>
                </c:pt>
                <c:pt idx="394">
                  <c:v>0.78131799999999996</c:v>
                </c:pt>
                <c:pt idx="395">
                  <c:v>0.77905400000000002</c:v>
                </c:pt>
                <c:pt idx="396">
                  <c:v>0.77691600000000005</c:v>
                </c:pt>
                <c:pt idx="397">
                  <c:v>0.77490800000000004</c:v>
                </c:pt>
                <c:pt idx="398">
                  <c:v>0.77303500000000003</c:v>
                </c:pt>
                <c:pt idx="399">
                  <c:v>0.77130100000000001</c:v>
                </c:pt>
                <c:pt idx="400">
                  <c:v>0.76971000000000001</c:v>
                </c:pt>
                <c:pt idx="401">
                  <c:v>0.76826499999999998</c:v>
                </c:pt>
                <c:pt idx="402">
                  <c:v>0.76696799999999998</c:v>
                </c:pt>
                <c:pt idx="403">
                  <c:v>0.765822</c:v>
                </c:pt>
                <c:pt idx="404">
                  <c:v>0.76482700000000003</c:v>
                </c:pt>
                <c:pt idx="405">
                  <c:v>0.76398500000000003</c:v>
                </c:pt>
                <c:pt idx="406">
                  <c:v>0.76329499999999995</c:v>
                </c:pt>
                <c:pt idx="407">
                  <c:v>0.76275800000000005</c:v>
                </c:pt>
                <c:pt idx="408">
                  <c:v>0.76237299999999997</c:v>
                </c:pt>
                <c:pt idx="409">
                  <c:v>0.76213799999999998</c:v>
                </c:pt>
                <c:pt idx="410">
                  <c:v>0.76205199999999995</c:v>
                </c:pt>
                <c:pt idx="411">
                  <c:v>0.76211300000000004</c:v>
                </c:pt>
                <c:pt idx="412">
                  <c:v>0.76231800000000005</c:v>
                </c:pt>
                <c:pt idx="413">
                  <c:v>0.76266299999999998</c:v>
                </c:pt>
                <c:pt idx="414">
                  <c:v>0.76314700000000002</c:v>
                </c:pt>
                <c:pt idx="415">
                  <c:v>0.76376500000000003</c:v>
                </c:pt>
                <c:pt idx="416">
                  <c:v>0.76451199999999997</c:v>
                </c:pt>
                <c:pt idx="417">
                  <c:v>0.76538600000000001</c:v>
                </c:pt>
                <c:pt idx="418">
                  <c:v>0.76637999999999995</c:v>
                </c:pt>
                <c:pt idx="419">
                  <c:v>0.76748899999999998</c:v>
                </c:pt>
                <c:pt idx="420">
                  <c:v>0.76871</c:v>
                </c:pt>
                <c:pt idx="421">
                  <c:v>0.77003600000000005</c:v>
                </c:pt>
                <c:pt idx="422">
                  <c:v>0.77146099999999995</c:v>
                </c:pt>
                <c:pt idx="423">
                  <c:v>0.77298</c:v>
                </c:pt>
                <c:pt idx="424">
                  <c:v>0.77458700000000003</c:v>
                </c:pt>
                <c:pt idx="425">
                  <c:v>0.77627599999999997</c:v>
                </c:pt>
                <c:pt idx="426">
                  <c:v>0.77804099999999998</c:v>
                </c:pt>
                <c:pt idx="427">
                  <c:v>0.77987499999999998</c:v>
                </c:pt>
                <c:pt idx="428">
                  <c:v>0.78177300000000005</c:v>
                </c:pt>
                <c:pt idx="429">
                  <c:v>0.78372699999999995</c:v>
                </c:pt>
                <c:pt idx="430">
                  <c:v>0.78573300000000001</c:v>
                </c:pt>
                <c:pt idx="431">
                  <c:v>0.78778300000000001</c:v>
                </c:pt>
                <c:pt idx="432">
                  <c:v>0.78987099999999999</c:v>
                </c:pt>
                <c:pt idx="433">
                  <c:v>0.791991</c:v>
                </c:pt>
                <c:pt idx="434">
                  <c:v>0.79413800000000001</c:v>
                </c:pt>
                <c:pt idx="435">
                  <c:v>0.79630400000000001</c:v>
                </c:pt>
                <c:pt idx="436">
                  <c:v>0.79848399999999997</c:v>
                </c:pt>
                <c:pt idx="437">
                  <c:v>0.80067299999999997</c:v>
                </c:pt>
                <c:pt idx="438">
                  <c:v>0.80286400000000002</c:v>
                </c:pt>
                <c:pt idx="439">
                  <c:v>0.80505199999999999</c:v>
                </c:pt>
                <c:pt idx="440">
                  <c:v>0.80723100000000003</c:v>
                </c:pt>
                <c:pt idx="441">
                  <c:v>0.80939700000000003</c:v>
                </c:pt>
                <c:pt idx="442">
                  <c:v>0.81154499999999996</c:v>
                </c:pt>
                <c:pt idx="443">
                  <c:v>0.81366799999999995</c:v>
                </c:pt>
                <c:pt idx="444">
                  <c:v>0.81576400000000004</c:v>
                </c:pt>
                <c:pt idx="445">
                  <c:v>0.81782600000000005</c:v>
                </c:pt>
                <c:pt idx="446">
                  <c:v>0.81985200000000003</c:v>
                </c:pt>
                <c:pt idx="447">
                  <c:v>0.82183600000000001</c:v>
                </c:pt>
                <c:pt idx="448">
                  <c:v>0.82377500000000003</c:v>
                </c:pt>
                <c:pt idx="449">
                  <c:v>0.82566499999999998</c:v>
                </c:pt>
                <c:pt idx="450">
                  <c:v>0.82750299999999999</c:v>
                </c:pt>
                <c:pt idx="451">
                  <c:v>0.82928599999999997</c:v>
                </c:pt>
                <c:pt idx="452">
                  <c:v>0.83101000000000003</c:v>
                </c:pt>
                <c:pt idx="453">
                  <c:v>0.83267199999999997</c:v>
                </c:pt>
                <c:pt idx="454">
                  <c:v>0.83427099999999998</c:v>
                </c:pt>
                <c:pt idx="455">
                  <c:v>0.83580299999999996</c:v>
                </c:pt>
                <c:pt idx="456">
                  <c:v>0.83726699999999998</c:v>
                </c:pt>
                <c:pt idx="457">
                  <c:v>0.83866099999999999</c:v>
                </c:pt>
                <c:pt idx="458">
                  <c:v>0.83998200000000001</c:v>
                </c:pt>
                <c:pt idx="459">
                  <c:v>0.84123099999999995</c:v>
                </c:pt>
                <c:pt idx="460">
                  <c:v>0.84240400000000004</c:v>
                </c:pt>
                <c:pt idx="461">
                  <c:v>0.84350099999999995</c:v>
                </c:pt>
                <c:pt idx="462">
                  <c:v>0.84452199999999999</c:v>
                </c:pt>
                <c:pt idx="463">
                  <c:v>0.84546600000000005</c:v>
                </c:pt>
                <c:pt idx="464">
                  <c:v>0.84633199999999997</c:v>
                </c:pt>
                <c:pt idx="465">
                  <c:v>0.84711999999999998</c:v>
                </c:pt>
                <c:pt idx="466">
                  <c:v>0.84782999999999997</c:v>
                </c:pt>
                <c:pt idx="467">
                  <c:v>0.84846200000000005</c:v>
                </c:pt>
                <c:pt idx="468">
                  <c:v>0.84901700000000002</c:v>
                </c:pt>
                <c:pt idx="469">
                  <c:v>0.84949600000000003</c:v>
                </c:pt>
                <c:pt idx="470">
                  <c:v>0.84989800000000004</c:v>
                </c:pt>
                <c:pt idx="471">
                  <c:v>0.85022500000000001</c:v>
                </c:pt>
                <c:pt idx="472">
                  <c:v>0.85047899999999998</c:v>
                </c:pt>
                <c:pt idx="473">
                  <c:v>0.85065900000000005</c:v>
                </c:pt>
                <c:pt idx="474">
                  <c:v>0.85076799999999997</c:v>
                </c:pt>
                <c:pt idx="475">
                  <c:v>0.85080699999999998</c:v>
                </c:pt>
                <c:pt idx="476">
                  <c:v>0.85077800000000003</c:v>
                </c:pt>
                <c:pt idx="477">
                  <c:v>0.85068200000000005</c:v>
                </c:pt>
                <c:pt idx="478">
                  <c:v>0.850522</c:v>
                </c:pt>
                <c:pt idx="479">
                  <c:v>0.85029900000000003</c:v>
                </c:pt>
                <c:pt idx="480">
                  <c:v>0.85001599999999999</c:v>
                </c:pt>
                <c:pt idx="481">
                  <c:v>0.84967499999999996</c:v>
                </c:pt>
                <c:pt idx="482">
                  <c:v>0.84927799999999998</c:v>
                </c:pt>
                <c:pt idx="483">
                  <c:v>0.84882800000000003</c:v>
                </c:pt>
                <c:pt idx="484">
                  <c:v>0.84832700000000005</c:v>
                </c:pt>
                <c:pt idx="485">
                  <c:v>0.84777800000000003</c:v>
                </c:pt>
                <c:pt idx="486">
                  <c:v>0.84718300000000002</c:v>
                </c:pt>
                <c:pt idx="487">
                  <c:v>0.84654499999999999</c:v>
                </c:pt>
                <c:pt idx="488">
                  <c:v>0.84586600000000001</c:v>
                </c:pt>
                <c:pt idx="489">
                  <c:v>0.84514999999999996</c:v>
                </c:pt>
                <c:pt idx="490">
                  <c:v>0.84439900000000001</c:v>
                </c:pt>
                <c:pt idx="491">
                  <c:v>0.84361600000000003</c:v>
                </c:pt>
                <c:pt idx="492">
                  <c:v>0.84280299999999997</c:v>
                </c:pt>
                <c:pt idx="493">
                  <c:v>0.84196300000000002</c:v>
                </c:pt>
                <c:pt idx="494">
                  <c:v>0.84109900000000004</c:v>
                </c:pt>
                <c:pt idx="495">
                  <c:v>0.84021400000000002</c:v>
                </c:pt>
                <c:pt idx="496">
                  <c:v>0.83931</c:v>
                </c:pt>
                <c:pt idx="497">
                  <c:v>0.83838999999999997</c:v>
                </c:pt>
                <c:pt idx="498">
                  <c:v>0.83745599999999998</c:v>
                </c:pt>
                <c:pt idx="499">
                  <c:v>0.836511</c:v>
                </c:pt>
                <c:pt idx="500">
                  <c:v>0.83555699999999999</c:v>
                </c:pt>
                <c:pt idx="501">
                  <c:v>0.834596</c:v>
                </c:pt>
                <c:pt idx="502">
                  <c:v>0.83363100000000001</c:v>
                </c:pt>
                <c:pt idx="503">
                  <c:v>0.83266399999999996</c:v>
                </c:pt>
                <c:pt idx="504">
                  <c:v>0.83169700000000002</c:v>
                </c:pt>
                <c:pt idx="505">
                  <c:v>0.830731</c:v>
                </c:pt>
                <c:pt idx="506">
                  <c:v>0.82977000000000001</c:v>
                </c:pt>
                <c:pt idx="507">
                  <c:v>0.82881300000000002</c:v>
                </c:pt>
                <c:pt idx="508">
                  <c:v>0.82786400000000004</c:v>
                </c:pt>
                <c:pt idx="509">
                  <c:v>0.82692399999999999</c:v>
                </c:pt>
                <c:pt idx="510">
                  <c:v>0.82599299999999998</c:v>
                </c:pt>
                <c:pt idx="511">
                  <c:v>0.82507399999999997</c:v>
                </c:pt>
                <c:pt idx="512">
                  <c:v>0.82416800000000001</c:v>
                </c:pt>
                <c:pt idx="513">
                  <c:v>0.82327499999999998</c:v>
                </c:pt>
                <c:pt idx="514">
                  <c:v>0.82239600000000002</c:v>
                </c:pt>
                <c:pt idx="515">
                  <c:v>0.82153299999999996</c:v>
                </c:pt>
                <c:pt idx="516">
                  <c:v>0.82068600000000003</c:v>
                </c:pt>
                <c:pt idx="517">
                  <c:v>0.819855</c:v>
                </c:pt>
                <c:pt idx="518">
                  <c:v>0.81904200000000005</c:v>
                </c:pt>
                <c:pt idx="519">
                  <c:v>0.81824600000000003</c:v>
                </c:pt>
                <c:pt idx="520">
                  <c:v>0.81746799999999997</c:v>
                </c:pt>
                <c:pt idx="521">
                  <c:v>0.81670799999999999</c:v>
                </c:pt>
                <c:pt idx="522">
                  <c:v>0.81596599999999997</c:v>
                </c:pt>
                <c:pt idx="523">
                  <c:v>0.81524200000000002</c:v>
                </c:pt>
                <c:pt idx="524">
                  <c:v>0.81453699999999996</c:v>
                </c:pt>
                <c:pt idx="525">
                  <c:v>0.81384900000000004</c:v>
                </c:pt>
                <c:pt idx="526">
                  <c:v>0.81317899999999999</c:v>
                </c:pt>
                <c:pt idx="527">
                  <c:v>0.81252599999999997</c:v>
                </c:pt>
                <c:pt idx="528">
                  <c:v>0.81189</c:v>
                </c:pt>
                <c:pt idx="529">
                  <c:v>0.81127199999999999</c:v>
                </c:pt>
                <c:pt idx="530">
                  <c:v>0.81066899999999997</c:v>
                </c:pt>
                <c:pt idx="531">
                  <c:v>0.81008199999999997</c:v>
                </c:pt>
                <c:pt idx="532">
                  <c:v>0.80951099999999998</c:v>
                </c:pt>
                <c:pt idx="533">
                  <c:v>0.80895399999999995</c:v>
                </c:pt>
                <c:pt idx="534">
                  <c:v>0.80841200000000002</c:v>
                </c:pt>
                <c:pt idx="535">
                  <c:v>0.80788400000000005</c:v>
                </c:pt>
                <c:pt idx="536">
                  <c:v>0.807369</c:v>
                </c:pt>
                <c:pt idx="537">
                  <c:v>0.80686599999999997</c:v>
                </c:pt>
                <c:pt idx="538">
                  <c:v>0.80637599999999998</c:v>
                </c:pt>
                <c:pt idx="539">
                  <c:v>0.805898</c:v>
                </c:pt>
                <c:pt idx="540">
                  <c:v>0.80543100000000001</c:v>
                </c:pt>
                <c:pt idx="541">
                  <c:v>0.804975</c:v>
                </c:pt>
                <c:pt idx="542">
                  <c:v>0.80452999999999997</c:v>
                </c:pt>
                <c:pt idx="543">
                  <c:v>0.804095</c:v>
                </c:pt>
                <c:pt idx="544">
                  <c:v>0.80367</c:v>
                </c:pt>
                <c:pt idx="545">
                  <c:v>0.80325500000000005</c:v>
                </c:pt>
                <c:pt idx="546">
                  <c:v>0.80284999999999995</c:v>
                </c:pt>
                <c:pt idx="547">
                  <c:v>0.802454</c:v>
                </c:pt>
                <c:pt idx="548">
                  <c:v>0.802068</c:v>
                </c:pt>
                <c:pt idx="549">
                  <c:v>0.80169100000000004</c:v>
                </c:pt>
                <c:pt idx="550">
                  <c:v>0.80132499999999995</c:v>
                </c:pt>
                <c:pt idx="551">
                  <c:v>0.80096800000000001</c:v>
                </c:pt>
                <c:pt idx="552">
                  <c:v>0.80062100000000003</c:v>
                </c:pt>
                <c:pt idx="553">
                  <c:v>0.80028500000000002</c:v>
                </c:pt>
                <c:pt idx="554">
                  <c:v>0.79996</c:v>
                </c:pt>
                <c:pt idx="555">
                  <c:v>0.79964599999999997</c:v>
                </c:pt>
                <c:pt idx="556">
                  <c:v>0.79934400000000005</c:v>
                </c:pt>
                <c:pt idx="557">
                  <c:v>0.79905499999999996</c:v>
                </c:pt>
                <c:pt idx="558">
                  <c:v>0.79877900000000002</c:v>
                </c:pt>
                <c:pt idx="559">
                  <c:v>0.79851700000000003</c:v>
                </c:pt>
                <c:pt idx="560">
                  <c:v>0.79827000000000004</c:v>
                </c:pt>
                <c:pt idx="561">
                  <c:v>0.79803800000000003</c:v>
                </c:pt>
                <c:pt idx="562">
                  <c:v>0.79782299999999995</c:v>
                </c:pt>
                <c:pt idx="563">
                  <c:v>0.79762500000000003</c:v>
                </c:pt>
                <c:pt idx="564">
                  <c:v>0.79744499999999996</c:v>
                </c:pt>
                <c:pt idx="565">
                  <c:v>0.79728399999999999</c:v>
                </c:pt>
                <c:pt idx="566">
                  <c:v>0.79714399999999996</c:v>
                </c:pt>
                <c:pt idx="567">
                  <c:v>0.79702600000000001</c:v>
                </c:pt>
                <c:pt idx="568">
                  <c:v>0.796929</c:v>
                </c:pt>
                <c:pt idx="569">
                  <c:v>0.79685600000000001</c:v>
                </c:pt>
                <c:pt idx="570">
                  <c:v>0.79680700000000004</c:v>
                </c:pt>
                <c:pt idx="571">
                  <c:v>0.79678400000000005</c:v>
                </c:pt>
                <c:pt idx="572">
                  <c:v>0.79678800000000005</c:v>
                </c:pt>
                <c:pt idx="573">
                  <c:v>0.79681900000000006</c:v>
                </c:pt>
                <c:pt idx="574">
                  <c:v>0.79687799999999998</c:v>
                </c:pt>
                <c:pt idx="575">
                  <c:v>0.79696699999999998</c:v>
                </c:pt>
                <c:pt idx="576">
                  <c:v>0.79708599999999996</c:v>
                </c:pt>
                <c:pt idx="577">
                  <c:v>0.79723500000000003</c:v>
                </c:pt>
                <c:pt idx="578">
                  <c:v>0.79741700000000004</c:v>
                </c:pt>
                <c:pt idx="579">
                  <c:v>0.79763099999999998</c:v>
                </c:pt>
                <c:pt idx="580">
                  <c:v>0.797879</c:v>
                </c:pt>
                <c:pt idx="581">
                  <c:v>0.79815999999999998</c:v>
                </c:pt>
                <c:pt idx="582">
                  <c:v>0.79847500000000005</c:v>
                </c:pt>
                <c:pt idx="583">
                  <c:v>0.79882399999999998</c:v>
                </c:pt>
                <c:pt idx="584">
                  <c:v>0.79920899999999995</c:v>
                </c:pt>
                <c:pt idx="585">
                  <c:v>0.79962800000000001</c:v>
                </c:pt>
                <c:pt idx="586">
                  <c:v>0.80008199999999996</c:v>
                </c:pt>
                <c:pt idx="587">
                  <c:v>0.80057199999999995</c:v>
                </c:pt>
                <c:pt idx="588">
                  <c:v>0.80109600000000003</c:v>
                </c:pt>
                <c:pt idx="589">
                  <c:v>0.80165500000000001</c:v>
                </c:pt>
                <c:pt idx="590">
                  <c:v>0.80224799999999996</c:v>
                </c:pt>
                <c:pt idx="591">
                  <c:v>0.80287500000000001</c:v>
                </c:pt>
                <c:pt idx="592">
                  <c:v>0.803535</c:v>
                </c:pt>
                <c:pt idx="593">
                  <c:v>0.80422700000000003</c:v>
                </c:pt>
                <c:pt idx="594">
                  <c:v>0.804952</c:v>
                </c:pt>
                <c:pt idx="595">
                  <c:v>0.80570699999999995</c:v>
                </c:pt>
                <c:pt idx="596">
                  <c:v>0.80649199999999999</c:v>
                </c:pt>
                <c:pt idx="597">
                  <c:v>0.80730599999999997</c:v>
                </c:pt>
                <c:pt idx="598">
                  <c:v>0.80814699999999995</c:v>
                </c:pt>
                <c:pt idx="599">
                  <c:v>0.80901400000000001</c:v>
                </c:pt>
                <c:pt idx="600">
                  <c:v>0.80990499999999999</c:v>
                </c:pt>
                <c:pt idx="601">
                  <c:v>0.81081999999999999</c:v>
                </c:pt>
                <c:pt idx="602">
                  <c:v>0.81175600000000003</c:v>
                </c:pt>
                <c:pt idx="603">
                  <c:v>0.81271099999999996</c:v>
                </c:pt>
                <c:pt idx="604">
                  <c:v>0.81368499999999999</c:v>
                </c:pt>
                <c:pt idx="605">
                  <c:v>0.81467400000000001</c:v>
                </c:pt>
                <c:pt idx="606">
                  <c:v>0.81567699999999999</c:v>
                </c:pt>
                <c:pt idx="607">
                  <c:v>0.81669199999999997</c:v>
                </c:pt>
                <c:pt idx="608">
                  <c:v>0.81771700000000003</c:v>
                </c:pt>
                <c:pt idx="609">
                  <c:v>0.81874899999999995</c:v>
                </c:pt>
                <c:pt idx="610">
                  <c:v>0.81978799999999996</c:v>
                </c:pt>
                <c:pt idx="611">
                  <c:v>0.82082900000000003</c:v>
                </c:pt>
                <c:pt idx="612">
                  <c:v>0.82187100000000002</c:v>
                </c:pt>
                <c:pt idx="613">
                  <c:v>0.82291199999999998</c:v>
                </c:pt>
                <c:pt idx="614">
                  <c:v>0.82394900000000004</c:v>
                </c:pt>
                <c:pt idx="615">
                  <c:v>0.82498099999999996</c:v>
                </c:pt>
                <c:pt idx="616">
                  <c:v>0.82600399999999996</c:v>
                </c:pt>
                <c:pt idx="617">
                  <c:v>0.827017</c:v>
                </c:pt>
                <c:pt idx="618">
                  <c:v>0.828017</c:v>
                </c:pt>
                <c:pt idx="619">
                  <c:v>0.82900200000000002</c:v>
                </c:pt>
                <c:pt idx="620">
                  <c:v>0.82996999999999999</c:v>
                </c:pt>
                <c:pt idx="621">
                  <c:v>0.83091899999999996</c:v>
                </c:pt>
                <c:pt idx="622">
                  <c:v>0.83184599999999997</c:v>
                </c:pt>
                <c:pt idx="623">
                  <c:v>0.83274899999999996</c:v>
                </c:pt>
                <c:pt idx="624">
                  <c:v>0.83362700000000001</c:v>
                </c:pt>
                <c:pt idx="625">
                  <c:v>0.834476</c:v>
                </c:pt>
                <c:pt idx="626">
                  <c:v>0.83529699999999996</c:v>
                </c:pt>
                <c:pt idx="627">
                  <c:v>0.83608499999999997</c:v>
                </c:pt>
                <c:pt idx="628">
                  <c:v>0.83684099999999995</c:v>
                </c:pt>
                <c:pt idx="629">
                  <c:v>0.83756200000000003</c:v>
                </c:pt>
                <c:pt idx="630">
                  <c:v>0.83824600000000005</c:v>
                </c:pt>
                <c:pt idx="631">
                  <c:v>0.83889199999999997</c:v>
                </c:pt>
                <c:pt idx="632">
                  <c:v>0.839499</c:v>
                </c:pt>
                <c:pt idx="633">
                  <c:v>0.84006499999999995</c:v>
                </c:pt>
                <c:pt idx="634">
                  <c:v>0.84058999999999995</c:v>
                </c:pt>
                <c:pt idx="635">
                  <c:v>0.84107100000000001</c:v>
                </c:pt>
                <c:pt idx="636">
                  <c:v>0.84150800000000003</c:v>
                </c:pt>
                <c:pt idx="637">
                  <c:v>0.84190100000000001</c:v>
                </c:pt>
                <c:pt idx="638">
                  <c:v>0.842248</c:v>
                </c:pt>
                <c:pt idx="639">
                  <c:v>0.84254799999999996</c:v>
                </c:pt>
                <c:pt idx="640">
                  <c:v>0.84280200000000005</c:v>
                </c:pt>
                <c:pt idx="641">
                  <c:v>0.84300799999999998</c:v>
                </c:pt>
                <c:pt idx="642">
                  <c:v>0.843167</c:v>
                </c:pt>
                <c:pt idx="643">
                  <c:v>0.84327700000000005</c:v>
                </c:pt>
                <c:pt idx="644">
                  <c:v>0.84333999999999998</c:v>
                </c:pt>
                <c:pt idx="645">
                  <c:v>0.84335499999999997</c:v>
                </c:pt>
                <c:pt idx="646">
                  <c:v>0.84332200000000002</c:v>
                </c:pt>
                <c:pt idx="647">
                  <c:v>0.84324100000000002</c:v>
                </c:pt>
                <c:pt idx="648">
                  <c:v>0.843113</c:v>
                </c:pt>
                <c:pt idx="649">
                  <c:v>0.84293799999999997</c:v>
                </c:pt>
                <c:pt idx="650">
                  <c:v>0.84271600000000002</c:v>
                </c:pt>
                <c:pt idx="651">
                  <c:v>0.842449</c:v>
                </c:pt>
                <c:pt idx="652">
                  <c:v>0.84213700000000002</c:v>
                </c:pt>
                <c:pt idx="653">
                  <c:v>0.84177999999999997</c:v>
                </c:pt>
                <c:pt idx="654">
                  <c:v>0.84138000000000002</c:v>
                </c:pt>
                <c:pt idx="655">
                  <c:v>0.84093799999999996</c:v>
                </c:pt>
                <c:pt idx="656">
                  <c:v>0.84045499999999995</c:v>
                </c:pt>
                <c:pt idx="657">
                  <c:v>0.83993200000000001</c:v>
                </c:pt>
                <c:pt idx="658">
                  <c:v>0.83936999999999995</c:v>
                </c:pt>
                <c:pt idx="659">
                  <c:v>0.83877100000000004</c:v>
                </c:pt>
                <c:pt idx="660">
                  <c:v>0.83813599999999999</c:v>
                </c:pt>
                <c:pt idx="661">
                  <c:v>0.83746699999999996</c:v>
                </c:pt>
                <c:pt idx="662">
                  <c:v>0.83676399999999995</c:v>
                </c:pt>
                <c:pt idx="663">
                  <c:v>0.83603099999999997</c:v>
                </c:pt>
                <c:pt idx="664">
                  <c:v>0.83526800000000001</c:v>
                </c:pt>
                <c:pt idx="665">
                  <c:v>0.83447700000000002</c:v>
                </c:pt>
                <c:pt idx="666">
                  <c:v>0.83365999999999996</c:v>
                </c:pt>
                <c:pt idx="667">
                  <c:v>0.83281899999999998</c:v>
                </c:pt>
                <c:pt idx="668">
                  <c:v>0.83195600000000003</c:v>
                </c:pt>
                <c:pt idx="669">
                  <c:v>0.83107200000000003</c:v>
                </c:pt>
                <c:pt idx="670">
                  <c:v>0.83016999999999996</c:v>
                </c:pt>
                <c:pt idx="671">
                  <c:v>0.82925199999999999</c:v>
                </c:pt>
                <c:pt idx="672">
                  <c:v>0.82831999999999995</c:v>
                </c:pt>
                <c:pt idx="673">
                  <c:v>0.82737499999999997</c:v>
                </c:pt>
                <c:pt idx="674">
                  <c:v>0.82642000000000004</c:v>
                </c:pt>
                <c:pt idx="675">
                  <c:v>0.82545800000000003</c:v>
                </c:pt>
                <c:pt idx="676">
                  <c:v>0.82448900000000003</c:v>
                </c:pt>
                <c:pt idx="677">
                  <c:v>0.82351600000000003</c:v>
                </c:pt>
                <c:pt idx="678">
                  <c:v>0.822542</c:v>
                </c:pt>
                <c:pt idx="679">
                  <c:v>0.82156799999999996</c:v>
                </c:pt>
                <c:pt idx="680">
                  <c:v>0.82059599999999999</c:v>
                </c:pt>
                <c:pt idx="681">
                  <c:v>0.81962900000000005</c:v>
                </c:pt>
                <c:pt idx="682">
                  <c:v>0.81866899999999998</c:v>
                </c:pt>
                <c:pt idx="683">
                  <c:v>0.81771700000000003</c:v>
                </c:pt>
                <c:pt idx="684">
                  <c:v>0.81677500000000003</c:v>
                </c:pt>
                <c:pt idx="685">
                  <c:v>0.81584699999999999</c:v>
                </c:pt>
                <c:pt idx="686">
                  <c:v>0.81493199999999999</c:v>
                </c:pt>
                <c:pt idx="687">
                  <c:v>0.81403400000000004</c:v>
                </c:pt>
                <c:pt idx="688">
                  <c:v>0.81315400000000004</c:v>
                </c:pt>
                <c:pt idx="689">
                  <c:v>0.81229499999999999</c:v>
                </c:pt>
                <c:pt idx="690">
                  <c:v>0.81145599999999996</c:v>
                </c:pt>
                <c:pt idx="691">
                  <c:v>0.81064199999999997</c:v>
                </c:pt>
                <c:pt idx="692">
                  <c:v>0.80985200000000002</c:v>
                </c:pt>
                <c:pt idx="693">
                  <c:v>0.80908800000000003</c:v>
                </c:pt>
                <c:pt idx="694">
                  <c:v>0.80835299999999999</c:v>
                </c:pt>
                <c:pt idx="695">
                  <c:v>0.80764599999999998</c:v>
                </c:pt>
                <c:pt idx="696">
                  <c:v>0.80697099999999999</c:v>
                </c:pt>
                <c:pt idx="697">
                  <c:v>0.80632700000000002</c:v>
                </c:pt>
                <c:pt idx="698">
                  <c:v>0.80571599999999999</c:v>
                </c:pt>
                <c:pt idx="699">
                  <c:v>0.80513800000000002</c:v>
                </c:pt>
                <c:pt idx="700">
                  <c:v>0.80459599999999998</c:v>
                </c:pt>
                <c:pt idx="701">
                  <c:v>0.80408900000000005</c:v>
                </c:pt>
                <c:pt idx="702">
                  <c:v>0.80361800000000005</c:v>
                </c:pt>
                <c:pt idx="703">
                  <c:v>0.80318500000000004</c:v>
                </c:pt>
                <c:pt idx="704">
                  <c:v>0.80278899999999997</c:v>
                </c:pt>
                <c:pt idx="705">
                  <c:v>0.80243100000000001</c:v>
                </c:pt>
                <c:pt idx="706">
                  <c:v>0.80211200000000005</c:v>
                </c:pt>
                <c:pt idx="707">
                  <c:v>0.80183099999999996</c:v>
                </c:pt>
                <c:pt idx="708">
                  <c:v>0.80158799999999997</c:v>
                </c:pt>
                <c:pt idx="709">
                  <c:v>0.80138500000000001</c:v>
                </c:pt>
                <c:pt idx="710">
                  <c:v>0.80122000000000004</c:v>
                </c:pt>
                <c:pt idx="711">
                  <c:v>0.80109300000000006</c:v>
                </c:pt>
                <c:pt idx="712">
                  <c:v>0.80100400000000005</c:v>
                </c:pt>
                <c:pt idx="713">
                  <c:v>0.80095400000000005</c:v>
                </c:pt>
                <c:pt idx="714">
                  <c:v>0.80093999999999999</c:v>
                </c:pt>
                <c:pt idx="715">
                  <c:v>0.80096400000000001</c:v>
                </c:pt>
                <c:pt idx="716">
                  <c:v>0.80102300000000004</c:v>
                </c:pt>
                <c:pt idx="717">
                  <c:v>0.801118</c:v>
                </c:pt>
                <c:pt idx="718">
                  <c:v>0.80124700000000004</c:v>
                </c:pt>
                <c:pt idx="719">
                  <c:v>0.80140999999999996</c:v>
                </c:pt>
                <c:pt idx="720">
                  <c:v>0.80160600000000004</c:v>
                </c:pt>
                <c:pt idx="721">
                  <c:v>0.80183300000000002</c:v>
                </c:pt>
                <c:pt idx="722">
                  <c:v>0.802091</c:v>
                </c:pt>
                <c:pt idx="723">
                  <c:v>0.80237800000000004</c:v>
                </c:pt>
                <c:pt idx="724">
                  <c:v>0.80269299999999999</c:v>
                </c:pt>
                <c:pt idx="725">
                  <c:v>0.80303400000000003</c:v>
                </c:pt>
                <c:pt idx="726">
                  <c:v>0.80340100000000003</c:v>
                </c:pt>
                <c:pt idx="727">
                  <c:v>0.80379199999999995</c:v>
                </c:pt>
                <c:pt idx="728">
                  <c:v>0.80420499999999995</c:v>
                </c:pt>
                <c:pt idx="729">
                  <c:v>0.80464000000000002</c:v>
                </c:pt>
                <c:pt idx="730">
                  <c:v>0.80509399999999998</c:v>
                </c:pt>
                <c:pt idx="731">
                  <c:v>0.805566</c:v>
                </c:pt>
                <c:pt idx="732">
                  <c:v>0.80605400000000005</c:v>
                </c:pt>
                <c:pt idx="733">
                  <c:v>0.80655699999999997</c:v>
                </c:pt>
                <c:pt idx="734">
                  <c:v>0.80707399999999996</c:v>
                </c:pt>
                <c:pt idx="735">
                  <c:v>0.80760299999999996</c:v>
                </c:pt>
                <c:pt idx="736">
                  <c:v>0.80814200000000003</c:v>
                </c:pt>
                <c:pt idx="737">
                  <c:v>0.80869000000000002</c:v>
                </c:pt>
                <c:pt idx="738">
                  <c:v>0.80924499999999999</c:v>
                </c:pt>
                <c:pt idx="739">
                  <c:v>0.80980600000000003</c:v>
                </c:pt>
                <c:pt idx="740">
                  <c:v>0.81037099999999995</c:v>
                </c:pt>
                <c:pt idx="741">
                  <c:v>0.81093999999999999</c:v>
                </c:pt>
                <c:pt idx="742">
                  <c:v>0.81150900000000004</c:v>
                </c:pt>
                <c:pt idx="743">
                  <c:v>0.812079</c:v>
                </c:pt>
                <c:pt idx="744">
                  <c:v>0.81264899999999995</c:v>
                </c:pt>
                <c:pt idx="745">
                  <c:v>0.81321500000000002</c:v>
                </c:pt>
                <c:pt idx="746">
                  <c:v>0.81377900000000003</c:v>
                </c:pt>
                <c:pt idx="747">
                  <c:v>0.81433699999999998</c:v>
                </c:pt>
                <c:pt idx="748">
                  <c:v>0.81489</c:v>
                </c:pt>
                <c:pt idx="749">
                  <c:v>0.81543699999999997</c:v>
                </c:pt>
                <c:pt idx="750">
                  <c:v>0.81597600000000003</c:v>
                </c:pt>
                <c:pt idx="751">
                  <c:v>0.81650599999999995</c:v>
                </c:pt>
                <c:pt idx="752">
                  <c:v>0.81702699999999995</c:v>
                </c:pt>
                <c:pt idx="753">
                  <c:v>0.81753799999999999</c:v>
                </c:pt>
                <c:pt idx="754">
                  <c:v>0.81803899999999996</c:v>
                </c:pt>
                <c:pt idx="755">
                  <c:v>0.81852899999999995</c:v>
                </c:pt>
                <c:pt idx="756">
                  <c:v>0.81900600000000001</c:v>
                </c:pt>
                <c:pt idx="757">
                  <c:v>0.81947199999999998</c:v>
                </c:pt>
                <c:pt idx="758">
                  <c:v>0.81992500000000001</c:v>
                </c:pt>
                <c:pt idx="759">
                  <c:v>0.82036600000000004</c:v>
                </c:pt>
                <c:pt idx="760">
                  <c:v>0.82079299999999999</c:v>
                </c:pt>
                <c:pt idx="761">
                  <c:v>0.82120700000000002</c:v>
                </c:pt>
                <c:pt idx="762">
                  <c:v>0.821608</c:v>
                </c:pt>
                <c:pt idx="763">
                  <c:v>0.82199599999999995</c:v>
                </c:pt>
                <c:pt idx="764">
                  <c:v>0.82237000000000005</c:v>
                </c:pt>
                <c:pt idx="765">
                  <c:v>0.82273099999999999</c:v>
                </c:pt>
                <c:pt idx="766">
                  <c:v>0.82307900000000001</c:v>
                </c:pt>
                <c:pt idx="767">
                  <c:v>0.82341500000000001</c:v>
                </c:pt>
                <c:pt idx="768">
                  <c:v>0.82373700000000005</c:v>
                </c:pt>
                <c:pt idx="769">
                  <c:v>0.82404699999999997</c:v>
                </c:pt>
                <c:pt idx="770">
                  <c:v>0.82434499999999999</c:v>
                </c:pt>
                <c:pt idx="771">
                  <c:v>0.824631</c:v>
                </c:pt>
                <c:pt idx="772">
                  <c:v>0.82490600000000003</c:v>
                </c:pt>
                <c:pt idx="773">
                  <c:v>0.82516999999999996</c:v>
                </c:pt>
                <c:pt idx="774">
                  <c:v>0.82542199999999999</c:v>
                </c:pt>
                <c:pt idx="775">
                  <c:v>0.82566499999999998</c:v>
                </c:pt>
                <c:pt idx="776">
                  <c:v>0.82589699999999999</c:v>
                </c:pt>
                <c:pt idx="777">
                  <c:v>0.82611999999999997</c:v>
                </c:pt>
                <c:pt idx="778">
                  <c:v>0.82633400000000001</c:v>
                </c:pt>
                <c:pt idx="779">
                  <c:v>0.82654000000000005</c:v>
                </c:pt>
                <c:pt idx="780">
                  <c:v>0.82673600000000003</c:v>
                </c:pt>
                <c:pt idx="781">
                  <c:v>0.82692500000000002</c:v>
                </c:pt>
                <c:pt idx="782">
                  <c:v>0.82710700000000004</c:v>
                </c:pt>
                <c:pt idx="783">
                  <c:v>0.82728100000000004</c:v>
                </c:pt>
                <c:pt idx="784">
                  <c:v>0.82744799999999996</c:v>
                </c:pt>
                <c:pt idx="785">
                  <c:v>0.82760900000000004</c:v>
                </c:pt>
                <c:pt idx="786">
                  <c:v>0.82776300000000003</c:v>
                </c:pt>
                <c:pt idx="787">
                  <c:v>0.82791000000000003</c:v>
                </c:pt>
                <c:pt idx="788">
                  <c:v>0.82805200000000001</c:v>
                </c:pt>
                <c:pt idx="789">
                  <c:v>0.82818800000000004</c:v>
                </c:pt>
                <c:pt idx="790">
                  <c:v>0.82831900000000003</c:v>
                </c:pt>
                <c:pt idx="791">
                  <c:v>0.82844300000000004</c:v>
                </c:pt>
                <c:pt idx="792">
                  <c:v>0.82856200000000002</c:v>
                </c:pt>
                <c:pt idx="793">
                  <c:v>0.82867500000000005</c:v>
                </c:pt>
                <c:pt idx="794">
                  <c:v>0.82878200000000002</c:v>
                </c:pt>
                <c:pt idx="795">
                  <c:v>0.82888399999999995</c:v>
                </c:pt>
                <c:pt idx="796">
                  <c:v>0.82898000000000005</c:v>
                </c:pt>
                <c:pt idx="797">
                  <c:v>0.82906899999999994</c:v>
                </c:pt>
                <c:pt idx="798">
                  <c:v>0.829152</c:v>
                </c:pt>
                <c:pt idx="799">
                  <c:v>0.82922799999999997</c:v>
                </c:pt>
                <c:pt idx="800">
                  <c:v>0.82929699999999995</c:v>
                </c:pt>
                <c:pt idx="801">
                  <c:v>0.82935899999999996</c:v>
                </c:pt>
                <c:pt idx="802">
                  <c:v>0.82941299999999996</c:v>
                </c:pt>
                <c:pt idx="803">
                  <c:v>0.82945899999999995</c:v>
                </c:pt>
                <c:pt idx="804">
                  <c:v>0.82949700000000004</c:v>
                </c:pt>
                <c:pt idx="805">
                  <c:v>0.82952499999999996</c:v>
                </c:pt>
                <c:pt idx="806">
                  <c:v>0.82954399999999995</c:v>
                </c:pt>
                <c:pt idx="807">
                  <c:v>0.82955299999999998</c:v>
                </c:pt>
                <c:pt idx="808">
                  <c:v>0.82955199999999996</c:v>
                </c:pt>
                <c:pt idx="809">
                  <c:v>0.82953900000000003</c:v>
                </c:pt>
                <c:pt idx="810">
                  <c:v>0.82951600000000003</c:v>
                </c:pt>
                <c:pt idx="811">
                  <c:v>0.82948</c:v>
                </c:pt>
                <c:pt idx="812">
                  <c:v>0.82943100000000003</c:v>
                </c:pt>
                <c:pt idx="813">
                  <c:v>0.82937000000000005</c:v>
                </c:pt>
                <c:pt idx="814">
                  <c:v>0.829295</c:v>
                </c:pt>
                <c:pt idx="815">
                  <c:v>0.829206</c:v>
                </c:pt>
                <c:pt idx="816">
                  <c:v>0.82910200000000001</c:v>
                </c:pt>
                <c:pt idx="817">
                  <c:v>0.82898400000000005</c:v>
                </c:pt>
                <c:pt idx="818">
                  <c:v>0.82884999999999998</c:v>
                </c:pt>
                <c:pt idx="819">
                  <c:v>0.82869999999999999</c:v>
                </c:pt>
                <c:pt idx="820">
                  <c:v>0.82853399999999999</c:v>
                </c:pt>
                <c:pt idx="821">
                  <c:v>0.82835099999999995</c:v>
                </c:pt>
                <c:pt idx="822">
                  <c:v>0.828152</c:v>
                </c:pt>
                <c:pt idx="823">
                  <c:v>0.82793600000000001</c:v>
                </c:pt>
                <c:pt idx="824">
                  <c:v>0.82770200000000005</c:v>
                </c:pt>
                <c:pt idx="825">
                  <c:v>0.82745199999999997</c:v>
                </c:pt>
                <c:pt idx="826">
                  <c:v>0.827183</c:v>
                </c:pt>
                <c:pt idx="827">
                  <c:v>0.82689800000000002</c:v>
                </c:pt>
                <c:pt idx="828">
                  <c:v>0.82659499999999997</c:v>
                </c:pt>
                <c:pt idx="829">
                  <c:v>0.82627399999999995</c:v>
                </c:pt>
                <c:pt idx="830">
                  <c:v>0.82593700000000003</c:v>
                </c:pt>
                <c:pt idx="831">
                  <c:v>0.82558200000000004</c:v>
                </c:pt>
                <c:pt idx="832">
                  <c:v>0.82521100000000003</c:v>
                </c:pt>
                <c:pt idx="833">
                  <c:v>0.82482299999999997</c:v>
                </c:pt>
                <c:pt idx="834">
                  <c:v>0.82442000000000004</c:v>
                </c:pt>
                <c:pt idx="835">
                  <c:v>0.82400099999999998</c:v>
                </c:pt>
                <c:pt idx="836">
                  <c:v>0.82356700000000005</c:v>
                </c:pt>
                <c:pt idx="837">
                  <c:v>0.82311900000000005</c:v>
                </c:pt>
                <c:pt idx="838">
                  <c:v>0.82265699999999997</c:v>
                </c:pt>
                <c:pt idx="839">
                  <c:v>0.822183</c:v>
                </c:pt>
                <c:pt idx="840">
                  <c:v>0.82169700000000001</c:v>
                </c:pt>
                <c:pt idx="841">
                  <c:v>0.82119900000000001</c:v>
                </c:pt>
                <c:pt idx="842">
                  <c:v>0.82069199999999998</c:v>
                </c:pt>
                <c:pt idx="843">
                  <c:v>0.82017499999999999</c:v>
                </c:pt>
                <c:pt idx="844">
                  <c:v>0.81964999999999999</c:v>
                </c:pt>
                <c:pt idx="845">
                  <c:v>0.81911800000000001</c:v>
                </c:pt>
                <c:pt idx="846">
                  <c:v>0.81857999999999997</c:v>
                </c:pt>
                <c:pt idx="847">
                  <c:v>0.81803800000000004</c:v>
                </c:pt>
                <c:pt idx="848">
                  <c:v>0.817492</c:v>
                </c:pt>
                <c:pt idx="849">
                  <c:v>0.816944</c:v>
                </c:pt>
                <c:pt idx="850">
                  <c:v>0.81639499999999998</c:v>
                </c:pt>
                <c:pt idx="851">
                  <c:v>0.81584699999999999</c:v>
                </c:pt>
                <c:pt idx="852">
                  <c:v>0.81530000000000002</c:v>
                </c:pt>
                <c:pt idx="853">
                  <c:v>0.81475699999999995</c:v>
                </c:pt>
                <c:pt idx="854">
                  <c:v>0.814218</c:v>
                </c:pt>
                <c:pt idx="855">
                  <c:v>0.81368600000000002</c:v>
                </c:pt>
                <c:pt idx="856">
                  <c:v>0.81316100000000002</c:v>
                </c:pt>
                <c:pt idx="857">
                  <c:v>0.81264400000000003</c:v>
                </c:pt>
                <c:pt idx="858">
                  <c:v>0.81213800000000003</c:v>
                </c:pt>
                <c:pt idx="859">
                  <c:v>0.81164400000000003</c:v>
                </c:pt>
                <c:pt idx="860">
                  <c:v>0.81116200000000005</c:v>
                </c:pt>
                <c:pt idx="861">
                  <c:v>0.81069500000000005</c:v>
                </c:pt>
                <c:pt idx="862">
                  <c:v>0.81024399999999996</c:v>
                </c:pt>
                <c:pt idx="863">
                  <c:v>0.80981000000000003</c:v>
                </c:pt>
                <c:pt idx="864">
                  <c:v>0.80939300000000003</c:v>
                </c:pt>
                <c:pt idx="865">
                  <c:v>0.80899699999999997</c:v>
                </c:pt>
                <c:pt idx="866">
                  <c:v>0.80862000000000001</c:v>
                </c:pt>
                <c:pt idx="867">
                  <c:v>0.80826600000000004</c:v>
                </c:pt>
                <c:pt idx="868">
                  <c:v>0.80793400000000004</c:v>
                </c:pt>
                <c:pt idx="869">
                  <c:v>0.80762500000000004</c:v>
                </c:pt>
                <c:pt idx="870">
                  <c:v>0.807342</c:v>
                </c:pt>
                <c:pt idx="871">
                  <c:v>0.80708299999999999</c:v>
                </c:pt>
                <c:pt idx="872">
                  <c:v>0.80685099999999998</c:v>
                </c:pt>
                <c:pt idx="873">
                  <c:v>0.80664599999999997</c:v>
                </c:pt>
                <c:pt idx="874">
                  <c:v>0.80646899999999999</c:v>
                </c:pt>
                <c:pt idx="875">
                  <c:v>0.80631900000000001</c:v>
                </c:pt>
                <c:pt idx="876">
                  <c:v>0.80619799999999997</c:v>
                </c:pt>
                <c:pt idx="877">
                  <c:v>0.80610599999999999</c:v>
                </c:pt>
                <c:pt idx="878">
                  <c:v>0.80604299999999995</c:v>
                </c:pt>
                <c:pt idx="879">
                  <c:v>0.80600899999999998</c:v>
                </c:pt>
                <c:pt idx="880">
                  <c:v>0.80600499999999997</c:v>
                </c:pt>
                <c:pt idx="881">
                  <c:v>0.80603000000000002</c:v>
                </c:pt>
                <c:pt idx="882">
                  <c:v>0.80608400000000002</c:v>
                </c:pt>
                <c:pt idx="883">
                  <c:v>0.806168</c:v>
                </c:pt>
                <c:pt idx="884">
                  <c:v>0.80628100000000003</c:v>
                </c:pt>
                <c:pt idx="885">
                  <c:v>0.80642199999999997</c:v>
                </c:pt>
                <c:pt idx="886">
                  <c:v>0.80659199999999998</c:v>
                </c:pt>
                <c:pt idx="887">
                  <c:v>0.80678899999999998</c:v>
                </c:pt>
                <c:pt idx="888">
                  <c:v>0.80701400000000001</c:v>
                </c:pt>
                <c:pt idx="889">
                  <c:v>0.80726500000000001</c:v>
                </c:pt>
                <c:pt idx="890">
                  <c:v>0.80754099999999995</c:v>
                </c:pt>
                <c:pt idx="891">
                  <c:v>0.80784299999999998</c:v>
                </c:pt>
                <c:pt idx="892">
                  <c:v>0.808168</c:v>
                </c:pt>
                <c:pt idx="893">
                  <c:v>0.80851700000000004</c:v>
                </c:pt>
                <c:pt idx="894">
                  <c:v>0.80888800000000005</c:v>
                </c:pt>
                <c:pt idx="895">
                  <c:v>0.80927899999999997</c:v>
                </c:pt>
                <c:pt idx="896">
                  <c:v>0.80969000000000002</c:v>
                </c:pt>
                <c:pt idx="897">
                  <c:v>0.81011999999999995</c:v>
                </c:pt>
                <c:pt idx="898">
                  <c:v>0.81056700000000004</c:v>
                </c:pt>
                <c:pt idx="899">
                  <c:v>0.81103099999999995</c:v>
                </c:pt>
                <c:pt idx="900">
                  <c:v>0.81150900000000004</c:v>
                </c:pt>
                <c:pt idx="901">
                  <c:v>0.81200000000000006</c:v>
                </c:pt>
                <c:pt idx="902">
                  <c:v>0.812504</c:v>
                </c:pt>
                <c:pt idx="903">
                  <c:v>0.81301800000000002</c:v>
                </c:pt>
                <c:pt idx="904">
                  <c:v>0.81354199999999999</c:v>
                </c:pt>
                <c:pt idx="905">
                  <c:v>0.81407300000000005</c:v>
                </c:pt>
                <c:pt idx="906">
                  <c:v>0.81461099999999997</c:v>
                </c:pt>
                <c:pt idx="907">
                  <c:v>0.81515300000000002</c:v>
                </c:pt>
                <c:pt idx="908">
                  <c:v>0.81569899999999995</c:v>
                </c:pt>
                <c:pt idx="909">
                  <c:v>0.81624799999999997</c:v>
                </c:pt>
                <c:pt idx="910">
                  <c:v>0.81679599999999997</c:v>
                </c:pt>
                <c:pt idx="911">
                  <c:v>0.81734399999999996</c:v>
                </c:pt>
                <c:pt idx="912">
                  <c:v>0.81789000000000001</c:v>
                </c:pt>
                <c:pt idx="913">
                  <c:v>0.81843200000000005</c:v>
                </c:pt>
                <c:pt idx="914">
                  <c:v>0.81896999999999998</c:v>
                </c:pt>
                <c:pt idx="915">
                  <c:v>0.81950100000000003</c:v>
                </c:pt>
                <c:pt idx="916">
                  <c:v>0.820025</c:v>
                </c:pt>
                <c:pt idx="917">
                  <c:v>0.82054000000000005</c:v>
                </c:pt>
                <c:pt idx="918">
                  <c:v>0.82104500000000002</c:v>
                </c:pt>
                <c:pt idx="919">
                  <c:v>0.82153900000000002</c:v>
                </c:pt>
                <c:pt idx="920">
                  <c:v>0.82202200000000003</c:v>
                </c:pt>
                <c:pt idx="921">
                  <c:v>0.82249099999999997</c:v>
                </c:pt>
                <c:pt idx="922">
                  <c:v>0.82294599999999996</c:v>
                </c:pt>
                <c:pt idx="923">
                  <c:v>0.82338599999999995</c:v>
                </c:pt>
                <c:pt idx="924">
                  <c:v>0.82381099999999996</c:v>
                </c:pt>
                <c:pt idx="925">
                  <c:v>0.82421900000000003</c:v>
                </c:pt>
                <c:pt idx="926">
                  <c:v>0.82460900000000004</c:v>
                </c:pt>
                <c:pt idx="927">
                  <c:v>0.82498199999999999</c:v>
                </c:pt>
                <c:pt idx="928">
                  <c:v>0.82533599999999996</c:v>
                </c:pt>
                <c:pt idx="929">
                  <c:v>0.82567100000000004</c:v>
                </c:pt>
                <c:pt idx="930">
                  <c:v>0.82598700000000003</c:v>
                </c:pt>
                <c:pt idx="931">
                  <c:v>0.82628199999999996</c:v>
                </c:pt>
                <c:pt idx="932">
                  <c:v>0.82655699999999999</c:v>
                </c:pt>
                <c:pt idx="933">
                  <c:v>0.82681199999999999</c:v>
                </c:pt>
                <c:pt idx="934">
                  <c:v>0.82704599999999995</c:v>
                </c:pt>
                <c:pt idx="935">
                  <c:v>0.82725899999999997</c:v>
                </c:pt>
                <c:pt idx="936">
                  <c:v>0.82745199999999997</c:v>
                </c:pt>
                <c:pt idx="937">
                  <c:v>0.827623</c:v>
                </c:pt>
                <c:pt idx="938">
                  <c:v>0.82777400000000001</c:v>
                </c:pt>
                <c:pt idx="939">
                  <c:v>0.82790399999999997</c:v>
                </c:pt>
                <c:pt idx="940">
                  <c:v>0.828013</c:v>
                </c:pt>
                <c:pt idx="941">
                  <c:v>0.828102</c:v>
                </c:pt>
                <c:pt idx="942">
                  <c:v>0.82817200000000002</c:v>
                </c:pt>
                <c:pt idx="943">
                  <c:v>0.82822200000000001</c:v>
                </c:pt>
                <c:pt idx="944">
                  <c:v>0.82825199999999999</c:v>
                </c:pt>
                <c:pt idx="945">
                  <c:v>0.828264</c:v>
                </c:pt>
                <c:pt idx="946">
                  <c:v>0.82825700000000002</c:v>
                </c:pt>
                <c:pt idx="947">
                  <c:v>0.828233</c:v>
                </c:pt>
                <c:pt idx="948">
                  <c:v>0.82819200000000004</c:v>
                </c:pt>
                <c:pt idx="949">
                  <c:v>0.82813300000000001</c:v>
                </c:pt>
                <c:pt idx="950">
                  <c:v>0.82805899999999999</c:v>
                </c:pt>
                <c:pt idx="951">
                  <c:v>0.82796999999999998</c:v>
                </c:pt>
                <c:pt idx="952">
                  <c:v>0.82786599999999999</c:v>
                </c:pt>
                <c:pt idx="953">
                  <c:v>0.82774800000000004</c:v>
                </c:pt>
                <c:pt idx="954">
                  <c:v>0.82761700000000005</c:v>
                </c:pt>
                <c:pt idx="955">
                  <c:v>0.82747400000000004</c:v>
                </c:pt>
                <c:pt idx="956">
                  <c:v>0.827318</c:v>
                </c:pt>
                <c:pt idx="957">
                  <c:v>0.827152</c:v>
                </c:pt>
                <c:pt idx="958">
                  <c:v>0.82697500000000002</c:v>
                </c:pt>
                <c:pt idx="959">
                  <c:v>0.826789</c:v>
                </c:pt>
                <c:pt idx="960">
                  <c:v>0.82659400000000005</c:v>
                </c:pt>
                <c:pt idx="961">
                  <c:v>0.82639099999999999</c:v>
                </c:pt>
                <c:pt idx="962">
                  <c:v>0.82618100000000005</c:v>
                </c:pt>
                <c:pt idx="963">
                  <c:v>0.82596400000000003</c:v>
                </c:pt>
                <c:pt idx="964">
                  <c:v>0.82574099999999995</c:v>
                </c:pt>
                <c:pt idx="965">
                  <c:v>0.82551399999999997</c:v>
                </c:pt>
                <c:pt idx="966">
                  <c:v>0.82528100000000004</c:v>
                </c:pt>
                <c:pt idx="967">
                  <c:v>0.82504500000000003</c:v>
                </c:pt>
                <c:pt idx="968">
                  <c:v>0.82480500000000001</c:v>
                </c:pt>
                <c:pt idx="969">
                  <c:v>0.82456300000000005</c:v>
                </c:pt>
                <c:pt idx="970">
                  <c:v>0.82431900000000002</c:v>
                </c:pt>
                <c:pt idx="971">
                  <c:v>0.82407300000000006</c:v>
                </c:pt>
                <c:pt idx="972">
                  <c:v>0.82382699999999998</c:v>
                </c:pt>
                <c:pt idx="973">
                  <c:v>0.82357999999999998</c:v>
                </c:pt>
                <c:pt idx="974">
                  <c:v>0.82333199999999995</c:v>
                </c:pt>
                <c:pt idx="975">
                  <c:v>0.82308599999999998</c:v>
                </c:pt>
                <c:pt idx="976">
                  <c:v>0.82284000000000002</c:v>
                </c:pt>
                <c:pt idx="977">
                  <c:v>0.82259499999999997</c:v>
                </c:pt>
                <c:pt idx="978">
                  <c:v>0.82235199999999997</c:v>
                </c:pt>
                <c:pt idx="979">
                  <c:v>0.82211100000000004</c:v>
                </c:pt>
                <c:pt idx="980">
                  <c:v>0.82187200000000005</c:v>
                </c:pt>
                <c:pt idx="981">
                  <c:v>0.821635</c:v>
                </c:pt>
                <c:pt idx="982">
                  <c:v>0.82140100000000005</c:v>
                </c:pt>
                <c:pt idx="983">
                  <c:v>0.82116999999999996</c:v>
                </c:pt>
                <c:pt idx="984">
                  <c:v>0.82094100000000003</c:v>
                </c:pt>
                <c:pt idx="985">
                  <c:v>0.820716</c:v>
                </c:pt>
                <c:pt idx="986">
                  <c:v>0.82049399999999995</c:v>
                </c:pt>
                <c:pt idx="987">
                  <c:v>0.82027499999999998</c:v>
                </c:pt>
                <c:pt idx="988">
                  <c:v>0.82005899999999998</c:v>
                </c:pt>
                <c:pt idx="989">
                  <c:v>0.81984699999999999</c:v>
                </c:pt>
                <c:pt idx="990">
                  <c:v>0.81963799999999998</c:v>
                </c:pt>
                <c:pt idx="991">
                  <c:v>0.81943299999999997</c:v>
                </c:pt>
                <c:pt idx="992">
                  <c:v>0.81923100000000004</c:v>
                </c:pt>
                <c:pt idx="993">
                  <c:v>0.81903199999999998</c:v>
                </c:pt>
                <c:pt idx="994">
                  <c:v>0.81883700000000004</c:v>
                </c:pt>
                <c:pt idx="995">
                  <c:v>0.81864400000000004</c:v>
                </c:pt>
                <c:pt idx="996">
                  <c:v>0.81845500000000004</c:v>
                </c:pt>
                <c:pt idx="997">
                  <c:v>0.81826900000000002</c:v>
                </c:pt>
                <c:pt idx="998">
                  <c:v>0.81808599999999998</c:v>
                </c:pt>
                <c:pt idx="999">
                  <c:v>0.81790600000000002</c:v>
                </c:pt>
                <c:pt idx="1000">
                  <c:v>0.81772900000000004</c:v>
                </c:pt>
                <c:pt idx="1001">
                  <c:v>0.817554</c:v>
                </c:pt>
                <c:pt idx="1002">
                  <c:v>0.81738200000000005</c:v>
                </c:pt>
                <c:pt idx="1003">
                  <c:v>0.81721299999999997</c:v>
                </c:pt>
                <c:pt idx="1004">
                  <c:v>0.81704600000000005</c:v>
                </c:pt>
                <c:pt idx="1005">
                  <c:v>0.81688099999999997</c:v>
                </c:pt>
                <c:pt idx="1006">
                  <c:v>0.81671899999999997</c:v>
                </c:pt>
                <c:pt idx="1007">
                  <c:v>0.81655900000000003</c:v>
                </c:pt>
                <c:pt idx="1008">
                  <c:v>0.81640199999999996</c:v>
                </c:pt>
                <c:pt idx="1009">
                  <c:v>0.81624600000000003</c:v>
                </c:pt>
                <c:pt idx="1010">
                  <c:v>0.81609299999999996</c:v>
                </c:pt>
                <c:pt idx="1011">
                  <c:v>0.81594100000000003</c:v>
                </c:pt>
                <c:pt idx="1012">
                  <c:v>0.81579199999999996</c:v>
                </c:pt>
                <c:pt idx="1013">
                  <c:v>0.81564499999999995</c:v>
                </c:pt>
                <c:pt idx="1014">
                  <c:v>0.81550100000000003</c:v>
                </c:pt>
                <c:pt idx="1015">
                  <c:v>0.81535800000000003</c:v>
                </c:pt>
                <c:pt idx="1016">
                  <c:v>0.81521900000000003</c:v>
                </c:pt>
                <c:pt idx="1017">
                  <c:v>0.81508100000000006</c:v>
                </c:pt>
                <c:pt idx="1018">
                  <c:v>0.81494599999999995</c:v>
                </c:pt>
                <c:pt idx="1019">
                  <c:v>0.81481400000000004</c:v>
                </c:pt>
                <c:pt idx="1020">
                  <c:v>0.81468399999999996</c:v>
                </c:pt>
                <c:pt idx="1021">
                  <c:v>0.814558</c:v>
                </c:pt>
                <c:pt idx="1022">
                  <c:v>0.81443500000000002</c:v>
                </c:pt>
                <c:pt idx="1023">
                  <c:v>0.81431500000000001</c:v>
                </c:pt>
                <c:pt idx="1024">
                  <c:v>0.81419900000000001</c:v>
                </c:pt>
                <c:pt idx="1025">
                  <c:v>0.81408700000000001</c:v>
                </c:pt>
                <c:pt idx="1026">
                  <c:v>0.81397799999999998</c:v>
                </c:pt>
                <c:pt idx="1027">
                  <c:v>0.81387399999999999</c:v>
                </c:pt>
                <c:pt idx="1028">
                  <c:v>0.81377500000000003</c:v>
                </c:pt>
                <c:pt idx="1029">
                  <c:v>0.81368099999999999</c:v>
                </c:pt>
                <c:pt idx="1030">
                  <c:v>0.81359099999999995</c:v>
                </c:pt>
                <c:pt idx="1031">
                  <c:v>0.81350800000000001</c:v>
                </c:pt>
                <c:pt idx="1032">
                  <c:v>0.81342999999999999</c:v>
                </c:pt>
                <c:pt idx="1033">
                  <c:v>0.81335800000000003</c:v>
                </c:pt>
                <c:pt idx="1034">
                  <c:v>0.81329200000000001</c:v>
                </c:pt>
                <c:pt idx="1035">
                  <c:v>0.81323400000000001</c:v>
                </c:pt>
                <c:pt idx="1036">
                  <c:v>0.81318199999999996</c:v>
                </c:pt>
                <c:pt idx="1037">
                  <c:v>0.81313800000000003</c:v>
                </c:pt>
                <c:pt idx="1038">
                  <c:v>0.81310099999999996</c:v>
                </c:pt>
                <c:pt idx="1039">
                  <c:v>0.81307200000000002</c:v>
                </c:pt>
                <c:pt idx="1040">
                  <c:v>0.813052</c:v>
                </c:pt>
                <c:pt idx="1041">
                  <c:v>0.81303999999999998</c:v>
                </c:pt>
                <c:pt idx="1042">
                  <c:v>0.81303700000000001</c:v>
                </c:pt>
                <c:pt idx="1043">
                  <c:v>0.81304200000000004</c:v>
                </c:pt>
                <c:pt idx="1044">
                  <c:v>0.81305700000000003</c:v>
                </c:pt>
                <c:pt idx="1045">
                  <c:v>0.81308199999999997</c:v>
                </c:pt>
                <c:pt idx="1046">
                  <c:v>0.81311599999999995</c:v>
                </c:pt>
                <c:pt idx="1047">
                  <c:v>0.81316100000000002</c:v>
                </c:pt>
                <c:pt idx="1048">
                  <c:v>0.81321500000000002</c:v>
                </c:pt>
                <c:pt idx="1049">
                  <c:v>0.81327899999999997</c:v>
                </c:pt>
                <c:pt idx="1050">
                  <c:v>0.81335400000000002</c:v>
                </c:pt>
                <c:pt idx="1051">
                  <c:v>0.81343900000000002</c:v>
                </c:pt>
                <c:pt idx="1052">
                  <c:v>0.81353399999999998</c:v>
                </c:pt>
                <c:pt idx="1053">
                  <c:v>0.81364000000000003</c:v>
                </c:pt>
                <c:pt idx="1054">
                  <c:v>0.81375600000000003</c:v>
                </c:pt>
                <c:pt idx="1055">
                  <c:v>0.81388300000000002</c:v>
                </c:pt>
                <c:pt idx="1056">
                  <c:v>0.81401999999999997</c:v>
                </c:pt>
                <c:pt idx="1057">
                  <c:v>0.81416699999999997</c:v>
                </c:pt>
                <c:pt idx="1058">
                  <c:v>0.81432400000000005</c:v>
                </c:pt>
                <c:pt idx="1059">
                  <c:v>0.81449099999999997</c:v>
                </c:pt>
                <c:pt idx="1060">
                  <c:v>0.81466799999999995</c:v>
                </c:pt>
                <c:pt idx="1061">
                  <c:v>0.814855</c:v>
                </c:pt>
                <c:pt idx="1062">
                  <c:v>0.81505000000000005</c:v>
                </c:pt>
                <c:pt idx="1063">
                  <c:v>0.81525400000000003</c:v>
                </c:pt>
                <c:pt idx="1064">
                  <c:v>0.81546700000000005</c:v>
                </c:pt>
                <c:pt idx="1065">
                  <c:v>0.815689</c:v>
                </c:pt>
                <c:pt idx="1066">
                  <c:v>0.81591800000000003</c:v>
                </c:pt>
                <c:pt idx="1067">
                  <c:v>0.81615400000000005</c:v>
                </c:pt>
                <c:pt idx="1068">
                  <c:v>0.81639799999999996</c:v>
                </c:pt>
                <c:pt idx="1069">
                  <c:v>0.81664800000000004</c:v>
                </c:pt>
                <c:pt idx="1070">
                  <c:v>0.81690399999999996</c:v>
                </c:pt>
                <c:pt idx="1071">
                  <c:v>0.81716500000000003</c:v>
                </c:pt>
                <c:pt idx="1072">
                  <c:v>0.81743100000000002</c:v>
                </c:pt>
                <c:pt idx="1073">
                  <c:v>0.81770200000000004</c:v>
                </c:pt>
                <c:pt idx="1074">
                  <c:v>0.81797600000000004</c:v>
                </c:pt>
                <c:pt idx="1075">
                  <c:v>0.81825400000000004</c:v>
                </c:pt>
                <c:pt idx="1076">
                  <c:v>0.81853399999999998</c:v>
                </c:pt>
                <c:pt idx="1077">
                  <c:v>0.81881599999999999</c:v>
                </c:pt>
                <c:pt idx="1078">
                  <c:v>0.81910000000000005</c:v>
                </c:pt>
                <c:pt idx="1079">
                  <c:v>0.819384</c:v>
                </c:pt>
                <c:pt idx="1080">
                  <c:v>0.81966799999999995</c:v>
                </c:pt>
                <c:pt idx="1081">
                  <c:v>0.81995099999999999</c:v>
                </c:pt>
                <c:pt idx="1082">
                  <c:v>0.82023299999999999</c:v>
                </c:pt>
                <c:pt idx="1083">
                  <c:v>0.82051300000000005</c:v>
                </c:pt>
                <c:pt idx="1084">
                  <c:v>0.82079000000000002</c:v>
                </c:pt>
                <c:pt idx="1085">
                  <c:v>0.82106500000000004</c:v>
                </c:pt>
                <c:pt idx="1086">
                  <c:v>0.82133500000000004</c:v>
                </c:pt>
                <c:pt idx="1087">
                  <c:v>0.8216</c:v>
                </c:pt>
                <c:pt idx="1088">
                  <c:v>0.82186000000000003</c:v>
                </c:pt>
                <c:pt idx="1089">
                  <c:v>0.82211500000000004</c:v>
                </c:pt>
                <c:pt idx="1090">
                  <c:v>0.82236299999999996</c:v>
                </c:pt>
                <c:pt idx="1091">
                  <c:v>0.822604</c:v>
                </c:pt>
                <c:pt idx="1092">
                  <c:v>0.82283700000000004</c:v>
                </c:pt>
                <c:pt idx="1093">
                  <c:v>0.82306199999999996</c:v>
                </c:pt>
                <c:pt idx="1094">
                  <c:v>0.82327899999999998</c:v>
                </c:pt>
                <c:pt idx="1095">
                  <c:v>0.82348600000000005</c:v>
                </c:pt>
                <c:pt idx="1096">
                  <c:v>0.82368399999999997</c:v>
                </c:pt>
                <c:pt idx="1097">
                  <c:v>0.82387200000000005</c:v>
                </c:pt>
                <c:pt idx="1098">
                  <c:v>0.82404900000000003</c:v>
                </c:pt>
                <c:pt idx="1099">
                  <c:v>0.82421500000000003</c:v>
                </c:pt>
                <c:pt idx="1100">
                  <c:v>0.82437000000000005</c:v>
                </c:pt>
                <c:pt idx="1101">
                  <c:v>0.82451300000000005</c:v>
                </c:pt>
                <c:pt idx="1102">
                  <c:v>0.82464499999999996</c:v>
                </c:pt>
                <c:pt idx="1103">
                  <c:v>0.82476400000000005</c:v>
                </c:pt>
                <c:pt idx="1104">
                  <c:v>0.82487100000000002</c:v>
                </c:pt>
                <c:pt idx="1105">
                  <c:v>0.82496499999999995</c:v>
                </c:pt>
                <c:pt idx="1106">
                  <c:v>0.82504699999999997</c:v>
                </c:pt>
                <c:pt idx="1107">
                  <c:v>0.82511599999999996</c:v>
                </c:pt>
                <c:pt idx="1108">
                  <c:v>0.82517200000000002</c:v>
                </c:pt>
                <c:pt idx="1109">
                  <c:v>0.82521500000000003</c:v>
                </c:pt>
                <c:pt idx="1110">
                  <c:v>0.82524500000000001</c:v>
                </c:pt>
                <c:pt idx="1111">
                  <c:v>0.82526100000000002</c:v>
                </c:pt>
                <c:pt idx="1112">
                  <c:v>0.82526500000000003</c:v>
                </c:pt>
                <c:pt idx="1113">
                  <c:v>0.82525599999999999</c:v>
                </c:pt>
                <c:pt idx="1114">
                  <c:v>0.82523500000000005</c:v>
                </c:pt>
                <c:pt idx="1115">
                  <c:v>0.82520000000000004</c:v>
                </c:pt>
                <c:pt idx="1116">
                  <c:v>0.82515300000000003</c:v>
                </c:pt>
                <c:pt idx="1117">
                  <c:v>0.82509399999999999</c:v>
                </c:pt>
                <c:pt idx="1118">
                  <c:v>0.82502299999999995</c:v>
                </c:pt>
                <c:pt idx="1119">
                  <c:v>0.82494000000000001</c:v>
                </c:pt>
                <c:pt idx="1120">
                  <c:v>0.82484599999999997</c:v>
                </c:pt>
                <c:pt idx="1121">
                  <c:v>0.82474099999999995</c:v>
                </c:pt>
                <c:pt idx="1122">
                  <c:v>0.82462400000000002</c:v>
                </c:pt>
                <c:pt idx="1123">
                  <c:v>0.82449799999999995</c:v>
                </c:pt>
                <c:pt idx="1124">
                  <c:v>0.82436100000000001</c:v>
                </c:pt>
                <c:pt idx="1125">
                  <c:v>0.82421500000000003</c:v>
                </c:pt>
                <c:pt idx="1126">
                  <c:v>0.82406000000000001</c:v>
                </c:pt>
                <c:pt idx="1127">
                  <c:v>0.82389599999999996</c:v>
                </c:pt>
                <c:pt idx="1128">
                  <c:v>0.82372299999999998</c:v>
                </c:pt>
                <c:pt idx="1129">
                  <c:v>0.82354300000000003</c:v>
                </c:pt>
                <c:pt idx="1130">
                  <c:v>0.82335599999999998</c:v>
                </c:pt>
                <c:pt idx="1131">
                  <c:v>0.82316100000000003</c:v>
                </c:pt>
                <c:pt idx="1132">
                  <c:v>0.82296100000000005</c:v>
                </c:pt>
                <c:pt idx="1133">
                  <c:v>0.82275500000000001</c:v>
                </c:pt>
                <c:pt idx="1134">
                  <c:v>0.82254300000000002</c:v>
                </c:pt>
                <c:pt idx="1135">
                  <c:v>0.82232700000000003</c:v>
                </c:pt>
                <c:pt idx="1136">
                  <c:v>0.822106</c:v>
                </c:pt>
                <c:pt idx="1137">
                  <c:v>0.821882</c:v>
                </c:pt>
                <c:pt idx="1138">
                  <c:v>0.82165500000000002</c:v>
                </c:pt>
                <c:pt idx="1139">
                  <c:v>0.82142499999999996</c:v>
                </c:pt>
                <c:pt idx="1140">
                  <c:v>0.82119299999999995</c:v>
                </c:pt>
                <c:pt idx="1141">
                  <c:v>0.82095899999999999</c:v>
                </c:pt>
                <c:pt idx="1142">
                  <c:v>0.82072400000000001</c:v>
                </c:pt>
                <c:pt idx="1143">
                  <c:v>0.82048900000000002</c:v>
                </c:pt>
                <c:pt idx="1144">
                  <c:v>0.82025400000000004</c:v>
                </c:pt>
                <c:pt idx="1145">
                  <c:v>0.82001900000000005</c:v>
                </c:pt>
                <c:pt idx="1146">
                  <c:v>0.81978499999999999</c:v>
                </c:pt>
                <c:pt idx="1147">
                  <c:v>0.81955199999999995</c:v>
                </c:pt>
                <c:pt idx="1148">
                  <c:v>0.81932099999999997</c:v>
                </c:pt>
                <c:pt idx="1149">
                  <c:v>0.81909299999999996</c:v>
                </c:pt>
                <c:pt idx="1150">
                  <c:v>0.81886700000000001</c:v>
                </c:pt>
                <c:pt idx="1151">
                  <c:v>0.81864400000000004</c:v>
                </c:pt>
                <c:pt idx="1152">
                  <c:v>0.81842400000000004</c:v>
                </c:pt>
                <c:pt idx="1153">
                  <c:v>0.81820800000000005</c:v>
                </c:pt>
                <c:pt idx="1154">
                  <c:v>0.81799699999999997</c:v>
                </c:pt>
                <c:pt idx="1155">
                  <c:v>0.81778899999999999</c:v>
                </c:pt>
                <c:pt idx="1156">
                  <c:v>0.81758699999999995</c:v>
                </c:pt>
                <c:pt idx="1157">
                  <c:v>0.81738999999999995</c:v>
                </c:pt>
                <c:pt idx="1158">
                  <c:v>0.81719799999999998</c:v>
                </c:pt>
                <c:pt idx="1159">
                  <c:v>0.81701100000000004</c:v>
                </c:pt>
                <c:pt idx="1160">
                  <c:v>0.81683099999999997</c:v>
                </c:pt>
                <c:pt idx="1161">
                  <c:v>0.81665600000000005</c:v>
                </c:pt>
                <c:pt idx="1162">
                  <c:v>0.81648799999999999</c:v>
                </c:pt>
                <c:pt idx="1163">
                  <c:v>0.816326</c:v>
                </c:pt>
                <c:pt idx="1164">
                  <c:v>0.81617099999999998</c:v>
                </c:pt>
                <c:pt idx="1165">
                  <c:v>0.81602300000000005</c:v>
                </c:pt>
                <c:pt idx="1166">
                  <c:v>0.815882</c:v>
                </c:pt>
                <c:pt idx="1167">
                  <c:v>0.815747</c:v>
                </c:pt>
                <c:pt idx="1168">
                  <c:v>0.81562000000000001</c:v>
                </c:pt>
                <c:pt idx="1169">
                  <c:v>0.8155</c:v>
                </c:pt>
                <c:pt idx="1170">
                  <c:v>0.81538699999999997</c:v>
                </c:pt>
                <c:pt idx="1171">
                  <c:v>0.81528199999999995</c:v>
                </c:pt>
                <c:pt idx="1172">
                  <c:v>0.81518400000000002</c:v>
                </c:pt>
                <c:pt idx="1173">
                  <c:v>0.81509299999999996</c:v>
                </c:pt>
                <c:pt idx="1174">
                  <c:v>0.81501000000000001</c:v>
                </c:pt>
                <c:pt idx="1175">
                  <c:v>0.81493400000000005</c:v>
                </c:pt>
                <c:pt idx="1176">
                  <c:v>0.81486499999999995</c:v>
                </c:pt>
                <c:pt idx="1177">
                  <c:v>0.81480399999999997</c:v>
                </c:pt>
                <c:pt idx="1178">
                  <c:v>0.81474999999999997</c:v>
                </c:pt>
                <c:pt idx="1179">
                  <c:v>0.81470299999999995</c:v>
                </c:pt>
                <c:pt idx="1180">
                  <c:v>0.81466400000000005</c:v>
                </c:pt>
                <c:pt idx="1181">
                  <c:v>0.81463099999999999</c:v>
                </c:pt>
                <c:pt idx="1182">
                  <c:v>0.81460600000000005</c:v>
                </c:pt>
                <c:pt idx="1183">
                  <c:v>0.81458799999999998</c:v>
                </c:pt>
                <c:pt idx="1184">
                  <c:v>0.81457599999999997</c:v>
                </c:pt>
                <c:pt idx="1185">
                  <c:v>0.81457199999999996</c:v>
                </c:pt>
                <c:pt idx="1186">
                  <c:v>0.81457400000000002</c:v>
                </c:pt>
                <c:pt idx="1187">
                  <c:v>0.81458200000000003</c:v>
                </c:pt>
                <c:pt idx="1188">
                  <c:v>0.81459700000000002</c:v>
                </c:pt>
                <c:pt idx="1189">
                  <c:v>0.81461799999999995</c:v>
                </c:pt>
                <c:pt idx="1190">
                  <c:v>0.81464599999999998</c:v>
                </c:pt>
                <c:pt idx="1191">
                  <c:v>0.81467999999999996</c:v>
                </c:pt>
                <c:pt idx="1192">
                  <c:v>0.81471899999999997</c:v>
                </c:pt>
                <c:pt idx="1193">
                  <c:v>0.81476400000000004</c:v>
                </c:pt>
                <c:pt idx="1194">
                  <c:v>0.81481499999999996</c:v>
                </c:pt>
                <c:pt idx="1195">
                  <c:v>0.81487200000000004</c:v>
                </c:pt>
                <c:pt idx="1196">
                  <c:v>0.81493400000000005</c:v>
                </c:pt>
                <c:pt idx="1197">
                  <c:v>0.81500099999999998</c:v>
                </c:pt>
                <c:pt idx="1198">
                  <c:v>0.81507300000000005</c:v>
                </c:pt>
                <c:pt idx="1199">
                  <c:v>0.81515000000000004</c:v>
                </c:pt>
                <c:pt idx="1200">
                  <c:v>0.81523199999999996</c:v>
                </c:pt>
                <c:pt idx="1201">
                  <c:v>0.81531900000000002</c:v>
                </c:pt>
                <c:pt idx="1202">
                  <c:v>0.81540999999999997</c:v>
                </c:pt>
                <c:pt idx="1203">
                  <c:v>0.81550500000000004</c:v>
                </c:pt>
                <c:pt idx="1204">
                  <c:v>0.815604</c:v>
                </c:pt>
                <c:pt idx="1205">
                  <c:v>0.81570799999999999</c:v>
                </c:pt>
                <c:pt idx="1206">
                  <c:v>0.81581499999999996</c:v>
                </c:pt>
                <c:pt idx="1207">
                  <c:v>0.81592600000000004</c:v>
                </c:pt>
                <c:pt idx="1208">
                  <c:v>0.81603999999999999</c:v>
                </c:pt>
                <c:pt idx="1209">
                  <c:v>0.81615800000000005</c:v>
                </c:pt>
                <c:pt idx="1210">
                  <c:v>0.81627899999999998</c:v>
                </c:pt>
                <c:pt idx="1211">
                  <c:v>0.81640299999999999</c:v>
                </c:pt>
                <c:pt idx="1212">
                  <c:v>0.81652899999999995</c:v>
                </c:pt>
                <c:pt idx="1213">
                  <c:v>0.81665900000000002</c:v>
                </c:pt>
                <c:pt idx="1214">
                  <c:v>0.81679000000000002</c:v>
                </c:pt>
                <c:pt idx="1215">
                  <c:v>0.81692500000000001</c:v>
                </c:pt>
                <c:pt idx="1216">
                  <c:v>0.81706100000000004</c:v>
                </c:pt>
                <c:pt idx="1217">
                  <c:v>0.81719900000000001</c:v>
                </c:pt>
                <c:pt idx="1218">
                  <c:v>0.81733900000000004</c:v>
                </c:pt>
                <c:pt idx="1219">
                  <c:v>0.81748100000000001</c:v>
                </c:pt>
                <c:pt idx="1220">
                  <c:v>0.81762400000000002</c:v>
                </c:pt>
                <c:pt idx="1221">
                  <c:v>0.81776800000000005</c:v>
                </c:pt>
                <c:pt idx="1222">
                  <c:v>0.81791400000000003</c:v>
                </c:pt>
                <c:pt idx="1223">
                  <c:v>0.81806000000000001</c:v>
                </c:pt>
                <c:pt idx="1224">
                  <c:v>0.81820700000000002</c:v>
                </c:pt>
                <c:pt idx="1225">
                  <c:v>0.81835400000000003</c:v>
                </c:pt>
                <c:pt idx="1226">
                  <c:v>0.81850199999999995</c:v>
                </c:pt>
                <c:pt idx="1227">
                  <c:v>0.81864999999999999</c:v>
                </c:pt>
                <c:pt idx="1228">
                  <c:v>0.818797</c:v>
                </c:pt>
                <c:pt idx="1229">
                  <c:v>0.81894500000000003</c:v>
                </c:pt>
                <c:pt idx="1230">
                  <c:v>0.81909200000000004</c:v>
                </c:pt>
                <c:pt idx="1231">
                  <c:v>0.81923800000000002</c:v>
                </c:pt>
                <c:pt idx="1232">
                  <c:v>0.81938299999999997</c:v>
                </c:pt>
                <c:pt idx="1233">
                  <c:v>0.81952700000000001</c:v>
                </c:pt>
                <c:pt idx="1234">
                  <c:v>0.81967000000000001</c:v>
                </c:pt>
                <c:pt idx="1235">
                  <c:v>0.81981199999999999</c:v>
                </c:pt>
                <c:pt idx="1236">
                  <c:v>0.81995200000000001</c:v>
                </c:pt>
                <c:pt idx="1237">
                  <c:v>0.82008999999999999</c:v>
                </c:pt>
                <c:pt idx="1238">
                  <c:v>0.82022499999999998</c:v>
                </c:pt>
                <c:pt idx="1239">
                  <c:v>0.82035899999999995</c:v>
                </c:pt>
                <c:pt idx="1240">
                  <c:v>0.82049000000000005</c:v>
                </c:pt>
                <c:pt idx="1241">
                  <c:v>0.82061799999999996</c:v>
                </c:pt>
                <c:pt idx="1242">
                  <c:v>0.82074400000000003</c:v>
                </c:pt>
                <c:pt idx="1243">
                  <c:v>0.82086599999999998</c:v>
                </c:pt>
                <c:pt idx="1244">
                  <c:v>0.82098499999999996</c:v>
                </c:pt>
                <c:pt idx="1245">
                  <c:v>0.82110099999999997</c:v>
                </c:pt>
                <c:pt idx="1246">
                  <c:v>0.82121299999999997</c:v>
                </c:pt>
                <c:pt idx="1247">
                  <c:v>0.821322</c:v>
                </c:pt>
                <c:pt idx="1248">
                  <c:v>0.82142599999999999</c:v>
                </c:pt>
                <c:pt idx="1249">
                  <c:v>0.82152599999999998</c:v>
                </c:pt>
                <c:pt idx="1250">
                  <c:v>0.82162199999999996</c:v>
                </c:pt>
                <c:pt idx="1251">
                  <c:v>0.82171400000000006</c:v>
                </c:pt>
                <c:pt idx="1252">
                  <c:v>0.821801</c:v>
                </c:pt>
                <c:pt idx="1253">
                  <c:v>0.82188300000000003</c:v>
                </c:pt>
                <c:pt idx="1254">
                  <c:v>0.82196000000000002</c:v>
                </c:pt>
                <c:pt idx="1255">
                  <c:v>0.82203199999999998</c:v>
                </c:pt>
                <c:pt idx="1256">
                  <c:v>0.82210000000000005</c:v>
                </c:pt>
                <c:pt idx="1257">
                  <c:v>0.82216199999999995</c:v>
                </c:pt>
                <c:pt idx="1258">
                  <c:v>0.822218</c:v>
                </c:pt>
                <c:pt idx="1259">
                  <c:v>0.82226999999999995</c:v>
                </c:pt>
                <c:pt idx="1260">
                  <c:v>0.82231500000000002</c:v>
                </c:pt>
                <c:pt idx="1261">
                  <c:v>0.82235599999999998</c:v>
                </c:pt>
                <c:pt idx="1262">
                  <c:v>0.82238999999999995</c:v>
                </c:pt>
                <c:pt idx="1263">
                  <c:v>0.82241900000000001</c:v>
                </c:pt>
                <c:pt idx="1264">
                  <c:v>0.82244300000000004</c:v>
                </c:pt>
                <c:pt idx="1265">
                  <c:v>0.82245999999999997</c:v>
                </c:pt>
                <c:pt idx="1266">
                  <c:v>0.82247199999999998</c:v>
                </c:pt>
                <c:pt idx="1267">
                  <c:v>0.82247800000000004</c:v>
                </c:pt>
                <c:pt idx="1268">
                  <c:v>0.82247899999999996</c:v>
                </c:pt>
                <c:pt idx="1269">
                  <c:v>0.82247300000000001</c:v>
                </c:pt>
                <c:pt idx="1270">
                  <c:v>0.82246200000000003</c:v>
                </c:pt>
                <c:pt idx="1271">
                  <c:v>0.82244600000000001</c:v>
                </c:pt>
                <c:pt idx="1272">
                  <c:v>0.82242400000000004</c:v>
                </c:pt>
                <c:pt idx="1273">
                  <c:v>0.82239600000000002</c:v>
                </c:pt>
                <c:pt idx="1274">
                  <c:v>0.82236299999999996</c:v>
                </c:pt>
                <c:pt idx="1275">
                  <c:v>0.82232400000000005</c:v>
                </c:pt>
                <c:pt idx="1276">
                  <c:v>0.82228000000000001</c:v>
                </c:pt>
                <c:pt idx="1277">
                  <c:v>0.82223100000000005</c:v>
                </c:pt>
                <c:pt idx="1278">
                  <c:v>0.82217700000000005</c:v>
                </c:pt>
                <c:pt idx="1279">
                  <c:v>0.82211800000000002</c:v>
                </c:pt>
                <c:pt idx="1280">
                  <c:v>0.82205399999999995</c:v>
                </c:pt>
                <c:pt idx="1281">
                  <c:v>0.82198599999999999</c:v>
                </c:pt>
                <c:pt idx="1282">
                  <c:v>0.821913</c:v>
                </c:pt>
                <c:pt idx="1283">
                  <c:v>0.82183499999999998</c:v>
                </c:pt>
                <c:pt idx="1284">
                  <c:v>0.82175399999999998</c:v>
                </c:pt>
                <c:pt idx="1285">
                  <c:v>0.82166799999999995</c:v>
                </c:pt>
                <c:pt idx="1286">
                  <c:v>0.82157899999999995</c:v>
                </c:pt>
                <c:pt idx="1287">
                  <c:v>0.82148600000000005</c:v>
                </c:pt>
                <c:pt idx="1288">
                  <c:v>0.82138900000000004</c:v>
                </c:pt>
                <c:pt idx="1289">
                  <c:v>0.82128999999999996</c:v>
                </c:pt>
                <c:pt idx="1290">
                  <c:v>0.821187</c:v>
                </c:pt>
                <c:pt idx="1291">
                  <c:v>0.82108199999999998</c:v>
                </c:pt>
                <c:pt idx="1292">
                  <c:v>0.82097299999999995</c:v>
                </c:pt>
                <c:pt idx="1293">
                  <c:v>0.82086300000000001</c:v>
                </c:pt>
                <c:pt idx="1294">
                  <c:v>0.82074999999999998</c:v>
                </c:pt>
                <c:pt idx="1295">
                  <c:v>0.82063600000000003</c:v>
                </c:pt>
                <c:pt idx="1296">
                  <c:v>0.820519</c:v>
                </c:pt>
                <c:pt idx="1297">
                  <c:v>0.82040199999999996</c:v>
                </c:pt>
                <c:pt idx="1298">
                  <c:v>0.82028199999999996</c:v>
                </c:pt>
                <c:pt idx="1299">
                  <c:v>0.82016199999999995</c:v>
                </c:pt>
                <c:pt idx="1300">
                  <c:v>0.82004100000000002</c:v>
                </c:pt>
                <c:pt idx="1301">
                  <c:v>0.81991999999999998</c:v>
                </c:pt>
                <c:pt idx="1302">
                  <c:v>0.819797</c:v>
                </c:pt>
                <c:pt idx="1303">
                  <c:v>0.81967500000000004</c:v>
                </c:pt>
                <c:pt idx="1304">
                  <c:v>0.81955299999999998</c:v>
                </c:pt>
                <c:pt idx="1305">
                  <c:v>0.81943100000000002</c:v>
                </c:pt>
                <c:pt idx="1306">
                  <c:v>0.81930999999999998</c:v>
                </c:pt>
                <c:pt idx="1307">
                  <c:v>0.81918899999999994</c:v>
                </c:pt>
                <c:pt idx="1308">
                  <c:v>0.81906900000000005</c:v>
                </c:pt>
                <c:pt idx="1309">
                  <c:v>0.81894999999999996</c:v>
                </c:pt>
                <c:pt idx="1310">
                  <c:v>0.818832</c:v>
                </c:pt>
                <c:pt idx="1311">
                  <c:v>0.818716</c:v>
                </c:pt>
                <c:pt idx="1312">
                  <c:v>0.81860200000000005</c:v>
                </c:pt>
                <c:pt idx="1313">
                  <c:v>0.81848900000000002</c:v>
                </c:pt>
                <c:pt idx="1314">
                  <c:v>0.81837800000000005</c:v>
                </c:pt>
                <c:pt idx="1315">
                  <c:v>0.81826900000000002</c:v>
                </c:pt>
                <c:pt idx="1316">
                  <c:v>0.81816299999999997</c:v>
                </c:pt>
                <c:pt idx="1317">
                  <c:v>0.81805799999999995</c:v>
                </c:pt>
                <c:pt idx="1318">
                  <c:v>0.81795700000000005</c:v>
                </c:pt>
                <c:pt idx="1319">
                  <c:v>0.81785799999999997</c:v>
                </c:pt>
                <c:pt idx="1320">
                  <c:v>0.81776199999999999</c:v>
                </c:pt>
                <c:pt idx="1321">
                  <c:v>0.81766899999999998</c:v>
                </c:pt>
                <c:pt idx="1322">
                  <c:v>0.81757899999999994</c:v>
                </c:pt>
                <c:pt idx="1323">
                  <c:v>0.817492</c:v>
                </c:pt>
                <c:pt idx="1324">
                  <c:v>0.81740800000000002</c:v>
                </c:pt>
                <c:pt idx="1325">
                  <c:v>0.81732800000000005</c:v>
                </c:pt>
                <c:pt idx="1326">
                  <c:v>0.81725099999999995</c:v>
                </c:pt>
                <c:pt idx="1327">
                  <c:v>0.81717700000000004</c:v>
                </c:pt>
                <c:pt idx="1328">
                  <c:v>0.81710700000000003</c:v>
                </c:pt>
                <c:pt idx="1329">
                  <c:v>0.81704100000000002</c:v>
                </c:pt>
                <c:pt idx="1330">
                  <c:v>0.81697799999999998</c:v>
                </c:pt>
                <c:pt idx="1331">
                  <c:v>0.81691899999999995</c:v>
                </c:pt>
                <c:pt idx="1332">
                  <c:v>0.81686400000000003</c:v>
                </c:pt>
                <c:pt idx="1333">
                  <c:v>0.81681199999999998</c:v>
                </c:pt>
                <c:pt idx="1334">
                  <c:v>0.81676499999999996</c:v>
                </c:pt>
                <c:pt idx="1335">
                  <c:v>0.81672100000000003</c:v>
                </c:pt>
                <c:pt idx="1336">
                  <c:v>0.81668099999999999</c:v>
                </c:pt>
                <c:pt idx="1337">
                  <c:v>0.81664499999999995</c:v>
                </c:pt>
                <c:pt idx="1338">
                  <c:v>0.816612</c:v>
                </c:pt>
                <c:pt idx="1339">
                  <c:v>0.81658399999999998</c:v>
                </c:pt>
                <c:pt idx="1340">
                  <c:v>0.81655900000000003</c:v>
                </c:pt>
                <c:pt idx="1341">
                  <c:v>0.81653799999999999</c:v>
                </c:pt>
                <c:pt idx="1342">
                  <c:v>0.81652100000000005</c:v>
                </c:pt>
                <c:pt idx="1343">
                  <c:v>0.81650800000000001</c:v>
                </c:pt>
                <c:pt idx="1344">
                  <c:v>0.81649899999999997</c:v>
                </c:pt>
                <c:pt idx="1345">
                  <c:v>0.81649300000000002</c:v>
                </c:pt>
                <c:pt idx="1346">
                  <c:v>0.81649099999999997</c:v>
                </c:pt>
                <c:pt idx="1347">
                  <c:v>0.81649300000000002</c:v>
                </c:pt>
                <c:pt idx="1348">
                  <c:v>0.81649799999999995</c:v>
                </c:pt>
                <c:pt idx="1349">
                  <c:v>0.81650800000000001</c:v>
                </c:pt>
                <c:pt idx="1350">
                  <c:v>0.81652000000000002</c:v>
                </c:pt>
                <c:pt idx="1351">
                  <c:v>0.81653600000000004</c:v>
                </c:pt>
                <c:pt idx="1352">
                  <c:v>0.81655599999999995</c:v>
                </c:pt>
                <c:pt idx="1353">
                  <c:v>0.81657900000000005</c:v>
                </c:pt>
                <c:pt idx="1354">
                  <c:v>0.81660600000000005</c:v>
                </c:pt>
                <c:pt idx="1355">
                  <c:v>0.81663600000000003</c:v>
                </c:pt>
                <c:pt idx="1356">
                  <c:v>0.81666899999999998</c:v>
                </c:pt>
                <c:pt idx="1357">
                  <c:v>0.81670500000000001</c:v>
                </c:pt>
                <c:pt idx="1358">
                  <c:v>0.81674500000000005</c:v>
                </c:pt>
                <c:pt idx="1359">
                  <c:v>0.81678799999999996</c:v>
                </c:pt>
                <c:pt idx="1360">
                  <c:v>0.81683300000000003</c:v>
                </c:pt>
                <c:pt idx="1361">
                  <c:v>0.816882</c:v>
                </c:pt>
                <c:pt idx="1362">
                  <c:v>0.81693400000000005</c:v>
                </c:pt>
                <c:pt idx="1363">
                  <c:v>0.81698899999999997</c:v>
                </c:pt>
                <c:pt idx="1364">
                  <c:v>0.81704600000000005</c:v>
                </c:pt>
                <c:pt idx="1365">
                  <c:v>0.817106</c:v>
                </c:pt>
                <c:pt idx="1366">
                  <c:v>0.81716900000000003</c:v>
                </c:pt>
                <c:pt idx="1367">
                  <c:v>0.81723400000000002</c:v>
                </c:pt>
                <c:pt idx="1368">
                  <c:v>0.81730199999999997</c:v>
                </c:pt>
                <c:pt idx="1369">
                  <c:v>0.81737300000000002</c:v>
                </c:pt>
                <c:pt idx="1370">
                  <c:v>0.81744600000000001</c:v>
                </c:pt>
                <c:pt idx="1371">
                  <c:v>0.81752100000000005</c:v>
                </c:pt>
                <c:pt idx="1372">
                  <c:v>0.81759800000000005</c:v>
                </c:pt>
                <c:pt idx="1373">
                  <c:v>0.81767800000000002</c:v>
                </c:pt>
                <c:pt idx="1374">
                  <c:v>0.81775900000000001</c:v>
                </c:pt>
                <c:pt idx="1375">
                  <c:v>0.81784299999999999</c:v>
                </c:pt>
                <c:pt idx="1376">
                  <c:v>0.81792799999999999</c:v>
                </c:pt>
                <c:pt idx="1377">
                  <c:v>0.81801500000000005</c:v>
                </c:pt>
                <c:pt idx="1378">
                  <c:v>0.81810400000000005</c:v>
                </c:pt>
                <c:pt idx="1379">
                  <c:v>0.81819399999999998</c:v>
                </c:pt>
                <c:pt idx="1380">
                  <c:v>0.81828599999999996</c:v>
                </c:pt>
                <c:pt idx="1381">
                  <c:v>0.81837899999999997</c:v>
                </c:pt>
                <c:pt idx="1382">
                  <c:v>0.81847300000000001</c:v>
                </c:pt>
                <c:pt idx="1383">
                  <c:v>0.81856799999999996</c:v>
                </c:pt>
                <c:pt idx="1384">
                  <c:v>0.81866499999999998</c:v>
                </c:pt>
                <c:pt idx="1385">
                  <c:v>0.81876199999999999</c:v>
                </c:pt>
                <c:pt idx="1386">
                  <c:v>0.81886000000000003</c:v>
                </c:pt>
                <c:pt idx="1387">
                  <c:v>0.81895899999999999</c:v>
                </c:pt>
                <c:pt idx="1388">
                  <c:v>0.81905799999999995</c:v>
                </c:pt>
                <c:pt idx="1389">
                  <c:v>0.81915800000000005</c:v>
                </c:pt>
                <c:pt idx="1390">
                  <c:v>0.81925700000000001</c:v>
                </c:pt>
                <c:pt idx="1391">
                  <c:v>0.819357</c:v>
                </c:pt>
                <c:pt idx="1392">
                  <c:v>0.81945699999999999</c:v>
                </c:pt>
                <c:pt idx="1393">
                  <c:v>0.81955699999999998</c:v>
                </c:pt>
                <c:pt idx="1394">
                  <c:v>0.81965600000000005</c:v>
                </c:pt>
                <c:pt idx="1395">
                  <c:v>0.81975500000000001</c:v>
                </c:pt>
                <c:pt idx="1396">
                  <c:v>0.81985300000000005</c:v>
                </c:pt>
                <c:pt idx="1397">
                  <c:v>0.81994999999999996</c:v>
                </c:pt>
                <c:pt idx="1398">
                  <c:v>0.82004600000000005</c:v>
                </c:pt>
                <c:pt idx="1399">
                  <c:v>0.82014100000000001</c:v>
                </c:pt>
                <c:pt idx="1400">
                  <c:v>0.82023500000000005</c:v>
                </c:pt>
                <c:pt idx="1401">
                  <c:v>0.82032700000000003</c:v>
                </c:pt>
                <c:pt idx="1402">
                  <c:v>0.82041799999999998</c:v>
                </c:pt>
                <c:pt idx="1403">
                  <c:v>0.82050599999999996</c:v>
                </c:pt>
                <c:pt idx="1404">
                  <c:v>0.82059300000000002</c:v>
                </c:pt>
                <c:pt idx="1405">
                  <c:v>0.82067800000000002</c:v>
                </c:pt>
                <c:pt idx="1406">
                  <c:v>0.82076000000000005</c:v>
                </c:pt>
                <c:pt idx="1407">
                  <c:v>0.82084000000000001</c:v>
                </c:pt>
                <c:pt idx="1408">
                  <c:v>0.82091800000000004</c:v>
                </c:pt>
                <c:pt idx="1409">
                  <c:v>0.82099200000000006</c:v>
                </c:pt>
                <c:pt idx="1410">
                  <c:v>0.82106400000000002</c:v>
                </c:pt>
                <c:pt idx="1411">
                  <c:v>0.82113199999999997</c:v>
                </c:pt>
                <c:pt idx="1412">
                  <c:v>0.82119799999999998</c:v>
                </c:pt>
                <c:pt idx="1413">
                  <c:v>0.82125999999999999</c:v>
                </c:pt>
                <c:pt idx="1414">
                  <c:v>0.82131799999999999</c:v>
                </c:pt>
                <c:pt idx="1415">
                  <c:v>0.82137300000000002</c:v>
                </c:pt>
                <c:pt idx="1416">
                  <c:v>0.82142400000000004</c:v>
                </c:pt>
                <c:pt idx="1417">
                  <c:v>0.82147099999999995</c:v>
                </c:pt>
                <c:pt idx="1418">
                  <c:v>0.82151399999999997</c:v>
                </c:pt>
                <c:pt idx="1419">
                  <c:v>0.82155299999999998</c:v>
                </c:pt>
                <c:pt idx="1420">
                  <c:v>0.82158799999999998</c:v>
                </c:pt>
                <c:pt idx="1421">
                  <c:v>0.82161899999999999</c:v>
                </c:pt>
                <c:pt idx="1422">
                  <c:v>0.82164499999999996</c:v>
                </c:pt>
                <c:pt idx="1423">
                  <c:v>0.82166600000000001</c:v>
                </c:pt>
                <c:pt idx="1424">
                  <c:v>0.82168300000000005</c:v>
                </c:pt>
                <c:pt idx="1425">
                  <c:v>0.82169599999999998</c:v>
                </c:pt>
                <c:pt idx="1426">
                  <c:v>0.82170299999999996</c:v>
                </c:pt>
                <c:pt idx="1427">
                  <c:v>0.82170600000000005</c:v>
                </c:pt>
                <c:pt idx="1428">
                  <c:v>0.82170399999999999</c:v>
                </c:pt>
                <c:pt idx="1429">
                  <c:v>0.82169800000000004</c:v>
                </c:pt>
                <c:pt idx="1430">
                  <c:v>0.82168699999999995</c:v>
                </c:pt>
                <c:pt idx="1431">
                  <c:v>0.82167100000000004</c:v>
                </c:pt>
                <c:pt idx="1432">
                  <c:v>0.82164999999999999</c:v>
                </c:pt>
                <c:pt idx="1433">
                  <c:v>0.82162400000000002</c:v>
                </c:pt>
                <c:pt idx="1434">
                  <c:v>0.82159400000000005</c:v>
                </c:pt>
                <c:pt idx="1435">
                  <c:v>0.82155900000000004</c:v>
                </c:pt>
                <c:pt idx="1436">
                  <c:v>0.82152000000000003</c:v>
                </c:pt>
                <c:pt idx="1437">
                  <c:v>0.82147599999999998</c:v>
                </c:pt>
                <c:pt idx="1438">
                  <c:v>0.82142800000000005</c:v>
                </c:pt>
                <c:pt idx="1439">
                  <c:v>0.82137499999999997</c:v>
                </c:pt>
                <c:pt idx="1440">
                  <c:v>0.82131799999999999</c:v>
                </c:pt>
                <c:pt idx="1441">
                  <c:v>0.82125700000000001</c:v>
                </c:pt>
                <c:pt idx="1442">
                  <c:v>0.82119200000000003</c:v>
                </c:pt>
                <c:pt idx="1443">
                  <c:v>0.82112300000000005</c:v>
                </c:pt>
                <c:pt idx="1444">
                  <c:v>0.82104999999999995</c:v>
                </c:pt>
                <c:pt idx="1445">
                  <c:v>0.82097399999999998</c:v>
                </c:pt>
                <c:pt idx="1446">
                  <c:v>0.82089500000000004</c:v>
                </c:pt>
                <c:pt idx="1447">
                  <c:v>0.82081199999999999</c:v>
                </c:pt>
                <c:pt idx="1448">
                  <c:v>0.82072599999999996</c:v>
                </c:pt>
                <c:pt idx="1449">
                  <c:v>0.82063799999999998</c:v>
                </c:pt>
                <c:pt idx="1450">
                  <c:v>0.820546</c:v>
                </c:pt>
                <c:pt idx="1451">
                  <c:v>0.82045299999999999</c:v>
                </c:pt>
                <c:pt idx="1452">
                  <c:v>0.820357</c:v>
                </c:pt>
                <c:pt idx="1453">
                  <c:v>0.82025899999999996</c:v>
                </c:pt>
                <c:pt idx="1454">
                  <c:v>0.82015899999999997</c:v>
                </c:pt>
                <c:pt idx="1455">
                  <c:v>0.82005799999999995</c:v>
                </c:pt>
                <c:pt idx="1456">
                  <c:v>0.81995499999999999</c:v>
                </c:pt>
                <c:pt idx="1457">
                  <c:v>0.819851</c:v>
                </c:pt>
                <c:pt idx="1458">
                  <c:v>0.819747</c:v>
                </c:pt>
                <c:pt idx="1459">
                  <c:v>0.81964199999999998</c:v>
                </c:pt>
                <c:pt idx="1460">
                  <c:v>0.81953600000000004</c:v>
                </c:pt>
                <c:pt idx="1461">
                  <c:v>0.81943100000000002</c:v>
                </c:pt>
                <c:pt idx="1462">
                  <c:v>0.81932499999999997</c:v>
                </c:pt>
                <c:pt idx="1463">
                  <c:v>0.81921999999999995</c:v>
                </c:pt>
                <c:pt idx="1464">
                  <c:v>0.81911599999999996</c:v>
                </c:pt>
                <c:pt idx="1465">
                  <c:v>0.81901199999999996</c:v>
                </c:pt>
                <c:pt idx="1466">
                  <c:v>0.81891000000000003</c:v>
                </c:pt>
                <c:pt idx="1467">
                  <c:v>0.81880799999999998</c:v>
                </c:pt>
                <c:pt idx="1468">
                  <c:v>0.81870900000000002</c:v>
                </c:pt>
                <c:pt idx="1469">
                  <c:v>0.81861099999999998</c:v>
                </c:pt>
                <c:pt idx="1470">
                  <c:v>0.81851499999999999</c:v>
                </c:pt>
                <c:pt idx="1471">
                  <c:v>0.81842099999999995</c:v>
                </c:pt>
                <c:pt idx="1472">
                  <c:v>0.81832899999999997</c:v>
                </c:pt>
                <c:pt idx="1473">
                  <c:v>0.81823999999999997</c:v>
                </c:pt>
                <c:pt idx="1474">
                  <c:v>0.81815400000000005</c:v>
                </c:pt>
                <c:pt idx="1475">
                  <c:v>0.81807099999999999</c:v>
                </c:pt>
                <c:pt idx="1476">
                  <c:v>0.81799100000000002</c:v>
                </c:pt>
                <c:pt idx="1477">
                  <c:v>0.81791400000000003</c:v>
                </c:pt>
                <c:pt idx="1478">
                  <c:v>0.81784100000000004</c:v>
                </c:pt>
                <c:pt idx="1479">
                  <c:v>0.81777100000000003</c:v>
                </c:pt>
                <c:pt idx="1480">
                  <c:v>0.81770399999999999</c:v>
                </c:pt>
                <c:pt idx="1481">
                  <c:v>0.81764199999999998</c:v>
                </c:pt>
                <c:pt idx="1482">
                  <c:v>0.81758299999999995</c:v>
                </c:pt>
                <c:pt idx="1483">
                  <c:v>0.81752899999999995</c:v>
                </c:pt>
                <c:pt idx="1484">
                  <c:v>0.81747800000000004</c:v>
                </c:pt>
                <c:pt idx="1485">
                  <c:v>0.81743200000000005</c:v>
                </c:pt>
                <c:pt idx="1486">
                  <c:v>0.81738900000000003</c:v>
                </c:pt>
                <c:pt idx="1487">
                  <c:v>0.81735100000000005</c:v>
                </c:pt>
                <c:pt idx="1488">
                  <c:v>0.81731799999999999</c:v>
                </c:pt>
                <c:pt idx="1489">
                  <c:v>0.81728800000000001</c:v>
                </c:pt>
                <c:pt idx="1490">
                  <c:v>0.81726299999999996</c:v>
                </c:pt>
                <c:pt idx="1491">
                  <c:v>0.81724200000000002</c:v>
                </c:pt>
                <c:pt idx="1492">
                  <c:v>0.81722499999999998</c:v>
                </c:pt>
                <c:pt idx="1493">
                  <c:v>0.81721299999999997</c:v>
                </c:pt>
                <c:pt idx="1494">
                  <c:v>0.81720499999999996</c:v>
                </c:pt>
                <c:pt idx="1495">
                  <c:v>0.81720099999999996</c:v>
                </c:pt>
                <c:pt idx="1496">
                  <c:v>0.81720099999999996</c:v>
                </c:pt>
                <c:pt idx="1497">
                  <c:v>0.81720499999999996</c:v>
                </c:pt>
                <c:pt idx="1498">
                  <c:v>0.81721299999999997</c:v>
                </c:pt>
                <c:pt idx="1499">
                  <c:v>0.81722399999999995</c:v>
                </c:pt>
                <c:pt idx="1500">
                  <c:v>0.81723999999999997</c:v>
                </c:pt>
                <c:pt idx="1501">
                  <c:v>0.81725899999999996</c:v>
                </c:pt>
                <c:pt idx="1502">
                  <c:v>0.81728199999999995</c:v>
                </c:pt>
                <c:pt idx="1503">
                  <c:v>0.81730800000000003</c:v>
                </c:pt>
                <c:pt idx="1504">
                  <c:v>0.81733699999999998</c:v>
                </c:pt>
                <c:pt idx="1505">
                  <c:v>0.81737000000000004</c:v>
                </c:pt>
                <c:pt idx="1506">
                  <c:v>0.81740500000000005</c:v>
                </c:pt>
                <c:pt idx="1507">
                  <c:v>0.81744399999999995</c:v>
                </c:pt>
                <c:pt idx="1508">
                  <c:v>0.81748500000000002</c:v>
                </c:pt>
                <c:pt idx="1509">
                  <c:v>0.81752800000000003</c:v>
                </c:pt>
                <c:pt idx="1510">
                  <c:v>0.81757400000000002</c:v>
                </c:pt>
                <c:pt idx="1511">
                  <c:v>0.81762299999999999</c:v>
                </c:pt>
                <c:pt idx="1512">
                  <c:v>0.81767299999999998</c:v>
                </c:pt>
                <c:pt idx="1513">
                  <c:v>0.81772500000000004</c:v>
                </c:pt>
                <c:pt idx="1514">
                  <c:v>0.81777900000000003</c:v>
                </c:pt>
                <c:pt idx="1515">
                  <c:v>0.81783399999999995</c:v>
                </c:pt>
                <c:pt idx="1516">
                  <c:v>0.81789100000000003</c:v>
                </c:pt>
                <c:pt idx="1517">
                  <c:v>0.81794900000000004</c:v>
                </c:pt>
                <c:pt idx="1518">
                  <c:v>0.81800799999999996</c:v>
                </c:pt>
                <c:pt idx="1519">
                  <c:v>0.81806800000000002</c:v>
                </c:pt>
                <c:pt idx="1520">
                  <c:v>0.81812799999999997</c:v>
                </c:pt>
                <c:pt idx="1521">
                  <c:v>0.81818900000000006</c:v>
                </c:pt>
                <c:pt idx="1522">
                  <c:v>0.81825099999999995</c:v>
                </c:pt>
                <c:pt idx="1523">
                  <c:v>0.81831299999999996</c:v>
                </c:pt>
                <c:pt idx="1524">
                  <c:v>0.81837499999999996</c:v>
                </c:pt>
                <c:pt idx="1525">
                  <c:v>0.81843699999999997</c:v>
                </c:pt>
                <c:pt idx="1526">
                  <c:v>0.81849899999999998</c:v>
                </c:pt>
                <c:pt idx="1527">
                  <c:v>0.81855999999999995</c:v>
                </c:pt>
                <c:pt idx="1528">
                  <c:v>0.81862100000000004</c:v>
                </c:pt>
                <c:pt idx="1529">
                  <c:v>0.81868200000000002</c:v>
                </c:pt>
                <c:pt idx="1530">
                  <c:v>0.81874199999999997</c:v>
                </c:pt>
                <c:pt idx="1531">
                  <c:v>0.818801</c:v>
                </c:pt>
                <c:pt idx="1532">
                  <c:v>0.818859</c:v>
                </c:pt>
                <c:pt idx="1533">
                  <c:v>0.81891700000000001</c:v>
                </c:pt>
                <c:pt idx="1534">
                  <c:v>0.81897299999999995</c:v>
                </c:pt>
                <c:pt idx="1535">
                  <c:v>0.81902900000000001</c:v>
                </c:pt>
                <c:pt idx="1536">
                  <c:v>0.81908300000000001</c:v>
                </c:pt>
                <c:pt idx="1537">
                  <c:v>0.81913599999999998</c:v>
                </c:pt>
                <c:pt idx="1538">
                  <c:v>0.81918800000000003</c:v>
                </c:pt>
                <c:pt idx="1539">
                  <c:v>0.81923800000000002</c:v>
                </c:pt>
                <c:pt idx="1540">
                  <c:v>0.81928699999999999</c:v>
                </c:pt>
                <c:pt idx="1541">
                  <c:v>0.81933500000000004</c:v>
                </c:pt>
                <c:pt idx="1542">
                  <c:v>0.81938200000000005</c:v>
                </c:pt>
                <c:pt idx="1543">
                  <c:v>0.81942599999999999</c:v>
                </c:pt>
                <c:pt idx="1544">
                  <c:v>0.81947000000000003</c:v>
                </c:pt>
                <c:pt idx="1545">
                  <c:v>0.81951200000000002</c:v>
                </c:pt>
                <c:pt idx="1546">
                  <c:v>0.81955299999999998</c:v>
                </c:pt>
                <c:pt idx="1547">
                  <c:v>0.81959199999999999</c:v>
                </c:pt>
                <c:pt idx="1548">
                  <c:v>0.81962999999999997</c:v>
                </c:pt>
                <c:pt idx="1549">
                  <c:v>0.81966600000000001</c:v>
                </c:pt>
                <c:pt idx="1550">
                  <c:v>0.81970100000000001</c:v>
                </c:pt>
                <c:pt idx="1551">
                  <c:v>0.81973499999999999</c:v>
                </c:pt>
                <c:pt idx="1552">
                  <c:v>0.81976700000000002</c:v>
                </c:pt>
                <c:pt idx="1553">
                  <c:v>0.81979800000000003</c:v>
                </c:pt>
                <c:pt idx="1554">
                  <c:v>0.81982699999999997</c:v>
                </c:pt>
                <c:pt idx="1555">
                  <c:v>0.81985600000000003</c:v>
                </c:pt>
                <c:pt idx="1556">
                  <c:v>0.81988300000000003</c:v>
                </c:pt>
                <c:pt idx="1557">
                  <c:v>0.819909</c:v>
                </c:pt>
                <c:pt idx="1558">
                  <c:v>0.81993400000000005</c:v>
                </c:pt>
                <c:pt idx="1559">
                  <c:v>0.81995700000000005</c:v>
                </c:pt>
                <c:pt idx="1560">
                  <c:v>0.81998000000000004</c:v>
                </c:pt>
                <c:pt idx="1561">
                  <c:v>0.82000200000000001</c:v>
                </c:pt>
                <c:pt idx="1562">
                  <c:v>0.82002200000000003</c:v>
                </c:pt>
                <c:pt idx="1563">
                  <c:v>0.82004200000000005</c:v>
                </c:pt>
                <c:pt idx="1564">
                  <c:v>0.82006100000000004</c:v>
                </c:pt>
                <c:pt idx="1565">
                  <c:v>0.820079</c:v>
                </c:pt>
                <c:pt idx="1566">
                  <c:v>0.82009600000000005</c:v>
                </c:pt>
                <c:pt idx="1567">
                  <c:v>0.82011199999999995</c:v>
                </c:pt>
                <c:pt idx="1568">
                  <c:v>0.82012799999999997</c:v>
                </c:pt>
                <c:pt idx="1569">
                  <c:v>0.82014299999999996</c:v>
                </c:pt>
                <c:pt idx="1570">
                  <c:v>0.82015700000000002</c:v>
                </c:pt>
                <c:pt idx="1571">
                  <c:v>0.82016999999999995</c:v>
                </c:pt>
                <c:pt idx="1572">
                  <c:v>0.820183</c:v>
                </c:pt>
                <c:pt idx="1573">
                  <c:v>0.82019399999999998</c:v>
                </c:pt>
                <c:pt idx="1574">
                  <c:v>0.82020599999999999</c:v>
                </c:pt>
                <c:pt idx="1575">
                  <c:v>0.82021599999999995</c:v>
                </c:pt>
                <c:pt idx="1576">
                  <c:v>0.82022600000000001</c:v>
                </c:pt>
                <c:pt idx="1577">
                  <c:v>0.82023500000000005</c:v>
                </c:pt>
                <c:pt idx="1578">
                  <c:v>0.82024399999999997</c:v>
                </c:pt>
                <c:pt idx="1579">
                  <c:v>0.82025199999999998</c:v>
                </c:pt>
                <c:pt idx="1580">
                  <c:v>0.82025899999999996</c:v>
                </c:pt>
                <c:pt idx="1581">
                  <c:v>0.82026500000000002</c:v>
                </c:pt>
                <c:pt idx="1582">
                  <c:v>0.82027000000000005</c:v>
                </c:pt>
                <c:pt idx="1583">
                  <c:v>0.82027499999999998</c:v>
                </c:pt>
                <c:pt idx="1584">
                  <c:v>0.82027899999999998</c:v>
                </c:pt>
                <c:pt idx="1585">
                  <c:v>0.82028199999999996</c:v>
                </c:pt>
                <c:pt idx="1586">
                  <c:v>0.82028500000000004</c:v>
                </c:pt>
                <c:pt idx="1587">
                  <c:v>0.82028599999999996</c:v>
                </c:pt>
                <c:pt idx="1588">
                  <c:v>0.82028599999999996</c:v>
                </c:pt>
                <c:pt idx="1589">
                  <c:v>0.82028599999999996</c:v>
                </c:pt>
                <c:pt idx="1590">
                  <c:v>0.82028400000000001</c:v>
                </c:pt>
                <c:pt idx="1591">
                  <c:v>0.82028100000000004</c:v>
                </c:pt>
                <c:pt idx="1592">
                  <c:v>0.82027700000000003</c:v>
                </c:pt>
                <c:pt idx="1593">
                  <c:v>0.820272</c:v>
                </c:pt>
                <c:pt idx="1594">
                  <c:v>0.82026500000000002</c:v>
                </c:pt>
                <c:pt idx="1595">
                  <c:v>0.82025700000000001</c:v>
                </c:pt>
                <c:pt idx="1596">
                  <c:v>0.82024799999999998</c:v>
                </c:pt>
                <c:pt idx="1597">
                  <c:v>0.82023800000000002</c:v>
                </c:pt>
                <c:pt idx="1598">
                  <c:v>0.82022600000000001</c:v>
                </c:pt>
                <c:pt idx="1599">
                  <c:v>0.82021200000000005</c:v>
                </c:pt>
                <c:pt idx="1600">
                  <c:v>0.82019699999999995</c:v>
                </c:pt>
                <c:pt idx="1601">
                  <c:v>0.82018100000000005</c:v>
                </c:pt>
                <c:pt idx="1602">
                  <c:v>0.82016199999999995</c:v>
                </c:pt>
                <c:pt idx="1603">
                  <c:v>0.82014299999999996</c:v>
                </c:pt>
                <c:pt idx="1604">
                  <c:v>0.82012099999999999</c:v>
                </c:pt>
                <c:pt idx="1605">
                  <c:v>0.82009799999999999</c:v>
                </c:pt>
                <c:pt idx="1606">
                  <c:v>0.82007300000000005</c:v>
                </c:pt>
                <c:pt idx="1607">
                  <c:v>0.82004600000000005</c:v>
                </c:pt>
                <c:pt idx="1608">
                  <c:v>0.820017</c:v>
                </c:pt>
                <c:pt idx="1609">
                  <c:v>0.81998700000000002</c:v>
                </c:pt>
                <c:pt idx="1610">
                  <c:v>0.81995399999999996</c:v>
                </c:pt>
                <c:pt idx="1611">
                  <c:v>0.81991999999999998</c:v>
                </c:pt>
                <c:pt idx="1612">
                  <c:v>0.81988499999999997</c:v>
                </c:pt>
                <c:pt idx="1613">
                  <c:v>0.81984699999999999</c:v>
                </c:pt>
                <c:pt idx="1614">
                  <c:v>0.81980799999999998</c:v>
                </c:pt>
                <c:pt idx="1615">
                  <c:v>0.81976599999999999</c:v>
                </c:pt>
                <c:pt idx="1616">
                  <c:v>0.81972400000000001</c:v>
                </c:pt>
                <c:pt idx="1617">
                  <c:v>0.81967900000000005</c:v>
                </c:pt>
                <c:pt idx="1618">
                  <c:v>0.81963299999999994</c:v>
                </c:pt>
                <c:pt idx="1619">
                  <c:v>0.81958500000000001</c:v>
                </c:pt>
                <c:pt idx="1620">
                  <c:v>0.81953600000000004</c:v>
                </c:pt>
                <c:pt idx="1621">
                  <c:v>0.81948600000000005</c:v>
                </c:pt>
                <c:pt idx="1622">
                  <c:v>0.819434</c:v>
                </c:pt>
                <c:pt idx="1623">
                  <c:v>0.81938100000000003</c:v>
                </c:pt>
                <c:pt idx="1624">
                  <c:v>0.819326</c:v>
                </c:pt>
                <c:pt idx="1625">
                  <c:v>0.81927099999999997</c:v>
                </c:pt>
                <c:pt idx="1626">
                  <c:v>0.819214</c:v>
                </c:pt>
                <c:pt idx="1627">
                  <c:v>0.81915700000000002</c:v>
                </c:pt>
                <c:pt idx="1628">
                  <c:v>0.81909900000000002</c:v>
                </c:pt>
                <c:pt idx="1629">
                  <c:v>0.81903999999999999</c:v>
                </c:pt>
                <c:pt idx="1630">
                  <c:v>0.81898099999999996</c:v>
                </c:pt>
                <c:pt idx="1631">
                  <c:v>0.81892100000000001</c:v>
                </c:pt>
                <c:pt idx="1632">
                  <c:v>0.81886099999999995</c:v>
                </c:pt>
                <c:pt idx="1633">
                  <c:v>0.818801</c:v>
                </c:pt>
                <c:pt idx="1634">
                  <c:v>0.81874100000000005</c:v>
                </c:pt>
                <c:pt idx="1635">
                  <c:v>0.81868099999999999</c:v>
                </c:pt>
                <c:pt idx="1636">
                  <c:v>0.81862100000000004</c:v>
                </c:pt>
                <c:pt idx="1637">
                  <c:v>0.81856099999999998</c:v>
                </c:pt>
                <c:pt idx="1638">
                  <c:v>0.81850299999999998</c:v>
                </c:pt>
                <c:pt idx="1639">
                  <c:v>0.81844499999999998</c:v>
                </c:pt>
                <c:pt idx="1640">
                  <c:v>0.818388</c:v>
                </c:pt>
                <c:pt idx="1641">
                  <c:v>0.81833199999999995</c:v>
                </c:pt>
                <c:pt idx="1642">
                  <c:v>0.81827700000000003</c:v>
                </c:pt>
                <c:pt idx="1643">
                  <c:v>0.81822300000000003</c:v>
                </c:pt>
                <c:pt idx="1644">
                  <c:v>0.81817099999999998</c:v>
                </c:pt>
                <c:pt idx="1645">
                  <c:v>0.81811999999999996</c:v>
                </c:pt>
                <c:pt idx="1646">
                  <c:v>0.81807200000000002</c:v>
                </c:pt>
                <c:pt idx="1647">
                  <c:v>0.818025</c:v>
                </c:pt>
                <c:pt idx="1648">
                  <c:v>0.81798000000000004</c:v>
                </c:pt>
                <c:pt idx="1649">
                  <c:v>0.81793800000000005</c:v>
                </c:pt>
                <c:pt idx="1650">
                  <c:v>0.81789699999999999</c:v>
                </c:pt>
                <c:pt idx="1651">
                  <c:v>0.817859</c:v>
                </c:pt>
                <c:pt idx="1652">
                  <c:v>0.817824</c:v>
                </c:pt>
                <c:pt idx="1653">
                  <c:v>0.81779100000000005</c:v>
                </c:pt>
                <c:pt idx="1654">
                  <c:v>0.81776099999999996</c:v>
                </c:pt>
                <c:pt idx="1655">
                  <c:v>0.81773399999999996</c:v>
                </c:pt>
                <c:pt idx="1656">
                  <c:v>0.81771000000000005</c:v>
                </c:pt>
                <c:pt idx="1657">
                  <c:v>0.817689</c:v>
                </c:pt>
                <c:pt idx="1658">
                  <c:v>0.81767100000000004</c:v>
                </c:pt>
                <c:pt idx="1659">
                  <c:v>0.81765600000000005</c:v>
                </c:pt>
                <c:pt idx="1660">
                  <c:v>0.81764400000000004</c:v>
                </c:pt>
                <c:pt idx="1661">
                  <c:v>0.817635</c:v>
                </c:pt>
                <c:pt idx="1662">
                  <c:v>0.81762999999999997</c:v>
                </c:pt>
                <c:pt idx="1663">
                  <c:v>0.81762800000000002</c:v>
                </c:pt>
                <c:pt idx="1664">
                  <c:v>0.81762900000000005</c:v>
                </c:pt>
                <c:pt idx="1665">
                  <c:v>0.81763399999999997</c:v>
                </c:pt>
                <c:pt idx="1666">
                  <c:v>0.81764199999999998</c:v>
                </c:pt>
                <c:pt idx="1667">
                  <c:v>0.81765299999999996</c:v>
                </c:pt>
                <c:pt idx="1668">
                  <c:v>0.81766799999999995</c:v>
                </c:pt>
                <c:pt idx="1669">
                  <c:v>0.81768600000000002</c:v>
                </c:pt>
                <c:pt idx="1670">
                  <c:v>0.81770699999999996</c:v>
                </c:pt>
                <c:pt idx="1671">
                  <c:v>0.81773099999999999</c:v>
                </c:pt>
                <c:pt idx="1672">
                  <c:v>0.81775799999999998</c:v>
                </c:pt>
                <c:pt idx="1673">
                  <c:v>0.81778799999999996</c:v>
                </c:pt>
                <c:pt idx="1674">
                  <c:v>0.81782100000000002</c:v>
                </c:pt>
                <c:pt idx="1675">
                  <c:v>0.81785699999999995</c:v>
                </c:pt>
                <c:pt idx="1676">
                  <c:v>0.81789599999999996</c:v>
                </c:pt>
                <c:pt idx="1677">
                  <c:v>0.81793700000000003</c:v>
                </c:pt>
                <c:pt idx="1678">
                  <c:v>0.81798099999999996</c:v>
                </c:pt>
                <c:pt idx="1679">
                  <c:v>0.81802799999999998</c:v>
                </c:pt>
                <c:pt idx="1680">
                  <c:v>0.81807600000000003</c:v>
                </c:pt>
                <c:pt idx="1681">
                  <c:v>0.81812700000000005</c:v>
                </c:pt>
                <c:pt idx="1682">
                  <c:v>0.81817899999999999</c:v>
                </c:pt>
                <c:pt idx="1683">
                  <c:v>0.81823400000000002</c:v>
                </c:pt>
                <c:pt idx="1684">
                  <c:v>0.81828999999999996</c:v>
                </c:pt>
                <c:pt idx="1685">
                  <c:v>0.81834799999999996</c:v>
                </c:pt>
                <c:pt idx="1686">
                  <c:v>0.818407</c:v>
                </c:pt>
                <c:pt idx="1687">
                  <c:v>0.81846699999999994</c:v>
                </c:pt>
                <c:pt idx="1688">
                  <c:v>0.81852899999999995</c:v>
                </c:pt>
                <c:pt idx="1689">
                  <c:v>0.81859099999999996</c:v>
                </c:pt>
                <c:pt idx="1690">
                  <c:v>0.81865399999999999</c:v>
                </c:pt>
                <c:pt idx="1691">
                  <c:v>0.81871700000000003</c:v>
                </c:pt>
                <c:pt idx="1692">
                  <c:v>0.81878099999999998</c:v>
                </c:pt>
                <c:pt idx="1693">
                  <c:v>0.81884400000000002</c:v>
                </c:pt>
                <c:pt idx="1694">
                  <c:v>0.81890799999999997</c:v>
                </c:pt>
                <c:pt idx="1695">
                  <c:v>0.81897200000000003</c:v>
                </c:pt>
                <c:pt idx="1696">
                  <c:v>0.81903499999999996</c:v>
                </c:pt>
                <c:pt idx="1697">
                  <c:v>0.81909799999999999</c:v>
                </c:pt>
                <c:pt idx="1698">
                  <c:v>0.81916</c:v>
                </c:pt>
                <c:pt idx="1699">
                  <c:v>0.81922099999999998</c:v>
                </c:pt>
                <c:pt idx="1700">
                  <c:v>0.81928199999999995</c:v>
                </c:pt>
                <c:pt idx="1701">
                  <c:v>0.81934099999999999</c:v>
                </c:pt>
                <c:pt idx="1702">
                  <c:v>0.81939899999999999</c:v>
                </c:pt>
                <c:pt idx="1703">
                  <c:v>0.81945500000000004</c:v>
                </c:pt>
                <c:pt idx="1704">
                  <c:v>0.81950999999999996</c:v>
                </c:pt>
                <c:pt idx="1705">
                  <c:v>0.81956300000000004</c:v>
                </c:pt>
                <c:pt idx="1706">
                  <c:v>0.81961399999999995</c:v>
                </c:pt>
                <c:pt idx="1707">
                  <c:v>0.81966300000000003</c:v>
                </c:pt>
                <c:pt idx="1708">
                  <c:v>0.81971000000000005</c:v>
                </c:pt>
                <c:pt idx="1709">
                  <c:v>0.81975500000000001</c:v>
                </c:pt>
                <c:pt idx="1710">
                  <c:v>0.81979800000000003</c:v>
                </c:pt>
                <c:pt idx="1711">
                  <c:v>0.81983799999999996</c:v>
                </c:pt>
                <c:pt idx="1712">
                  <c:v>0.81987600000000005</c:v>
                </c:pt>
                <c:pt idx="1713">
                  <c:v>0.81991199999999997</c:v>
                </c:pt>
                <c:pt idx="1714">
                  <c:v>0.81994500000000003</c:v>
                </c:pt>
                <c:pt idx="1715">
                  <c:v>0.81997500000000001</c:v>
                </c:pt>
                <c:pt idx="1716">
                  <c:v>0.82000300000000004</c:v>
                </c:pt>
                <c:pt idx="1717">
                  <c:v>0.82002799999999998</c:v>
                </c:pt>
                <c:pt idx="1718">
                  <c:v>0.82004999999999995</c:v>
                </c:pt>
                <c:pt idx="1719">
                  <c:v>0.82006999999999997</c:v>
                </c:pt>
                <c:pt idx="1720">
                  <c:v>0.82008599999999998</c:v>
                </c:pt>
                <c:pt idx="1721">
                  <c:v>0.82010099999999997</c:v>
                </c:pt>
                <c:pt idx="1722">
                  <c:v>0.82011199999999995</c:v>
                </c:pt>
                <c:pt idx="1723">
                  <c:v>0.82012099999999999</c:v>
                </c:pt>
                <c:pt idx="1724">
                  <c:v>0.82012700000000005</c:v>
                </c:pt>
                <c:pt idx="1725">
                  <c:v>0.82013100000000005</c:v>
                </c:pt>
                <c:pt idx="1726">
                  <c:v>0.82013199999999997</c:v>
                </c:pt>
                <c:pt idx="1727">
                  <c:v>0.82013000000000003</c:v>
                </c:pt>
                <c:pt idx="1728">
                  <c:v>0.82012600000000002</c:v>
                </c:pt>
                <c:pt idx="1729">
                  <c:v>0.82011999999999996</c:v>
                </c:pt>
                <c:pt idx="1730">
                  <c:v>0.82011199999999995</c:v>
                </c:pt>
                <c:pt idx="1731">
                  <c:v>0.82010099999999997</c:v>
                </c:pt>
                <c:pt idx="1732">
                  <c:v>0.82008800000000004</c:v>
                </c:pt>
                <c:pt idx="1733">
                  <c:v>0.82007300000000005</c:v>
                </c:pt>
                <c:pt idx="1734">
                  <c:v>0.82005600000000001</c:v>
                </c:pt>
                <c:pt idx="1735">
                  <c:v>0.82003700000000002</c:v>
                </c:pt>
                <c:pt idx="1736">
                  <c:v>0.82001599999999997</c:v>
                </c:pt>
                <c:pt idx="1737">
                  <c:v>0.819994</c:v>
                </c:pt>
                <c:pt idx="1738">
                  <c:v>0.81996999999999998</c:v>
                </c:pt>
                <c:pt idx="1739">
                  <c:v>0.81994500000000003</c:v>
                </c:pt>
                <c:pt idx="1740">
                  <c:v>0.81991800000000004</c:v>
                </c:pt>
                <c:pt idx="1741">
                  <c:v>0.81989000000000001</c:v>
                </c:pt>
                <c:pt idx="1742">
                  <c:v>0.81986099999999995</c:v>
                </c:pt>
                <c:pt idx="1743">
                  <c:v>0.81983200000000001</c:v>
                </c:pt>
                <c:pt idx="1744">
                  <c:v>0.819801</c:v>
                </c:pt>
                <c:pt idx="1745">
                  <c:v>0.81976899999999997</c:v>
                </c:pt>
                <c:pt idx="1746">
                  <c:v>0.81973700000000005</c:v>
                </c:pt>
                <c:pt idx="1747">
                  <c:v>0.81970399999999999</c:v>
                </c:pt>
                <c:pt idx="1748">
                  <c:v>0.81967100000000004</c:v>
                </c:pt>
                <c:pt idx="1749">
                  <c:v>0.81963799999999998</c:v>
                </c:pt>
                <c:pt idx="1750">
                  <c:v>0.819604</c:v>
                </c:pt>
                <c:pt idx="1751">
                  <c:v>0.81957100000000005</c:v>
                </c:pt>
                <c:pt idx="1752">
                  <c:v>0.81953699999999996</c:v>
                </c:pt>
                <c:pt idx="1753">
                  <c:v>0.81950299999999998</c:v>
                </c:pt>
                <c:pt idx="1754">
                  <c:v>0.81947000000000003</c:v>
                </c:pt>
                <c:pt idx="1755">
                  <c:v>0.81943600000000005</c:v>
                </c:pt>
                <c:pt idx="1756">
                  <c:v>0.81940299999999999</c:v>
                </c:pt>
                <c:pt idx="1757">
                  <c:v>0.81937099999999996</c:v>
                </c:pt>
                <c:pt idx="1758">
                  <c:v>0.81933900000000004</c:v>
                </c:pt>
                <c:pt idx="1759">
                  <c:v>0.81930700000000001</c:v>
                </c:pt>
                <c:pt idx="1760">
                  <c:v>0.81927700000000003</c:v>
                </c:pt>
                <c:pt idx="1761">
                  <c:v>0.81924600000000003</c:v>
                </c:pt>
                <c:pt idx="1762">
                  <c:v>0.81921699999999997</c:v>
                </c:pt>
                <c:pt idx="1763">
                  <c:v>0.81918800000000003</c:v>
                </c:pt>
                <c:pt idx="1764">
                  <c:v>0.81916</c:v>
                </c:pt>
                <c:pt idx="1765">
                  <c:v>0.819133</c:v>
                </c:pt>
                <c:pt idx="1766">
                  <c:v>0.81910700000000003</c:v>
                </c:pt>
                <c:pt idx="1767">
                  <c:v>0.81908099999999995</c:v>
                </c:pt>
                <c:pt idx="1768">
                  <c:v>0.81905700000000004</c:v>
                </c:pt>
                <c:pt idx="1769">
                  <c:v>0.81903300000000001</c:v>
                </c:pt>
                <c:pt idx="1770">
                  <c:v>0.81901000000000002</c:v>
                </c:pt>
                <c:pt idx="1771">
                  <c:v>0.81898800000000005</c:v>
                </c:pt>
                <c:pt idx="1772">
                  <c:v>0.818967</c:v>
                </c:pt>
                <c:pt idx="1773">
                  <c:v>0.81894699999999998</c:v>
                </c:pt>
                <c:pt idx="1774">
                  <c:v>0.81892799999999999</c:v>
                </c:pt>
                <c:pt idx="1775">
                  <c:v>0.818909</c:v>
                </c:pt>
                <c:pt idx="1776">
                  <c:v>0.81889199999999995</c:v>
                </c:pt>
                <c:pt idx="1777">
                  <c:v>0.81887500000000002</c:v>
                </c:pt>
                <c:pt idx="1778">
                  <c:v>0.818859</c:v>
                </c:pt>
                <c:pt idx="1779">
                  <c:v>0.81884400000000002</c:v>
                </c:pt>
                <c:pt idx="1780">
                  <c:v>0.81882900000000003</c:v>
                </c:pt>
                <c:pt idx="1781">
                  <c:v>0.81881499999999996</c:v>
                </c:pt>
                <c:pt idx="1782">
                  <c:v>0.81880200000000003</c:v>
                </c:pt>
                <c:pt idx="1783">
                  <c:v>0.81878899999999999</c:v>
                </c:pt>
                <c:pt idx="1784">
                  <c:v>0.81877699999999998</c:v>
                </c:pt>
                <c:pt idx="1785">
                  <c:v>0.81876499999999997</c:v>
                </c:pt>
                <c:pt idx="1786">
                  <c:v>0.81875399999999998</c:v>
                </c:pt>
                <c:pt idx="1787">
                  <c:v>0.818743</c:v>
                </c:pt>
                <c:pt idx="1788">
                  <c:v>0.81873200000000002</c:v>
                </c:pt>
                <c:pt idx="1789">
                  <c:v>0.81872199999999995</c:v>
                </c:pt>
                <c:pt idx="1790">
                  <c:v>0.818712</c:v>
                </c:pt>
                <c:pt idx="1791">
                  <c:v>0.81870200000000004</c:v>
                </c:pt>
                <c:pt idx="1792">
                  <c:v>0.818693</c:v>
                </c:pt>
                <c:pt idx="1793">
                  <c:v>0.81868300000000005</c:v>
                </c:pt>
                <c:pt idx="1794">
                  <c:v>0.81867400000000001</c:v>
                </c:pt>
                <c:pt idx="1795">
                  <c:v>0.81866499999999998</c:v>
                </c:pt>
                <c:pt idx="1796">
                  <c:v>0.81865600000000005</c:v>
                </c:pt>
                <c:pt idx="1797">
                  <c:v>0.81864599999999998</c:v>
                </c:pt>
                <c:pt idx="1798">
                  <c:v>0.81863699999999995</c:v>
                </c:pt>
                <c:pt idx="1799">
                  <c:v>0.81862800000000002</c:v>
                </c:pt>
                <c:pt idx="1800">
                  <c:v>0.81861899999999999</c:v>
                </c:pt>
                <c:pt idx="1801">
                  <c:v>0.81860900000000003</c:v>
                </c:pt>
                <c:pt idx="1802">
                  <c:v>0.81859999999999999</c:v>
                </c:pt>
                <c:pt idx="1803">
                  <c:v>0.81859000000000004</c:v>
                </c:pt>
                <c:pt idx="1804">
                  <c:v>0.818581</c:v>
                </c:pt>
                <c:pt idx="1805">
                  <c:v>0.81857100000000005</c:v>
                </c:pt>
                <c:pt idx="1806">
                  <c:v>0.81856099999999998</c:v>
                </c:pt>
                <c:pt idx="1807">
                  <c:v>0.81855100000000003</c:v>
                </c:pt>
                <c:pt idx="1808">
                  <c:v>0.81854099999999996</c:v>
                </c:pt>
                <c:pt idx="1809">
                  <c:v>0.81853100000000001</c:v>
                </c:pt>
                <c:pt idx="1810">
                  <c:v>0.81852100000000005</c:v>
                </c:pt>
                <c:pt idx="1811">
                  <c:v>0.81851099999999999</c:v>
                </c:pt>
                <c:pt idx="1812">
                  <c:v>0.81850100000000003</c:v>
                </c:pt>
                <c:pt idx="1813">
                  <c:v>0.81849099999999997</c:v>
                </c:pt>
                <c:pt idx="1814">
                  <c:v>0.81848100000000001</c:v>
                </c:pt>
                <c:pt idx="1815">
                  <c:v>0.81847099999999995</c:v>
                </c:pt>
                <c:pt idx="1816">
                  <c:v>0.81846099999999999</c:v>
                </c:pt>
                <c:pt idx="1817">
                  <c:v>0.81845100000000004</c:v>
                </c:pt>
                <c:pt idx="1818">
                  <c:v>0.818442</c:v>
                </c:pt>
                <c:pt idx="1819">
                  <c:v>0.81843299999999997</c:v>
                </c:pt>
                <c:pt idx="1820">
                  <c:v>0.81842400000000004</c:v>
                </c:pt>
                <c:pt idx="1821">
                  <c:v>0.81841600000000003</c:v>
                </c:pt>
                <c:pt idx="1822">
                  <c:v>0.81840800000000002</c:v>
                </c:pt>
                <c:pt idx="1823">
                  <c:v>0.81840100000000005</c:v>
                </c:pt>
                <c:pt idx="1824">
                  <c:v>0.81839399999999995</c:v>
                </c:pt>
                <c:pt idx="1825">
                  <c:v>0.818388</c:v>
                </c:pt>
                <c:pt idx="1826">
                  <c:v>0.81838200000000005</c:v>
                </c:pt>
                <c:pt idx="1827">
                  <c:v>0.81837800000000005</c:v>
                </c:pt>
                <c:pt idx="1828">
                  <c:v>0.81837400000000005</c:v>
                </c:pt>
                <c:pt idx="1829">
                  <c:v>0.81837099999999996</c:v>
                </c:pt>
                <c:pt idx="1830">
                  <c:v>0.81836799999999998</c:v>
                </c:pt>
                <c:pt idx="1831">
                  <c:v>0.81836699999999996</c:v>
                </c:pt>
                <c:pt idx="1832">
                  <c:v>0.81836699999999996</c:v>
                </c:pt>
                <c:pt idx="1833">
                  <c:v>0.81836799999999998</c:v>
                </c:pt>
                <c:pt idx="1834">
                  <c:v>0.81836900000000001</c:v>
                </c:pt>
                <c:pt idx="1835">
                  <c:v>0.81837199999999999</c:v>
                </c:pt>
                <c:pt idx="1836">
                  <c:v>0.81837700000000002</c:v>
                </c:pt>
                <c:pt idx="1837">
                  <c:v>0.81838200000000005</c:v>
                </c:pt>
                <c:pt idx="1838">
                  <c:v>0.81838900000000003</c:v>
                </c:pt>
                <c:pt idx="1839">
                  <c:v>0.81839700000000004</c:v>
                </c:pt>
                <c:pt idx="1840">
                  <c:v>0.81840599999999997</c:v>
                </c:pt>
                <c:pt idx="1841">
                  <c:v>0.81841600000000003</c:v>
                </c:pt>
                <c:pt idx="1842">
                  <c:v>0.81842800000000004</c:v>
                </c:pt>
                <c:pt idx="1843">
                  <c:v>0.818442</c:v>
                </c:pt>
                <c:pt idx="1844">
                  <c:v>0.81845599999999996</c:v>
                </c:pt>
                <c:pt idx="1845">
                  <c:v>0.81847199999999998</c:v>
                </c:pt>
                <c:pt idx="1846">
                  <c:v>0.81849000000000005</c:v>
                </c:pt>
                <c:pt idx="1847">
                  <c:v>0.81850900000000004</c:v>
                </c:pt>
                <c:pt idx="1848">
                  <c:v>0.81852899999999995</c:v>
                </c:pt>
                <c:pt idx="1849">
                  <c:v>0.81855</c:v>
                </c:pt>
                <c:pt idx="1850">
                  <c:v>0.818573</c:v>
                </c:pt>
                <c:pt idx="1851">
                  <c:v>0.81859700000000002</c:v>
                </c:pt>
                <c:pt idx="1852">
                  <c:v>0.81862199999999996</c:v>
                </c:pt>
                <c:pt idx="1853">
                  <c:v>0.81864899999999996</c:v>
                </c:pt>
                <c:pt idx="1854">
                  <c:v>0.81867599999999996</c:v>
                </c:pt>
                <c:pt idx="1855">
                  <c:v>0.81870500000000002</c:v>
                </c:pt>
                <c:pt idx="1856">
                  <c:v>0.81873499999999999</c:v>
                </c:pt>
                <c:pt idx="1857">
                  <c:v>0.81876499999999997</c:v>
                </c:pt>
                <c:pt idx="1858">
                  <c:v>0.818797</c:v>
                </c:pt>
                <c:pt idx="1859">
                  <c:v>0.81882900000000003</c:v>
                </c:pt>
                <c:pt idx="1860">
                  <c:v>0.81886199999999998</c:v>
                </c:pt>
                <c:pt idx="1861">
                  <c:v>0.81889599999999996</c:v>
                </c:pt>
                <c:pt idx="1862">
                  <c:v>0.81893099999999996</c:v>
                </c:pt>
                <c:pt idx="1863">
                  <c:v>0.81896599999999997</c:v>
                </c:pt>
                <c:pt idx="1864">
                  <c:v>0.81900099999999998</c:v>
                </c:pt>
                <c:pt idx="1865">
                  <c:v>0.81903700000000002</c:v>
                </c:pt>
                <c:pt idx="1866">
                  <c:v>0.81907300000000005</c:v>
                </c:pt>
                <c:pt idx="1867">
                  <c:v>0.81910899999999998</c:v>
                </c:pt>
                <c:pt idx="1868">
                  <c:v>0.81914500000000001</c:v>
                </c:pt>
                <c:pt idx="1869">
                  <c:v>0.81918100000000005</c:v>
                </c:pt>
                <c:pt idx="1870">
                  <c:v>0.81921699999999997</c:v>
                </c:pt>
                <c:pt idx="1871">
                  <c:v>0.81925300000000001</c:v>
                </c:pt>
                <c:pt idx="1872">
                  <c:v>0.81928800000000002</c:v>
                </c:pt>
                <c:pt idx="1873">
                  <c:v>0.81932300000000002</c:v>
                </c:pt>
                <c:pt idx="1874">
                  <c:v>0.819357</c:v>
                </c:pt>
                <c:pt idx="1875">
                  <c:v>0.81939099999999998</c:v>
                </c:pt>
                <c:pt idx="1876">
                  <c:v>0.81942300000000001</c:v>
                </c:pt>
                <c:pt idx="1877">
                  <c:v>0.81945500000000004</c:v>
                </c:pt>
                <c:pt idx="1878">
                  <c:v>0.81948600000000005</c:v>
                </c:pt>
                <c:pt idx="1879">
                  <c:v>0.81951600000000002</c:v>
                </c:pt>
                <c:pt idx="1880">
                  <c:v>0.81954499999999997</c:v>
                </c:pt>
                <c:pt idx="1881">
                  <c:v>0.81957199999999997</c:v>
                </c:pt>
                <c:pt idx="1882">
                  <c:v>0.81959800000000005</c:v>
                </c:pt>
                <c:pt idx="1883">
                  <c:v>0.81962199999999996</c:v>
                </c:pt>
                <c:pt idx="1884">
                  <c:v>0.81964499999999996</c:v>
                </c:pt>
                <c:pt idx="1885">
                  <c:v>0.81966700000000003</c:v>
                </c:pt>
                <c:pt idx="1886">
                  <c:v>0.81968700000000005</c:v>
                </c:pt>
                <c:pt idx="1887">
                  <c:v>0.81970500000000002</c:v>
                </c:pt>
                <c:pt idx="1888">
                  <c:v>0.81972100000000003</c:v>
                </c:pt>
                <c:pt idx="1889">
                  <c:v>0.81973600000000002</c:v>
                </c:pt>
                <c:pt idx="1890">
                  <c:v>0.81974800000000003</c:v>
                </c:pt>
                <c:pt idx="1891">
                  <c:v>0.81975900000000002</c:v>
                </c:pt>
                <c:pt idx="1892">
                  <c:v>0.81976800000000005</c:v>
                </c:pt>
                <c:pt idx="1893">
                  <c:v>0.819774</c:v>
                </c:pt>
                <c:pt idx="1894">
                  <c:v>0.81977900000000004</c:v>
                </c:pt>
                <c:pt idx="1895">
                  <c:v>0.81978200000000001</c:v>
                </c:pt>
                <c:pt idx="1896">
                  <c:v>0.81978300000000004</c:v>
                </c:pt>
                <c:pt idx="1897">
                  <c:v>0.81978099999999998</c:v>
                </c:pt>
                <c:pt idx="1898">
                  <c:v>0.81977800000000001</c:v>
                </c:pt>
                <c:pt idx="1899">
                  <c:v>0.81977299999999997</c:v>
                </c:pt>
                <c:pt idx="1900">
                  <c:v>0.81976499999999997</c:v>
                </c:pt>
                <c:pt idx="1901">
                  <c:v>0.81975600000000004</c:v>
                </c:pt>
                <c:pt idx="1902">
                  <c:v>0.81974499999999995</c:v>
                </c:pt>
                <c:pt idx="1903">
                  <c:v>0.81973200000000002</c:v>
                </c:pt>
                <c:pt idx="1904">
                  <c:v>0.81971700000000003</c:v>
                </c:pt>
                <c:pt idx="1905">
                  <c:v>0.81969999999999998</c:v>
                </c:pt>
                <c:pt idx="1906">
                  <c:v>0.81968099999999999</c:v>
                </c:pt>
                <c:pt idx="1907">
                  <c:v>0.81966099999999997</c:v>
                </c:pt>
                <c:pt idx="1908">
                  <c:v>0.81963900000000001</c:v>
                </c:pt>
                <c:pt idx="1909">
                  <c:v>0.81961600000000001</c:v>
                </c:pt>
                <c:pt idx="1910">
                  <c:v>0.81959099999999996</c:v>
                </c:pt>
                <c:pt idx="1911">
                  <c:v>0.81956399999999996</c:v>
                </c:pt>
                <c:pt idx="1912">
                  <c:v>0.81953600000000004</c:v>
                </c:pt>
                <c:pt idx="1913">
                  <c:v>0.81950699999999999</c:v>
                </c:pt>
                <c:pt idx="1914">
                  <c:v>0.81947700000000001</c:v>
                </c:pt>
                <c:pt idx="1915">
                  <c:v>0.81944600000000001</c:v>
                </c:pt>
                <c:pt idx="1916">
                  <c:v>0.81941399999999998</c:v>
                </c:pt>
                <c:pt idx="1917">
                  <c:v>0.81938100000000003</c:v>
                </c:pt>
                <c:pt idx="1918">
                  <c:v>0.81934700000000005</c:v>
                </c:pt>
                <c:pt idx="1919">
                  <c:v>0.81931299999999996</c:v>
                </c:pt>
                <c:pt idx="1920">
                  <c:v>0.81927799999999995</c:v>
                </c:pt>
                <c:pt idx="1921">
                  <c:v>0.81924200000000003</c:v>
                </c:pt>
                <c:pt idx="1922">
                  <c:v>0.81920599999999999</c:v>
                </c:pt>
                <c:pt idx="1923">
                  <c:v>0.81916999999999995</c:v>
                </c:pt>
                <c:pt idx="1924">
                  <c:v>0.81913400000000003</c:v>
                </c:pt>
                <c:pt idx="1925">
                  <c:v>0.81909799999999999</c:v>
                </c:pt>
                <c:pt idx="1926">
                  <c:v>0.81906199999999996</c:v>
                </c:pt>
                <c:pt idx="1927">
                  <c:v>0.81902600000000003</c:v>
                </c:pt>
                <c:pt idx="1928">
                  <c:v>0.81899100000000002</c:v>
                </c:pt>
                <c:pt idx="1929">
                  <c:v>0.81895499999999999</c:v>
                </c:pt>
                <c:pt idx="1930">
                  <c:v>0.81892100000000001</c:v>
                </c:pt>
                <c:pt idx="1931">
                  <c:v>0.818886</c:v>
                </c:pt>
                <c:pt idx="1932">
                  <c:v>0.81885300000000005</c:v>
                </c:pt>
                <c:pt idx="1933">
                  <c:v>0.81881999999999999</c:v>
                </c:pt>
                <c:pt idx="1934">
                  <c:v>0.81878799999999996</c:v>
                </c:pt>
                <c:pt idx="1935">
                  <c:v>0.81875699999999996</c:v>
                </c:pt>
                <c:pt idx="1936">
                  <c:v>0.81872699999999998</c:v>
                </c:pt>
                <c:pt idx="1937">
                  <c:v>0.81869800000000004</c:v>
                </c:pt>
                <c:pt idx="1938">
                  <c:v>0.81867100000000004</c:v>
                </c:pt>
                <c:pt idx="1939">
                  <c:v>0.81864400000000004</c:v>
                </c:pt>
                <c:pt idx="1940">
                  <c:v>0.81861899999999999</c:v>
                </c:pt>
                <c:pt idx="1941">
                  <c:v>0.81859499999999996</c:v>
                </c:pt>
                <c:pt idx="1942">
                  <c:v>0.81857199999999997</c:v>
                </c:pt>
                <c:pt idx="1943">
                  <c:v>0.81855100000000003</c:v>
                </c:pt>
                <c:pt idx="1944">
                  <c:v>0.81853100000000001</c:v>
                </c:pt>
                <c:pt idx="1945">
                  <c:v>0.81851200000000002</c:v>
                </c:pt>
                <c:pt idx="1946">
                  <c:v>0.81849499999999997</c:v>
                </c:pt>
                <c:pt idx="1947">
                  <c:v>0.81847999999999999</c:v>
                </c:pt>
                <c:pt idx="1948">
                  <c:v>0.81846600000000003</c:v>
                </c:pt>
                <c:pt idx="1949">
                  <c:v>0.81845299999999999</c:v>
                </c:pt>
                <c:pt idx="1950">
                  <c:v>0.81844300000000003</c:v>
                </c:pt>
                <c:pt idx="1951">
                  <c:v>0.81843299999999997</c:v>
                </c:pt>
                <c:pt idx="1952">
                  <c:v>0.81842499999999996</c:v>
                </c:pt>
                <c:pt idx="1953">
                  <c:v>0.81841900000000001</c:v>
                </c:pt>
                <c:pt idx="1954">
                  <c:v>0.81841399999999997</c:v>
                </c:pt>
                <c:pt idx="1955">
                  <c:v>0.81840999999999997</c:v>
                </c:pt>
                <c:pt idx="1956">
                  <c:v>0.81840800000000002</c:v>
                </c:pt>
                <c:pt idx="1957">
                  <c:v>0.818407</c:v>
                </c:pt>
                <c:pt idx="1958">
                  <c:v>0.81840800000000002</c:v>
                </c:pt>
                <c:pt idx="1959">
                  <c:v>0.81840999999999997</c:v>
                </c:pt>
                <c:pt idx="1960">
                  <c:v>0.81841299999999995</c:v>
                </c:pt>
                <c:pt idx="1961">
                  <c:v>0.81841699999999995</c:v>
                </c:pt>
                <c:pt idx="1962">
                  <c:v>0.81842300000000001</c:v>
                </c:pt>
                <c:pt idx="1963">
                  <c:v>0.81842899999999996</c:v>
                </c:pt>
                <c:pt idx="1964">
                  <c:v>0.81843699999999997</c:v>
                </c:pt>
                <c:pt idx="1965">
                  <c:v>0.81844499999999998</c:v>
                </c:pt>
                <c:pt idx="1966">
                  <c:v>0.81845500000000004</c:v>
                </c:pt>
                <c:pt idx="1967">
                  <c:v>0.818465</c:v>
                </c:pt>
                <c:pt idx="1968">
                  <c:v>0.81847700000000001</c:v>
                </c:pt>
                <c:pt idx="1969">
                  <c:v>0.81848900000000002</c:v>
                </c:pt>
                <c:pt idx="1970">
                  <c:v>0.81850100000000003</c:v>
                </c:pt>
                <c:pt idx="1971">
                  <c:v>0.81851399999999996</c:v>
                </c:pt>
                <c:pt idx="1972">
                  <c:v>0.81852800000000003</c:v>
                </c:pt>
                <c:pt idx="1973">
                  <c:v>0.81854199999999999</c:v>
                </c:pt>
                <c:pt idx="1974">
                  <c:v>0.81855699999999998</c:v>
                </c:pt>
                <c:pt idx="1975">
                  <c:v>0.81857199999999997</c:v>
                </c:pt>
                <c:pt idx="1976">
                  <c:v>0.81858699999999995</c:v>
                </c:pt>
                <c:pt idx="1977">
                  <c:v>0.81860299999999997</c:v>
                </c:pt>
                <c:pt idx="1978">
                  <c:v>0.81861799999999996</c:v>
                </c:pt>
                <c:pt idx="1979">
                  <c:v>0.81863399999999997</c:v>
                </c:pt>
                <c:pt idx="1980">
                  <c:v>0.81864999999999999</c:v>
                </c:pt>
                <c:pt idx="1981">
                  <c:v>0.818666</c:v>
                </c:pt>
                <c:pt idx="1982">
                  <c:v>0.81868099999999999</c:v>
                </c:pt>
                <c:pt idx="1983">
                  <c:v>0.81869700000000001</c:v>
                </c:pt>
                <c:pt idx="1984">
                  <c:v>0.818712</c:v>
                </c:pt>
                <c:pt idx="1985">
                  <c:v>0.81872699999999998</c:v>
                </c:pt>
                <c:pt idx="1986">
                  <c:v>0.81874199999999997</c:v>
                </c:pt>
                <c:pt idx="1987">
                  <c:v>0.81875699999999996</c:v>
                </c:pt>
                <c:pt idx="1988">
                  <c:v>0.81877100000000003</c:v>
                </c:pt>
                <c:pt idx="1989">
                  <c:v>0.81878499999999999</c:v>
                </c:pt>
                <c:pt idx="1990">
                  <c:v>0.81879900000000005</c:v>
                </c:pt>
                <c:pt idx="1991">
                  <c:v>0.81881199999999998</c:v>
                </c:pt>
                <c:pt idx="1992">
                  <c:v>0.81882500000000003</c:v>
                </c:pt>
                <c:pt idx="1993">
                  <c:v>0.81883700000000004</c:v>
                </c:pt>
                <c:pt idx="1994">
                  <c:v>0.81884900000000005</c:v>
                </c:pt>
                <c:pt idx="1995">
                  <c:v>0.81886000000000003</c:v>
                </c:pt>
                <c:pt idx="1996">
                  <c:v>0.81887100000000002</c:v>
                </c:pt>
                <c:pt idx="1997">
                  <c:v>0.818882</c:v>
                </c:pt>
                <c:pt idx="1998">
                  <c:v>0.81889199999999995</c:v>
                </c:pt>
                <c:pt idx="1999">
                  <c:v>0.81890099999999999</c:v>
                </c:pt>
                <c:pt idx="2000">
                  <c:v>0.81891000000000003</c:v>
                </c:pt>
                <c:pt idx="2001">
                  <c:v>0.81891899999999995</c:v>
                </c:pt>
                <c:pt idx="2002">
                  <c:v>0.81892600000000004</c:v>
                </c:pt>
              </c:numCache>
            </c:numRef>
          </c:yVal>
          <c:smooth val="0"/>
          <c:extLst>
            <c:ext xmlns:c16="http://schemas.microsoft.com/office/drawing/2014/chart" uri="{C3380CC4-5D6E-409C-BE32-E72D297353CC}">
              <c16:uniqueId val="{00000003-278F-4872-BAA2-25D7FE0BC8AA}"/>
            </c:ext>
          </c:extLst>
        </c:ser>
        <c:dLbls>
          <c:showLegendKey val="0"/>
          <c:showVal val="0"/>
          <c:showCatName val="0"/>
          <c:showSerName val="0"/>
          <c:showPercent val="0"/>
          <c:showBubbleSize val="0"/>
        </c:dLbls>
        <c:axId val="1849613263"/>
        <c:axId val="1849617103"/>
      </c:scatterChart>
      <c:valAx>
        <c:axId val="1849613263"/>
        <c:scaling>
          <c:orientation val="minMax"/>
          <c:max val="1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solidFill>
                      <a:schemeClr val="tx1"/>
                    </a:solidFill>
                  </a:rPr>
                  <a:t>Time (s)</a:t>
                </a:r>
              </a:p>
            </c:rich>
          </c:tx>
          <c:layout>
            <c:manualLayout>
              <c:xMode val="edge"/>
              <c:yMode val="edge"/>
              <c:x val="0.45108775872326839"/>
              <c:y val="0.9316024026351482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49617103"/>
        <c:crosses val="autoZero"/>
        <c:crossBetween val="midCat"/>
      </c:valAx>
      <c:valAx>
        <c:axId val="1849617103"/>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solidFill>
                      <a:schemeClr val="tx1"/>
                    </a:solidFill>
                  </a:rPr>
                  <a:t>Phase A Current (p.u.)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49613263"/>
        <c:crosses val="autoZero"/>
        <c:crossBetween val="midCat"/>
      </c:valAx>
      <c:spPr>
        <a:solidFill>
          <a:srgbClr val="F7F9FC"/>
        </a:solidFill>
        <a:ln>
          <a:noFill/>
        </a:ln>
        <a:effectLst/>
      </c:spPr>
    </c:plotArea>
    <c:legend>
      <c:legendPos val="r"/>
      <c:layout>
        <c:manualLayout>
          <c:xMode val="edge"/>
          <c:yMode val="edge"/>
          <c:x val="0.31657730685281887"/>
          <c:y val="0.36726569806559495"/>
          <c:w val="0.24468072113631481"/>
          <c:h val="0.3039415849031271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1200"/>
        </a:spcBef>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0716788454688E-2"/>
          <c:y val="9.2386613151251809E-2"/>
          <c:w val="0.8941156465803165"/>
          <c:h val="0.79363329164975993"/>
        </c:manualLayout>
      </c:layout>
      <c:scatterChart>
        <c:scatterStyle val="lineMarker"/>
        <c:varyColors val="0"/>
        <c:ser>
          <c:idx val="0"/>
          <c:order val="0"/>
          <c:tx>
            <c:strRef>
              <c:f>Sheet1!$B$1:$B$2</c:f>
              <c:strCache>
                <c:ptCount val="2"/>
                <c:pt idx="0">
                  <c:v>V8</c:v>
                </c:pt>
                <c:pt idx="1">
                  <c:v>LLL</c:v>
                </c:pt>
              </c:strCache>
            </c:strRef>
          </c:tx>
          <c:spPr>
            <a:ln w="19050" cap="rnd">
              <a:solidFill>
                <a:srgbClr val="00B050"/>
              </a:solidFill>
              <a:round/>
            </a:ln>
            <a:effectLst/>
          </c:spPr>
          <c:marker>
            <c:symbol val="none"/>
          </c:marker>
          <c:xVal>
            <c:numRef>
              <c:f>Sheet1!$A$3:$A$2005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Sheet1!$B$3:$B$2005</c:f>
              <c:numCache>
                <c:formatCode>General</c:formatCode>
                <c:ptCount val="2003"/>
                <c:pt idx="0">
                  <c:v>0.99602199999999996</c:v>
                </c:pt>
                <c:pt idx="1">
                  <c:v>0.99602199999999996</c:v>
                </c:pt>
                <c:pt idx="2">
                  <c:v>0.99602199999999996</c:v>
                </c:pt>
                <c:pt idx="3">
                  <c:v>0.99602199999999996</c:v>
                </c:pt>
                <c:pt idx="4">
                  <c:v>0.99602199999999996</c:v>
                </c:pt>
                <c:pt idx="5">
                  <c:v>0.99602199999999996</c:v>
                </c:pt>
                <c:pt idx="6">
                  <c:v>0.99602199999999996</c:v>
                </c:pt>
                <c:pt idx="7">
                  <c:v>0.99602199999999996</c:v>
                </c:pt>
                <c:pt idx="8">
                  <c:v>0.99602199999999996</c:v>
                </c:pt>
                <c:pt idx="9">
                  <c:v>0.99602199999999996</c:v>
                </c:pt>
                <c:pt idx="10">
                  <c:v>0.99602199999999996</c:v>
                </c:pt>
                <c:pt idx="11">
                  <c:v>0.99602199999999996</c:v>
                </c:pt>
                <c:pt idx="12">
                  <c:v>0.99602199999999996</c:v>
                </c:pt>
                <c:pt idx="13">
                  <c:v>0.99602199999999996</c:v>
                </c:pt>
                <c:pt idx="14">
                  <c:v>0.99602199999999996</c:v>
                </c:pt>
                <c:pt idx="15">
                  <c:v>0.99602199999999996</c:v>
                </c:pt>
                <c:pt idx="16">
                  <c:v>0.99602199999999996</c:v>
                </c:pt>
                <c:pt idx="17">
                  <c:v>0.99602199999999996</c:v>
                </c:pt>
                <c:pt idx="18">
                  <c:v>0.99602199999999996</c:v>
                </c:pt>
                <c:pt idx="19">
                  <c:v>0.99602199999999996</c:v>
                </c:pt>
                <c:pt idx="20">
                  <c:v>0.99602199999999996</c:v>
                </c:pt>
                <c:pt idx="21">
                  <c:v>0.99602199999999996</c:v>
                </c:pt>
                <c:pt idx="22">
                  <c:v>0.99602199999999996</c:v>
                </c:pt>
                <c:pt idx="23">
                  <c:v>0.99602199999999996</c:v>
                </c:pt>
                <c:pt idx="24">
                  <c:v>0.99602199999999996</c:v>
                </c:pt>
                <c:pt idx="25">
                  <c:v>0.99602199999999996</c:v>
                </c:pt>
                <c:pt idx="26">
                  <c:v>0.99602199999999996</c:v>
                </c:pt>
                <c:pt idx="27">
                  <c:v>0.99602199999999996</c:v>
                </c:pt>
                <c:pt idx="28">
                  <c:v>0.99602199999999996</c:v>
                </c:pt>
                <c:pt idx="29">
                  <c:v>0.99602199999999996</c:v>
                </c:pt>
                <c:pt idx="30">
                  <c:v>0.99602199999999996</c:v>
                </c:pt>
                <c:pt idx="31">
                  <c:v>0.99602199999999996</c:v>
                </c:pt>
                <c:pt idx="32">
                  <c:v>0.99602199999999996</c:v>
                </c:pt>
                <c:pt idx="33">
                  <c:v>0.99602199999999996</c:v>
                </c:pt>
                <c:pt idx="34">
                  <c:v>0.99602199999999996</c:v>
                </c:pt>
                <c:pt idx="35">
                  <c:v>0.99602199999999996</c:v>
                </c:pt>
                <c:pt idx="36">
                  <c:v>0.99602199999999996</c:v>
                </c:pt>
                <c:pt idx="37">
                  <c:v>0.99602199999999996</c:v>
                </c:pt>
                <c:pt idx="38">
                  <c:v>0.99602199999999996</c:v>
                </c:pt>
                <c:pt idx="39">
                  <c:v>0.99602199999999996</c:v>
                </c:pt>
                <c:pt idx="40">
                  <c:v>0.99602199999999996</c:v>
                </c:pt>
                <c:pt idx="41">
                  <c:v>0.99602199999999996</c:v>
                </c:pt>
                <c:pt idx="42">
                  <c:v>0.99602199999999996</c:v>
                </c:pt>
                <c:pt idx="43">
                  <c:v>0.99602199999999996</c:v>
                </c:pt>
                <c:pt idx="44">
                  <c:v>0.99602199999999996</c:v>
                </c:pt>
                <c:pt idx="45">
                  <c:v>0.99602199999999996</c:v>
                </c:pt>
                <c:pt idx="46">
                  <c:v>0.99602199999999996</c:v>
                </c:pt>
                <c:pt idx="47">
                  <c:v>0.99602199999999996</c:v>
                </c:pt>
                <c:pt idx="48">
                  <c:v>0.99602199999999996</c:v>
                </c:pt>
                <c:pt idx="49">
                  <c:v>0.99602199999999996</c:v>
                </c:pt>
                <c:pt idx="50">
                  <c:v>0.99602199999999996</c:v>
                </c:pt>
                <c:pt idx="51">
                  <c:v>0.99602199999999996</c:v>
                </c:pt>
                <c:pt idx="52">
                  <c:v>0.99602199999999996</c:v>
                </c:pt>
                <c:pt idx="53">
                  <c:v>0.99602199999999996</c:v>
                </c:pt>
                <c:pt idx="54">
                  <c:v>0.99602199999999996</c:v>
                </c:pt>
                <c:pt idx="55">
                  <c:v>0.99602199999999996</c:v>
                </c:pt>
                <c:pt idx="56">
                  <c:v>0.99602199999999996</c:v>
                </c:pt>
                <c:pt idx="57">
                  <c:v>0.99602199999999996</c:v>
                </c:pt>
                <c:pt idx="58">
                  <c:v>0.99602199999999996</c:v>
                </c:pt>
                <c:pt idx="59">
                  <c:v>0.99602199999999996</c:v>
                </c:pt>
                <c:pt idx="60">
                  <c:v>0.99602199999999996</c:v>
                </c:pt>
                <c:pt idx="61">
                  <c:v>0.99602199999999996</c:v>
                </c:pt>
                <c:pt idx="62">
                  <c:v>0.99602199999999996</c:v>
                </c:pt>
                <c:pt idx="63">
                  <c:v>0.99602199999999996</c:v>
                </c:pt>
                <c:pt idx="64">
                  <c:v>0.99602199999999996</c:v>
                </c:pt>
                <c:pt idx="65">
                  <c:v>0.99602199999999996</c:v>
                </c:pt>
                <c:pt idx="66">
                  <c:v>0.99602199999999996</c:v>
                </c:pt>
                <c:pt idx="67">
                  <c:v>0.99602199999999996</c:v>
                </c:pt>
                <c:pt idx="68">
                  <c:v>0.99602199999999996</c:v>
                </c:pt>
                <c:pt idx="69">
                  <c:v>0.99602199999999996</c:v>
                </c:pt>
                <c:pt idx="70">
                  <c:v>0.99602199999999996</c:v>
                </c:pt>
                <c:pt idx="71">
                  <c:v>0.99602199999999996</c:v>
                </c:pt>
                <c:pt idx="72">
                  <c:v>0.99602199999999996</c:v>
                </c:pt>
                <c:pt idx="73">
                  <c:v>0.99602199999999996</c:v>
                </c:pt>
                <c:pt idx="74">
                  <c:v>0.99602199999999996</c:v>
                </c:pt>
                <c:pt idx="75">
                  <c:v>0.99602199999999996</c:v>
                </c:pt>
                <c:pt idx="76">
                  <c:v>0.99602199999999996</c:v>
                </c:pt>
                <c:pt idx="77">
                  <c:v>0.99602199999999996</c:v>
                </c:pt>
                <c:pt idx="78">
                  <c:v>0.99602199999999996</c:v>
                </c:pt>
                <c:pt idx="79">
                  <c:v>0.99602199999999996</c:v>
                </c:pt>
                <c:pt idx="80">
                  <c:v>0.99602199999999996</c:v>
                </c:pt>
                <c:pt idx="81">
                  <c:v>0.99602199999999996</c:v>
                </c:pt>
                <c:pt idx="82">
                  <c:v>0.99602199999999996</c:v>
                </c:pt>
                <c:pt idx="83">
                  <c:v>0.99602199999999996</c:v>
                </c:pt>
                <c:pt idx="84">
                  <c:v>0.99602199999999996</c:v>
                </c:pt>
                <c:pt idx="85">
                  <c:v>0.99602199999999996</c:v>
                </c:pt>
                <c:pt idx="86">
                  <c:v>0.99602199999999996</c:v>
                </c:pt>
                <c:pt idx="87">
                  <c:v>0.99602199999999996</c:v>
                </c:pt>
                <c:pt idx="88">
                  <c:v>0.99602199999999996</c:v>
                </c:pt>
                <c:pt idx="89">
                  <c:v>0.99602199999999996</c:v>
                </c:pt>
                <c:pt idx="90">
                  <c:v>0.99602199999999996</c:v>
                </c:pt>
                <c:pt idx="91">
                  <c:v>0.99602199999999996</c:v>
                </c:pt>
                <c:pt idx="92">
                  <c:v>0.99602199999999996</c:v>
                </c:pt>
                <c:pt idx="93">
                  <c:v>0.99602199999999996</c:v>
                </c:pt>
                <c:pt idx="94">
                  <c:v>0.99602199999999996</c:v>
                </c:pt>
                <c:pt idx="95">
                  <c:v>0.99602199999999996</c:v>
                </c:pt>
                <c:pt idx="96">
                  <c:v>0.99602199999999996</c:v>
                </c:pt>
                <c:pt idx="97">
                  <c:v>0.99602199999999996</c:v>
                </c:pt>
                <c:pt idx="98">
                  <c:v>0.99602199999999996</c:v>
                </c:pt>
                <c:pt idx="99">
                  <c:v>0.99602199999999996</c:v>
                </c:pt>
                <c:pt idx="100">
                  <c:v>0.99602199999999996</c:v>
                </c:pt>
                <c:pt idx="101">
                  <c:v>0.99602199999999996</c:v>
                </c:pt>
                <c:pt idx="102">
                  <c:v>0.99602199999999996</c:v>
                </c:pt>
                <c:pt idx="103">
                  <c:v>0.99602199999999996</c:v>
                </c:pt>
                <c:pt idx="104">
                  <c:v>0.99602199999999996</c:v>
                </c:pt>
                <c:pt idx="105">
                  <c:v>0.99602199999999996</c:v>
                </c:pt>
                <c:pt idx="106">
                  <c:v>0.99602199999999996</c:v>
                </c:pt>
                <c:pt idx="107">
                  <c:v>0.99602199999999996</c:v>
                </c:pt>
                <c:pt idx="108">
                  <c:v>0.99602199999999996</c:v>
                </c:pt>
                <c:pt idx="109">
                  <c:v>0.99602199999999996</c:v>
                </c:pt>
                <c:pt idx="110">
                  <c:v>0.99602199999999996</c:v>
                </c:pt>
                <c:pt idx="111">
                  <c:v>0.99602199999999996</c:v>
                </c:pt>
                <c:pt idx="112">
                  <c:v>0.99602199999999996</c:v>
                </c:pt>
                <c:pt idx="113">
                  <c:v>0.99602199999999996</c:v>
                </c:pt>
                <c:pt idx="114">
                  <c:v>0.99602199999999996</c:v>
                </c:pt>
                <c:pt idx="115">
                  <c:v>0.99602199999999996</c:v>
                </c:pt>
                <c:pt idx="116">
                  <c:v>0.99602199999999996</c:v>
                </c:pt>
                <c:pt idx="117">
                  <c:v>0.99602199999999996</c:v>
                </c:pt>
                <c:pt idx="118">
                  <c:v>0.99602199999999996</c:v>
                </c:pt>
                <c:pt idx="119">
                  <c:v>0.99602199999999996</c:v>
                </c:pt>
                <c:pt idx="120">
                  <c:v>0.99602199999999996</c:v>
                </c:pt>
                <c:pt idx="121">
                  <c:v>0.99602199999999996</c:v>
                </c:pt>
                <c:pt idx="122">
                  <c:v>0.99602199999999996</c:v>
                </c:pt>
                <c:pt idx="123">
                  <c:v>0.99602199999999996</c:v>
                </c:pt>
                <c:pt idx="124">
                  <c:v>0.99602199999999996</c:v>
                </c:pt>
                <c:pt idx="125">
                  <c:v>0.99602199999999996</c:v>
                </c:pt>
                <c:pt idx="126">
                  <c:v>0.99602199999999996</c:v>
                </c:pt>
                <c:pt idx="127">
                  <c:v>0.99602199999999996</c:v>
                </c:pt>
                <c:pt idx="128">
                  <c:v>0.99602199999999996</c:v>
                </c:pt>
                <c:pt idx="129">
                  <c:v>0.99602199999999996</c:v>
                </c:pt>
                <c:pt idx="130">
                  <c:v>0.99602199999999996</c:v>
                </c:pt>
                <c:pt idx="131">
                  <c:v>0.99602199999999996</c:v>
                </c:pt>
                <c:pt idx="132">
                  <c:v>0.99602199999999996</c:v>
                </c:pt>
                <c:pt idx="133">
                  <c:v>0.99602199999999996</c:v>
                </c:pt>
                <c:pt idx="134">
                  <c:v>0.99602199999999996</c:v>
                </c:pt>
                <c:pt idx="135">
                  <c:v>0.99602199999999996</c:v>
                </c:pt>
                <c:pt idx="136">
                  <c:v>0.99602199999999996</c:v>
                </c:pt>
                <c:pt idx="137">
                  <c:v>0.99602199999999996</c:v>
                </c:pt>
                <c:pt idx="138">
                  <c:v>0.99602199999999996</c:v>
                </c:pt>
                <c:pt idx="139">
                  <c:v>0.99602199999999996</c:v>
                </c:pt>
                <c:pt idx="140">
                  <c:v>0.99602199999999996</c:v>
                </c:pt>
                <c:pt idx="141">
                  <c:v>0.99602199999999996</c:v>
                </c:pt>
                <c:pt idx="142">
                  <c:v>0.99602199999999996</c:v>
                </c:pt>
                <c:pt idx="143">
                  <c:v>0.99602199999999996</c:v>
                </c:pt>
                <c:pt idx="144">
                  <c:v>0.99602199999999996</c:v>
                </c:pt>
                <c:pt idx="145">
                  <c:v>0.99602199999999996</c:v>
                </c:pt>
                <c:pt idx="146">
                  <c:v>0.99602199999999996</c:v>
                </c:pt>
                <c:pt idx="147">
                  <c:v>0.99602199999999996</c:v>
                </c:pt>
                <c:pt idx="148">
                  <c:v>0.99602199999999996</c:v>
                </c:pt>
                <c:pt idx="149">
                  <c:v>0.99602199999999996</c:v>
                </c:pt>
                <c:pt idx="150">
                  <c:v>0.99602199999999996</c:v>
                </c:pt>
                <c:pt idx="151">
                  <c:v>0.99602199999999996</c:v>
                </c:pt>
                <c:pt idx="152">
                  <c:v>0.99602199999999996</c:v>
                </c:pt>
                <c:pt idx="153">
                  <c:v>0.99602199999999996</c:v>
                </c:pt>
                <c:pt idx="154">
                  <c:v>0.99602199999999996</c:v>
                </c:pt>
                <c:pt idx="155">
                  <c:v>0.99602199999999996</c:v>
                </c:pt>
                <c:pt idx="156">
                  <c:v>0.99602199999999996</c:v>
                </c:pt>
                <c:pt idx="157">
                  <c:v>0.99602199999999996</c:v>
                </c:pt>
                <c:pt idx="158">
                  <c:v>0.99602199999999996</c:v>
                </c:pt>
                <c:pt idx="159">
                  <c:v>0.99602199999999996</c:v>
                </c:pt>
                <c:pt idx="160">
                  <c:v>0.99602199999999996</c:v>
                </c:pt>
                <c:pt idx="161">
                  <c:v>0.99602199999999996</c:v>
                </c:pt>
                <c:pt idx="162">
                  <c:v>0.99602199999999996</c:v>
                </c:pt>
                <c:pt idx="163">
                  <c:v>0.99602199999999996</c:v>
                </c:pt>
                <c:pt idx="164">
                  <c:v>0.99602199999999996</c:v>
                </c:pt>
                <c:pt idx="165">
                  <c:v>0.99602199999999996</c:v>
                </c:pt>
                <c:pt idx="166">
                  <c:v>0.99602199999999996</c:v>
                </c:pt>
                <c:pt idx="167">
                  <c:v>0.99602199999999996</c:v>
                </c:pt>
                <c:pt idx="168">
                  <c:v>0.99602199999999996</c:v>
                </c:pt>
                <c:pt idx="169">
                  <c:v>0.99602199999999996</c:v>
                </c:pt>
                <c:pt idx="170">
                  <c:v>0.99602199999999996</c:v>
                </c:pt>
                <c:pt idx="171">
                  <c:v>0.99602199999999996</c:v>
                </c:pt>
                <c:pt idx="172">
                  <c:v>0.99602199999999996</c:v>
                </c:pt>
                <c:pt idx="173">
                  <c:v>0.99602199999999996</c:v>
                </c:pt>
                <c:pt idx="174">
                  <c:v>0.99602199999999996</c:v>
                </c:pt>
                <c:pt idx="175">
                  <c:v>0.99602199999999996</c:v>
                </c:pt>
                <c:pt idx="176">
                  <c:v>0.99602199999999996</c:v>
                </c:pt>
                <c:pt idx="177">
                  <c:v>0.99602199999999996</c:v>
                </c:pt>
                <c:pt idx="178">
                  <c:v>0.99602199999999996</c:v>
                </c:pt>
                <c:pt idx="179">
                  <c:v>0.99602199999999996</c:v>
                </c:pt>
                <c:pt idx="180">
                  <c:v>0.99602199999999996</c:v>
                </c:pt>
                <c:pt idx="181">
                  <c:v>0.99602199999999996</c:v>
                </c:pt>
                <c:pt idx="182">
                  <c:v>0.99602199999999996</c:v>
                </c:pt>
                <c:pt idx="183">
                  <c:v>0.99602199999999996</c:v>
                </c:pt>
                <c:pt idx="184">
                  <c:v>0.99602199999999996</c:v>
                </c:pt>
                <c:pt idx="185">
                  <c:v>0.99602199999999996</c:v>
                </c:pt>
                <c:pt idx="186">
                  <c:v>0.99602199999999996</c:v>
                </c:pt>
                <c:pt idx="187">
                  <c:v>0.99602199999999996</c:v>
                </c:pt>
                <c:pt idx="188">
                  <c:v>0.99602199999999996</c:v>
                </c:pt>
                <c:pt idx="189">
                  <c:v>0.99602199999999996</c:v>
                </c:pt>
                <c:pt idx="190">
                  <c:v>0.99602199999999996</c:v>
                </c:pt>
                <c:pt idx="191">
                  <c:v>0.99602199999999996</c:v>
                </c:pt>
                <c:pt idx="192">
                  <c:v>0.99602199999999996</c:v>
                </c:pt>
                <c:pt idx="193">
                  <c:v>0.99602199999999996</c:v>
                </c:pt>
                <c:pt idx="194">
                  <c:v>0.99602199999999996</c:v>
                </c:pt>
                <c:pt idx="195">
                  <c:v>0.99602199999999996</c:v>
                </c:pt>
                <c:pt idx="196">
                  <c:v>0.99602199999999996</c:v>
                </c:pt>
                <c:pt idx="197">
                  <c:v>0.99602199999999996</c:v>
                </c:pt>
                <c:pt idx="198">
                  <c:v>0.99602199999999996</c:v>
                </c:pt>
                <c:pt idx="199">
                  <c:v>0.99602199999999996</c:v>
                </c:pt>
                <c:pt idx="200">
                  <c:v>0.99602199999999996</c:v>
                </c:pt>
                <c:pt idx="201">
                  <c:v>0.64255399999999996</c:v>
                </c:pt>
                <c:pt idx="202">
                  <c:v>0.64035500000000001</c:v>
                </c:pt>
                <c:pt idx="203">
                  <c:v>0.64063800000000004</c:v>
                </c:pt>
                <c:pt idx="204">
                  <c:v>0.64432400000000001</c:v>
                </c:pt>
                <c:pt idx="205">
                  <c:v>0.64938200000000001</c:v>
                </c:pt>
                <c:pt idx="206">
                  <c:v>0.65491100000000002</c:v>
                </c:pt>
                <c:pt idx="207">
                  <c:v>0.660134</c:v>
                </c:pt>
                <c:pt idx="208">
                  <c:v>0.66492600000000002</c:v>
                </c:pt>
                <c:pt idx="209">
                  <c:v>0.66915599999999997</c:v>
                </c:pt>
                <c:pt idx="210">
                  <c:v>0.67277100000000001</c:v>
                </c:pt>
                <c:pt idx="211">
                  <c:v>0.67526399999999998</c:v>
                </c:pt>
                <c:pt idx="212">
                  <c:v>0.94332400000000005</c:v>
                </c:pt>
                <c:pt idx="213">
                  <c:v>0.96014299999999997</c:v>
                </c:pt>
                <c:pt idx="214">
                  <c:v>0.97822799999999999</c:v>
                </c:pt>
                <c:pt idx="215">
                  <c:v>0.98816700000000002</c:v>
                </c:pt>
                <c:pt idx="216">
                  <c:v>0.99315600000000004</c:v>
                </c:pt>
                <c:pt idx="217">
                  <c:v>0.99494300000000002</c:v>
                </c:pt>
                <c:pt idx="218">
                  <c:v>0.99461599999999994</c:v>
                </c:pt>
                <c:pt idx="219">
                  <c:v>0.99283999999999994</c:v>
                </c:pt>
                <c:pt idx="220">
                  <c:v>0.99008799999999997</c:v>
                </c:pt>
                <c:pt idx="221">
                  <c:v>0.986676</c:v>
                </c:pt>
                <c:pt idx="222">
                  <c:v>0.98282999999999998</c:v>
                </c:pt>
                <c:pt idx="223">
                  <c:v>0.97872199999999998</c:v>
                </c:pt>
                <c:pt idx="224">
                  <c:v>0.97447899999999998</c:v>
                </c:pt>
                <c:pt idx="225">
                  <c:v>0.97023800000000004</c:v>
                </c:pt>
                <c:pt idx="226">
                  <c:v>0.96599100000000004</c:v>
                </c:pt>
                <c:pt idx="227">
                  <c:v>0.96184000000000003</c:v>
                </c:pt>
                <c:pt idx="228">
                  <c:v>0.95783200000000002</c:v>
                </c:pt>
                <c:pt idx="229">
                  <c:v>0.95395600000000003</c:v>
                </c:pt>
                <c:pt idx="230">
                  <c:v>0.95033100000000004</c:v>
                </c:pt>
                <c:pt idx="231">
                  <c:v>0.94692500000000002</c:v>
                </c:pt>
                <c:pt idx="232">
                  <c:v>0.94375100000000001</c:v>
                </c:pt>
                <c:pt idx="233">
                  <c:v>0.94081899999999996</c:v>
                </c:pt>
                <c:pt idx="234">
                  <c:v>0.93813100000000005</c:v>
                </c:pt>
                <c:pt idx="235">
                  <c:v>0.93568799999999996</c:v>
                </c:pt>
                <c:pt idx="236">
                  <c:v>0.93348900000000001</c:v>
                </c:pt>
                <c:pt idx="237">
                  <c:v>0.93152800000000002</c:v>
                </c:pt>
                <c:pt idx="238">
                  <c:v>0.92979999999999996</c:v>
                </c:pt>
                <c:pt idx="239">
                  <c:v>0.92829499999999998</c:v>
                </c:pt>
                <c:pt idx="240">
                  <c:v>0.92700499999999997</c:v>
                </c:pt>
                <c:pt idx="241">
                  <c:v>0.92591999999999997</c:v>
                </c:pt>
                <c:pt idx="242">
                  <c:v>0.92503100000000005</c:v>
                </c:pt>
                <c:pt idx="243">
                  <c:v>0.92432599999999998</c:v>
                </c:pt>
                <c:pt idx="244">
                  <c:v>0.92379500000000003</c:v>
                </c:pt>
                <c:pt idx="245">
                  <c:v>0.92342800000000003</c:v>
                </c:pt>
                <c:pt idx="246">
                  <c:v>0.92321600000000004</c:v>
                </c:pt>
                <c:pt idx="247">
                  <c:v>0.92315800000000003</c:v>
                </c:pt>
                <c:pt idx="248">
                  <c:v>0.92321799999999998</c:v>
                </c:pt>
                <c:pt idx="249">
                  <c:v>0.92340699999999998</c:v>
                </c:pt>
                <c:pt idx="250">
                  <c:v>0.92371599999999998</c:v>
                </c:pt>
                <c:pt idx="251">
                  <c:v>0.92413800000000001</c:v>
                </c:pt>
                <c:pt idx="252">
                  <c:v>0.92466899999999996</c:v>
                </c:pt>
                <c:pt idx="253">
                  <c:v>0.92530199999999996</c:v>
                </c:pt>
                <c:pt idx="254">
                  <c:v>0.926033</c:v>
                </c:pt>
                <c:pt idx="255">
                  <c:v>0.92681000000000002</c:v>
                </c:pt>
                <c:pt idx="256">
                  <c:v>0.92773600000000001</c:v>
                </c:pt>
                <c:pt idx="257">
                  <c:v>0.92870299999999995</c:v>
                </c:pt>
                <c:pt idx="258">
                  <c:v>0.92978400000000005</c:v>
                </c:pt>
                <c:pt idx="259">
                  <c:v>0.93093400000000004</c:v>
                </c:pt>
                <c:pt idx="260">
                  <c:v>0.93216699999999997</c:v>
                </c:pt>
                <c:pt idx="261">
                  <c:v>0.93349700000000002</c:v>
                </c:pt>
                <c:pt idx="262">
                  <c:v>0.93488400000000005</c:v>
                </c:pt>
                <c:pt idx="263">
                  <c:v>0.936392</c:v>
                </c:pt>
                <c:pt idx="264">
                  <c:v>0.93793400000000005</c:v>
                </c:pt>
                <c:pt idx="265">
                  <c:v>0.93961899999999998</c:v>
                </c:pt>
                <c:pt idx="266">
                  <c:v>0.94131900000000002</c:v>
                </c:pt>
                <c:pt idx="267">
                  <c:v>0.94317899999999999</c:v>
                </c:pt>
                <c:pt idx="268">
                  <c:v>0.94503499999999996</c:v>
                </c:pt>
                <c:pt idx="269">
                  <c:v>0.94707200000000002</c:v>
                </c:pt>
                <c:pt idx="270">
                  <c:v>0.94918400000000003</c:v>
                </c:pt>
                <c:pt idx="271">
                  <c:v>0.951264</c:v>
                </c:pt>
                <c:pt idx="272">
                  <c:v>0.95353399999999999</c:v>
                </c:pt>
                <c:pt idx="273">
                  <c:v>0.955874</c:v>
                </c:pt>
                <c:pt idx="274">
                  <c:v>0.95827899999999999</c:v>
                </c:pt>
                <c:pt idx="275">
                  <c:v>0.96074300000000001</c:v>
                </c:pt>
                <c:pt idx="276">
                  <c:v>0.96326199999999995</c:v>
                </c:pt>
                <c:pt idx="277">
                  <c:v>0.96582900000000005</c:v>
                </c:pt>
                <c:pt idx="278">
                  <c:v>0.96843900000000005</c:v>
                </c:pt>
                <c:pt idx="279">
                  <c:v>0.971082</c:v>
                </c:pt>
                <c:pt idx="280">
                  <c:v>0.97375299999999998</c:v>
                </c:pt>
                <c:pt idx="281">
                  <c:v>0.976441</c:v>
                </c:pt>
                <c:pt idx="282">
                  <c:v>0.97913700000000004</c:v>
                </c:pt>
                <c:pt idx="283">
                  <c:v>0.98183299999999996</c:v>
                </c:pt>
                <c:pt idx="284">
                  <c:v>0.98451900000000003</c:v>
                </c:pt>
                <c:pt idx="285">
                  <c:v>0.98718600000000001</c:v>
                </c:pt>
                <c:pt idx="286">
                  <c:v>0.98982199999999998</c:v>
                </c:pt>
                <c:pt idx="287">
                  <c:v>0.99241800000000002</c:v>
                </c:pt>
                <c:pt idx="288">
                  <c:v>0.99496499999999999</c:v>
                </c:pt>
                <c:pt idx="289">
                  <c:v>0.99746999999999997</c:v>
                </c:pt>
                <c:pt idx="290">
                  <c:v>0.99980500000000005</c:v>
                </c:pt>
                <c:pt idx="291">
                  <c:v>1.002175</c:v>
                </c:pt>
                <c:pt idx="292">
                  <c:v>1.004367</c:v>
                </c:pt>
                <c:pt idx="293">
                  <c:v>1.0065660000000001</c:v>
                </c:pt>
                <c:pt idx="294">
                  <c:v>1.008583</c:v>
                </c:pt>
                <c:pt idx="295">
                  <c:v>1.01058</c:v>
                </c:pt>
                <c:pt idx="296">
                  <c:v>1.012397</c:v>
                </c:pt>
                <c:pt idx="297">
                  <c:v>1.0141690000000001</c:v>
                </c:pt>
                <c:pt idx="298">
                  <c:v>1.0157700000000001</c:v>
                </c:pt>
                <c:pt idx="299">
                  <c:v>1.017301</c:v>
                </c:pt>
                <c:pt idx="300">
                  <c:v>1.0186729999999999</c:v>
                </c:pt>
                <c:pt idx="301">
                  <c:v>1.0199499999999999</c:v>
                </c:pt>
                <c:pt idx="302">
                  <c:v>1.0211030000000001</c:v>
                </c:pt>
                <c:pt idx="303">
                  <c:v>1.0221340000000001</c:v>
                </c:pt>
                <c:pt idx="304">
                  <c:v>1.023045</c:v>
                </c:pt>
                <c:pt idx="305">
                  <c:v>1.0238400000000001</c:v>
                </c:pt>
                <c:pt idx="306">
                  <c:v>1.0245230000000001</c:v>
                </c:pt>
                <c:pt idx="307">
                  <c:v>1.0250999999999999</c:v>
                </c:pt>
                <c:pt idx="308">
                  <c:v>1.025577</c:v>
                </c:pt>
                <c:pt idx="309">
                  <c:v>1.0259579999999999</c:v>
                </c:pt>
                <c:pt idx="310">
                  <c:v>1.0262530000000001</c:v>
                </c:pt>
                <c:pt idx="311">
                  <c:v>1.026467</c:v>
                </c:pt>
                <c:pt idx="312">
                  <c:v>1.02661</c:v>
                </c:pt>
                <c:pt idx="313">
                  <c:v>1.026688</c:v>
                </c:pt>
                <c:pt idx="314">
                  <c:v>1.0267120000000001</c:v>
                </c:pt>
                <c:pt idx="315">
                  <c:v>1.026688</c:v>
                </c:pt>
                <c:pt idx="316">
                  <c:v>1.026627</c:v>
                </c:pt>
                <c:pt idx="317">
                  <c:v>1.026537</c:v>
                </c:pt>
                <c:pt idx="318">
                  <c:v>1.0264260000000001</c:v>
                </c:pt>
                <c:pt idx="319">
                  <c:v>1.026303</c:v>
                </c:pt>
                <c:pt idx="320">
                  <c:v>1.0261769999999999</c:v>
                </c:pt>
                <c:pt idx="321">
                  <c:v>1.026054</c:v>
                </c:pt>
                <c:pt idx="322">
                  <c:v>1.0259419999999999</c:v>
                </c:pt>
                <c:pt idx="323">
                  <c:v>1.0258480000000001</c:v>
                </c:pt>
                <c:pt idx="324">
                  <c:v>1.025779</c:v>
                </c:pt>
                <c:pt idx="325">
                  <c:v>1.025739</c:v>
                </c:pt>
                <c:pt idx="326">
                  <c:v>1.0257350000000001</c:v>
                </c:pt>
                <c:pt idx="327">
                  <c:v>1.0257689999999999</c:v>
                </c:pt>
                <c:pt idx="328">
                  <c:v>1.025847</c:v>
                </c:pt>
                <c:pt idx="329">
                  <c:v>1.0259689999999999</c:v>
                </c:pt>
                <c:pt idx="330">
                  <c:v>1.026138</c:v>
                </c:pt>
                <c:pt idx="331">
                  <c:v>1.0263549999999999</c:v>
                </c:pt>
                <c:pt idx="332">
                  <c:v>1.026621</c:v>
                </c:pt>
                <c:pt idx="333">
                  <c:v>1.026934</c:v>
                </c:pt>
                <c:pt idx="334">
                  <c:v>1.0272939999999999</c:v>
                </c:pt>
                <c:pt idx="335">
                  <c:v>1.0276970000000001</c:v>
                </c:pt>
                <c:pt idx="336">
                  <c:v>1.0281419999999999</c:v>
                </c:pt>
                <c:pt idx="337">
                  <c:v>1.028624</c:v>
                </c:pt>
                <c:pt idx="338">
                  <c:v>1.0291399999999999</c:v>
                </c:pt>
                <c:pt idx="339">
                  <c:v>1.029684</c:v>
                </c:pt>
                <c:pt idx="340">
                  <c:v>1.0302519999999999</c:v>
                </c:pt>
                <c:pt idx="341">
                  <c:v>1.030837</c:v>
                </c:pt>
                <c:pt idx="342">
                  <c:v>1.031434</c:v>
                </c:pt>
                <c:pt idx="343">
                  <c:v>1.032036</c:v>
                </c:pt>
                <c:pt idx="344">
                  <c:v>1.032637</c:v>
                </c:pt>
                <c:pt idx="345">
                  <c:v>1.033228</c:v>
                </c:pt>
                <c:pt idx="346">
                  <c:v>1.0338039999999999</c:v>
                </c:pt>
                <c:pt idx="347">
                  <c:v>1.034357</c:v>
                </c:pt>
                <c:pt idx="348">
                  <c:v>1.0348809999999999</c:v>
                </c:pt>
                <c:pt idx="349">
                  <c:v>1.0353669999999999</c:v>
                </c:pt>
                <c:pt idx="350">
                  <c:v>1.0358099999999999</c:v>
                </c:pt>
                <c:pt idx="351">
                  <c:v>1.036203</c:v>
                </c:pt>
                <c:pt idx="352">
                  <c:v>1.0365390000000001</c:v>
                </c:pt>
                <c:pt idx="353">
                  <c:v>1.036813</c:v>
                </c:pt>
                <c:pt idx="354">
                  <c:v>1.0370189999999999</c:v>
                </c:pt>
                <c:pt idx="355">
                  <c:v>1.0371509999999999</c:v>
                </c:pt>
                <c:pt idx="356">
                  <c:v>1.0372060000000001</c:v>
                </c:pt>
                <c:pt idx="357">
                  <c:v>1.0371790000000001</c:v>
                </c:pt>
                <c:pt idx="358">
                  <c:v>1.037066</c:v>
                </c:pt>
                <c:pt idx="359">
                  <c:v>1.0368649999999999</c:v>
                </c:pt>
                <c:pt idx="360">
                  <c:v>1.036573</c:v>
                </c:pt>
                <c:pt idx="361">
                  <c:v>1.036189</c:v>
                </c:pt>
                <c:pt idx="362">
                  <c:v>1.035711</c:v>
                </c:pt>
                <c:pt idx="363">
                  <c:v>1.035139</c:v>
                </c:pt>
                <c:pt idx="364">
                  <c:v>1.034473</c:v>
                </c:pt>
                <c:pt idx="365">
                  <c:v>1.033714</c:v>
                </c:pt>
                <c:pt idx="366">
                  <c:v>1.0328630000000001</c:v>
                </c:pt>
                <c:pt idx="367">
                  <c:v>1.0319229999999999</c:v>
                </c:pt>
                <c:pt idx="368">
                  <c:v>1.0308949999999999</c:v>
                </c:pt>
                <c:pt idx="369">
                  <c:v>1.0297829999999999</c:v>
                </c:pt>
                <c:pt idx="370">
                  <c:v>1.0285899999999999</c:v>
                </c:pt>
                <c:pt idx="371">
                  <c:v>1.0273330000000001</c:v>
                </c:pt>
                <c:pt idx="372">
                  <c:v>1.025952</c:v>
                </c:pt>
                <c:pt idx="373">
                  <c:v>1.024559</c:v>
                </c:pt>
                <c:pt idx="374">
                  <c:v>1.023039</c:v>
                </c:pt>
                <c:pt idx="375">
                  <c:v>1.0215289999999999</c:v>
                </c:pt>
                <c:pt idx="376">
                  <c:v>1.019892</c:v>
                </c:pt>
                <c:pt idx="377">
                  <c:v>1.018284</c:v>
                </c:pt>
                <c:pt idx="378">
                  <c:v>1.0165519999999999</c:v>
                </c:pt>
                <c:pt idx="379">
                  <c:v>1.0148699999999999</c:v>
                </c:pt>
                <c:pt idx="380">
                  <c:v>1.013069</c:v>
                </c:pt>
                <c:pt idx="381">
                  <c:v>1.011323</c:v>
                </c:pt>
                <c:pt idx="382">
                  <c:v>1.00956</c:v>
                </c:pt>
                <c:pt idx="383">
                  <c:v>1.007787</c:v>
                </c:pt>
                <c:pt idx="384">
                  <c:v>1.0060100000000001</c:v>
                </c:pt>
                <c:pt idx="385">
                  <c:v>1.004238</c:v>
                </c:pt>
                <c:pt idx="386">
                  <c:v>1.002475</c:v>
                </c:pt>
                <c:pt idx="387">
                  <c:v>1.0007280000000001</c:v>
                </c:pt>
                <c:pt idx="388">
                  <c:v>0.999004</c:v>
                </c:pt>
                <c:pt idx="389">
                  <c:v>0.99730700000000005</c:v>
                </c:pt>
                <c:pt idx="390">
                  <c:v>0.995645</c:v>
                </c:pt>
                <c:pt idx="391">
                  <c:v>0.99402100000000004</c:v>
                </c:pt>
                <c:pt idx="392">
                  <c:v>0.99244200000000005</c:v>
                </c:pt>
                <c:pt idx="393">
                  <c:v>0.99091300000000004</c:v>
                </c:pt>
                <c:pt idx="394">
                  <c:v>0.98943800000000004</c:v>
                </c:pt>
                <c:pt idx="395">
                  <c:v>0.98802299999999998</c:v>
                </c:pt>
                <c:pt idx="396">
                  <c:v>0.98667199999999999</c:v>
                </c:pt>
                <c:pt idx="397">
                  <c:v>0.98538899999999996</c:v>
                </c:pt>
                <c:pt idx="398">
                  <c:v>0.98417900000000003</c:v>
                </c:pt>
                <c:pt idx="399">
                  <c:v>0.98304499999999995</c:v>
                </c:pt>
                <c:pt idx="400">
                  <c:v>0.98199000000000003</c:v>
                </c:pt>
                <c:pt idx="401">
                  <c:v>0.98101899999999997</c:v>
                </c:pt>
                <c:pt idx="402">
                  <c:v>0.98013499999999998</c:v>
                </c:pt>
                <c:pt idx="403">
                  <c:v>0.97933899999999996</c:v>
                </c:pt>
                <c:pt idx="404">
                  <c:v>0.978634</c:v>
                </c:pt>
                <c:pt idx="405">
                  <c:v>0.97802299999999998</c:v>
                </c:pt>
                <c:pt idx="406">
                  <c:v>0.97750700000000001</c:v>
                </c:pt>
                <c:pt idx="407">
                  <c:v>0.97708700000000004</c:v>
                </c:pt>
                <c:pt idx="408">
                  <c:v>0.97676499999999999</c:v>
                </c:pt>
                <c:pt idx="409">
                  <c:v>0.97653999999999996</c:v>
                </c:pt>
                <c:pt idx="410">
                  <c:v>0.976414</c:v>
                </c:pt>
                <c:pt idx="411">
                  <c:v>0.97638499999999995</c:v>
                </c:pt>
                <c:pt idx="412">
                  <c:v>0.97645400000000004</c:v>
                </c:pt>
                <c:pt idx="413">
                  <c:v>0.97661900000000001</c:v>
                </c:pt>
                <c:pt idx="414">
                  <c:v>0.97687800000000002</c:v>
                </c:pt>
                <c:pt idx="415">
                  <c:v>0.97723099999999996</c:v>
                </c:pt>
                <c:pt idx="416">
                  <c:v>0.97767300000000001</c:v>
                </c:pt>
                <c:pt idx="417">
                  <c:v>0.97820399999999996</c:v>
                </c:pt>
                <c:pt idx="418">
                  <c:v>0.97881899999999999</c:v>
                </c:pt>
                <c:pt idx="419">
                  <c:v>0.97951500000000002</c:v>
                </c:pt>
                <c:pt idx="420">
                  <c:v>0.98028700000000002</c:v>
                </c:pt>
                <c:pt idx="421">
                  <c:v>0.98113300000000003</c:v>
                </c:pt>
                <c:pt idx="422">
                  <c:v>0.98204599999999997</c:v>
                </c:pt>
                <c:pt idx="423">
                  <c:v>0.98302299999999998</c:v>
                </c:pt>
                <c:pt idx="424">
                  <c:v>0.98405699999999996</c:v>
                </c:pt>
                <c:pt idx="425">
                  <c:v>0.98514299999999999</c:v>
                </c:pt>
                <c:pt idx="426">
                  <c:v>0.98627500000000001</c:v>
                </c:pt>
                <c:pt idx="427">
                  <c:v>0.98744699999999996</c:v>
                </c:pt>
                <c:pt idx="428">
                  <c:v>0.98861600000000005</c:v>
                </c:pt>
                <c:pt idx="429">
                  <c:v>0.98990599999999995</c:v>
                </c:pt>
                <c:pt idx="430">
                  <c:v>0.99112100000000003</c:v>
                </c:pt>
                <c:pt idx="431">
                  <c:v>0.99244100000000002</c:v>
                </c:pt>
                <c:pt idx="432">
                  <c:v>0.99368000000000001</c:v>
                </c:pt>
                <c:pt idx="433">
                  <c:v>0.995004</c:v>
                </c:pt>
                <c:pt idx="434">
                  <c:v>0.99624199999999996</c:v>
                </c:pt>
                <c:pt idx="435">
                  <c:v>0.99754399999999999</c:v>
                </c:pt>
                <c:pt idx="436">
                  <c:v>0.99875599999999998</c:v>
                </c:pt>
                <c:pt idx="437">
                  <c:v>1.000008</c:v>
                </c:pt>
                <c:pt idx="438">
                  <c:v>1.0012049999999999</c:v>
                </c:pt>
                <c:pt idx="439">
                  <c:v>1.00237</c:v>
                </c:pt>
                <c:pt idx="440">
                  <c:v>1.0034909999999999</c:v>
                </c:pt>
                <c:pt idx="441">
                  <c:v>1.0045489999999999</c:v>
                </c:pt>
                <c:pt idx="442">
                  <c:v>1.00556</c:v>
                </c:pt>
                <c:pt idx="443">
                  <c:v>1.006521</c:v>
                </c:pt>
                <c:pt idx="444">
                  <c:v>1.007428</c:v>
                </c:pt>
                <c:pt idx="445">
                  <c:v>1.008278</c:v>
                </c:pt>
                <c:pt idx="446">
                  <c:v>1.0090669999999999</c:v>
                </c:pt>
                <c:pt idx="447">
                  <c:v>1.009795</c:v>
                </c:pt>
                <c:pt idx="448">
                  <c:v>1.0104610000000001</c:v>
                </c:pt>
                <c:pt idx="449">
                  <c:v>1.011063</c:v>
                </c:pt>
                <c:pt idx="450">
                  <c:v>1.011603</c:v>
                </c:pt>
                <c:pt idx="451">
                  <c:v>1.0120800000000001</c:v>
                </c:pt>
                <c:pt idx="452">
                  <c:v>1.0124960000000001</c:v>
                </c:pt>
                <c:pt idx="453">
                  <c:v>1.0128520000000001</c:v>
                </c:pt>
                <c:pt idx="454">
                  <c:v>1.0131509999999999</c:v>
                </c:pt>
                <c:pt idx="455">
                  <c:v>1.013396</c:v>
                </c:pt>
                <c:pt idx="456">
                  <c:v>1.0135879999999999</c:v>
                </c:pt>
                <c:pt idx="457">
                  <c:v>1.0137400000000001</c:v>
                </c:pt>
                <c:pt idx="458">
                  <c:v>1.013822</c:v>
                </c:pt>
                <c:pt idx="459">
                  <c:v>1.01389</c:v>
                </c:pt>
                <c:pt idx="460">
                  <c:v>1.0138940000000001</c:v>
                </c:pt>
                <c:pt idx="461">
                  <c:v>1.0138910000000001</c:v>
                </c:pt>
                <c:pt idx="462">
                  <c:v>1.013833</c:v>
                </c:pt>
                <c:pt idx="463">
                  <c:v>1.0137750000000001</c:v>
                </c:pt>
                <c:pt idx="464">
                  <c:v>1.0136719999999999</c:v>
                </c:pt>
                <c:pt idx="465">
                  <c:v>1.013577</c:v>
                </c:pt>
                <c:pt idx="466">
                  <c:v>1.0134449999999999</c:v>
                </c:pt>
                <c:pt idx="467">
                  <c:v>1.0133270000000001</c:v>
                </c:pt>
                <c:pt idx="468">
                  <c:v>1.0131840000000001</c:v>
                </c:pt>
                <c:pt idx="469">
                  <c:v>1.013058</c:v>
                </c:pt>
                <c:pt idx="470">
                  <c:v>1.0129030000000001</c:v>
                </c:pt>
                <c:pt idx="471">
                  <c:v>1.012775</c:v>
                </c:pt>
                <c:pt idx="472">
                  <c:v>1.012651</c:v>
                </c:pt>
                <c:pt idx="473">
                  <c:v>1.01254</c:v>
                </c:pt>
                <c:pt idx="474">
                  <c:v>1.0124409999999999</c:v>
                </c:pt>
                <c:pt idx="475">
                  <c:v>1.012357</c:v>
                </c:pt>
                <c:pt idx="476">
                  <c:v>1.0122880000000001</c:v>
                </c:pt>
                <c:pt idx="477">
                  <c:v>1.0122370000000001</c:v>
                </c:pt>
                <c:pt idx="478">
                  <c:v>1.0122040000000001</c:v>
                </c:pt>
                <c:pt idx="479">
                  <c:v>1.012189</c:v>
                </c:pt>
                <c:pt idx="480">
                  <c:v>1.0121929999999999</c:v>
                </c:pt>
                <c:pt idx="481">
                  <c:v>1.0122150000000001</c:v>
                </c:pt>
                <c:pt idx="482">
                  <c:v>1.012257</c:v>
                </c:pt>
                <c:pt idx="483">
                  <c:v>1.012316</c:v>
                </c:pt>
                <c:pt idx="484">
                  <c:v>1.0123930000000001</c:v>
                </c:pt>
                <c:pt idx="485">
                  <c:v>1.012486</c:v>
                </c:pt>
                <c:pt idx="486">
                  <c:v>1.012594</c:v>
                </c:pt>
                <c:pt idx="487">
                  <c:v>1.0127170000000001</c:v>
                </c:pt>
                <c:pt idx="488">
                  <c:v>1.0128520000000001</c:v>
                </c:pt>
                <c:pt idx="489">
                  <c:v>1.0129980000000001</c:v>
                </c:pt>
                <c:pt idx="490">
                  <c:v>1.0131540000000001</c:v>
                </c:pt>
                <c:pt idx="491">
                  <c:v>1.0133160000000001</c:v>
                </c:pt>
                <c:pt idx="492">
                  <c:v>1.013485</c:v>
                </c:pt>
                <c:pt idx="493">
                  <c:v>1.0136559999999999</c:v>
                </c:pt>
                <c:pt idx="494">
                  <c:v>1.0138290000000001</c:v>
                </c:pt>
                <c:pt idx="495">
                  <c:v>1.0140009999999999</c:v>
                </c:pt>
                <c:pt idx="496">
                  <c:v>1.01417</c:v>
                </c:pt>
                <c:pt idx="497">
                  <c:v>1.0143340000000001</c:v>
                </c:pt>
                <c:pt idx="498">
                  <c:v>1.0144899999999999</c:v>
                </c:pt>
                <c:pt idx="499">
                  <c:v>1.0146360000000001</c:v>
                </c:pt>
                <c:pt idx="500">
                  <c:v>1.0147710000000001</c:v>
                </c:pt>
                <c:pt idx="501">
                  <c:v>1.014891</c:v>
                </c:pt>
                <c:pt idx="502">
                  <c:v>1.014994</c:v>
                </c:pt>
                <c:pt idx="503">
                  <c:v>1.0150790000000001</c:v>
                </c:pt>
                <c:pt idx="504">
                  <c:v>1.015144</c:v>
                </c:pt>
                <c:pt idx="505">
                  <c:v>1.015185</c:v>
                </c:pt>
                <c:pt idx="506">
                  <c:v>1.0152019999999999</c:v>
                </c:pt>
                <c:pt idx="507">
                  <c:v>1.0151920000000001</c:v>
                </c:pt>
                <c:pt idx="508">
                  <c:v>1.015153</c:v>
                </c:pt>
                <c:pt idx="509">
                  <c:v>1.0150840000000001</c:v>
                </c:pt>
                <c:pt idx="510">
                  <c:v>1.0149820000000001</c:v>
                </c:pt>
                <c:pt idx="511">
                  <c:v>1.0148459999999999</c:v>
                </c:pt>
                <c:pt idx="512">
                  <c:v>1.014675</c:v>
                </c:pt>
                <c:pt idx="513">
                  <c:v>1.0144660000000001</c:v>
                </c:pt>
                <c:pt idx="514">
                  <c:v>1.014219</c:v>
                </c:pt>
                <c:pt idx="515">
                  <c:v>1.0139320000000001</c:v>
                </c:pt>
                <c:pt idx="516">
                  <c:v>1.0136050000000001</c:v>
                </c:pt>
                <c:pt idx="517">
                  <c:v>1.0132350000000001</c:v>
                </c:pt>
                <c:pt idx="518">
                  <c:v>1.0128219999999999</c:v>
                </c:pt>
                <c:pt idx="519">
                  <c:v>1.012365</c:v>
                </c:pt>
                <c:pt idx="520">
                  <c:v>1.0118640000000001</c:v>
                </c:pt>
                <c:pt idx="521">
                  <c:v>1.0113179999999999</c:v>
                </c:pt>
                <c:pt idx="522">
                  <c:v>1.0107269999999999</c:v>
                </c:pt>
                <c:pt idx="523">
                  <c:v>1.0100899999999999</c:v>
                </c:pt>
                <c:pt idx="524">
                  <c:v>1.0094080000000001</c:v>
                </c:pt>
                <c:pt idx="525">
                  <c:v>1.0086809999999999</c:v>
                </c:pt>
                <c:pt idx="526">
                  <c:v>1.0079100000000001</c:v>
                </c:pt>
                <c:pt idx="527">
                  <c:v>1.0070939999999999</c:v>
                </c:pt>
                <c:pt idx="528">
                  <c:v>1.006229</c:v>
                </c:pt>
                <c:pt idx="529">
                  <c:v>1.0053000000000001</c:v>
                </c:pt>
                <c:pt idx="530">
                  <c:v>1.0043789999999999</c:v>
                </c:pt>
                <c:pt idx="531">
                  <c:v>1.0033909999999999</c:v>
                </c:pt>
                <c:pt idx="532">
                  <c:v>1.0023519999999999</c:v>
                </c:pt>
                <c:pt idx="533">
                  <c:v>1.001315</c:v>
                </c:pt>
                <c:pt idx="534">
                  <c:v>1.0002260000000001</c:v>
                </c:pt>
                <c:pt idx="535">
                  <c:v>0.99911000000000005</c:v>
                </c:pt>
                <c:pt idx="536">
                  <c:v>0.99796300000000004</c:v>
                </c:pt>
                <c:pt idx="537">
                  <c:v>0.99679200000000001</c:v>
                </c:pt>
                <c:pt idx="538">
                  <c:v>0.99559799999999998</c:v>
                </c:pt>
                <c:pt idx="539">
                  <c:v>0.99438599999999999</c:v>
                </c:pt>
                <c:pt idx="540">
                  <c:v>0.99315699999999996</c:v>
                </c:pt>
                <c:pt idx="541">
                  <c:v>0.99191600000000002</c:v>
                </c:pt>
                <c:pt idx="542">
                  <c:v>0.99066699999999996</c:v>
                </c:pt>
                <c:pt idx="543">
                  <c:v>0.98941400000000002</c:v>
                </c:pt>
                <c:pt idx="544">
                  <c:v>0.98815900000000001</c:v>
                </c:pt>
                <c:pt idx="545">
                  <c:v>0.98690800000000001</c:v>
                </c:pt>
                <c:pt idx="546">
                  <c:v>0.98566399999999998</c:v>
                </c:pt>
                <c:pt idx="547">
                  <c:v>0.98443199999999997</c:v>
                </c:pt>
                <c:pt idx="548">
                  <c:v>0.98321499999999995</c:v>
                </c:pt>
                <c:pt idx="549">
                  <c:v>0.98201700000000003</c:v>
                </c:pt>
                <c:pt idx="550">
                  <c:v>0.98084300000000002</c:v>
                </c:pt>
                <c:pt idx="551">
                  <c:v>0.97969700000000004</c:v>
                </c:pt>
                <c:pt idx="552">
                  <c:v>0.97858199999999995</c:v>
                </c:pt>
                <c:pt idx="553">
                  <c:v>0.97750099999999995</c:v>
                </c:pt>
                <c:pt idx="554">
                  <c:v>0.97645999999999999</c:v>
                </c:pt>
                <c:pt idx="555">
                  <c:v>0.97545999999999999</c:v>
                </c:pt>
                <c:pt idx="556">
                  <c:v>0.97450499999999995</c:v>
                </c:pt>
                <c:pt idx="557">
                  <c:v>0.97359899999999999</c:v>
                </c:pt>
                <c:pt idx="558">
                  <c:v>0.97274499999999997</c:v>
                </c:pt>
                <c:pt idx="559">
                  <c:v>0.97194400000000003</c:v>
                </c:pt>
                <c:pt idx="560">
                  <c:v>0.97119900000000003</c:v>
                </c:pt>
                <c:pt idx="561">
                  <c:v>0.97051299999999996</c:v>
                </c:pt>
                <c:pt idx="562">
                  <c:v>0.96988799999999997</c:v>
                </c:pt>
                <c:pt idx="563">
                  <c:v>0.96932399999999996</c:v>
                </c:pt>
                <c:pt idx="564">
                  <c:v>0.96885699999999997</c:v>
                </c:pt>
                <c:pt idx="565">
                  <c:v>0.96849099999999999</c:v>
                </c:pt>
                <c:pt idx="566">
                  <c:v>0.96818899999999997</c:v>
                </c:pt>
                <c:pt idx="567">
                  <c:v>0.96795100000000001</c:v>
                </c:pt>
                <c:pt idx="568">
                  <c:v>0.967777</c:v>
                </c:pt>
                <c:pt idx="569">
                  <c:v>0.96766799999999997</c:v>
                </c:pt>
                <c:pt idx="570">
                  <c:v>0.96762300000000001</c:v>
                </c:pt>
                <c:pt idx="571">
                  <c:v>0.96764099999999997</c:v>
                </c:pt>
                <c:pt idx="572">
                  <c:v>0.96772199999999997</c:v>
                </c:pt>
                <c:pt idx="573">
                  <c:v>0.96786499999999998</c:v>
                </c:pt>
                <c:pt idx="574">
                  <c:v>0.96806700000000001</c:v>
                </c:pt>
                <c:pt idx="575">
                  <c:v>0.96832799999999997</c:v>
                </c:pt>
                <c:pt idx="576">
                  <c:v>0.96864600000000001</c:v>
                </c:pt>
                <c:pt idx="577">
                  <c:v>0.96901999999999999</c:v>
                </c:pt>
                <c:pt idx="578">
                  <c:v>0.96944600000000003</c:v>
                </c:pt>
                <c:pt idx="579">
                  <c:v>0.96992400000000001</c:v>
                </c:pt>
                <c:pt idx="580">
                  <c:v>0.97045099999999995</c:v>
                </c:pt>
                <c:pt idx="581">
                  <c:v>0.971024</c:v>
                </c:pt>
                <c:pt idx="582">
                  <c:v>0.97164200000000001</c:v>
                </c:pt>
                <c:pt idx="583">
                  <c:v>0.97230099999999997</c:v>
                </c:pt>
                <c:pt idx="584">
                  <c:v>0.97299899999999995</c:v>
                </c:pt>
                <c:pt idx="585">
                  <c:v>0.97373399999999999</c:v>
                </c:pt>
                <c:pt idx="586">
                  <c:v>0.97450300000000001</c:v>
                </c:pt>
                <c:pt idx="587">
                  <c:v>0.975302</c:v>
                </c:pt>
                <c:pt idx="588">
                  <c:v>0.97613000000000005</c:v>
                </c:pt>
                <c:pt idx="589">
                  <c:v>0.97698300000000005</c:v>
                </c:pt>
                <c:pt idx="590">
                  <c:v>0.97785900000000003</c:v>
                </c:pt>
                <c:pt idx="591">
                  <c:v>0.97875500000000004</c:v>
                </c:pt>
                <c:pt idx="592">
                  <c:v>0.97966799999999998</c:v>
                </c:pt>
                <c:pt idx="593">
                  <c:v>0.98059499999999999</c:v>
                </c:pt>
                <c:pt idx="594">
                  <c:v>0.98153400000000002</c:v>
                </c:pt>
                <c:pt idx="595">
                  <c:v>0.98248100000000005</c:v>
                </c:pt>
                <c:pt idx="596">
                  <c:v>0.98343400000000003</c:v>
                </c:pt>
                <c:pt idx="597">
                  <c:v>0.98437699999999995</c:v>
                </c:pt>
                <c:pt idx="598">
                  <c:v>0.98535200000000001</c:v>
                </c:pt>
                <c:pt idx="599">
                  <c:v>0.98629199999999995</c:v>
                </c:pt>
                <c:pt idx="600">
                  <c:v>0.98726499999999995</c:v>
                </c:pt>
                <c:pt idx="601">
                  <c:v>0.98819199999999996</c:v>
                </c:pt>
                <c:pt idx="602">
                  <c:v>0.989151</c:v>
                </c:pt>
                <c:pt idx="603">
                  <c:v>0.99005699999999996</c:v>
                </c:pt>
                <c:pt idx="604">
                  <c:v>0.99099199999999998</c:v>
                </c:pt>
                <c:pt idx="605">
                  <c:v>0.99189899999999998</c:v>
                </c:pt>
                <c:pt idx="606">
                  <c:v>0.99278900000000003</c:v>
                </c:pt>
                <c:pt idx="607">
                  <c:v>0.99365899999999996</c:v>
                </c:pt>
                <c:pt idx="608">
                  <c:v>0.99450799999999995</c:v>
                </c:pt>
                <c:pt idx="609">
                  <c:v>0.99533300000000002</c:v>
                </c:pt>
                <c:pt idx="610">
                  <c:v>0.99613399999999996</c:v>
                </c:pt>
                <c:pt idx="611">
                  <c:v>0.99690800000000002</c:v>
                </c:pt>
                <c:pt idx="612">
                  <c:v>0.99765499999999996</c:v>
                </c:pt>
                <c:pt idx="613">
                  <c:v>0.99837299999999995</c:v>
                </c:pt>
                <c:pt idx="614">
                  <c:v>0.99906099999999998</c:v>
                </c:pt>
                <c:pt idx="615">
                  <c:v>0.999718</c:v>
                </c:pt>
                <c:pt idx="616">
                  <c:v>1.0003439999999999</c:v>
                </c:pt>
                <c:pt idx="617">
                  <c:v>1.0009380000000001</c:v>
                </c:pt>
                <c:pt idx="618">
                  <c:v>1.0014989999999999</c:v>
                </c:pt>
                <c:pt idx="619">
                  <c:v>1.0020180000000001</c:v>
                </c:pt>
                <c:pt idx="620">
                  <c:v>1.0024919999999999</c:v>
                </c:pt>
                <c:pt idx="621">
                  <c:v>1.002936</c:v>
                </c:pt>
                <c:pt idx="622">
                  <c:v>1.003349</c:v>
                </c:pt>
                <c:pt idx="623">
                  <c:v>1.0037309999999999</c:v>
                </c:pt>
                <c:pt idx="624">
                  <c:v>1.0040830000000001</c:v>
                </c:pt>
                <c:pt idx="625">
                  <c:v>1.0044029999999999</c:v>
                </c:pt>
                <c:pt idx="626">
                  <c:v>1.0046930000000001</c:v>
                </c:pt>
                <c:pt idx="627">
                  <c:v>1.0049539999999999</c:v>
                </c:pt>
                <c:pt idx="628">
                  <c:v>1.005185</c:v>
                </c:pt>
                <c:pt idx="629">
                  <c:v>1.0053879999999999</c:v>
                </c:pt>
                <c:pt idx="630">
                  <c:v>1.005563</c:v>
                </c:pt>
                <c:pt idx="631">
                  <c:v>1.0057119999999999</c:v>
                </c:pt>
                <c:pt idx="632">
                  <c:v>1.005835</c:v>
                </c:pt>
                <c:pt idx="633">
                  <c:v>1.005933</c:v>
                </c:pt>
                <c:pt idx="634">
                  <c:v>1.006008</c:v>
                </c:pt>
                <c:pt idx="635">
                  <c:v>1.006059</c:v>
                </c:pt>
                <c:pt idx="636">
                  <c:v>1.006089</c:v>
                </c:pt>
                <c:pt idx="637">
                  <c:v>1.006097</c:v>
                </c:pt>
                <c:pt idx="638">
                  <c:v>1.006086</c:v>
                </c:pt>
                <c:pt idx="639">
                  <c:v>1.0060560000000001</c:v>
                </c:pt>
                <c:pt idx="640">
                  <c:v>1.006008</c:v>
                </c:pt>
                <c:pt idx="641">
                  <c:v>1.005943</c:v>
                </c:pt>
                <c:pt idx="642">
                  <c:v>1.005862</c:v>
                </c:pt>
                <c:pt idx="643">
                  <c:v>1.005765</c:v>
                </c:pt>
                <c:pt idx="644">
                  <c:v>1.005654</c:v>
                </c:pt>
                <c:pt idx="645">
                  <c:v>1.005528</c:v>
                </c:pt>
                <c:pt idx="646">
                  <c:v>1.00539</c:v>
                </c:pt>
                <c:pt idx="647">
                  <c:v>1.0052399999999999</c:v>
                </c:pt>
                <c:pt idx="648">
                  <c:v>1.005077</c:v>
                </c:pt>
                <c:pt idx="649">
                  <c:v>1.0049110000000001</c:v>
                </c:pt>
                <c:pt idx="650">
                  <c:v>1.0047159999999999</c:v>
                </c:pt>
                <c:pt idx="651">
                  <c:v>1.0045310000000001</c:v>
                </c:pt>
                <c:pt idx="652">
                  <c:v>1.004316</c:v>
                </c:pt>
                <c:pt idx="653">
                  <c:v>1.004113</c:v>
                </c:pt>
                <c:pt idx="654">
                  <c:v>1.003879</c:v>
                </c:pt>
                <c:pt idx="655">
                  <c:v>1.0036590000000001</c:v>
                </c:pt>
                <c:pt idx="656">
                  <c:v>1.0034069999999999</c:v>
                </c:pt>
                <c:pt idx="657">
                  <c:v>1.003171</c:v>
                </c:pt>
                <c:pt idx="658">
                  <c:v>1.0029030000000001</c:v>
                </c:pt>
                <c:pt idx="659">
                  <c:v>1.0026520000000001</c:v>
                </c:pt>
                <c:pt idx="660">
                  <c:v>1.002367</c:v>
                </c:pt>
                <c:pt idx="661">
                  <c:v>1.002087</c:v>
                </c:pt>
                <c:pt idx="662">
                  <c:v>1.001798</c:v>
                </c:pt>
                <c:pt idx="663">
                  <c:v>1.0015039999999999</c:v>
                </c:pt>
                <c:pt idx="664">
                  <c:v>1.0012030000000001</c:v>
                </c:pt>
                <c:pt idx="665">
                  <c:v>1.000896</c:v>
                </c:pt>
                <c:pt idx="666">
                  <c:v>1.000583</c:v>
                </c:pt>
                <c:pt idx="667">
                  <c:v>1.000264</c:v>
                </c:pt>
                <c:pt idx="668">
                  <c:v>0.99993900000000002</c:v>
                </c:pt>
                <c:pt idx="669">
                  <c:v>0.99960899999999997</c:v>
                </c:pt>
                <c:pt idx="670">
                  <c:v>0.999274</c:v>
                </c:pt>
                <c:pt idx="671">
                  <c:v>0.99893399999999999</c:v>
                </c:pt>
                <c:pt idx="672">
                  <c:v>0.99858999999999998</c:v>
                </c:pt>
                <c:pt idx="673">
                  <c:v>0.99824199999999996</c:v>
                </c:pt>
                <c:pt idx="674">
                  <c:v>0.99788900000000003</c:v>
                </c:pt>
                <c:pt idx="675">
                  <c:v>0.99753400000000003</c:v>
                </c:pt>
                <c:pt idx="676">
                  <c:v>0.99717500000000003</c:v>
                </c:pt>
                <c:pt idx="677">
                  <c:v>0.99681299999999995</c:v>
                </c:pt>
                <c:pt idx="678">
                  <c:v>0.99644999999999995</c:v>
                </c:pt>
                <c:pt idx="679">
                  <c:v>0.99608399999999997</c:v>
                </c:pt>
                <c:pt idx="680">
                  <c:v>0.99571699999999996</c:v>
                </c:pt>
                <c:pt idx="681">
                  <c:v>0.99534900000000004</c:v>
                </c:pt>
                <c:pt idx="682">
                  <c:v>0.99497999999999998</c:v>
                </c:pt>
                <c:pt idx="683">
                  <c:v>0.99461200000000005</c:v>
                </c:pt>
                <c:pt idx="684">
                  <c:v>0.99424299999999999</c:v>
                </c:pt>
                <c:pt idx="685">
                  <c:v>0.99387499999999995</c:v>
                </c:pt>
                <c:pt idx="686">
                  <c:v>0.99350899999999998</c:v>
                </c:pt>
                <c:pt idx="687">
                  <c:v>0.99314400000000003</c:v>
                </c:pt>
                <c:pt idx="688">
                  <c:v>0.99278100000000002</c:v>
                </c:pt>
                <c:pt idx="689">
                  <c:v>0.992421</c:v>
                </c:pt>
                <c:pt idx="690">
                  <c:v>0.99206399999999995</c:v>
                </c:pt>
                <c:pt idx="691">
                  <c:v>0.99171100000000001</c:v>
                </c:pt>
                <c:pt idx="692">
                  <c:v>0.99136100000000005</c:v>
                </c:pt>
                <c:pt idx="693">
                  <c:v>0.99101600000000001</c:v>
                </c:pt>
                <c:pt idx="694">
                  <c:v>0.99067499999999997</c:v>
                </c:pt>
                <c:pt idx="695">
                  <c:v>0.99034</c:v>
                </c:pt>
                <c:pt idx="696">
                  <c:v>0.99000999999999995</c:v>
                </c:pt>
                <c:pt idx="697">
                  <c:v>0.98968599999999995</c:v>
                </c:pt>
                <c:pt idx="698">
                  <c:v>0.98936900000000005</c:v>
                </c:pt>
                <c:pt idx="699">
                  <c:v>0.98905799999999999</c:v>
                </c:pt>
                <c:pt idx="700">
                  <c:v>0.98875400000000002</c:v>
                </c:pt>
                <c:pt idx="701">
                  <c:v>0.98845700000000003</c:v>
                </c:pt>
                <c:pt idx="702">
                  <c:v>0.98816800000000005</c:v>
                </c:pt>
                <c:pt idx="703">
                  <c:v>0.98788600000000004</c:v>
                </c:pt>
                <c:pt idx="704">
                  <c:v>0.98761299999999996</c:v>
                </c:pt>
                <c:pt idx="705">
                  <c:v>0.987348</c:v>
                </c:pt>
                <c:pt idx="706">
                  <c:v>0.98709199999999997</c:v>
                </c:pt>
                <c:pt idx="707">
                  <c:v>0.98684400000000005</c:v>
                </c:pt>
                <c:pt idx="708">
                  <c:v>0.98660499999999995</c:v>
                </c:pt>
                <c:pt idx="709">
                  <c:v>0.98637600000000003</c:v>
                </c:pt>
                <c:pt idx="710">
                  <c:v>0.986155</c:v>
                </c:pt>
                <c:pt idx="711">
                  <c:v>0.98594400000000004</c:v>
                </c:pt>
                <c:pt idx="712">
                  <c:v>0.98574300000000004</c:v>
                </c:pt>
                <c:pt idx="713">
                  <c:v>0.98555099999999995</c:v>
                </c:pt>
                <c:pt idx="714">
                  <c:v>0.98536900000000005</c:v>
                </c:pt>
                <c:pt idx="715">
                  <c:v>0.98519599999999996</c:v>
                </c:pt>
                <c:pt idx="716">
                  <c:v>0.98503399999999997</c:v>
                </c:pt>
                <c:pt idx="717">
                  <c:v>0.98488100000000001</c:v>
                </c:pt>
                <c:pt idx="718">
                  <c:v>0.98473900000000003</c:v>
                </c:pt>
                <c:pt idx="719">
                  <c:v>0.98460599999999998</c:v>
                </c:pt>
                <c:pt idx="720">
                  <c:v>0.98448400000000003</c:v>
                </c:pt>
                <c:pt idx="721">
                  <c:v>0.98437200000000002</c:v>
                </c:pt>
                <c:pt idx="722">
                  <c:v>0.98426999999999998</c:v>
                </c:pt>
                <c:pt idx="723">
                  <c:v>0.984178</c:v>
                </c:pt>
                <c:pt idx="724">
                  <c:v>0.984097</c:v>
                </c:pt>
                <c:pt idx="725">
                  <c:v>0.98402599999999996</c:v>
                </c:pt>
                <c:pt idx="726">
                  <c:v>0.98396499999999998</c:v>
                </c:pt>
                <c:pt idx="727">
                  <c:v>0.98391499999999998</c:v>
                </c:pt>
                <c:pt idx="728">
                  <c:v>0.98387599999999997</c:v>
                </c:pt>
                <c:pt idx="729">
                  <c:v>0.98384700000000003</c:v>
                </c:pt>
                <c:pt idx="730">
                  <c:v>0.98382899999999995</c:v>
                </c:pt>
                <c:pt idx="731">
                  <c:v>0.98382199999999997</c:v>
                </c:pt>
                <c:pt idx="732">
                  <c:v>0.98382599999999998</c:v>
                </c:pt>
                <c:pt idx="733">
                  <c:v>0.98384000000000005</c:v>
                </c:pt>
                <c:pt idx="734">
                  <c:v>0.98386600000000002</c:v>
                </c:pt>
                <c:pt idx="735">
                  <c:v>0.98390299999999997</c:v>
                </c:pt>
                <c:pt idx="736">
                  <c:v>0.98395100000000002</c:v>
                </c:pt>
                <c:pt idx="737">
                  <c:v>0.98401000000000005</c:v>
                </c:pt>
                <c:pt idx="738">
                  <c:v>0.98408099999999998</c:v>
                </c:pt>
                <c:pt idx="739">
                  <c:v>0.98416300000000001</c:v>
                </c:pt>
                <c:pt idx="740">
                  <c:v>0.98425799999999997</c:v>
                </c:pt>
                <c:pt idx="741">
                  <c:v>0.98436400000000002</c:v>
                </c:pt>
                <c:pt idx="742">
                  <c:v>0.98448199999999997</c:v>
                </c:pt>
                <c:pt idx="743">
                  <c:v>0.98461100000000001</c:v>
                </c:pt>
                <c:pt idx="744">
                  <c:v>0.98475400000000002</c:v>
                </c:pt>
                <c:pt idx="745">
                  <c:v>0.98490800000000001</c:v>
                </c:pt>
                <c:pt idx="746">
                  <c:v>0.98507400000000001</c:v>
                </c:pt>
                <c:pt idx="747">
                  <c:v>0.98525300000000005</c:v>
                </c:pt>
                <c:pt idx="748">
                  <c:v>0.98544399999999999</c:v>
                </c:pt>
                <c:pt idx="749">
                  <c:v>0.98564700000000005</c:v>
                </c:pt>
                <c:pt idx="750">
                  <c:v>0.98586300000000004</c:v>
                </c:pt>
                <c:pt idx="751">
                  <c:v>0.98609100000000005</c:v>
                </c:pt>
                <c:pt idx="752">
                  <c:v>0.98633099999999996</c:v>
                </c:pt>
                <c:pt idx="753">
                  <c:v>0.98658299999999999</c:v>
                </c:pt>
                <c:pt idx="754">
                  <c:v>0.98684799999999995</c:v>
                </c:pt>
                <c:pt idx="755">
                  <c:v>0.98712299999999997</c:v>
                </c:pt>
                <c:pt idx="756">
                  <c:v>0.98741100000000004</c:v>
                </c:pt>
                <c:pt idx="757">
                  <c:v>0.98770899999999995</c:v>
                </c:pt>
                <c:pt idx="758">
                  <c:v>0.98801799999999995</c:v>
                </c:pt>
                <c:pt idx="759">
                  <c:v>0.98833800000000005</c:v>
                </c:pt>
                <c:pt idx="760">
                  <c:v>0.98866799999999999</c:v>
                </c:pt>
                <c:pt idx="761">
                  <c:v>0.989008</c:v>
                </c:pt>
                <c:pt idx="762">
                  <c:v>0.98935700000000004</c:v>
                </c:pt>
                <c:pt idx="763">
                  <c:v>0.98971500000000001</c:v>
                </c:pt>
                <c:pt idx="764">
                  <c:v>0.99007999999999996</c:v>
                </c:pt>
                <c:pt idx="765">
                  <c:v>0.99045399999999995</c:v>
                </c:pt>
                <c:pt idx="766">
                  <c:v>0.99083399999999999</c:v>
                </c:pt>
                <c:pt idx="767">
                  <c:v>0.99121999999999999</c:v>
                </c:pt>
                <c:pt idx="768">
                  <c:v>0.99161200000000005</c:v>
                </c:pt>
                <c:pt idx="769">
                  <c:v>0.99200900000000003</c:v>
                </c:pt>
                <c:pt idx="770">
                  <c:v>0.99240899999999999</c:v>
                </c:pt>
                <c:pt idx="771">
                  <c:v>0.99281299999999995</c:v>
                </c:pt>
                <c:pt idx="772">
                  <c:v>0.99321999999999999</c:v>
                </c:pt>
                <c:pt idx="773">
                  <c:v>0.99362799999999996</c:v>
                </c:pt>
                <c:pt idx="774">
                  <c:v>0.99403799999999998</c:v>
                </c:pt>
                <c:pt idx="775">
                  <c:v>0.99444699999999997</c:v>
                </c:pt>
                <c:pt idx="776">
                  <c:v>0.99485599999999996</c:v>
                </c:pt>
                <c:pt idx="777">
                  <c:v>0.99526300000000001</c:v>
                </c:pt>
                <c:pt idx="778">
                  <c:v>0.995668</c:v>
                </c:pt>
                <c:pt idx="779">
                  <c:v>0.99607000000000001</c:v>
                </c:pt>
                <c:pt idx="780">
                  <c:v>0.99646800000000002</c:v>
                </c:pt>
                <c:pt idx="781">
                  <c:v>0.996861</c:v>
                </c:pt>
                <c:pt idx="782">
                  <c:v>0.99724999999999997</c:v>
                </c:pt>
                <c:pt idx="783">
                  <c:v>0.99763199999999996</c:v>
                </c:pt>
                <c:pt idx="784">
                  <c:v>0.99800699999999998</c:v>
                </c:pt>
                <c:pt idx="785">
                  <c:v>0.99837500000000001</c:v>
                </c:pt>
                <c:pt idx="786">
                  <c:v>0.99873500000000004</c:v>
                </c:pt>
                <c:pt idx="787">
                  <c:v>0.99908600000000003</c:v>
                </c:pt>
                <c:pt idx="788">
                  <c:v>0.99942799999999998</c:v>
                </c:pt>
                <c:pt idx="789">
                  <c:v>0.99975899999999995</c:v>
                </c:pt>
                <c:pt idx="790">
                  <c:v>1.000081</c:v>
                </c:pt>
                <c:pt idx="791">
                  <c:v>1.0003899999999999</c:v>
                </c:pt>
                <c:pt idx="792">
                  <c:v>1.0006889999999999</c:v>
                </c:pt>
                <c:pt idx="793">
                  <c:v>1.0009749999999999</c:v>
                </c:pt>
                <c:pt idx="794">
                  <c:v>1.0012479999999999</c:v>
                </c:pt>
                <c:pt idx="795">
                  <c:v>1.0015080000000001</c:v>
                </c:pt>
                <c:pt idx="796">
                  <c:v>1.001755</c:v>
                </c:pt>
                <c:pt idx="797">
                  <c:v>1.001987</c:v>
                </c:pt>
                <c:pt idx="798">
                  <c:v>1.002205</c:v>
                </c:pt>
                <c:pt idx="799">
                  <c:v>1.002407</c:v>
                </c:pt>
                <c:pt idx="800">
                  <c:v>1.0025949999999999</c:v>
                </c:pt>
                <c:pt idx="801">
                  <c:v>1.002766</c:v>
                </c:pt>
                <c:pt idx="802">
                  <c:v>1.002921</c:v>
                </c:pt>
                <c:pt idx="803">
                  <c:v>1.0030600000000001</c:v>
                </c:pt>
                <c:pt idx="804">
                  <c:v>1.0031810000000001</c:v>
                </c:pt>
                <c:pt idx="805">
                  <c:v>1.003285</c:v>
                </c:pt>
                <c:pt idx="806">
                  <c:v>1.0033719999999999</c:v>
                </c:pt>
                <c:pt idx="807">
                  <c:v>1.0034400000000001</c:v>
                </c:pt>
                <c:pt idx="808">
                  <c:v>1.0034890000000001</c:v>
                </c:pt>
                <c:pt idx="809">
                  <c:v>1.00352</c:v>
                </c:pt>
                <c:pt idx="810">
                  <c:v>1.0035320000000001</c:v>
                </c:pt>
                <c:pt idx="811">
                  <c:v>1.003525</c:v>
                </c:pt>
                <c:pt idx="812">
                  <c:v>1.003498</c:v>
                </c:pt>
                <c:pt idx="813">
                  <c:v>1.0034510000000001</c:v>
                </c:pt>
                <c:pt idx="814">
                  <c:v>1.0033840000000001</c:v>
                </c:pt>
                <c:pt idx="815">
                  <c:v>1.003296</c:v>
                </c:pt>
                <c:pt idx="816">
                  <c:v>1.0031890000000001</c:v>
                </c:pt>
                <c:pt idx="817">
                  <c:v>1.003061</c:v>
                </c:pt>
                <c:pt idx="818">
                  <c:v>1.002912</c:v>
                </c:pt>
                <c:pt idx="819">
                  <c:v>1.0027429999999999</c:v>
                </c:pt>
                <c:pt idx="820">
                  <c:v>1.002553</c:v>
                </c:pt>
                <c:pt idx="821">
                  <c:v>1.002343</c:v>
                </c:pt>
                <c:pt idx="822">
                  <c:v>1.0021119999999999</c:v>
                </c:pt>
                <c:pt idx="823">
                  <c:v>1.001862</c:v>
                </c:pt>
                <c:pt idx="824">
                  <c:v>1.0015909999999999</c:v>
                </c:pt>
                <c:pt idx="825">
                  <c:v>1.0013019999999999</c:v>
                </c:pt>
                <c:pt idx="826">
                  <c:v>1.000993</c:v>
                </c:pt>
                <c:pt idx="827">
                  <c:v>1.0006649999999999</c:v>
                </c:pt>
                <c:pt idx="828">
                  <c:v>1.0003200000000001</c:v>
                </c:pt>
                <c:pt idx="829">
                  <c:v>0.99995699999999998</c:v>
                </c:pt>
                <c:pt idx="830">
                  <c:v>0.99957799999999997</c:v>
                </c:pt>
                <c:pt idx="831">
                  <c:v>0.99918200000000001</c:v>
                </c:pt>
                <c:pt idx="832">
                  <c:v>0.99877199999999999</c:v>
                </c:pt>
                <c:pt idx="833">
                  <c:v>0.99834800000000001</c:v>
                </c:pt>
                <c:pt idx="834">
                  <c:v>0.99791099999999999</c:v>
                </c:pt>
                <c:pt idx="835">
                  <c:v>0.99746199999999996</c:v>
                </c:pt>
                <c:pt idx="836">
                  <c:v>0.99700200000000005</c:v>
                </c:pt>
                <c:pt idx="837">
                  <c:v>0.99653199999999997</c:v>
                </c:pt>
                <c:pt idx="838">
                  <c:v>0.99605500000000002</c:v>
                </c:pt>
                <c:pt idx="839">
                  <c:v>0.99557099999999998</c:v>
                </c:pt>
                <c:pt idx="840">
                  <c:v>0.99508099999999999</c:v>
                </c:pt>
                <c:pt idx="841">
                  <c:v>0.994587</c:v>
                </c:pt>
                <c:pt idx="842">
                  <c:v>0.99409000000000003</c:v>
                </c:pt>
                <c:pt idx="843">
                  <c:v>0.99359299999999995</c:v>
                </c:pt>
                <c:pt idx="844">
                  <c:v>0.99309599999999998</c:v>
                </c:pt>
                <c:pt idx="845">
                  <c:v>0.99260099999999996</c:v>
                </c:pt>
                <c:pt idx="846">
                  <c:v>0.99211000000000005</c:v>
                </c:pt>
                <c:pt idx="847">
                  <c:v>0.99162300000000003</c:v>
                </c:pt>
                <c:pt idx="848">
                  <c:v>0.99114400000000002</c:v>
                </c:pt>
                <c:pt idx="849">
                  <c:v>0.990672</c:v>
                </c:pt>
                <c:pt idx="850">
                  <c:v>0.99021000000000003</c:v>
                </c:pt>
                <c:pt idx="851">
                  <c:v>0.98975900000000006</c:v>
                </c:pt>
                <c:pt idx="852">
                  <c:v>0.98932100000000001</c:v>
                </c:pt>
                <c:pt idx="853">
                  <c:v>0.98889700000000003</c:v>
                </c:pt>
                <c:pt idx="854">
                  <c:v>0.988487</c:v>
                </c:pt>
                <c:pt idx="855">
                  <c:v>0.98809400000000003</c:v>
                </c:pt>
                <c:pt idx="856">
                  <c:v>0.98771799999999998</c:v>
                </c:pt>
                <c:pt idx="857">
                  <c:v>0.98736100000000004</c:v>
                </c:pt>
                <c:pt idx="858">
                  <c:v>0.98702299999999998</c:v>
                </c:pt>
                <c:pt idx="859">
                  <c:v>0.98670599999999997</c:v>
                </c:pt>
                <c:pt idx="860">
                  <c:v>0.98641000000000001</c:v>
                </c:pt>
                <c:pt idx="861">
                  <c:v>0.98613499999999998</c:v>
                </c:pt>
                <c:pt idx="862">
                  <c:v>0.98588399999999998</c:v>
                </c:pt>
                <c:pt idx="863">
                  <c:v>0.98565499999999995</c:v>
                </c:pt>
                <c:pt idx="864">
                  <c:v>0.98544900000000002</c:v>
                </c:pt>
                <c:pt idx="865">
                  <c:v>0.98526800000000003</c:v>
                </c:pt>
                <c:pt idx="866">
                  <c:v>0.98511000000000004</c:v>
                </c:pt>
                <c:pt idx="867">
                  <c:v>0.98497699999999999</c:v>
                </c:pt>
                <c:pt idx="868">
                  <c:v>0.98486700000000005</c:v>
                </c:pt>
                <c:pt idx="869">
                  <c:v>0.98478200000000005</c:v>
                </c:pt>
                <c:pt idx="870">
                  <c:v>0.98472099999999996</c:v>
                </c:pt>
                <c:pt idx="871">
                  <c:v>0.98468299999999997</c:v>
                </c:pt>
                <c:pt idx="872">
                  <c:v>0.98466900000000002</c:v>
                </c:pt>
                <c:pt idx="873">
                  <c:v>0.98467700000000002</c:v>
                </c:pt>
                <c:pt idx="874">
                  <c:v>0.98470800000000003</c:v>
                </c:pt>
                <c:pt idx="875">
                  <c:v>0.984761</c:v>
                </c:pt>
                <c:pt idx="876">
                  <c:v>0.98483500000000002</c:v>
                </c:pt>
                <c:pt idx="877">
                  <c:v>0.98492900000000005</c:v>
                </c:pt>
                <c:pt idx="878">
                  <c:v>0.98504400000000003</c:v>
                </c:pt>
                <c:pt idx="879">
                  <c:v>0.98517699999999997</c:v>
                </c:pt>
                <c:pt idx="880">
                  <c:v>0.98532900000000001</c:v>
                </c:pt>
                <c:pt idx="881">
                  <c:v>0.98549799999999999</c:v>
                </c:pt>
                <c:pt idx="882">
                  <c:v>0.98568299999999998</c:v>
                </c:pt>
                <c:pt idx="883">
                  <c:v>0.98588399999999998</c:v>
                </c:pt>
                <c:pt idx="884">
                  <c:v>0.98609999999999998</c:v>
                </c:pt>
                <c:pt idx="885">
                  <c:v>0.98632900000000001</c:v>
                </c:pt>
                <c:pt idx="886">
                  <c:v>0.98657099999999998</c:v>
                </c:pt>
                <c:pt idx="887">
                  <c:v>0.98682499999999995</c:v>
                </c:pt>
                <c:pt idx="888">
                  <c:v>0.98708799999999997</c:v>
                </c:pt>
                <c:pt idx="889">
                  <c:v>0.98736199999999996</c:v>
                </c:pt>
                <c:pt idx="890">
                  <c:v>0.98764399999999997</c:v>
                </c:pt>
                <c:pt idx="891">
                  <c:v>0.98793399999999998</c:v>
                </c:pt>
                <c:pt idx="892">
                  <c:v>0.98823000000000005</c:v>
                </c:pt>
                <c:pt idx="893">
                  <c:v>0.98853199999999997</c:v>
                </c:pt>
                <c:pt idx="894">
                  <c:v>0.98883799999999999</c:v>
                </c:pt>
                <c:pt idx="895">
                  <c:v>0.98914800000000003</c:v>
                </c:pt>
                <c:pt idx="896">
                  <c:v>0.98946100000000003</c:v>
                </c:pt>
                <c:pt idx="897">
                  <c:v>0.98977499999999996</c:v>
                </c:pt>
                <c:pt idx="898">
                  <c:v>0.99009100000000005</c:v>
                </c:pt>
                <c:pt idx="899">
                  <c:v>0.99040600000000001</c:v>
                </c:pt>
                <c:pt idx="900">
                  <c:v>0.99072099999999996</c:v>
                </c:pt>
                <c:pt idx="901">
                  <c:v>0.99103399999999997</c:v>
                </c:pt>
                <c:pt idx="902">
                  <c:v>0.991344</c:v>
                </c:pt>
                <c:pt idx="903">
                  <c:v>0.99165199999999998</c:v>
                </c:pt>
                <c:pt idx="904">
                  <c:v>0.99195500000000003</c:v>
                </c:pt>
                <c:pt idx="905">
                  <c:v>0.992255</c:v>
                </c:pt>
                <c:pt idx="906">
                  <c:v>0.99254900000000001</c:v>
                </c:pt>
                <c:pt idx="907">
                  <c:v>0.99283699999999997</c:v>
                </c:pt>
                <c:pt idx="908">
                  <c:v>0.99312</c:v>
                </c:pt>
                <c:pt idx="909">
                  <c:v>0.99339500000000003</c:v>
                </c:pt>
                <c:pt idx="910">
                  <c:v>0.99366399999999999</c:v>
                </c:pt>
                <c:pt idx="911">
                  <c:v>0.99392499999999995</c:v>
                </c:pt>
                <c:pt idx="912">
                  <c:v>0.99417800000000001</c:v>
                </c:pt>
                <c:pt idx="913">
                  <c:v>0.99442299999999995</c:v>
                </c:pt>
                <c:pt idx="914">
                  <c:v>0.99465999999999999</c:v>
                </c:pt>
                <c:pt idx="915">
                  <c:v>0.99488799999999999</c:v>
                </c:pt>
                <c:pt idx="916">
                  <c:v>0.99510799999999999</c:v>
                </c:pt>
                <c:pt idx="917">
                  <c:v>0.99531800000000004</c:v>
                </c:pt>
                <c:pt idx="918">
                  <c:v>0.99551999999999996</c:v>
                </c:pt>
                <c:pt idx="919">
                  <c:v>0.99571299999999996</c:v>
                </c:pt>
                <c:pt idx="920">
                  <c:v>0.99589700000000003</c:v>
                </c:pt>
                <c:pt idx="921">
                  <c:v>0.99607299999999999</c:v>
                </c:pt>
                <c:pt idx="922">
                  <c:v>0.99624000000000001</c:v>
                </c:pt>
                <c:pt idx="923">
                  <c:v>0.99639800000000001</c:v>
                </c:pt>
                <c:pt idx="924">
                  <c:v>0.99654900000000002</c:v>
                </c:pt>
                <c:pt idx="925">
                  <c:v>0.99669200000000002</c:v>
                </c:pt>
                <c:pt idx="926">
                  <c:v>0.99682700000000002</c:v>
                </c:pt>
                <c:pt idx="927">
                  <c:v>0.99695500000000004</c:v>
                </c:pt>
                <c:pt idx="928">
                  <c:v>0.99707599999999996</c:v>
                </c:pt>
                <c:pt idx="929">
                  <c:v>0.99719100000000005</c:v>
                </c:pt>
                <c:pt idx="930">
                  <c:v>0.99729999999999996</c:v>
                </c:pt>
                <c:pt idx="931">
                  <c:v>0.99740300000000004</c:v>
                </c:pt>
                <c:pt idx="932">
                  <c:v>0.99750099999999997</c:v>
                </c:pt>
                <c:pt idx="933">
                  <c:v>0.99759500000000001</c:v>
                </c:pt>
                <c:pt idx="934">
                  <c:v>0.99768500000000004</c:v>
                </c:pt>
                <c:pt idx="935">
                  <c:v>0.99777099999999996</c:v>
                </c:pt>
                <c:pt idx="936">
                  <c:v>0.99785400000000002</c:v>
                </c:pt>
                <c:pt idx="937">
                  <c:v>0.99793500000000002</c:v>
                </c:pt>
                <c:pt idx="938">
                  <c:v>0.99801300000000004</c:v>
                </c:pt>
                <c:pt idx="939">
                  <c:v>0.99809000000000003</c:v>
                </c:pt>
                <c:pt idx="940">
                  <c:v>0.998166</c:v>
                </c:pt>
                <c:pt idx="941">
                  <c:v>0.99824100000000004</c:v>
                </c:pt>
                <c:pt idx="942">
                  <c:v>0.99831599999999998</c:v>
                </c:pt>
                <c:pt idx="943">
                  <c:v>0.99839</c:v>
                </c:pt>
                <c:pt idx="944">
                  <c:v>0.99846500000000005</c:v>
                </c:pt>
                <c:pt idx="945">
                  <c:v>0.99854100000000001</c:v>
                </c:pt>
                <c:pt idx="946">
                  <c:v>0.99861699999999998</c:v>
                </c:pt>
                <c:pt idx="947">
                  <c:v>0.998695</c:v>
                </c:pt>
                <c:pt idx="948">
                  <c:v>0.99877400000000005</c:v>
                </c:pt>
                <c:pt idx="949">
                  <c:v>0.99885400000000002</c:v>
                </c:pt>
                <c:pt idx="950">
                  <c:v>0.99893500000000002</c:v>
                </c:pt>
                <c:pt idx="951">
                  <c:v>0.99901899999999999</c:v>
                </c:pt>
                <c:pt idx="952">
                  <c:v>0.99910299999999996</c:v>
                </c:pt>
                <c:pt idx="953">
                  <c:v>0.99918899999999999</c:v>
                </c:pt>
                <c:pt idx="954">
                  <c:v>0.99927600000000005</c:v>
                </c:pt>
                <c:pt idx="955">
                  <c:v>0.99936499999999995</c:v>
                </c:pt>
                <c:pt idx="956">
                  <c:v>0.99945399999999995</c:v>
                </c:pt>
                <c:pt idx="957">
                  <c:v>0.99954399999999999</c:v>
                </c:pt>
                <c:pt idx="958">
                  <c:v>0.99963500000000005</c:v>
                </c:pt>
                <c:pt idx="959">
                  <c:v>0.99972499999999997</c:v>
                </c:pt>
                <c:pt idx="960">
                  <c:v>0.99981500000000001</c:v>
                </c:pt>
                <c:pt idx="961">
                  <c:v>0.99990500000000004</c:v>
                </c:pt>
                <c:pt idx="962">
                  <c:v>0.99999300000000002</c:v>
                </c:pt>
                <c:pt idx="963">
                  <c:v>1.0000800000000001</c:v>
                </c:pt>
                <c:pt idx="964">
                  <c:v>1.000165</c:v>
                </c:pt>
                <c:pt idx="965">
                  <c:v>1.000248</c:v>
                </c:pt>
                <c:pt idx="966">
                  <c:v>1.0003280000000001</c:v>
                </c:pt>
                <c:pt idx="967">
                  <c:v>1.0004040000000001</c:v>
                </c:pt>
                <c:pt idx="968">
                  <c:v>1.0004759999999999</c:v>
                </c:pt>
                <c:pt idx="969">
                  <c:v>1.0005440000000001</c:v>
                </c:pt>
                <c:pt idx="970">
                  <c:v>1.0006079999999999</c:v>
                </c:pt>
                <c:pt idx="971">
                  <c:v>1.0006649999999999</c:v>
                </c:pt>
                <c:pt idx="972">
                  <c:v>1.0007170000000001</c:v>
                </c:pt>
                <c:pt idx="973">
                  <c:v>1.0007630000000001</c:v>
                </c:pt>
                <c:pt idx="974">
                  <c:v>1.000802</c:v>
                </c:pt>
                <c:pt idx="975">
                  <c:v>1.000834</c:v>
                </c:pt>
                <c:pt idx="976">
                  <c:v>1.000858</c:v>
                </c:pt>
                <c:pt idx="977">
                  <c:v>1.000874</c:v>
                </c:pt>
                <c:pt idx="978">
                  <c:v>1.0008809999999999</c:v>
                </c:pt>
                <c:pt idx="979">
                  <c:v>1.00088</c:v>
                </c:pt>
                <c:pt idx="980">
                  <c:v>1.0008699999999999</c:v>
                </c:pt>
                <c:pt idx="981">
                  <c:v>1.0008509999999999</c:v>
                </c:pt>
                <c:pt idx="982">
                  <c:v>1.0008220000000001</c:v>
                </c:pt>
                <c:pt idx="983">
                  <c:v>1.000783</c:v>
                </c:pt>
                <c:pt idx="984">
                  <c:v>1.000734</c:v>
                </c:pt>
                <c:pt idx="985">
                  <c:v>1.000675</c:v>
                </c:pt>
                <c:pt idx="986">
                  <c:v>1.000605</c:v>
                </c:pt>
                <c:pt idx="987">
                  <c:v>1.0005250000000001</c:v>
                </c:pt>
                <c:pt idx="988">
                  <c:v>1.000435</c:v>
                </c:pt>
                <c:pt idx="989">
                  <c:v>1.0003340000000001</c:v>
                </c:pt>
                <c:pt idx="990">
                  <c:v>1.0002230000000001</c:v>
                </c:pt>
                <c:pt idx="991">
                  <c:v>1.0001009999999999</c:v>
                </c:pt>
                <c:pt idx="992">
                  <c:v>0.99996799999999997</c:v>
                </c:pt>
                <c:pt idx="993">
                  <c:v>0.99982599999999999</c:v>
                </c:pt>
                <c:pt idx="994">
                  <c:v>0.99967300000000003</c:v>
                </c:pt>
                <c:pt idx="995">
                  <c:v>0.99951000000000001</c:v>
                </c:pt>
                <c:pt idx="996">
                  <c:v>0.99933700000000003</c:v>
                </c:pt>
                <c:pt idx="997">
                  <c:v>0.99915399999999999</c:v>
                </c:pt>
                <c:pt idx="998">
                  <c:v>0.99896300000000005</c:v>
                </c:pt>
                <c:pt idx="999">
                  <c:v>0.99876200000000004</c:v>
                </c:pt>
                <c:pt idx="1000">
                  <c:v>0.998552</c:v>
                </c:pt>
                <c:pt idx="1001">
                  <c:v>0.99833400000000005</c:v>
                </c:pt>
                <c:pt idx="1002">
                  <c:v>0.998108</c:v>
                </c:pt>
                <c:pt idx="1003">
                  <c:v>0.99787499999999996</c:v>
                </c:pt>
                <c:pt idx="1004">
                  <c:v>0.99763400000000002</c:v>
                </c:pt>
                <c:pt idx="1005">
                  <c:v>0.99738700000000002</c:v>
                </c:pt>
                <c:pt idx="1006">
                  <c:v>0.99713300000000005</c:v>
                </c:pt>
                <c:pt idx="1007">
                  <c:v>0.99687400000000004</c:v>
                </c:pt>
                <c:pt idx="1008">
                  <c:v>0.99661100000000002</c:v>
                </c:pt>
                <c:pt idx="1009">
                  <c:v>0.99634199999999995</c:v>
                </c:pt>
                <c:pt idx="1010">
                  <c:v>0.99607100000000004</c:v>
                </c:pt>
                <c:pt idx="1011">
                  <c:v>0.99579600000000001</c:v>
                </c:pt>
                <c:pt idx="1012">
                  <c:v>0.99551900000000004</c:v>
                </c:pt>
                <c:pt idx="1013">
                  <c:v>0.99524000000000001</c:v>
                </c:pt>
                <c:pt idx="1014">
                  <c:v>0.99495999999999996</c:v>
                </c:pt>
                <c:pt idx="1015">
                  <c:v>0.99468100000000004</c:v>
                </c:pt>
                <c:pt idx="1016">
                  <c:v>0.99440200000000001</c:v>
                </c:pt>
                <c:pt idx="1017">
                  <c:v>0.99412500000000004</c:v>
                </c:pt>
                <c:pt idx="1018">
                  <c:v>0.99385000000000001</c:v>
                </c:pt>
                <c:pt idx="1019">
                  <c:v>0.99357799999999996</c:v>
                </c:pt>
                <c:pt idx="1020">
                  <c:v>0.99331000000000003</c:v>
                </c:pt>
                <c:pt idx="1021">
                  <c:v>0.99304800000000004</c:v>
                </c:pt>
                <c:pt idx="1022">
                  <c:v>0.99279099999999998</c:v>
                </c:pt>
                <c:pt idx="1023">
                  <c:v>0.99253999999999998</c:v>
                </c:pt>
                <c:pt idx="1024">
                  <c:v>0.99229699999999998</c:v>
                </c:pt>
                <c:pt idx="1025">
                  <c:v>0.99206300000000003</c:v>
                </c:pt>
                <c:pt idx="1026">
                  <c:v>0.99183699999999997</c:v>
                </c:pt>
                <c:pt idx="1027">
                  <c:v>0.99162099999999997</c:v>
                </c:pt>
                <c:pt idx="1028">
                  <c:v>0.99141699999999999</c:v>
                </c:pt>
                <c:pt idx="1029">
                  <c:v>0.99122299999999997</c:v>
                </c:pt>
                <c:pt idx="1030">
                  <c:v>0.99104199999999998</c:v>
                </c:pt>
                <c:pt idx="1031">
                  <c:v>0.990873</c:v>
                </c:pt>
                <c:pt idx="1032">
                  <c:v>0.99071799999999999</c:v>
                </c:pt>
                <c:pt idx="1033">
                  <c:v>0.99057700000000004</c:v>
                </c:pt>
                <c:pt idx="1034">
                  <c:v>0.99045000000000005</c:v>
                </c:pt>
                <c:pt idx="1035">
                  <c:v>0.99033800000000005</c:v>
                </c:pt>
                <c:pt idx="1036">
                  <c:v>0.99024199999999996</c:v>
                </c:pt>
                <c:pt idx="1037">
                  <c:v>0.99016199999999999</c:v>
                </c:pt>
                <c:pt idx="1038">
                  <c:v>0.99009800000000003</c:v>
                </c:pt>
                <c:pt idx="1039">
                  <c:v>0.99004999999999999</c:v>
                </c:pt>
                <c:pt idx="1040">
                  <c:v>0.99001899999999998</c:v>
                </c:pt>
                <c:pt idx="1041">
                  <c:v>0.99000500000000002</c:v>
                </c:pt>
                <c:pt idx="1042">
                  <c:v>0.99000699999999997</c:v>
                </c:pt>
                <c:pt idx="1043">
                  <c:v>0.99002599999999996</c:v>
                </c:pt>
                <c:pt idx="1044">
                  <c:v>0.99006099999999997</c:v>
                </c:pt>
                <c:pt idx="1045">
                  <c:v>0.99011300000000002</c:v>
                </c:pt>
                <c:pt idx="1046">
                  <c:v>0.99018200000000001</c:v>
                </c:pt>
                <c:pt idx="1047">
                  <c:v>0.99026599999999998</c:v>
                </c:pt>
                <c:pt idx="1048">
                  <c:v>0.99036500000000005</c:v>
                </c:pt>
                <c:pt idx="1049">
                  <c:v>0.99048000000000003</c:v>
                </c:pt>
                <c:pt idx="1050">
                  <c:v>0.99060999999999999</c:v>
                </c:pt>
                <c:pt idx="1051">
                  <c:v>0.99075299999999999</c:v>
                </c:pt>
                <c:pt idx="1052">
                  <c:v>0.99090999999999996</c:v>
                </c:pt>
                <c:pt idx="1053">
                  <c:v>0.99108099999999999</c:v>
                </c:pt>
                <c:pt idx="1054">
                  <c:v>0.99126300000000001</c:v>
                </c:pt>
                <c:pt idx="1055">
                  <c:v>0.99145700000000003</c:v>
                </c:pt>
                <c:pt idx="1056">
                  <c:v>0.99166200000000004</c:v>
                </c:pt>
                <c:pt idx="1057">
                  <c:v>0.99187599999999998</c:v>
                </c:pt>
                <c:pt idx="1058">
                  <c:v>0.99209999999999998</c:v>
                </c:pt>
                <c:pt idx="1059">
                  <c:v>0.99233300000000002</c:v>
                </c:pt>
                <c:pt idx="1060">
                  <c:v>0.99257300000000004</c:v>
                </c:pt>
                <c:pt idx="1061">
                  <c:v>0.99282000000000004</c:v>
                </c:pt>
                <c:pt idx="1062">
                  <c:v>0.99307199999999995</c:v>
                </c:pt>
                <c:pt idx="1063">
                  <c:v>0.99333000000000005</c:v>
                </c:pt>
                <c:pt idx="1064">
                  <c:v>0.99359200000000003</c:v>
                </c:pt>
                <c:pt idx="1065">
                  <c:v>0.99385699999999999</c:v>
                </c:pt>
                <c:pt idx="1066">
                  <c:v>0.99412400000000001</c:v>
                </c:pt>
                <c:pt idx="1067">
                  <c:v>0.994394</c:v>
                </c:pt>
                <c:pt idx="1068">
                  <c:v>0.99466399999999999</c:v>
                </c:pt>
                <c:pt idx="1069">
                  <c:v>0.99493399999999999</c:v>
                </c:pt>
                <c:pt idx="1070">
                  <c:v>0.99520299999999995</c:v>
                </c:pt>
                <c:pt idx="1071">
                  <c:v>0.99547099999999999</c:v>
                </c:pt>
                <c:pt idx="1072">
                  <c:v>0.99573699999999998</c:v>
                </c:pt>
                <c:pt idx="1073">
                  <c:v>0.996</c:v>
                </c:pt>
                <c:pt idx="1074">
                  <c:v>0.99625900000000001</c:v>
                </c:pt>
                <c:pt idx="1075">
                  <c:v>0.99651400000000001</c:v>
                </c:pt>
                <c:pt idx="1076">
                  <c:v>0.99676500000000001</c:v>
                </c:pt>
                <c:pt idx="1077">
                  <c:v>0.99700999999999995</c:v>
                </c:pt>
                <c:pt idx="1078">
                  <c:v>0.99724900000000005</c:v>
                </c:pt>
                <c:pt idx="1079">
                  <c:v>0.99748199999999998</c:v>
                </c:pt>
                <c:pt idx="1080">
                  <c:v>0.99770800000000004</c:v>
                </c:pt>
                <c:pt idx="1081">
                  <c:v>0.99792700000000001</c:v>
                </c:pt>
                <c:pt idx="1082">
                  <c:v>0.99813799999999997</c:v>
                </c:pt>
                <c:pt idx="1083">
                  <c:v>0.99834199999999995</c:v>
                </c:pt>
                <c:pt idx="1084">
                  <c:v>0.99853700000000001</c:v>
                </c:pt>
                <c:pt idx="1085">
                  <c:v>0.99872300000000003</c:v>
                </c:pt>
                <c:pt idx="1086">
                  <c:v>0.99890000000000001</c:v>
                </c:pt>
                <c:pt idx="1087">
                  <c:v>0.99906899999999998</c:v>
                </c:pt>
                <c:pt idx="1088">
                  <c:v>0.99922800000000001</c:v>
                </c:pt>
                <c:pt idx="1089">
                  <c:v>0.99937799999999999</c:v>
                </c:pt>
                <c:pt idx="1090">
                  <c:v>0.99951800000000002</c:v>
                </c:pt>
                <c:pt idx="1091">
                  <c:v>0.99964799999999998</c:v>
                </c:pt>
                <c:pt idx="1092">
                  <c:v>0.99976900000000002</c:v>
                </c:pt>
                <c:pt idx="1093">
                  <c:v>0.99987999999999999</c:v>
                </c:pt>
                <c:pt idx="1094">
                  <c:v>0.99998100000000001</c:v>
                </c:pt>
                <c:pt idx="1095">
                  <c:v>1.0000720000000001</c:v>
                </c:pt>
                <c:pt idx="1096">
                  <c:v>1.0001530000000001</c:v>
                </c:pt>
                <c:pt idx="1097">
                  <c:v>1.000224</c:v>
                </c:pt>
                <c:pt idx="1098">
                  <c:v>1.000286</c:v>
                </c:pt>
                <c:pt idx="1099">
                  <c:v>1.0003379999999999</c:v>
                </c:pt>
                <c:pt idx="1100">
                  <c:v>1.000381</c:v>
                </c:pt>
                <c:pt idx="1101">
                  <c:v>1.0004139999999999</c:v>
                </c:pt>
                <c:pt idx="1102">
                  <c:v>1.0004379999999999</c:v>
                </c:pt>
                <c:pt idx="1103">
                  <c:v>1.0004519999999999</c:v>
                </c:pt>
                <c:pt idx="1104">
                  <c:v>1.0004580000000001</c:v>
                </c:pt>
                <c:pt idx="1105">
                  <c:v>1.000456</c:v>
                </c:pt>
                <c:pt idx="1106">
                  <c:v>1.000445</c:v>
                </c:pt>
                <c:pt idx="1107">
                  <c:v>1.000426</c:v>
                </c:pt>
                <c:pt idx="1108">
                  <c:v>1.000399</c:v>
                </c:pt>
                <c:pt idx="1109">
                  <c:v>1.000364</c:v>
                </c:pt>
                <c:pt idx="1110">
                  <c:v>1.0003230000000001</c:v>
                </c:pt>
                <c:pt idx="1111">
                  <c:v>1.0002740000000001</c:v>
                </c:pt>
                <c:pt idx="1112">
                  <c:v>1.000219</c:v>
                </c:pt>
                <c:pt idx="1113">
                  <c:v>1.0001580000000001</c:v>
                </c:pt>
                <c:pt idx="1114">
                  <c:v>1.0000910000000001</c:v>
                </c:pt>
                <c:pt idx="1115">
                  <c:v>1.0000180000000001</c:v>
                </c:pt>
                <c:pt idx="1116">
                  <c:v>0.99994000000000005</c:v>
                </c:pt>
                <c:pt idx="1117">
                  <c:v>0.99985800000000002</c:v>
                </c:pt>
                <c:pt idx="1118">
                  <c:v>0.99977099999999997</c:v>
                </c:pt>
                <c:pt idx="1119">
                  <c:v>0.99968100000000004</c:v>
                </c:pt>
                <c:pt idx="1120">
                  <c:v>0.999587</c:v>
                </c:pt>
                <c:pt idx="1121">
                  <c:v>0.99948899999999996</c:v>
                </c:pt>
                <c:pt idx="1122">
                  <c:v>0.99938899999999997</c:v>
                </c:pt>
                <c:pt idx="1123">
                  <c:v>0.99928700000000004</c:v>
                </c:pt>
                <c:pt idx="1124">
                  <c:v>0.99918200000000001</c:v>
                </c:pt>
                <c:pt idx="1125">
                  <c:v>0.99907599999999996</c:v>
                </c:pt>
                <c:pt idx="1126">
                  <c:v>0.998969</c:v>
                </c:pt>
                <c:pt idx="1127">
                  <c:v>0.99885999999999997</c:v>
                </c:pt>
                <c:pt idx="1128">
                  <c:v>0.99875100000000006</c:v>
                </c:pt>
                <c:pt idx="1129">
                  <c:v>0.99864200000000003</c:v>
                </c:pt>
                <c:pt idx="1130">
                  <c:v>0.99853199999999998</c:v>
                </c:pt>
                <c:pt idx="1131">
                  <c:v>0.99842299999999995</c:v>
                </c:pt>
                <c:pt idx="1132">
                  <c:v>0.99831400000000003</c:v>
                </c:pt>
                <c:pt idx="1133">
                  <c:v>0.99820600000000004</c:v>
                </c:pt>
                <c:pt idx="1134">
                  <c:v>0.99809899999999996</c:v>
                </c:pt>
                <c:pt idx="1135">
                  <c:v>0.99799300000000002</c:v>
                </c:pt>
                <c:pt idx="1136">
                  <c:v>0.997888</c:v>
                </c:pt>
                <c:pt idx="1137">
                  <c:v>0.997784</c:v>
                </c:pt>
                <c:pt idx="1138">
                  <c:v>0.99768199999999996</c:v>
                </c:pt>
                <c:pt idx="1139">
                  <c:v>0.99758100000000005</c:v>
                </c:pt>
                <c:pt idx="1140">
                  <c:v>0.99748199999999998</c:v>
                </c:pt>
                <c:pt idx="1141">
                  <c:v>0.99738499999999997</c:v>
                </c:pt>
                <c:pt idx="1142">
                  <c:v>0.99728899999999998</c:v>
                </c:pt>
                <c:pt idx="1143">
                  <c:v>0.99719599999999997</c:v>
                </c:pt>
                <c:pt idx="1144">
                  <c:v>0.99710399999999999</c:v>
                </c:pt>
                <c:pt idx="1145">
                  <c:v>0.99701300000000004</c:v>
                </c:pt>
                <c:pt idx="1146">
                  <c:v>0.99692400000000003</c:v>
                </c:pt>
                <c:pt idx="1147">
                  <c:v>0.99683699999999997</c:v>
                </c:pt>
                <c:pt idx="1148">
                  <c:v>0.99675199999999997</c:v>
                </c:pt>
                <c:pt idx="1149">
                  <c:v>0.996668</c:v>
                </c:pt>
                <c:pt idx="1150">
                  <c:v>0.99658500000000005</c:v>
                </c:pt>
                <c:pt idx="1151">
                  <c:v>0.99650399999999995</c:v>
                </c:pt>
                <c:pt idx="1152">
                  <c:v>0.99642299999999995</c:v>
                </c:pt>
                <c:pt idx="1153">
                  <c:v>0.99634400000000001</c:v>
                </c:pt>
                <c:pt idx="1154">
                  <c:v>0.99626599999999998</c:v>
                </c:pt>
                <c:pt idx="1155">
                  <c:v>0.99618899999999999</c:v>
                </c:pt>
                <c:pt idx="1156">
                  <c:v>0.996112</c:v>
                </c:pt>
                <c:pt idx="1157">
                  <c:v>0.99603600000000003</c:v>
                </c:pt>
                <c:pt idx="1158">
                  <c:v>0.99596099999999999</c:v>
                </c:pt>
                <c:pt idx="1159">
                  <c:v>0.99588600000000005</c:v>
                </c:pt>
                <c:pt idx="1160">
                  <c:v>0.995811</c:v>
                </c:pt>
                <c:pt idx="1161">
                  <c:v>0.99573699999999998</c:v>
                </c:pt>
                <c:pt idx="1162">
                  <c:v>0.99566299999999996</c:v>
                </c:pt>
                <c:pt idx="1163">
                  <c:v>0.99558899999999995</c:v>
                </c:pt>
                <c:pt idx="1164">
                  <c:v>0.99551500000000004</c:v>
                </c:pt>
                <c:pt idx="1165">
                  <c:v>0.99544100000000002</c:v>
                </c:pt>
                <c:pt idx="1166">
                  <c:v>0.995367</c:v>
                </c:pt>
                <c:pt idx="1167">
                  <c:v>0.99529299999999998</c:v>
                </c:pt>
                <c:pt idx="1168">
                  <c:v>0.99521899999999996</c:v>
                </c:pt>
                <c:pt idx="1169">
                  <c:v>0.99514400000000003</c:v>
                </c:pt>
                <c:pt idx="1170">
                  <c:v>0.99506899999999998</c:v>
                </c:pt>
                <c:pt idx="1171">
                  <c:v>0.99499499999999996</c:v>
                </c:pt>
                <c:pt idx="1172">
                  <c:v>0.99492000000000003</c:v>
                </c:pt>
                <c:pt idx="1173">
                  <c:v>0.99484399999999995</c:v>
                </c:pt>
                <c:pt idx="1174">
                  <c:v>0.99476900000000001</c:v>
                </c:pt>
                <c:pt idx="1175">
                  <c:v>0.99469399999999997</c:v>
                </c:pt>
                <c:pt idx="1176">
                  <c:v>0.994618</c:v>
                </c:pt>
                <c:pt idx="1177">
                  <c:v>0.99454299999999995</c:v>
                </c:pt>
                <c:pt idx="1178">
                  <c:v>0.99446800000000002</c:v>
                </c:pt>
                <c:pt idx="1179">
                  <c:v>0.99439200000000005</c:v>
                </c:pt>
                <c:pt idx="1180">
                  <c:v>0.99431700000000001</c:v>
                </c:pt>
                <c:pt idx="1181">
                  <c:v>0.99424299999999999</c:v>
                </c:pt>
                <c:pt idx="1182">
                  <c:v>0.99416800000000005</c:v>
                </c:pt>
                <c:pt idx="1183">
                  <c:v>0.99409499999999995</c:v>
                </c:pt>
                <c:pt idx="1184">
                  <c:v>0.99402199999999996</c:v>
                </c:pt>
                <c:pt idx="1185">
                  <c:v>0.99394899999999997</c:v>
                </c:pt>
                <c:pt idx="1186">
                  <c:v>0.99387800000000004</c:v>
                </c:pt>
                <c:pt idx="1187">
                  <c:v>0.993807</c:v>
                </c:pt>
                <c:pt idx="1188">
                  <c:v>0.99373800000000001</c:v>
                </c:pt>
                <c:pt idx="1189">
                  <c:v>0.99367000000000005</c:v>
                </c:pt>
                <c:pt idx="1190">
                  <c:v>0.99360300000000001</c:v>
                </c:pt>
                <c:pt idx="1191">
                  <c:v>0.99353800000000003</c:v>
                </c:pt>
                <c:pt idx="1192">
                  <c:v>0.993475</c:v>
                </c:pt>
                <c:pt idx="1193">
                  <c:v>0.99341299999999999</c:v>
                </c:pt>
                <c:pt idx="1194">
                  <c:v>0.99335399999999996</c:v>
                </c:pt>
                <c:pt idx="1195">
                  <c:v>0.99329699999999999</c:v>
                </c:pt>
                <c:pt idx="1196">
                  <c:v>0.99324299999999999</c:v>
                </c:pt>
                <c:pt idx="1197">
                  <c:v>0.99319100000000005</c:v>
                </c:pt>
                <c:pt idx="1198">
                  <c:v>0.99314199999999997</c:v>
                </c:pt>
                <c:pt idx="1199">
                  <c:v>0.99309700000000001</c:v>
                </c:pt>
                <c:pt idx="1200">
                  <c:v>0.99305399999999999</c:v>
                </c:pt>
                <c:pt idx="1201">
                  <c:v>0.99301499999999998</c:v>
                </c:pt>
                <c:pt idx="1202">
                  <c:v>0.99297999999999997</c:v>
                </c:pt>
                <c:pt idx="1203">
                  <c:v>0.99294899999999997</c:v>
                </c:pt>
                <c:pt idx="1204">
                  <c:v>0.99292100000000005</c:v>
                </c:pt>
                <c:pt idx="1205">
                  <c:v>0.99289799999999995</c:v>
                </c:pt>
                <c:pt idx="1206">
                  <c:v>0.99287999999999998</c:v>
                </c:pt>
                <c:pt idx="1207">
                  <c:v>0.99286600000000003</c:v>
                </c:pt>
                <c:pt idx="1208">
                  <c:v>0.99285699999999999</c:v>
                </c:pt>
                <c:pt idx="1209">
                  <c:v>0.99285299999999999</c:v>
                </c:pt>
                <c:pt idx="1210">
                  <c:v>0.99285500000000004</c:v>
                </c:pt>
                <c:pt idx="1211">
                  <c:v>0.99286099999999999</c:v>
                </c:pt>
                <c:pt idx="1212">
                  <c:v>0.99287300000000001</c:v>
                </c:pt>
                <c:pt idx="1213">
                  <c:v>0.99289099999999997</c:v>
                </c:pt>
                <c:pt idx="1214">
                  <c:v>0.99291399999999996</c:v>
                </c:pt>
                <c:pt idx="1215">
                  <c:v>0.99294400000000005</c:v>
                </c:pt>
                <c:pt idx="1216">
                  <c:v>0.99297899999999995</c:v>
                </c:pt>
                <c:pt idx="1217">
                  <c:v>0.99302000000000001</c:v>
                </c:pt>
                <c:pt idx="1218">
                  <c:v>0.99306700000000003</c:v>
                </c:pt>
                <c:pt idx="1219">
                  <c:v>0.99312</c:v>
                </c:pt>
                <c:pt idx="1220">
                  <c:v>0.99317800000000001</c:v>
                </c:pt>
                <c:pt idx="1221">
                  <c:v>0.99324299999999999</c:v>
                </c:pt>
                <c:pt idx="1222">
                  <c:v>0.99331400000000003</c:v>
                </c:pt>
                <c:pt idx="1223">
                  <c:v>0.99339100000000002</c:v>
                </c:pt>
                <c:pt idx="1224">
                  <c:v>0.99347300000000005</c:v>
                </c:pt>
                <c:pt idx="1225">
                  <c:v>0.99356100000000003</c:v>
                </c:pt>
                <c:pt idx="1226">
                  <c:v>0.99365400000000004</c:v>
                </c:pt>
                <c:pt idx="1227">
                  <c:v>0.993753</c:v>
                </c:pt>
                <c:pt idx="1228">
                  <c:v>0.99385699999999999</c:v>
                </c:pt>
                <c:pt idx="1229">
                  <c:v>0.99396499999999999</c:v>
                </c:pt>
                <c:pt idx="1230">
                  <c:v>0.99407800000000002</c:v>
                </c:pt>
                <c:pt idx="1231">
                  <c:v>0.99419599999999997</c:v>
                </c:pt>
                <c:pt idx="1232">
                  <c:v>0.99431700000000001</c:v>
                </c:pt>
                <c:pt idx="1233">
                  <c:v>0.99444299999999997</c:v>
                </c:pt>
                <c:pt idx="1234">
                  <c:v>0.99457099999999998</c:v>
                </c:pt>
                <c:pt idx="1235">
                  <c:v>0.994703</c:v>
                </c:pt>
                <c:pt idx="1236">
                  <c:v>0.994838</c:v>
                </c:pt>
                <c:pt idx="1237">
                  <c:v>0.99497500000000005</c:v>
                </c:pt>
                <c:pt idx="1238">
                  <c:v>0.99511400000000005</c:v>
                </c:pt>
                <c:pt idx="1239">
                  <c:v>0.995255</c:v>
                </c:pt>
                <c:pt idx="1240">
                  <c:v>0.99539699999999998</c:v>
                </c:pt>
                <c:pt idx="1241">
                  <c:v>0.99554100000000001</c:v>
                </c:pt>
                <c:pt idx="1242">
                  <c:v>0.99568400000000001</c:v>
                </c:pt>
                <c:pt idx="1243">
                  <c:v>0.99582800000000005</c:v>
                </c:pt>
                <c:pt idx="1244">
                  <c:v>0.99597100000000005</c:v>
                </c:pt>
                <c:pt idx="1245">
                  <c:v>0.99611400000000005</c:v>
                </c:pt>
                <c:pt idx="1246">
                  <c:v>0.996255</c:v>
                </c:pt>
                <c:pt idx="1247">
                  <c:v>0.99639500000000003</c:v>
                </c:pt>
                <c:pt idx="1248">
                  <c:v>0.99653400000000003</c:v>
                </c:pt>
                <c:pt idx="1249">
                  <c:v>0.99666999999999994</c:v>
                </c:pt>
                <c:pt idx="1250">
                  <c:v>0.99680299999999999</c:v>
                </c:pt>
                <c:pt idx="1251">
                  <c:v>0.99693299999999996</c:v>
                </c:pt>
                <c:pt idx="1252">
                  <c:v>0.99706099999999998</c:v>
                </c:pt>
                <c:pt idx="1253">
                  <c:v>0.99718399999999996</c:v>
                </c:pt>
                <c:pt idx="1254">
                  <c:v>0.99730300000000005</c:v>
                </c:pt>
                <c:pt idx="1255">
                  <c:v>0.99741900000000006</c:v>
                </c:pt>
                <c:pt idx="1256">
                  <c:v>0.997529</c:v>
                </c:pt>
                <c:pt idx="1257">
                  <c:v>0.99763500000000005</c:v>
                </c:pt>
                <c:pt idx="1258">
                  <c:v>0.99773500000000004</c:v>
                </c:pt>
                <c:pt idx="1259">
                  <c:v>0.99783100000000002</c:v>
                </c:pt>
                <c:pt idx="1260">
                  <c:v>0.99792000000000003</c:v>
                </c:pt>
                <c:pt idx="1261">
                  <c:v>0.998004</c:v>
                </c:pt>
                <c:pt idx="1262">
                  <c:v>0.99808200000000002</c:v>
                </c:pt>
                <c:pt idx="1263">
                  <c:v>0.99815299999999996</c:v>
                </c:pt>
                <c:pt idx="1264">
                  <c:v>0.99821800000000005</c:v>
                </c:pt>
                <c:pt idx="1265">
                  <c:v>0.99827699999999997</c:v>
                </c:pt>
                <c:pt idx="1266">
                  <c:v>0.99832900000000002</c:v>
                </c:pt>
                <c:pt idx="1267">
                  <c:v>0.99837399999999998</c:v>
                </c:pt>
                <c:pt idx="1268">
                  <c:v>0.99841299999999999</c:v>
                </c:pt>
                <c:pt idx="1269">
                  <c:v>0.998444</c:v>
                </c:pt>
                <c:pt idx="1270">
                  <c:v>0.99846900000000005</c:v>
                </c:pt>
                <c:pt idx="1271">
                  <c:v>0.99848599999999998</c:v>
                </c:pt>
                <c:pt idx="1272">
                  <c:v>0.99849699999999997</c:v>
                </c:pt>
                <c:pt idx="1273">
                  <c:v>0.99850000000000005</c:v>
                </c:pt>
                <c:pt idx="1274">
                  <c:v>0.99849600000000005</c:v>
                </c:pt>
                <c:pt idx="1275">
                  <c:v>0.99848599999999998</c:v>
                </c:pt>
                <c:pt idx="1276">
                  <c:v>0.99846800000000002</c:v>
                </c:pt>
                <c:pt idx="1277">
                  <c:v>0.998444</c:v>
                </c:pt>
                <c:pt idx="1278">
                  <c:v>0.99841199999999997</c:v>
                </c:pt>
                <c:pt idx="1279">
                  <c:v>0.99837399999999998</c:v>
                </c:pt>
                <c:pt idx="1280">
                  <c:v>0.99833000000000005</c:v>
                </c:pt>
                <c:pt idx="1281">
                  <c:v>0.99827900000000003</c:v>
                </c:pt>
                <c:pt idx="1282">
                  <c:v>0.99822100000000002</c:v>
                </c:pt>
                <c:pt idx="1283">
                  <c:v>0.99815799999999999</c:v>
                </c:pt>
                <c:pt idx="1284">
                  <c:v>0.99808799999999998</c:v>
                </c:pt>
                <c:pt idx="1285">
                  <c:v>0.99801300000000004</c:v>
                </c:pt>
                <c:pt idx="1286">
                  <c:v>0.99793200000000004</c:v>
                </c:pt>
                <c:pt idx="1287">
                  <c:v>0.99784600000000001</c:v>
                </c:pt>
                <c:pt idx="1288">
                  <c:v>0.99775400000000003</c:v>
                </c:pt>
                <c:pt idx="1289">
                  <c:v>0.99765800000000004</c:v>
                </c:pt>
                <c:pt idx="1290">
                  <c:v>0.99755700000000003</c:v>
                </c:pt>
                <c:pt idx="1291">
                  <c:v>0.99745200000000001</c:v>
                </c:pt>
                <c:pt idx="1292">
                  <c:v>0.99734299999999998</c:v>
                </c:pt>
                <c:pt idx="1293">
                  <c:v>0.99722999999999995</c:v>
                </c:pt>
                <c:pt idx="1294">
                  <c:v>0.99711399999999994</c:v>
                </c:pt>
                <c:pt idx="1295">
                  <c:v>0.99699400000000005</c:v>
                </c:pt>
                <c:pt idx="1296">
                  <c:v>0.99687199999999998</c:v>
                </c:pt>
                <c:pt idx="1297">
                  <c:v>0.99674799999999997</c:v>
                </c:pt>
                <c:pt idx="1298">
                  <c:v>0.99662099999999998</c:v>
                </c:pt>
                <c:pt idx="1299">
                  <c:v>0.99649299999999996</c:v>
                </c:pt>
                <c:pt idx="1300">
                  <c:v>0.996363</c:v>
                </c:pt>
                <c:pt idx="1301">
                  <c:v>0.99623200000000001</c:v>
                </c:pt>
                <c:pt idx="1302">
                  <c:v>0.99610100000000001</c:v>
                </c:pt>
                <c:pt idx="1303">
                  <c:v>0.99596899999999999</c:v>
                </c:pt>
                <c:pt idx="1304">
                  <c:v>0.995838</c:v>
                </c:pt>
                <c:pt idx="1305">
                  <c:v>0.99570700000000001</c:v>
                </c:pt>
                <c:pt idx="1306">
                  <c:v>0.99557600000000002</c:v>
                </c:pt>
                <c:pt idx="1307">
                  <c:v>0.99544699999999997</c:v>
                </c:pt>
                <c:pt idx="1308">
                  <c:v>0.99531899999999995</c:v>
                </c:pt>
                <c:pt idx="1309">
                  <c:v>0.99519299999999999</c:v>
                </c:pt>
                <c:pt idx="1310">
                  <c:v>0.99506899999999998</c:v>
                </c:pt>
                <c:pt idx="1311">
                  <c:v>0.99494700000000003</c:v>
                </c:pt>
                <c:pt idx="1312">
                  <c:v>0.99482800000000005</c:v>
                </c:pt>
                <c:pt idx="1313">
                  <c:v>0.99471200000000004</c:v>
                </c:pt>
                <c:pt idx="1314">
                  <c:v>0.99459900000000001</c:v>
                </c:pt>
                <c:pt idx="1315">
                  <c:v>0.99448999999999999</c:v>
                </c:pt>
                <c:pt idx="1316">
                  <c:v>0.99438400000000005</c:v>
                </c:pt>
                <c:pt idx="1317">
                  <c:v>0.994282</c:v>
                </c:pt>
                <c:pt idx="1318">
                  <c:v>0.99418399999999996</c:v>
                </c:pt>
                <c:pt idx="1319">
                  <c:v>0.99409000000000003</c:v>
                </c:pt>
                <c:pt idx="1320">
                  <c:v>0.99400100000000002</c:v>
                </c:pt>
                <c:pt idx="1321">
                  <c:v>0.99391600000000002</c:v>
                </c:pt>
                <c:pt idx="1322">
                  <c:v>0.99383500000000002</c:v>
                </c:pt>
                <c:pt idx="1323">
                  <c:v>0.99375999999999998</c:v>
                </c:pt>
                <c:pt idx="1324">
                  <c:v>0.99368900000000004</c:v>
                </c:pt>
                <c:pt idx="1325">
                  <c:v>0.99362300000000003</c:v>
                </c:pt>
                <c:pt idx="1326">
                  <c:v>0.99356199999999995</c:v>
                </c:pt>
                <c:pt idx="1327">
                  <c:v>0.99350499999999997</c:v>
                </c:pt>
                <c:pt idx="1328">
                  <c:v>0.99345399999999995</c:v>
                </c:pt>
                <c:pt idx="1329">
                  <c:v>0.99340799999999996</c:v>
                </c:pt>
                <c:pt idx="1330">
                  <c:v>0.99336599999999997</c:v>
                </c:pt>
                <c:pt idx="1331">
                  <c:v>0.99332900000000002</c:v>
                </c:pt>
                <c:pt idx="1332">
                  <c:v>0.99329699999999999</c:v>
                </c:pt>
                <c:pt idx="1333">
                  <c:v>0.99326999999999999</c:v>
                </c:pt>
                <c:pt idx="1334">
                  <c:v>0.99324699999999999</c:v>
                </c:pt>
                <c:pt idx="1335">
                  <c:v>0.99322900000000003</c:v>
                </c:pt>
                <c:pt idx="1336">
                  <c:v>0.99321499999999996</c:v>
                </c:pt>
                <c:pt idx="1337">
                  <c:v>0.993205</c:v>
                </c:pt>
                <c:pt idx="1338">
                  <c:v>0.99319900000000005</c:v>
                </c:pt>
                <c:pt idx="1339">
                  <c:v>0.993197</c:v>
                </c:pt>
                <c:pt idx="1340">
                  <c:v>0.99319900000000005</c:v>
                </c:pt>
                <c:pt idx="1341">
                  <c:v>0.993205</c:v>
                </c:pt>
                <c:pt idx="1342">
                  <c:v>0.99321400000000004</c:v>
                </c:pt>
                <c:pt idx="1343">
                  <c:v>0.99322699999999997</c:v>
                </c:pt>
                <c:pt idx="1344">
                  <c:v>0.99324199999999996</c:v>
                </c:pt>
                <c:pt idx="1345">
                  <c:v>0.99326099999999995</c:v>
                </c:pt>
                <c:pt idx="1346">
                  <c:v>0.993282</c:v>
                </c:pt>
                <c:pt idx="1347">
                  <c:v>0.99330600000000002</c:v>
                </c:pt>
                <c:pt idx="1348">
                  <c:v>0.99333300000000002</c:v>
                </c:pt>
                <c:pt idx="1349">
                  <c:v>0.99336199999999997</c:v>
                </c:pt>
                <c:pt idx="1350">
                  <c:v>0.99339299999999997</c:v>
                </c:pt>
                <c:pt idx="1351">
                  <c:v>0.993425</c:v>
                </c:pt>
                <c:pt idx="1352">
                  <c:v>0.99346000000000001</c:v>
                </c:pt>
                <c:pt idx="1353">
                  <c:v>0.99349600000000005</c:v>
                </c:pt>
                <c:pt idx="1354">
                  <c:v>0.99353400000000003</c:v>
                </c:pt>
                <c:pt idx="1355">
                  <c:v>0.99357200000000001</c:v>
                </c:pt>
                <c:pt idx="1356">
                  <c:v>0.99361200000000005</c:v>
                </c:pt>
                <c:pt idx="1357">
                  <c:v>0.99365300000000001</c:v>
                </c:pt>
                <c:pt idx="1358">
                  <c:v>0.99369499999999999</c:v>
                </c:pt>
                <c:pt idx="1359">
                  <c:v>0.99373699999999998</c:v>
                </c:pt>
                <c:pt idx="1360">
                  <c:v>0.99378</c:v>
                </c:pt>
                <c:pt idx="1361">
                  <c:v>0.99382400000000004</c:v>
                </c:pt>
                <c:pt idx="1362">
                  <c:v>0.99386799999999997</c:v>
                </c:pt>
                <c:pt idx="1363">
                  <c:v>0.99391200000000002</c:v>
                </c:pt>
                <c:pt idx="1364">
                  <c:v>0.99395599999999995</c:v>
                </c:pt>
                <c:pt idx="1365">
                  <c:v>0.99399999999999999</c:v>
                </c:pt>
                <c:pt idx="1366">
                  <c:v>0.99404400000000004</c:v>
                </c:pt>
                <c:pt idx="1367">
                  <c:v>0.99408799999999997</c:v>
                </c:pt>
                <c:pt idx="1368">
                  <c:v>0.99413200000000002</c:v>
                </c:pt>
                <c:pt idx="1369">
                  <c:v>0.99417500000000003</c:v>
                </c:pt>
                <c:pt idx="1370">
                  <c:v>0.99421800000000005</c:v>
                </c:pt>
                <c:pt idx="1371">
                  <c:v>0.99426099999999995</c:v>
                </c:pt>
                <c:pt idx="1372">
                  <c:v>0.99430399999999997</c:v>
                </c:pt>
                <c:pt idx="1373">
                  <c:v>0.99434599999999995</c:v>
                </c:pt>
                <c:pt idx="1374">
                  <c:v>0.99438700000000002</c:v>
                </c:pt>
                <c:pt idx="1375">
                  <c:v>0.99442900000000001</c:v>
                </c:pt>
                <c:pt idx="1376">
                  <c:v>0.99446900000000005</c:v>
                </c:pt>
                <c:pt idx="1377">
                  <c:v>0.99450899999999998</c:v>
                </c:pt>
                <c:pt idx="1378">
                  <c:v>0.99454900000000002</c:v>
                </c:pt>
                <c:pt idx="1379">
                  <c:v>0.99458899999999995</c:v>
                </c:pt>
                <c:pt idx="1380">
                  <c:v>0.99462799999999996</c:v>
                </c:pt>
                <c:pt idx="1381">
                  <c:v>0.99466600000000005</c:v>
                </c:pt>
                <c:pt idx="1382">
                  <c:v>0.99470499999999995</c:v>
                </c:pt>
                <c:pt idx="1383">
                  <c:v>0.99474300000000004</c:v>
                </c:pt>
                <c:pt idx="1384">
                  <c:v>0.99478100000000003</c:v>
                </c:pt>
                <c:pt idx="1385">
                  <c:v>0.99481799999999998</c:v>
                </c:pt>
                <c:pt idx="1386">
                  <c:v>0.99485599999999996</c:v>
                </c:pt>
                <c:pt idx="1387">
                  <c:v>0.99489300000000003</c:v>
                </c:pt>
                <c:pt idx="1388">
                  <c:v>0.99493100000000001</c:v>
                </c:pt>
                <c:pt idx="1389">
                  <c:v>0.99496899999999999</c:v>
                </c:pt>
                <c:pt idx="1390">
                  <c:v>0.99500599999999995</c:v>
                </c:pt>
                <c:pt idx="1391">
                  <c:v>0.99504400000000004</c:v>
                </c:pt>
                <c:pt idx="1392">
                  <c:v>0.99508200000000002</c:v>
                </c:pt>
                <c:pt idx="1393">
                  <c:v>0.99512</c:v>
                </c:pt>
                <c:pt idx="1394">
                  <c:v>0.99515900000000002</c:v>
                </c:pt>
                <c:pt idx="1395">
                  <c:v>0.99519800000000003</c:v>
                </c:pt>
                <c:pt idx="1396">
                  <c:v>0.99523799999999996</c:v>
                </c:pt>
                <c:pt idx="1397">
                  <c:v>0.995278</c:v>
                </c:pt>
                <c:pt idx="1398">
                  <c:v>0.99531899999999995</c:v>
                </c:pt>
                <c:pt idx="1399">
                  <c:v>0.99536000000000002</c:v>
                </c:pt>
                <c:pt idx="1400">
                  <c:v>0.99540200000000001</c:v>
                </c:pt>
                <c:pt idx="1401">
                  <c:v>0.995444</c:v>
                </c:pt>
                <c:pt idx="1402">
                  <c:v>0.99548800000000004</c:v>
                </c:pt>
                <c:pt idx="1403">
                  <c:v>0.99553100000000005</c:v>
                </c:pt>
                <c:pt idx="1404">
                  <c:v>0.99557600000000002</c:v>
                </c:pt>
                <c:pt idx="1405">
                  <c:v>0.99562099999999998</c:v>
                </c:pt>
                <c:pt idx="1406">
                  <c:v>0.99566699999999997</c:v>
                </c:pt>
                <c:pt idx="1407">
                  <c:v>0.99571299999999996</c:v>
                </c:pt>
                <c:pt idx="1408">
                  <c:v>0.99575999999999998</c:v>
                </c:pt>
                <c:pt idx="1409">
                  <c:v>0.995807</c:v>
                </c:pt>
                <c:pt idx="1410">
                  <c:v>0.99585500000000005</c:v>
                </c:pt>
                <c:pt idx="1411">
                  <c:v>0.99590400000000001</c:v>
                </c:pt>
                <c:pt idx="1412">
                  <c:v>0.99595199999999995</c:v>
                </c:pt>
                <c:pt idx="1413">
                  <c:v>0.99600100000000003</c:v>
                </c:pt>
                <c:pt idx="1414">
                  <c:v>0.99604999999999999</c:v>
                </c:pt>
                <c:pt idx="1415">
                  <c:v>0.99609899999999996</c:v>
                </c:pt>
                <c:pt idx="1416">
                  <c:v>0.99614800000000003</c:v>
                </c:pt>
                <c:pt idx="1417">
                  <c:v>0.996197</c:v>
                </c:pt>
                <c:pt idx="1418">
                  <c:v>0.99624599999999996</c:v>
                </c:pt>
                <c:pt idx="1419">
                  <c:v>0.99629400000000001</c:v>
                </c:pt>
                <c:pt idx="1420">
                  <c:v>0.99634100000000003</c:v>
                </c:pt>
                <c:pt idx="1421">
                  <c:v>0.99638800000000005</c:v>
                </c:pt>
                <c:pt idx="1422">
                  <c:v>0.99643400000000004</c:v>
                </c:pt>
                <c:pt idx="1423">
                  <c:v>0.99648000000000003</c:v>
                </c:pt>
                <c:pt idx="1424">
                  <c:v>0.99652399999999997</c:v>
                </c:pt>
                <c:pt idx="1425">
                  <c:v>0.99656699999999998</c:v>
                </c:pt>
                <c:pt idx="1426">
                  <c:v>0.99660800000000005</c:v>
                </c:pt>
                <c:pt idx="1427">
                  <c:v>0.99664799999999998</c:v>
                </c:pt>
                <c:pt idx="1428">
                  <c:v>0.99668699999999999</c:v>
                </c:pt>
                <c:pt idx="1429">
                  <c:v>0.99672300000000003</c:v>
                </c:pt>
                <c:pt idx="1430">
                  <c:v>0.99675800000000003</c:v>
                </c:pt>
                <c:pt idx="1431">
                  <c:v>0.99678999999999995</c:v>
                </c:pt>
                <c:pt idx="1432">
                  <c:v>0.99682000000000004</c:v>
                </c:pt>
                <c:pt idx="1433">
                  <c:v>0.99684799999999996</c:v>
                </c:pt>
                <c:pt idx="1434">
                  <c:v>0.99687400000000004</c:v>
                </c:pt>
                <c:pt idx="1435">
                  <c:v>0.996896</c:v>
                </c:pt>
                <c:pt idx="1436">
                  <c:v>0.99691600000000002</c:v>
                </c:pt>
                <c:pt idx="1437">
                  <c:v>0.99693399999999999</c:v>
                </c:pt>
                <c:pt idx="1438">
                  <c:v>0.99694799999999995</c:v>
                </c:pt>
                <c:pt idx="1439">
                  <c:v>0.99695900000000004</c:v>
                </c:pt>
                <c:pt idx="1440">
                  <c:v>0.99696700000000005</c:v>
                </c:pt>
                <c:pt idx="1441">
                  <c:v>0.99697199999999997</c:v>
                </c:pt>
                <c:pt idx="1442">
                  <c:v>0.99697400000000003</c:v>
                </c:pt>
                <c:pt idx="1443">
                  <c:v>0.99697199999999997</c:v>
                </c:pt>
                <c:pt idx="1444">
                  <c:v>0.99696700000000005</c:v>
                </c:pt>
                <c:pt idx="1445">
                  <c:v>0.99695900000000004</c:v>
                </c:pt>
                <c:pt idx="1446">
                  <c:v>0.99694700000000003</c:v>
                </c:pt>
                <c:pt idx="1447">
                  <c:v>0.99693200000000004</c:v>
                </c:pt>
                <c:pt idx="1448">
                  <c:v>0.99691300000000005</c:v>
                </c:pt>
                <c:pt idx="1449">
                  <c:v>0.99689099999999997</c:v>
                </c:pt>
                <c:pt idx="1450">
                  <c:v>0.996865</c:v>
                </c:pt>
                <c:pt idx="1451">
                  <c:v>0.99683600000000006</c:v>
                </c:pt>
                <c:pt idx="1452">
                  <c:v>0.99680299999999999</c:v>
                </c:pt>
                <c:pt idx="1453">
                  <c:v>0.99676699999999996</c:v>
                </c:pt>
                <c:pt idx="1454">
                  <c:v>0.99672799999999995</c:v>
                </c:pt>
                <c:pt idx="1455">
                  <c:v>0.99668599999999996</c:v>
                </c:pt>
                <c:pt idx="1456">
                  <c:v>0.99663999999999997</c:v>
                </c:pt>
                <c:pt idx="1457">
                  <c:v>0.99659200000000003</c:v>
                </c:pt>
                <c:pt idx="1458">
                  <c:v>0.99653999999999998</c:v>
                </c:pt>
                <c:pt idx="1459">
                  <c:v>0.99648599999999998</c:v>
                </c:pt>
                <c:pt idx="1460">
                  <c:v>0.99642900000000001</c:v>
                </c:pt>
                <c:pt idx="1461">
                  <c:v>0.99636899999999995</c:v>
                </c:pt>
                <c:pt idx="1462">
                  <c:v>0.99630700000000005</c:v>
                </c:pt>
                <c:pt idx="1463">
                  <c:v>0.99624299999999999</c:v>
                </c:pt>
                <c:pt idx="1464">
                  <c:v>0.99617599999999995</c:v>
                </c:pt>
                <c:pt idx="1465">
                  <c:v>0.99610799999999999</c:v>
                </c:pt>
                <c:pt idx="1466">
                  <c:v>0.99603699999999995</c:v>
                </c:pt>
                <c:pt idx="1467">
                  <c:v>0.99596499999999999</c:v>
                </c:pt>
                <c:pt idx="1468">
                  <c:v>0.995892</c:v>
                </c:pt>
                <c:pt idx="1469">
                  <c:v>0.99581699999999995</c:v>
                </c:pt>
                <c:pt idx="1470">
                  <c:v>0.99574099999999999</c:v>
                </c:pt>
                <c:pt idx="1471">
                  <c:v>0.99566500000000002</c:v>
                </c:pt>
                <c:pt idx="1472">
                  <c:v>0.99558800000000003</c:v>
                </c:pt>
                <c:pt idx="1473">
                  <c:v>0.99551000000000001</c:v>
                </c:pt>
                <c:pt idx="1474">
                  <c:v>0.99543199999999998</c:v>
                </c:pt>
                <c:pt idx="1475">
                  <c:v>0.99535399999999996</c:v>
                </c:pt>
                <c:pt idx="1476">
                  <c:v>0.99527699999999997</c:v>
                </c:pt>
                <c:pt idx="1477">
                  <c:v>0.99519899999999994</c:v>
                </c:pt>
                <c:pt idx="1478">
                  <c:v>0.99512299999999998</c:v>
                </c:pt>
                <c:pt idx="1479">
                  <c:v>0.99504700000000001</c:v>
                </c:pt>
                <c:pt idx="1480">
                  <c:v>0.994973</c:v>
                </c:pt>
                <c:pt idx="1481">
                  <c:v>0.99490000000000001</c:v>
                </c:pt>
                <c:pt idx="1482">
                  <c:v>0.99482800000000005</c:v>
                </c:pt>
                <c:pt idx="1483">
                  <c:v>0.99475800000000003</c:v>
                </c:pt>
                <c:pt idx="1484">
                  <c:v>0.99468999999999996</c:v>
                </c:pt>
                <c:pt idx="1485">
                  <c:v>0.99462499999999998</c:v>
                </c:pt>
                <c:pt idx="1486">
                  <c:v>0.99456100000000003</c:v>
                </c:pt>
                <c:pt idx="1487">
                  <c:v>0.99450000000000005</c:v>
                </c:pt>
                <c:pt idx="1488">
                  <c:v>0.99444200000000005</c:v>
                </c:pt>
                <c:pt idx="1489">
                  <c:v>0.99438700000000002</c:v>
                </c:pt>
                <c:pt idx="1490">
                  <c:v>0.99433499999999997</c:v>
                </c:pt>
                <c:pt idx="1491">
                  <c:v>0.994286</c:v>
                </c:pt>
                <c:pt idx="1492">
                  <c:v>0.99424000000000001</c:v>
                </c:pt>
                <c:pt idx="1493">
                  <c:v>0.99419800000000003</c:v>
                </c:pt>
                <c:pt idx="1494">
                  <c:v>0.99415900000000001</c:v>
                </c:pt>
                <c:pt idx="1495">
                  <c:v>0.99412400000000001</c:v>
                </c:pt>
                <c:pt idx="1496">
                  <c:v>0.994093</c:v>
                </c:pt>
                <c:pt idx="1497">
                  <c:v>0.99406499999999998</c:v>
                </c:pt>
                <c:pt idx="1498">
                  <c:v>0.99404099999999995</c:v>
                </c:pt>
                <c:pt idx="1499">
                  <c:v>0.99402199999999996</c:v>
                </c:pt>
                <c:pt idx="1500">
                  <c:v>0.99400599999999995</c:v>
                </c:pt>
                <c:pt idx="1501">
                  <c:v>0.99399400000000004</c:v>
                </c:pt>
                <c:pt idx="1502">
                  <c:v>0.99398699999999995</c:v>
                </c:pt>
                <c:pt idx="1503">
                  <c:v>0.99398299999999995</c:v>
                </c:pt>
                <c:pt idx="1504">
                  <c:v>0.99398299999999995</c:v>
                </c:pt>
                <c:pt idx="1505">
                  <c:v>0.99398699999999995</c:v>
                </c:pt>
                <c:pt idx="1506">
                  <c:v>0.99399499999999996</c:v>
                </c:pt>
                <c:pt idx="1507">
                  <c:v>0.99400699999999997</c:v>
                </c:pt>
                <c:pt idx="1508">
                  <c:v>0.99402299999999999</c:v>
                </c:pt>
                <c:pt idx="1509">
                  <c:v>0.99404199999999998</c:v>
                </c:pt>
                <c:pt idx="1510">
                  <c:v>0.99406499999999998</c:v>
                </c:pt>
                <c:pt idx="1511">
                  <c:v>0.99409199999999998</c:v>
                </c:pt>
                <c:pt idx="1512">
                  <c:v>0.99412199999999995</c:v>
                </c:pt>
                <c:pt idx="1513">
                  <c:v>0.99415500000000001</c:v>
                </c:pt>
                <c:pt idx="1514">
                  <c:v>0.99419100000000005</c:v>
                </c:pt>
                <c:pt idx="1515">
                  <c:v>0.99422999999999995</c:v>
                </c:pt>
                <c:pt idx="1516">
                  <c:v>0.99427299999999996</c:v>
                </c:pt>
                <c:pt idx="1517">
                  <c:v>0.99431800000000004</c:v>
                </c:pt>
                <c:pt idx="1518">
                  <c:v>0.99436500000000005</c:v>
                </c:pt>
                <c:pt idx="1519">
                  <c:v>0.99441500000000005</c:v>
                </c:pt>
                <c:pt idx="1520">
                  <c:v>0.99446699999999999</c:v>
                </c:pt>
                <c:pt idx="1521">
                  <c:v>0.99452099999999999</c:v>
                </c:pt>
                <c:pt idx="1522">
                  <c:v>0.99457700000000004</c:v>
                </c:pt>
                <c:pt idx="1523">
                  <c:v>0.99463500000000005</c:v>
                </c:pt>
                <c:pt idx="1524">
                  <c:v>0.99469399999999997</c:v>
                </c:pt>
                <c:pt idx="1525">
                  <c:v>0.99475400000000003</c:v>
                </c:pt>
                <c:pt idx="1526">
                  <c:v>0.99481600000000003</c:v>
                </c:pt>
                <c:pt idx="1527">
                  <c:v>0.99487899999999996</c:v>
                </c:pt>
                <c:pt idx="1528">
                  <c:v>0.99494300000000002</c:v>
                </c:pt>
                <c:pt idx="1529">
                  <c:v>0.99500699999999997</c:v>
                </c:pt>
                <c:pt idx="1530">
                  <c:v>0.99507100000000004</c:v>
                </c:pt>
                <c:pt idx="1531">
                  <c:v>0.99513600000000002</c:v>
                </c:pt>
                <c:pt idx="1532">
                  <c:v>0.99520200000000003</c:v>
                </c:pt>
                <c:pt idx="1533">
                  <c:v>0.99526700000000001</c:v>
                </c:pt>
                <c:pt idx="1534">
                  <c:v>0.99533199999999999</c:v>
                </c:pt>
                <c:pt idx="1535">
                  <c:v>0.99539599999999995</c:v>
                </c:pt>
                <c:pt idx="1536">
                  <c:v>0.99546100000000004</c:v>
                </c:pt>
                <c:pt idx="1537">
                  <c:v>0.99552399999999996</c:v>
                </c:pt>
                <c:pt idx="1538">
                  <c:v>0.995587</c:v>
                </c:pt>
                <c:pt idx="1539">
                  <c:v>0.99564900000000001</c:v>
                </c:pt>
                <c:pt idx="1540">
                  <c:v>0.99570999999999998</c:v>
                </c:pt>
                <c:pt idx="1541">
                  <c:v>0.99577000000000004</c:v>
                </c:pt>
                <c:pt idx="1542">
                  <c:v>0.99582899999999996</c:v>
                </c:pt>
                <c:pt idx="1543">
                  <c:v>0.99588600000000005</c:v>
                </c:pt>
                <c:pt idx="1544">
                  <c:v>0.99594199999999999</c:v>
                </c:pt>
                <c:pt idx="1545">
                  <c:v>0.99599700000000002</c:v>
                </c:pt>
                <c:pt idx="1546">
                  <c:v>0.99604999999999999</c:v>
                </c:pt>
                <c:pt idx="1547">
                  <c:v>0.99610100000000001</c:v>
                </c:pt>
                <c:pt idx="1548">
                  <c:v>0.99614999999999998</c:v>
                </c:pt>
                <c:pt idx="1549">
                  <c:v>0.99619800000000003</c:v>
                </c:pt>
                <c:pt idx="1550">
                  <c:v>0.99624400000000002</c:v>
                </c:pt>
                <c:pt idx="1551">
                  <c:v>0.99628899999999998</c:v>
                </c:pt>
                <c:pt idx="1552">
                  <c:v>0.99633099999999997</c:v>
                </c:pt>
                <c:pt idx="1553">
                  <c:v>0.99637200000000004</c:v>
                </c:pt>
                <c:pt idx="1554">
                  <c:v>0.99641000000000002</c:v>
                </c:pt>
                <c:pt idx="1555">
                  <c:v>0.99644699999999997</c:v>
                </c:pt>
                <c:pt idx="1556">
                  <c:v>0.99648199999999998</c:v>
                </c:pt>
                <c:pt idx="1557">
                  <c:v>0.99651500000000004</c:v>
                </c:pt>
                <c:pt idx="1558">
                  <c:v>0.99654600000000004</c:v>
                </c:pt>
                <c:pt idx="1559">
                  <c:v>0.99657499999999999</c:v>
                </c:pt>
                <c:pt idx="1560">
                  <c:v>0.99660199999999999</c:v>
                </c:pt>
                <c:pt idx="1561">
                  <c:v>0.99662799999999996</c:v>
                </c:pt>
                <c:pt idx="1562">
                  <c:v>0.99665099999999995</c:v>
                </c:pt>
                <c:pt idx="1563">
                  <c:v>0.99667300000000003</c:v>
                </c:pt>
                <c:pt idx="1564">
                  <c:v>0.99669399999999997</c:v>
                </c:pt>
                <c:pt idx="1565">
                  <c:v>0.99671200000000004</c:v>
                </c:pt>
                <c:pt idx="1566">
                  <c:v>0.99672899999999998</c:v>
                </c:pt>
                <c:pt idx="1567">
                  <c:v>0.99674399999999996</c:v>
                </c:pt>
                <c:pt idx="1568">
                  <c:v>0.99675800000000003</c:v>
                </c:pt>
                <c:pt idx="1569">
                  <c:v>0.99677099999999996</c:v>
                </c:pt>
                <c:pt idx="1570">
                  <c:v>0.99678199999999995</c:v>
                </c:pt>
                <c:pt idx="1571">
                  <c:v>0.99679200000000001</c:v>
                </c:pt>
                <c:pt idx="1572">
                  <c:v>0.99680000000000002</c:v>
                </c:pt>
                <c:pt idx="1573">
                  <c:v>0.99680800000000003</c:v>
                </c:pt>
                <c:pt idx="1574">
                  <c:v>0.99681399999999998</c:v>
                </c:pt>
                <c:pt idx="1575">
                  <c:v>0.99681900000000001</c:v>
                </c:pt>
                <c:pt idx="1576">
                  <c:v>0.99682400000000004</c:v>
                </c:pt>
                <c:pt idx="1577">
                  <c:v>0.99682700000000002</c:v>
                </c:pt>
                <c:pt idx="1578">
                  <c:v>0.99682999999999999</c:v>
                </c:pt>
                <c:pt idx="1579">
                  <c:v>0.99683100000000002</c:v>
                </c:pt>
                <c:pt idx="1580">
                  <c:v>0.99683200000000005</c:v>
                </c:pt>
                <c:pt idx="1581">
                  <c:v>0.99683299999999997</c:v>
                </c:pt>
                <c:pt idx="1582">
                  <c:v>0.99683299999999997</c:v>
                </c:pt>
                <c:pt idx="1583">
                  <c:v>0.99683200000000005</c:v>
                </c:pt>
                <c:pt idx="1584">
                  <c:v>0.99682999999999999</c:v>
                </c:pt>
                <c:pt idx="1585">
                  <c:v>0.99682899999999997</c:v>
                </c:pt>
                <c:pt idx="1586">
                  <c:v>0.99682599999999999</c:v>
                </c:pt>
                <c:pt idx="1587">
                  <c:v>0.99682400000000004</c:v>
                </c:pt>
                <c:pt idx="1588">
                  <c:v>0.99682099999999996</c:v>
                </c:pt>
                <c:pt idx="1589">
                  <c:v>0.99681799999999998</c:v>
                </c:pt>
                <c:pt idx="1590">
                  <c:v>0.99681399999999998</c:v>
                </c:pt>
                <c:pt idx="1591">
                  <c:v>0.99680999999999997</c:v>
                </c:pt>
                <c:pt idx="1592">
                  <c:v>0.99680599999999997</c:v>
                </c:pt>
                <c:pt idx="1593">
                  <c:v>0.99680100000000005</c:v>
                </c:pt>
                <c:pt idx="1594">
                  <c:v>0.99679700000000004</c:v>
                </c:pt>
                <c:pt idx="1595">
                  <c:v>0.99679200000000001</c:v>
                </c:pt>
                <c:pt idx="1596">
                  <c:v>0.99678599999999995</c:v>
                </c:pt>
                <c:pt idx="1597">
                  <c:v>0.99678100000000003</c:v>
                </c:pt>
                <c:pt idx="1598">
                  <c:v>0.99677499999999997</c:v>
                </c:pt>
                <c:pt idx="1599">
                  <c:v>0.99676900000000002</c:v>
                </c:pt>
                <c:pt idx="1600">
                  <c:v>0.99676299999999995</c:v>
                </c:pt>
                <c:pt idx="1601">
                  <c:v>0.99675599999999998</c:v>
                </c:pt>
                <c:pt idx="1602">
                  <c:v>0.996749</c:v>
                </c:pt>
                <c:pt idx="1603">
                  <c:v>0.99674200000000002</c:v>
                </c:pt>
                <c:pt idx="1604">
                  <c:v>0.99673400000000001</c:v>
                </c:pt>
                <c:pt idx="1605">
                  <c:v>0.996726</c:v>
                </c:pt>
                <c:pt idx="1606">
                  <c:v>0.99671699999999996</c:v>
                </c:pt>
                <c:pt idx="1607">
                  <c:v>0.99670800000000004</c:v>
                </c:pt>
                <c:pt idx="1608">
                  <c:v>0.99669799999999997</c:v>
                </c:pt>
                <c:pt idx="1609">
                  <c:v>0.99668800000000002</c:v>
                </c:pt>
                <c:pt idx="1610">
                  <c:v>0.99667799999999995</c:v>
                </c:pt>
                <c:pt idx="1611">
                  <c:v>0.99666600000000005</c:v>
                </c:pt>
                <c:pt idx="1612">
                  <c:v>0.99665400000000004</c:v>
                </c:pt>
                <c:pt idx="1613">
                  <c:v>0.99664200000000003</c:v>
                </c:pt>
                <c:pt idx="1614">
                  <c:v>0.99662899999999999</c:v>
                </c:pt>
                <c:pt idx="1615">
                  <c:v>0.99661500000000003</c:v>
                </c:pt>
                <c:pt idx="1616">
                  <c:v>0.99660000000000004</c:v>
                </c:pt>
                <c:pt idx="1617">
                  <c:v>0.99658400000000003</c:v>
                </c:pt>
                <c:pt idx="1618">
                  <c:v>0.99656800000000001</c:v>
                </c:pt>
                <c:pt idx="1619">
                  <c:v>0.99655099999999996</c:v>
                </c:pt>
                <c:pt idx="1620">
                  <c:v>0.996533</c:v>
                </c:pt>
                <c:pt idx="1621">
                  <c:v>0.99651500000000004</c:v>
                </c:pt>
                <c:pt idx="1622">
                  <c:v>0.99649500000000002</c:v>
                </c:pt>
                <c:pt idx="1623">
                  <c:v>0.996475</c:v>
                </c:pt>
                <c:pt idx="1624">
                  <c:v>0.99645399999999995</c:v>
                </c:pt>
                <c:pt idx="1625">
                  <c:v>0.99643199999999998</c:v>
                </c:pt>
                <c:pt idx="1626">
                  <c:v>0.99640899999999999</c:v>
                </c:pt>
                <c:pt idx="1627">
                  <c:v>0.99638599999999999</c:v>
                </c:pt>
                <c:pt idx="1628">
                  <c:v>0.99636100000000005</c:v>
                </c:pt>
                <c:pt idx="1629">
                  <c:v>0.996336</c:v>
                </c:pt>
                <c:pt idx="1630">
                  <c:v>0.99631099999999995</c:v>
                </c:pt>
                <c:pt idx="1631">
                  <c:v>0.99628399999999995</c:v>
                </c:pt>
                <c:pt idx="1632">
                  <c:v>0.99625699999999995</c:v>
                </c:pt>
                <c:pt idx="1633">
                  <c:v>0.99622900000000003</c:v>
                </c:pt>
                <c:pt idx="1634">
                  <c:v>0.996201</c:v>
                </c:pt>
                <c:pt idx="1635">
                  <c:v>0.99617199999999995</c:v>
                </c:pt>
                <c:pt idx="1636">
                  <c:v>0.99614199999999997</c:v>
                </c:pt>
                <c:pt idx="1637">
                  <c:v>0.996112</c:v>
                </c:pt>
                <c:pt idx="1638">
                  <c:v>0.99608200000000002</c:v>
                </c:pt>
                <c:pt idx="1639">
                  <c:v>0.99605100000000002</c:v>
                </c:pt>
                <c:pt idx="1640">
                  <c:v>0.99602000000000002</c:v>
                </c:pt>
                <c:pt idx="1641">
                  <c:v>0.99598900000000001</c:v>
                </c:pt>
                <c:pt idx="1642">
                  <c:v>0.99595800000000001</c:v>
                </c:pt>
                <c:pt idx="1643">
                  <c:v>0.99592700000000001</c:v>
                </c:pt>
                <c:pt idx="1644">
                  <c:v>0.995896</c:v>
                </c:pt>
                <c:pt idx="1645">
                  <c:v>0.995865</c:v>
                </c:pt>
                <c:pt idx="1646">
                  <c:v>0.995834</c:v>
                </c:pt>
                <c:pt idx="1647">
                  <c:v>0.99580299999999999</c:v>
                </c:pt>
                <c:pt idx="1648">
                  <c:v>0.99577300000000002</c:v>
                </c:pt>
                <c:pt idx="1649">
                  <c:v>0.99574300000000004</c:v>
                </c:pt>
                <c:pt idx="1650">
                  <c:v>0.99571399999999999</c:v>
                </c:pt>
                <c:pt idx="1651">
                  <c:v>0.99568599999999996</c:v>
                </c:pt>
                <c:pt idx="1652">
                  <c:v>0.99565800000000004</c:v>
                </c:pt>
                <c:pt idx="1653">
                  <c:v>0.99563100000000004</c:v>
                </c:pt>
                <c:pt idx="1654">
                  <c:v>0.99560499999999996</c:v>
                </c:pt>
                <c:pt idx="1655">
                  <c:v>0.99558000000000002</c:v>
                </c:pt>
                <c:pt idx="1656">
                  <c:v>0.995556</c:v>
                </c:pt>
                <c:pt idx="1657">
                  <c:v>0.995533</c:v>
                </c:pt>
                <c:pt idx="1658">
                  <c:v>0.99551100000000003</c:v>
                </c:pt>
                <c:pt idx="1659">
                  <c:v>0.99549100000000001</c:v>
                </c:pt>
                <c:pt idx="1660">
                  <c:v>0.99547200000000002</c:v>
                </c:pt>
                <c:pt idx="1661">
                  <c:v>0.99545499999999998</c:v>
                </c:pt>
                <c:pt idx="1662">
                  <c:v>0.99543899999999996</c:v>
                </c:pt>
                <c:pt idx="1663">
                  <c:v>0.995425</c:v>
                </c:pt>
                <c:pt idx="1664">
                  <c:v>0.99541199999999996</c:v>
                </c:pt>
                <c:pt idx="1665">
                  <c:v>0.99540099999999998</c:v>
                </c:pt>
                <c:pt idx="1666">
                  <c:v>0.99539200000000005</c:v>
                </c:pt>
                <c:pt idx="1667">
                  <c:v>0.99538499999999996</c:v>
                </c:pt>
                <c:pt idx="1668">
                  <c:v>0.99538000000000004</c:v>
                </c:pt>
                <c:pt idx="1669">
                  <c:v>0.99537699999999996</c:v>
                </c:pt>
                <c:pt idx="1670">
                  <c:v>0.99537600000000004</c:v>
                </c:pt>
                <c:pt idx="1671">
                  <c:v>0.99537600000000004</c:v>
                </c:pt>
                <c:pt idx="1672">
                  <c:v>0.99537900000000001</c:v>
                </c:pt>
                <c:pt idx="1673">
                  <c:v>0.99538400000000005</c:v>
                </c:pt>
                <c:pt idx="1674">
                  <c:v>0.99539100000000003</c:v>
                </c:pt>
                <c:pt idx="1675">
                  <c:v>0.99539999999999995</c:v>
                </c:pt>
                <c:pt idx="1676">
                  <c:v>0.99541100000000005</c:v>
                </c:pt>
                <c:pt idx="1677">
                  <c:v>0.99542399999999998</c:v>
                </c:pt>
                <c:pt idx="1678">
                  <c:v>0.99543899999999996</c:v>
                </c:pt>
                <c:pt idx="1679">
                  <c:v>0.99545600000000001</c:v>
                </c:pt>
                <c:pt idx="1680">
                  <c:v>0.995475</c:v>
                </c:pt>
                <c:pt idx="1681">
                  <c:v>0.99549600000000005</c:v>
                </c:pt>
                <c:pt idx="1682">
                  <c:v>0.99551900000000004</c:v>
                </c:pt>
                <c:pt idx="1683">
                  <c:v>0.99554299999999996</c:v>
                </c:pt>
                <c:pt idx="1684">
                  <c:v>0.99556999999999995</c:v>
                </c:pt>
                <c:pt idx="1685">
                  <c:v>0.99559799999999998</c:v>
                </c:pt>
                <c:pt idx="1686">
                  <c:v>0.99562799999999996</c:v>
                </c:pt>
                <c:pt idx="1687">
                  <c:v>0.99565899999999996</c:v>
                </c:pt>
                <c:pt idx="1688">
                  <c:v>0.99569200000000002</c:v>
                </c:pt>
                <c:pt idx="1689">
                  <c:v>0.995726</c:v>
                </c:pt>
                <c:pt idx="1690">
                  <c:v>0.99576100000000001</c:v>
                </c:pt>
                <c:pt idx="1691">
                  <c:v>0.99579799999999996</c:v>
                </c:pt>
                <c:pt idx="1692">
                  <c:v>0.99583600000000005</c:v>
                </c:pt>
                <c:pt idx="1693">
                  <c:v>0.99587499999999995</c:v>
                </c:pt>
                <c:pt idx="1694">
                  <c:v>0.99591499999999999</c:v>
                </c:pt>
                <c:pt idx="1695">
                  <c:v>0.99595500000000003</c:v>
                </c:pt>
                <c:pt idx="1696">
                  <c:v>0.99599700000000002</c:v>
                </c:pt>
                <c:pt idx="1697">
                  <c:v>0.99603900000000001</c:v>
                </c:pt>
                <c:pt idx="1698">
                  <c:v>0.99608099999999999</c:v>
                </c:pt>
                <c:pt idx="1699">
                  <c:v>0.99612400000000001</c:v>
                </c:pt>
                <c:pt idx="1700">
                  <c:v>0.99616700000000002</c:v>
                </c:pt>
                <c:pt idx="1701">
                  <c:v>0.99621000000000004</c:v>
                </c:pt>
                <c:pt idx="1702">
                  <c:v>0.99625399999999997</c:v>
                </c:pt>
                <c:pt idx="1703">
                  <c:v>0.99629699999999999</c:v>
                </c:pt>
                <c:pt idx="1704">
                  <c:v>0.99634</c:v>
                </c:pt>
                <c:pt idx="1705">
                  <c:v>0.99638300000000002</c:v>
                </c:pt>
                <c:pt idx="1706">
                  <c:v>0.99642500000000001</c:v>
                </c:pt>
                <c:pt idx="1707">
                  <c:v>0.99646699999999999</c:v>
                </c:pt>
                <c:pt idx="1708">
                  <c:v>0.99650899999999998</c:v>
                </c:pt>
                <c:pt idx="1709">
                  <c:v>0.99654900000000002</c:v>
                </c:pt>
                <c:pt idx="1710">
                  <c:v>0.99658899999999995</c:v>
                </c:pt>
                <c:pt idx="1711">
                  <c:v>0.99662799999999996</c:v>
                </c:pt>
                <c:pt idx="1712">
                  <c:v>0.99666600000000005</c:v>
                </c:pt>
                <c:pt idx="1713">
                  <c:v>0.99670300000000001</c:v>
                </c:pt>
                <c:pt idx="1714">
                  <c:v>0.99673900000000004</c:v>
                </c:pt>
                <c:pt idx="1715">
                  <c:v>0.99677300000000002</c:v>
                </c:pt>
                <c:pt idx="1716">
                  <c:v>0.99680599999999997</c:v>
                </c:pt>
                <c:pt idx="1717">
                  <c:v>0.996838</c:v>
                </c:pt>
                <c:pt idx="1718">
                  <c:v>0.99686900000000001</c:v>
                </c:pt>
                <c:pt idx="1719">
                  <c:v>0.99689799999999995</c:v>
                </c:pt>
                <c:pt idx="1720">
                  <c:v>0.99692499999999995</c:v>
                </c:pt>
                <c:pt idx="1721">
                  <c:v>0.99695100000000003</c:v>
                </c:pt>
                <c:pt idx="1722">
                  <c:v>0.99697499999999994</c:v>
                </c:pt>
                <c:pt idx="1723">
                  <c:v>0.99699700000000002</c:v>
                </c:pt>
                <c:pt idx="1724">
                  <c:v>0.99701799999999996</c:v>
                </c:pt>
                <c:pt idx="1725">
                  <c:v>0.99703699999999995</c:v>
                </c:pt>
                <c:pt idx="1726">
                  <c:v>0.997054</c:v>
                </c:pt>
                <c:pt idx="1727">
                  <c:v>0.99707000000000001</c:v>
                </c:pt>
                <c:pt idx="1728">
                  <c:v>0.99708399999999997</c:v>
                </c:pt>
                <c:pt idx="1729">
                  <c:v>0.99709499999999995</c:v>
                </c:pt>
                <c:pt idx="1730">
                  <c:v>0.99710600000000005</c:v>
                </c:pt>
                <c:pt idx="1731">
                  <c:v>0.99711399999999994</c:v>
                </c:pt>
                <c:pt idx="1732">
                  <c:v>0.99712000000000001</c:v>
                </c:pt>
                <c:pt idx="1733">
                  <c:v>0.99712500000000004</c:v>
                </c:pt>
                <c:pt idx="1734">
                  <c:v>0.99712800000000001</c:v>
                </c:pt>
                <c:pt idx="1735">
                  <c:v>0.99712900000000004</c:v>
                </c:pt>
                <c:pt idx="1736">
                  <c:v>0.99712900000000004</c:v>
                </c:pt>
                <c:pt idx="1737">
                  <c:v>0.99712699999999999</c:v>
                </c:pt>
                <c:pt idx="1738">
                  <c:v>0.99712299999999998</c:v>
                </c:pt>
                <c:pt idx="1739">
                  <c:v>0.99711799999999995</c:v>
                </c:pt>
                <c:pt idx="1740">
                  <c:v>0.99711099999999997</c:v>
                </c:pt>
                <c:pt idx="1741">
                  <c:v>0.99710200000000004</c:v>
                </c:pt>
                <c:pt idx="1742">
                  <c:v>0.99709300000000001</c:v>
                </c:pt>
                <c:pt idx="1743">
                  <c:v>0.997081</c:v>
                </c:pt>
                <c:pt idx="1744">
                  <c:v>0.99706899999999998</c:v>
                </c:pt>
                <c:pt idx="1745">
                  <c:v>0.99705500000000002</c:v>
                </c:pt>
                <c:pt idx="1746">
                  <c:v>0.99704000000000004</c:v>
                </c:pt>
                <c:pt idx="1747">
                  <c:v>0.99702400000000002</c:v>
                </c:pt>
                <c:pt idx="1748">
                  <c:v>0.99700699999999998</c:v>
                </c:pt>
                <c:pt idx="1749">
                  <c:v>0.99698799999999999</c:v>
                </c:pt>
                <c:pt idx="1750">
                  <c:v>0.99696899999999999</c:v>
                </c:pt>
                <c:pt idx="1751">
                  <c:v>0.99694899999999997</c:v>
                </c:pt>
                <c:pt idx="1752">
                  <c:v>0.99692800000000004</c:v>
                </c:pt>
                <c:pt idx="1753">
                  <c:v>0.99690699999999999</c:v>
                </c:pt>
                <c:pt idx="1754">
                  <c:v>0.99688500000000002</c:v>
                </c:pt>
                <c:pt idx="1755">
                  <c:v>0.99686200000000003</c:v>
                </c:pt>
                <c:pt idx="1756">
                  <c:v>0.99683900000000003</c:v>
                </c:pt>
                <c:pt idx="1757">
                  <c:v>0.99681500000000001</c:v>
                </c:pt>
                <c:pt idx="1758">
                  <c:v>0.99679099999999998</c:v>
                </c:pt>
                <c:pt idx="1759">
                  <c:v>0.99676699999999996</c:v>
                </c:pt>
                <c:pt idx="1760">
                  <c:v>0.99674200000000002</c:v>
                </c:pt>
                <c:pt idx="1761">
                  <c:v>0.99671699999999996</c:v>
                </c:pt>
                <c:pt idx="1762">
                  <c:v>0.99669200000000002</c:v>
                </c:pt>
                <c:pt idx="1763">
                  <c:v>0.99666699999999997</c:v>
                </c:pt>
                <c:pt idx="1764">
                  <c:v>0.99664200000000003</c:v>
                </c:pt>
                <c:pt idx="1765">
                  <c:v>0.99661699999999998</c:v>
                </c:pt>
                <c:pt idx="1766">
                  <c:v>0.99659200000000003</c:v>
                </c:pt>
                <c:pt idx="1767">
                  <c:v>0.99656800000000001</c:v>
                </c:pt>
                <c:pt idx="1768">
                  <c:v>0.99654299999999996</c:v>
                </c:pt>
                <c:pt idx="1769">
                  <c:v>0.99651900000000004</c:v>
                </c:pt>
                <c:pt idx="1770">
                  <c:v>0.99649500000000002</c:v>
                </c:pt>
                <c:pt idx="1771">
                  <c:v>0.996471</c:v>
                </c:pt>
                <c:pt idx="1772">
                  <c:v>0.996448</c:v>
                </c:pt>
                <c:pt idx="1773">
                  <c:v>0.99642500000000001</c:v>
                </c:pt>
                <c:pt idx="1774">
                  <c:v>0.99640300000000004</c:v>
                </c:pt>
                <c:pt idx="1775">
                  <c:v>0.99638099999999996</c:v>
                </c:pt>
                <c:pt idx="1776">
                  <c:v>0.99635899999999999</c:v>
                </c:pt>
                <c:pt idx="1777">
                  <c:v>0.99633799999999995</c:v>
                </c:pt>
                <c:pt idx="1778">
                  <c:v>0.99631700000000001</c:v>
                </c:pt>
                <c:pt idx="1779">
                  <c:v>0.99629699999999999</c:v>
                </c:pt>
                <c:pt idx="1780">
                  <c:v>0.99627699999999997</c:v>
                </c:pt>
                <c:pt idx="1781">
                  <c:v>0.99625799999999998</c:v>
                </c:pt>
                <c:pt idx="1782">
                  <c:v>0.99624000000000001</c:v>
                </c:pt>
                <c:pt idx="1783">
                  <c:v>0.99622100000000002</c:v>
                </c:pt>
                <c:pt idx="1784">
                  <c:v>0.99620399999999998</c:v>
                </c:pt>
                <c:pt idx="1785">
                  <c:v>0.99618700000000004</c:v>
                </c:pt>
                <c:pt idx="1786">
                  <c:v>0.99617</c:v>
                </c:pt>
                <c:pt idx="1787">
                  <c:v>0.99615399999999998</c:v>
                </c:pt>
                <c:pt idx="1788">
                  <c:v>0.99613799999999997</c:v>
                </c:pt>
                <c:pt idx="1789">
                  <c:v>0.99612299999999998</c:v>
                </c:pt>
                <c:pt idx="1790">
                  <c:v>0.99610799999999999</c:v>
                </c:pt>
                <c:pt idx="1791">
                  <c:v>0.99609400000000003</c:v>
                </c:pt>
                <c:pt idx="1792">
                  <c:v>0.99607999999999997</c:v>
                </c:pt>
                <c:pt idx="1793">
                  <c:v>0.99606600000000001</c:v>
                </c:pt>
                <c:pt idx="1794">
                  <c:v>0.99605299999999997</c:v>
                </c:pt>
                <c:pt idx="1795">
                  <c:v>0.99604099999999995</c:v>
                </c:pt>
                <c:pt idx="1796">
                  <c:v>0.99602800000000002</c:v>
                </c:pt>
                <c:pt idx="1797">
                  <c:v>0.99601600000000001</c:v>
                </c:pt>
                <c:pt idx="1798">
                  <c:v>0.99600500000000003</c:v>
                </c:pt>
                <c:pt idx="1799">
                  <c:v>0.99599300000000002</c:v>
                </c:pt>
                <c:pt idx="1800">
                  <c:v>0.99598200000000003</c:v>
                </c:pt>
                <c:pt idx="1801">
                  <c:v>0.99597199999999997</c:v>
                </c:pt>
                <c:pt idx="1802">
                  <c:v>0.99596099999999999</c:v>
                </c:pt>
                <c:pt idx="1803">
                  <c:v>0.99595100000000003</c:v>
                </c:pt>
                <c:pt idx="1804">
                  <c:v>0.99594099999999997</c:v>
                </c:pt>
                <c:pt idx="1805">
                  <c:v>0.99593200000000004</c:v>
                </c:pt>
                <c:pt idx="1806">
                  <c:v>0.99592199999999997</c:v>
                </c:pt>
                <c:pt idx="1807">
                  <c:v>0.99591300000000005</c:v>
                </c:pt>
                <c:pt idx="1808">
                  <c:v>0.99590400000000001</c:v>
                </c:pt>
                <c:pt idx="1809">
                  <c:v>0.99589499999999997</c:v>
                </c:pt>
                <c:pt idx="1810">
                  <c:v>0.99588699999999997</c:v>
                </c:pt>
                <c:pt idx="1811">
                  <c:v>0.99587800000000004</c:v>
                </c:pt>
                <c:pt idx="1812">
                  <c:v>0.99587000000000003</c:v>
                </c:pt>
                <c:pt idx="1813">
                  <c:v>0.99586200000000002</c:v>
                </c:pt>
                <c:pt idx="1814">
                  <c:v>0.99585500000000005</c:v>
                </c:pt>
                <c:pt idx="1815">
                  <c:v>0.99584700000000004</c:v>
                </c:pt>
                <c:pt idx="1816">
                  <c:v>0.99583999999999995</c:v>
                </c:pt>
                <c:pt idx="1817">
                  <c:v>0.99583299999999997</c:v>
                </c:pt>
                <c:pt idx="1818">
                  <c:v>0.99582599999999999</c:v>
                </c:pt>
                <c:pt idx="1819">
                  <c:v>0.99582000000000004</c:v>
                </c:pt>
                <c:pt idx="1820">
                  <c:v>0.99581399999999998</c:v>
                </c:pt>
                <c:pt idx="1821">
                  <c:v>0.99580800000000003</c:v>
                </c:pt>
                <c:pt idx="1822">
                  <c:v>0.99580199999999996</c:v>
                </c:pt>
                <c:pt idx="1823">
                  <c:v>0.99579700000000004</c:v>
                </c:pt>
                <c:pt idx="1824">
                  <c:v>0.99579200000000001</c:v>
                </c:pt>
                <c:pt idx="1825">
                  <c:v>0.99578800000000001</c:v>
                </c:pt>
                <c:pt idx="1826">
                  <c:v>0.995784</c:v>
                </c:pt>
                <c:pt idx="1827">
                  <c:v>0.99578</c:v>
                </c:pt>
                <c:pt idx="1828">
                  <c:v>0.99577599999999999</c:v>
                </c:pt>
                <c:pt idx="1829">
                  <c:v>0.99577300000000002</c:v>
                </c:pt>
                <c:pt idx="1830">
                  <c:v>0.99577099999999996</c:v>
                </c:pt>
                <c:pt idx="1831">
                  <c:v>0.99576900000000002</c:v>
                </c:pt>
                <c:pt idx="1832">
                  <c:v>0.99576799999999999</c:v>
                </c:pt>
                <c:pt idx="1833">
                  <c:v>0.99576699999999996</c:v>
                </c:pt>
                <c:pt idx="1834">
                  <c:v>0.99576600000000004</c:v>
                </c:pt>
                <c:pt idx="1835">
                  <c:v>0.99576600000000004</c:v>
                </c:pt>
                <c:pt idx="1836">
                  <c:v>0.99576699999999996</c:v>
                </c:pt>
                <c:pt idx="1837">
                  <c:v>0.99576799999999999</c:v>
                </c:pt>
                <c:pt idx="1838">
                  <c:v>0.99577000000000004</c:v>
                </c:pt>
                <c:pt idx="1839">
                  <c:v>0.99577300000000002</c:v>
                </c:pt>
                <c:pt idx="1840">
                  <c:v>0.99577599999999999</c:v>
                </c:pt>
                <c:pt idx="1841">
                  <c:v>0.99578</c:v>
                </c:pt>
                <c:pt idx="1842">
                  <c:v>0.99578500000000003</c:v>
                </c:pt>
                <c:pt idx="1843">
                  <c:v>0.99578999999999995</c:v>
                </c:pt>
                <c:pt idx="1844">
                  <c:v>0.99579600000000001</c:v>
                </c:pt>
                <c:pt idx="1845">
                  <c:v>0.99580299999999999</c:v>
                </c:pt>
                <c:pt idx="1846">
                  <c:v>0.995811</c:v>
                </c:pt>
                <c:pt idx="1847">
                  <c:v>0.99581900000000001</c:v>
                </c:pt>
                <c:pt idx="1848">
                  <c:v>0.99582800000000005</c:v>
                </c:pt>
                <c:pt idx="1849">
                  <c:v>0.99583699999999997</c:v>
                </c:pt>
                <c:pt idx="1850">
                  <c:v>0.99584799999999996</c:v>
                </c:pt>
                <c:pt idx="1851">
                  <c:v>0.99585900000000005</c:v>
                </c:pt>
                <c:pt idx="1852">
                  <c:v>0.99587099999999995</c:v>
                </c:pt>
                <c:pt idx="1853">
                  <c:v>0.99588299999999996</c:v>
                </c:pt>
                <c:pt idx="1854">
                  <c:v>0.995896</c:v>
                </c:pt>
                <c:pt idx="1855">
                  <c:v>0.99590999999999996</c:v>
                </c:pt>
                <c:pt idx="1856">
                  <c:v>0.99592499999999995</c:v>
                </c:pt>
                <c:pt idx="1857">
                  <c:v>0.99594000000000005</c:v>
                </c:pt>
                <c:pt idx="1858">
                  <c:v>0.99595500000000003</c:v>
                </c:pt>
                <c:pt idx="1859">
                  <c:v>0.99597100000000005</c:v>
                </c:pt>
                <c:pt idx="1860">
                  <c:v>0.99598799999999998</c:v>
                </c:pt>
                <c:pt idx="1861">
                  <c:v>0.99600500000000003</c:v>
                </c:pt>
                <c:pt idx="1862">
                  <c:v>0.99602299999999999</c:v>
                </c:pt>
                <c:pt idx="1863">
                  <c:v>0.99604099999999995</c:v>
                </c:pt>
                <c:pt idx="1864">
                  <c:v>0.99605900000000003</c:v>
                </c:pt>
                <c:pt idx="1865">
                  <c:v>0.99607800000000002</c:v>
                </c:pt>
                <c:pt idx="1866">
                  <c:v>0.99609700000000001</c:v>
                </c:pt>
                <c:pt idx="1867">
                  <c:v>0.996116</c:v>
                </c:pt>
                <c:pt idx="1868">
                  <c:v>0.99613499999999999</c:v>
                </c:pt>
                <c:pt idx="1869">
                  <c:v>0.99615500000000001</c:v>
                </c:pt>
                <c:pt idx="1870">
                  <c:v>0.996174</c:v>
                </c:pt>
                <c:pt idx="1871">
                  <c:v>0.99619400000000002</c:v>
                </c:pt>
                <c:pt idx="1872">
                  <c:v>0.99621300000000002</c:v>
                </c:pt>
                <c:pt idx="1873">
                  <c:v>0.99623200000000001</c:v>
                </c:pt>
                <c:pt idx="1874">
                  <c:v>0.99625200000000003</c:v>
                </c:pt>
                <c:pt idx="1875">
                  <c:v>0.99627100000000002</c:v>
                </c:pt>
                <c:pt idx="1876">
                  <c:v>0.99628899999999998</c:v>
                </c:pt>
                <c:pt idx="1877">
                  <c:v>0.99630799999999997</c:v>
                </c:pt>
                <c:pt idx="1878">
                  <c:v>0.99632600000000004</c:v>
                </c:pt>
                <c:pt idx="1879">
                  <c:v>0.99634299999999998</c:v>
                </c:pt>
                <c:pt idx="1880">
                  <c:v>0.99636000000000002</c:v>
                </c:pt>
                <c:pt idx="1881">
                  <c:v>0.99637699999999996</c:v>
                </c:pt>
                <c:pt idx="1882">
                  <c:v>0.99639200000000006</c:v>
                </c:pt>
                <c:pt idx="1883">
                  <c:v>0.99640799999999996</c:v>
                </c:pt>
                <c:pt idx="1884">
                  <c:v>0.99642200000000003</c:v>
                </c:pt>
                <c:pt idx="1885">
                  <c:v>0.99643599999999999</c:v>
                </c:pt>
                <c:pt idx="1886">
                  <c:v>0.99644900000000003</c:v>
                </c:pt>
                <c:pt idx="1887">
                  <c:v>0.99646100000000004</c:v>
                </c:pt>
                <c:pt idx="1888">
                  <c:v>0.99647200000000002</c:v>
                </c:pt>
                <c:pt idx="1889">
                  <c:v>0.99648199999999998</c:v>
                </c:pt>
                <c:pt idx="1890">
                  <c:v>0.99649100000000002</c:v>
                </c:pt>
                <c:pt idx="1891">
                  <c:v>0.99650000000000005</c:v>
                </c:pt>
                <c:pt idx="1892">
                  <c:v>0.99650700000000003</c:v>
                </c:pt>
                <c:pt idx="1893">
                  <c:v>0.99651299999999998</c:v>
                </c:pt>
                <c:pt idx="1894">
                  <c:v>0.99651800000000001</c:v>
                </c:pt>
                <c:pt idx="1895">
                  <c:v>0.99652200000000002</c:v>
                </c:pt>
                <c:pt idx="1896">
                  <c:v>0.99652499999999999</c:v>
                </c:pt>
                <c:pt idx="1897">
                  <c:v>0.99652700000000005</c:v>
                </c:pt>
                <c:pt idx="1898">
                  <c:v>0.99652700000000005</c:v>
                </c:pt>
                <c:pt idx="1899">
                  <c:v>0.99652700000000005</c:v>
                </c:pt>
                <c:pt idx="1900">
                  <c:v>0.99652499999999999</c:v>
                </c:pt>
                <c:pt idx="1901">
                  <c:v>0.99652200000000002</c:v>
                </c:pt>
                <c:pt idx="1902">
                  <c:v>0.99651800000000001</c:v>
                </c:pt>
                <c:pt idx="1903">
                  <c:v>0.99651199999999995</c:v>
                </c:pt>
                <c:pt idx="1904">
                  <c:v>0.996506</c:v>
                </c:pt>
                <c:pt idx="1905">
                  <c:v>0.99649799999999999</c:v>
                </c:pt>
                <c:pt idx="1906">
                  <c:v>0.99648899999999996</c:v>
                </c:pt>
                <c:pt idx="1907">
                  <c:v>0.99648000000000003</c:v>
                </c:pt>
                <c:pt idx="1908">
                  <c:v>0.99646900000000005</c:v>
                </c:pt>
                <c:pt idx="1909">
                  <c:v>0.99645700000000004</c:v>
                </c:pt>
                <c:pt idx="1910">
                  <c:v>0.99644299999999997</c:v>
                </c:pt>
                <c:pt idx="1911">
                  <c:v>0.99642900000000001</c:v>
                </c:pt>
                <c:pt idx="1912">
                  <c:v>0.99641400000000002</c:v>
                </c:pt>
                <c:pt idx="1913">
                  <c:v>0.99639800000000001</c:v>
                </c:pt>
                <c:pt idx="1914">
                  <c:v>0.99638099999999996</c:v>
                </c:pt>
                <c:pt idx="1915">
                  <c:v>0.99636400000000003</c:v>
                </c:pt>
                <c:pt idx="1916">
                  <c:v>0.99634500000000004</c:v>
                </c:pt>
                <c:pt idx="1917">
                  <c:v>0.99632600000000004</c:v>
                </c:pt>
                <c:pt idx="1918">
                  <c:v>0.99630600000000002</c:v>
                </c:pt>
                <c:pt idx="1919">
                  <c:v>0.99628499999999998</c:v>
                </c:pt>
                <c:pt idx="1920">
                  <c:v>0.99626400000000004</c:v>
                </c:pt>
                <c:pt idx="1921">
                  <c:v>0.99624199999999996</c:v>
                </c:pt>
                <c:pt idx="1922">
                  <c:v>0.99621899999999997</c:v>
                </c:pt>
                <c:pt idx="1923">
                  <c:v>0.99619599999999997</c:v>
                </c:pt>
                <c:pt idx="1924">
                  <c:v>0.99617299999999998</c:v>
                </c:pt>
                <c:pt idx="1925">
                  <c:v>0.99614999999999998</c:v>
                </c:pt>
                <c:pt idx="1926">
                  <c:v>0.99612599999999996</c:v>
                </c:pt>
                <c:pt idx="1927">
                  <c:v>0.99610200000000004</c:v>
                </c:pt>
                <c:pt idx="1928">
                  <c:v>0.99607699999999999</c:v>
                </c:pt>
                <c:pt idx="1929">
                  <c:v>0.99605299999999997</c:v>
                </c:pt>
                <c:pt idx="1930">
                  <c:v>0.99602900000000005</c:v>
                </c:pt>
                <c:pt idx="1931">
                  <c:v>0.996004</c:v>
                </c:pt>
                <c:pt idx="1932">
                  <c:v>0.99597999999999998</c:v>
                </c:pt>
                <c:pt idx="1933">
                  <c:v>0.99595599999999995</c:v>
                </c:pt>
                <c:pt idx="1934">
                  <c:v>0.99593200000000004</c:v>
                </c:pt>
                <c:pt idx="1935">
                  <c:v>0.99590800000000002</c:v>
                </c:pt>
                <c:pt idx="1936">
                  <c:v>0.99588500000000002</c:v>
                </c:pt>
                <c:pt idx="1937">
                  <c:v>0.99586200000000002</c:v>
                </c:pt>
                <c:pt idx="1938">
                  <c:v>0.99583900000000003</c:v>
                </c:pt>
                <c:pt idx="1939">
                  <c:v>0.99581699999999995</c:v>
                </c:pt>
                <c:pt idx="1940">
                  <c:v>0.99579499999999999</c:v>
                </c:pt>
                <c:pt idx="1941">
                  <c:v>0.99577400000000005</c:v>
                </c:pt>
                <c:pt idx="1942">
                  <c:v>0.995753</c:v>
                </c:pt>
                <c:pt idx="1943">
                  <c:v>0.99573299999999998</c:v>
                </c:pt>
                <c:pt idx="1944">
                  <c:v>0.99571299999999996</c:v>
                </c:pt>
                <c:pt idx="1945">
                  <c:v>0.99569399999999997</c:v>
                </c:pt>
                <c:pt idx="1946">
                  <c:v>0.99567600000000001</c:v>
                </c:pt>
                <c:pt idx="1947">
                  <c:v>0.99565899999999996</c:v>
                </c:pt>
                <c:pt idx="1948">
                  <c:v>0.99564200000000003</c:v>
                </c:pt>
                <c:pt idx="1949">
                  <c:v>0.99562600000000001</c:v>
                </c:pt>
                <c:pt idx="1950">
                  <c:v>0.99561100000000002</c:v>
                </c:pt>
                <c:pt idx="1951">
                  <c:v>0.99559699999999995</c:v>
                </c:pt>
                <c:pt idx="1952">
                  <c:v>0.995583</c:v>
                </c:pt>
                <c:pt idx="1953">
                  <c:v>0.99557099999999998</c:v>
                </c:pt>
                <c:pt idx="1954">
                  <c:v>0.99555899999999997</c:v>
                </c:pt>
                <c:pt idx="1955">
                  <c:v>0.99554799999999999</c:v>
                </c:pt>
                <c:pt idx="1956">
                  <c:v>0.99553800000000003</c:v>
                </c:pt>
                <c:pt idx="1957">
                  <c:v>0.99552799999999997</c:v>
                </c:pt>
                <c:pt idx="1958">
                  <c:v>0.99551999999999996</c:v>
                </c:pt>
                <c:pt idx="1959">
                  <c:v>0.99551199999999995</c:v>
                </c:pt>
                <c:pt idx="1960">
                  <c:v>0.99550499999999997</c:v>
                </c:pt>
                <c:pt idx="1961">
                  <c:v>0.99549900000000002</c:v>
                </c:pt>
                <c:pt idx="1962">
                  <c:v>0.99549299999999996</c:v>
                </c:pt>
                <c:pt idx="1963">
                  <c:v>0.99548899999999996</c:v>
                </c:pt>
                <c:pt idx="1964">
                  <c:v>0.99548499999999995</c:v>
                </c:pt>
                <c:pt idx="1965">
                  <c:v>0.99548099999999995</c:v>
                </c:pt>
                <c:pt idx="1966">
                  <c:v>0.995479</c:v>
                </c:pt>
                <c:pt idx="1967">
                  <c:v>0.99547699999999995</c:v>
                </c:pt>
                <c:pt idx="1968">
                  <c:v>0.99547600000000003</c:v>
                </c:pt>
                <c:pt idx="1969">
                  <c:v>0.995475</c:v>
                </c:pt>
                <c:pt idx="1970">
                  <c:v>0.995475</c:v>
                </c:pt>
                <c:pt idx="1971">
                  <c:v>0.99547600000000003</c:v>
                </c:pt>
                <c:pt idx="1972">
                  <c:v>0.99547699999999995</c:v>
                </c:pt>
                <c:pt idx="1973">
                  <c:v>0.99547799999999997</c:v>
                </c:pt>
                <c:pt idx="1974">
                  <c:v>0.99548099999999995</c:v>
                </c:pt>
                <c:pt idx="1975">
                  <c:v>0.99548300000000001</c:v>
                </c:pt>
                <c:pt idx="1976">
                  <c:v>0.99548599999999998</c:v>
                </c:pt>
                <c:pt idx="1977">
                  <c:v>0.99548899999999996</c:v>
                </c:pt>
                <c:pt idx="1978">
                  <c:v>0.99549299999999996</c:v>
                </c:pt>
                <c:pt idx="1979">
                  <c:v>0.99549699999999997</c:v>
                </c:pt>
                <c:pt idx="1980">
                  <c:v>0.99550099999999997</c:v>
                </c:pt>
                <c:pt idx="1981">
                  <c:v>0.995506</c:v>
                </c:pt>
                <c:pt idx="1982">
                  <c:v>0.99551000000000001</c:v>
                </c:pt>
                <c:pt idx="1983">
                  <c:v>0.99551500000000004</c:v>
                </c:pt>
                <c:pt idx="1984">
                  <c:v>0.99552099999999999</c:v>
                </c:pt>
                <c:pt idx="1985">
                  <c:v>0.99552600000000002</c:v>
                </c:pt>
                <c:pt idx="1986">
                  <c:v>0.99553100000000005</c:v>
                </c:pt>
                <c:pt idx="1987">
                  <c:v>0.99553700000000001</c:v>
                </c:pt>
                <c:pt idx="1988">
                  <c:v>0.99554299999999996</c:v>
                </c:pt>
                <c:pt idx="1989">
                  <c:v>0.99554799999999999</c:v>
                </c:pt>
                <c:pt idx="1990">
                  <c:v>0.99555400000000005</c:v>
                </c:pt>
                <c:pt idx="1991">
                  <c:v>0.99556</c:v>
                </c:pt>
                <c:pt idx="1992">
                  <c:v>0.99556599999999995</c:v>
                </c:pt>
                <c:pt idx="1993">
                  <c:v>0.99557200000000001</c:v>
                </c:pt>
                <c:pt idx="1994">
                  <c:v>0.99557799999999996</c:v>
                </c:pt>
                <c:pt idx="1995">
                  <c:v>0.99558400000000002</c:v>
                </c:pt>
                <c:pt idx="1996">
                  <c:v>0.99558899999999995</c:v>
                </c:pt>
                <c:pt idx="1997">
                  <c:v>0.99559500000000001</c:v>
                </c:pt>
                <c:pt idx="1998">
                  <c:v>0.99560099999999996</c:v>
                </c:pt>
                <c:pt idx="1999">
                  <c:v>0.99560700000000002</c:v>
                </c:pt>
                <c:pt idx="2000">
                  <c:v>0.99561200000000005</c:v>
                </c:pt>
                <c:pt idx="2001">
                  <c:v>0.995618</c:v>
                </c:pt>
                <c:pt idx="2002">
                  <c:v>0.99562300000000004</c:v>
                </c:pt>
              </c:numCache>
            </c:numRef>
          </c:yVal>
          <c:smooth val="0"/>
          <c:extLst>
            <c:ext xmlns:c16="http://schemas.microsoft.com/office/drawing/2014/chart" uri="{C3380CC4-5D6E-409C-BE32-E72D297353CC}">
              <c16:uniqueId val="{00000000-A885-45AF-97DE-B39FF25EFDDA}"/>
            </c:ext>
          </c:extLst>
        </c:ser>
        <c:ser>
          <c:idx val="1"/>
          <c:order val="1"/>
          <c:tx>
            <c:strRef>
              <c:f>Sheet1!$C$1:$C$2</c:f>
              <c:strCache>
                <c:ptCount val="2"/>
                <c:pt idx="0">
                  <c:v>V8</c:v>
                </c:pt>
                <c:pt idx="1">
                  <c:v>LLG (a-b)</c:v>
                </c:pt>
              </c:strCache>
            </c:strRef>
          </c:tx>
          <c:spPr>
            <a:ln w="19050" cap="rnd">
              <a:solidFill>
                <a:srgbClr val="7030A0"/>
              </a:solidFill>
              <a:round/>
            </a:ln>
            <a:effectLst/>
          </c:spPr>
          <c:marker>
            <c:symbol val="none"/>
          </c:marker>
          <c:xVal>
            <c:numRef>
              <c:f>Sheet1!$A$3:$A$2005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Sheet1!$C$3:$C$2005</c:f>
              <c:numCache>
                <c:formatCode>General</c:formatCode>
                <c:ptCount val="2003"/>
                <c:pt idx="0">
                  <c:v>0.99602199999999996</c:v>
                </c:pt>
                <c:pt idx="1">
                  <c:v>0.99602199999999996</c:v>
                </c:pt>
                <c:pt idx="2">
                  <c:v>0.99602199999999996</c:v>
                </c:pt>
                <c:pt idx="3">
                  <c:v>0.99602199999999996</c:v>
                </c:pt>
                <c:pt idx="4">
                  <c:v>0.99602199999999996</c:v>
                </c:pt>
                <c:pt idx="5">
                  <c:v>0.99602199999999996</c:v>
                </c:pt>
                <c:pt idx="6">
                  <c:v>0.99602199999999996</c:v>
                </c:pt>
                <c:pt idx="7">
                  <c:v>0.99602199999999996</c:v>
                </c:pt>
                <c:pt idx="8">
                  <c:v>0.99602199999999996</c:v>
                </c:pt>
                <c:pt idx="9">
                  <c:v>0.99602199999999996</c:v>
                </c:pt>
                <c:pt idx="10">
                  <c:v>0.99602199999999996</c:v>
                </c:pt>
                <c:pt idx="11">
                  <c:v>0.99602199999999996</c:v>
                </c:pt>
                <c:pt idx="12">
                  <c:v>0.99602199999999996</c:v>
                </c:pt>
                <c:pt idx="13">
                  <c:v>0.99602199999999996</c:v>
                </c:pt>
                <c:pt idx="14">
                  <c:v>0.99602199999999996</c:v>
                </c:pt>
                <c:pt idx="15">
                  <c:v>0.99602199999999996</c:v>
                </c:pt>
                <c:pt idx="16">
                  <c:v>0.99602199999999996</c:v>
                </c:pt>
                <c:pt idx="17">
                  <c:v>0.99602199999999996</c:v>
                </c:pt>
                <c:pt idx="18">
                  <c:v>0.99602199999999996</c:v>
                </c:pt>
                <c:pt idx="19">
                  <c:v>0.99602199999999996</c:v>
                </c:pt>
                <c:pt idx="20">
                  <c:v>0.99602199999999996</c:v>
                </c:pt>
                <c:pt idx="21">
                  <c:v>0.99602199999999996</c:v>
                </c:pt>
                <c:pt idx="22">
                  <c:v>0.99602199999999996</c:v>
                </c:pt>
                <c:pt idx="23">
                  <c:v>0.99602199999999996</c:v>
                </c:pt>
                <c:pt idx="24">
                  <c:v>0.99602199999999996</c:v>
                </c:pt>
                <c:pt idx="25">
                  <c:v>0.99602199999999996</c:v>
                </c:pt>
                <c:pt idx="26">
                  <c:v>0.99602199999999996</c:v>
                </c:pt>
                <c:pt idx="27">
                  <c:v>0.99602199999999996</c:v>
                </c:pt>
                <c:pt idx="28">
                  <c:v>0.99602199999999996</c:v>
                </c:pt>
                <c:pt idx="29">
                  <c:v>0.99602199999999996</c:v>
                </c:pt>
                <c:pt idx="30">
                  <c:v>0.99602199999999996</c:v>
                </c:pt>
                <c:pt idx="31">
                  <c:v>0.99602199999999996</c:v>
                </c:pt>
                <c:pt idx="32">
                  <c:v>0.99602199999999996</c:v>
                </c:pt>
                <c:pt idx="33">
                  <c:v>0.99602199999999996</c:v>
                </c:pt>
                <c:pt idx="34">
                  <c:v>0.99602199999999996</c:v>
                </c:pt>
                <c:pt idx="35">
                  <c:v>0.99602199999999996</c:v>
                </c:pt>
                <c:pt idx="36">
                  <c:v>0.99602199999999996</c:v>
                </c:pt>
                <c:pt idx="37">
                  <c:v>0.99602199999999996</c:v>
                </c:pt>
                <c:pt idx="38">
                  <c:v>0.99602199999999996</c:v>
                </c:pt>
                <c:pt idx="39">
                  <c:v>0.99602199999999996</c:v>
                </c:pt>
                <c:pt idx="40">
                  <c:v>0.99602199999999996</c:v>
                </c:pt>
                <c:pt idx="41">
                  <c:v>0.99602199999999996</c:v>
                </c:pt>
                <c:pt idx="42">
                  <c:v>0.99602199999999996</c:v>
                </c:pt>
                <c:pt idx="43">
                  <c:v>0.99602199999999996</c:v>
                </c:pt>
                <c:pt idx="44">
                  <c:v>0.99602199999999996</c:v>
                </c:pt>
                <c:pt idx="45">
                  <c:v>0.99602199999999996</c:v>
                </c:pt>
                <c:pt idx="46">
                  <c:v>0.99602199999999996</c:v>
                </c:pt>
                <c:pt idx="47">
                  <c:v>0.99602199999999996</c:v>
                </c:pt>
                <c:pt idx="48">
                  <c:v>0.99602199999999996</c:v>
                </c:pt>
                <c:pt idx="49">
                  <c:v>0.99602199999999996</c:v>
                </c:pt>
                <c:pt idx="50">
                  <c:v>0.99602199999999996</c:v>
                </c:pt>
                <c:pt idx="51">
                  <c:v>0.99602199999999996</c:v>
                </c:pt>
                <c:pt idx="52">
                  <c:v>0.99602199999999996</c:v>
                </c:pt>
                <c:pt idx="53">
                  <c:v>0.99602199999999996</c:v>
                </c:pt>
                <c:pt idx="54">
                  <c:v>0.99602199999999996</c:v>
                </c:pt>
                <c:pt idx="55">
                  <c:v>0.99602199999999996</c:v>
                </c:pt>
                <c:pt idx="56">
                  <c:v>0.99602199999999996</c:v>
                </c:pt>
                <c:pt idx="57">
                  <c:v>0.99602199999999996</c:v>
                </c:pt>
                <c:pt idx="58">
                  <c:v>0.99602199999999996</c:v>
                </c:pt>
                <c:pt idx="59">
                  <c:v>0.99602199999999996</c:v>
                </c:pt>
                <c:pt idx="60">
                  <c:v>0.99602199999999996</c:v>
                </c:pt>
                <c:pt idx="61">
                  <c:v>0.99602199999999996</c:v>
                </c:pt>
                <c:pt idx="62">
                  <c:v>0.99602199999999996</c:v>
                </c:pt>
                <c:pt idx="63">
                  <c:v>0.99602199999999996</c:v>
                </c:pt>
                <c:pt idx="64">
                  <c:v>0.99602199999999996</c:v>
                </c:pt>
                <c:pt idx="65">
                  <c:v>0.99602199999999996</c:v>
                </c:pt>
                <c:pt idx="66">
                  <c:v>0.99602199999999996</c:v>
                </c:pt>
                <c:pt idx="67">
                  <c:v>0.99602199999999996</c:v>
                </c:pt>
                <c:pt idx="68">
                  <c:v>0.99602199999999996</c:v>
                </c:pt>
                <c:pt idx="69">
                  <c:v>0.99602199999999996</c:v>
                </c:pt>
                <c:pt idx="70">
                  <c:v>0.99602199999999996</c:v>
                </c:pt>
                <c:pt idx="71">
                  <c:v>0.99602199999999996</c:v>
                </c:pt>
                <c:pt idx="72">
                  <c:v>0.99602199999999996</c:v>
                </c:pt>
                <c:pt idx="73">
                  <c:v>0.99602199999999996</c:v>
                </c:pt>
                <c:pt idx="74">
                  <c:v>0.99602199999999996</c:v>
                </c:pt>
                <c:pt idx="75">
                  <c:v>0.99602199999999996</c:v>
                </c:pt>
                <c:pt idx="76">
                  <c:v>0.99602199999999996</c:v>
                </c:pt>
                <c:pt idx="77">
                  <c:v>0.99602199999999996</c:v>
                </c:pt>
                <c:pt idx="78">
                  <c:v>0.99602199999999996</c:v>
                </c:pt>
                <c:pt idx="79">
                  <c:v>0.99602199999999996</c:v>
                </c:pt>
                <c:pt idx="80">
                  <c:v>0.99602199999999996</c:v>
                </c:pt>
                <c:pt idx="81">
                  <c:v>0.99602199999999996</c:v>
                </c:pt>
                <c:pt idx="82">
                  <c:v>0.99602199999999996</c:v>
                </c:pt>
                <c:pt idx="83">
                  <c:v>0.99602199999999996</c:v>
                </c:pt>
                <c:pt idx="84">
                  <c:v>0.99602199999999996</c:v>
                </c:pt>
                <c:pt idx="85">
                  <c:v>0.99602199999999996</c:v>
                </c:pt>
                <c:pt idx="86">
                  <c:v>0.99602199999999996</c:v>
                </c:pt>
                <c:pt idx="87">
                  <c:v>0.99602199999999996</c:v>
                </c:pt>
                <c:pt idx="88">
                  <c:v>0.99602199999999996</c:v>
                </c:pt>
                <c:pt idx="89">
                  <c:v>0.99602199999999996</c:v>
                </c:pt>
                <c:pt idx="90">
                  <c:v>0.99602199999999996</c:v>
                </c:pt>
                <c:pt idx="91">
                  <c:v>0.99602199999999996</c:v>
                </c:pt>
                <c:pt idx="92">
                  <c:v>0.99602199999999996</c:v>
                </c:pt>
                <c:pt idx="93">
                  <c:v>0.99602199999999996</c:v>
                </c:pt>
                <c:pt idx="94">
                  <c:v>0.99602199999999996</c:v>
                </c:pt>
                <c:pt idx="95">
                  <c:v>0.99602199999999996</c:v>
                </c:pt>
                <c:pt idx="96">
                  <c:v>0.99602199999999996</c:v>
                </c:pt>
                <c:pt idx="97">
                  <c:v>0.99602199999999996</c:v>
                </c:pt>
                <c:pt idx="98">
                  <c:v>0.99602199999999996</c:v>
                </c:pt>
                <c:pt idx="99">
                  <c:v>0.99602199999999996</c:v>
                </c:pt>
                <c:pt idx="100">
                  <c:v>0.99602199999999996</c:v>
                </c:pt>
                <c:pt idx="101">
                  <c:v>0.99602199999999996</c:v>
                </c:pt>
                <c:pt idx="102">
                  <c:v>0.99602199999999996</c:v>
                </c:pt>
                <c:pt idx="103">
                  <c:v>0.99602199999999996</c:v>
                </c:pt>
                <c:pt idx="104">
                  <c:v>0.99602199999999996</c:v>
                </c:pt>
                <c:pt idx="105">
                  <c:v>0.99602199999999996</c:v>
                </c:pt>
                <c:pt idx="106">
                  <c:v>0.99602199999999996</c:v>
                </c:pt>
                <c:pt idx="107">
                  <c:v>0.99602199999999996</c:v>
                </c:pt>
                <c:pt idx="108">
                  <c:v>0.99602199999999996</c:v>
                </c:pt>
                <c:pt idx="109">
                  <c:v>0.99602199999999996</c:v>
                </c:pt>
                <c:pt idx="110">
                  <c:v>0.99602199999999996</c:v>
                </c:pt>
                <c:pt idx="111">
                  <c:v>0.99602199999999996</c:v>
                </c:pt>
                <c:pt idx="112">
                  <c:v>0.99602199999999996</c:v>
                </c:pt>
                <c:pt idx="113">
                  <c:v>0.99602199999999996</c:v>
                </c:pt>
                <c:pt idx="114">
                  <c:v>0.99602199999999996</c:v>
                </c:pt>
                <c:pt idx="115">
                  <c:v>0.99602199999999996</c:v>
                </c:pt>
                <c:pt idx="116">
                  <c:v>0.99602199999999996</c:v>
                </c:pt>
                <c:pt idx="117">
                  <c:v>0.99602199999999996</c:v>
                </c:pt>
                <c:pt idx="118">
                  <c:v>0.99602199999999996</c:v>
                </c:pt>
                <c:pt idx="119">
                  <c:v>0.99602199999999996</c:v>
                </c:pt>
                <c:pt idx="120">
                  <c:v>0.99602199999999996</c:v>
                </c:pt>
                <c:pt idx="121">
                  <c:v>0.99602199999999996</c:v>
                </c:pt>
                <c:pt idx="122">
                  <c:v>0.99602199999999996</c:v>
                </c:pt>
                <c:pt idx="123">
                  <c:v>0.99602199999999996</c:v>
                </c:pt>
                <c:pt idx="124">
                  <c:v>0.99602199999999996</c:v>
                </c:pt>
                <c:pt idx="125">
                  <c:v>0.99602199999999996</c:v>
                </c:pt>
                <c:pt idx="126">
                  <c:v>0.99602199999999996</c:v>
                </c:pt>
                <c:pt idx="127">
                  <c:v>0.99602199999999996</c:v>
                </c:pt>
                <c:pt idx="128">
                  <c:v>0.99602199999999996</c:v>
                </c:pt>
                <c:pt idx="129">
                  <c:v>0.99602199999999996</c:v>
                </c:pt>
                <c:pt idx="130">
                  <c:v>0.99602199999999996</c:v>
                </c:pt>
                <c:pt idx="131">
                  <c:v>0.99602199999999996</c:v>
                </c:pt>
                <c:pt idx="132">
                  <c:v>0.99602199999999996</c:v>
                </c:pt>
                <c:pt idx="133">
                  <c:v>0.99602199999999996</c:v>
                </c:pt>
                <c:pt idx="134">
                  <c:v>0.99602199999999996</c:v>
                </c:pt>
                <c:pt idx="135">
                  <c:v>0.99602199999999996</c:v>
                </c:pt>
                <c:pt idx="136">
                  <c:v>0.99602199999999996</c:v>
                </c:pt>
                <c:pt idx="137">
                  <c:v>0.99602199999999996</c:v>
                </c:pt>
                <c:pt idx="138">
                  <c:v>0.99602199999999996</c:v>
                </c:pt>
                <c:pt idx="139">
                  <c:v>0.99602199999999996</c:v>
                </c:pt>
                <c:pt idx="140">
                  <c:v>0.99602199999999996</c:v>
                </c:pt>
                <c:pt idx="141">
                  <c:v>0.99602199999999996</c:v>
                </c:pt>
                <c:pt idx="142">
                  <c:v>0.99602199999999996</c:v>
                </c:pt>
                <c:pt idx="143">
                  <c:v>0.99602199999999996</c:v>
                </c:pt>
                <c:pt idx="144">
                  <c:v>0.99602199999999996</c:v>
                </c:pt>
                <c:pt idx="145">
                  <c:v>0.99602199999999996</c:v>
                </c:pt>
                <c:pt idx="146">
                  <c:v>0.99602199999999996</c:v>
                </c:pt>
                <c:pt idx="147">
                  <c:v>0.99602199999999996</c:v>
                </c:pt>
                <c:pt idx="148">
                  <c:v>0.99602199999999996</c:v>
                </c:pt>
                <c:pt idx="149">
                  <c:v>0.99602199999999996</c:v>
                </c:pt>
                <c:pt idx="150">
                  <c:v>0.99602199999999996</c:v>
                </c:pt>
                <c:pt idx="151">
                  <c:v>0.99602199999999996</c:v>
                </c:pt>
                <c:pt idx="152">
                  <c:v>0.99602199999999996</c:v>
                </c:pt>
                <c:pt idx="153">
                  <c:v>0.99602199999999996</c:v>
                </c:pt>
                <c:pt idx="154">
                  <c:v>0.99602199999999996</c:v>
                </c:pt>
                <c:pt idx="155">
                  <c:v>0.99602199999999996</c:v>
                </c:pt>
                <c:pt idx="156">
                  <c:v>0.99602199999999996</c:v>
                </c:pt>
                <c:pt idx="157">
                  <c:v>0.99602199999999996</c:v>
                </c:pt>
                <c:pt idx="158">
                  <c:v>0.99602199999999996</c:v>
                </c:pt>
                <c:pt idx="159">
                  <c:v>0.99602199999999996</c:v>
                </c:pt>
                <c:pt idx="160">
                  <c:v>0.99602199999999996</c:v>
                </c:pt>
                <c:pt idx="161">
                  <c:v>0.99602199999999996</c:v>
                </c:pt>
                <c:pt idx="162">
                  <c:v>0.99602199999999996</c:v>
                </c:pt>
                <c:pt idx="163">
                  <c:v>0.99602199999999996</c:v>
                </c:pt>
                <c:pt idx="164">
                  <c:v>0.99602199999999996</c:v>
                </c:pt>
                <c:pt idx="165">
                  <c:v>0.99602199999999996</c:v>
                </c:pt>
                <c:pt idx="166">
                  <c:v>0.99602199999999996</c:v>
                </c:pt>
                <c:pt idx="167">
                  <c:v>0.99602199999999996</c:v>
                </c:pt>
                <c:pt idx="168">
                  <c:v>0.99602199999999996</c:v>
                </c:pt>
                <c:pt idx="169">
                  <c:v>0.99602199999999996</c:v>
                </c:pt>
                <c:pt idx="170">
                  <c:v>0.99602199999999996</c:v>
                </c:pt>
                <c:pt idx="171">
                  <c:v>0.99602199999999996</c:v>
                </c:pt>
                <c:pt idx="172">
                  <c:v>0.99602199999999996</c:v>
                </c:pt>
                <c:pt idx="173">
                  <c:v>0.99602199999999996</c:v>
                </c:pt>
                <c:pt idx="174">
                  <c:v>0.99602199999999996</c:v>
                </c:pt>
                <c:pt idx="175">
                  <c:v>0.99602199999999996</c:v>
                </c:pt>
                <c:pt idx="176">
                  <c:v>0.99602199999999996</c:v>
                </c:pt>
                <c:pt idx="177">
                  <c:v>0.99602199999999996</c:v>
                </c:pt>
                <c:pt idx="178">
                  <c:v>0.99602199999999996</c:v>
                </c:pt>
                <c:pt idx="179">
                  <c:v>0.99602199999999996</c:v>
                </c:pt>
                <c:pt idx="180">
                  <c:v>0.99602199999999996</c:v>
                </c:pt>
                <c:pt idx="181">
                  <c:v>0.99602199999999996</c:v>
                </c:pt>
                <c:pt idx="182">
                  <c:v>0.99602199999999996</c:v>
                </c:pt>
                <c:pt idx="183">
                  <c:v>0.99602199999999996</c:v>
                </c:pt>
                <c:pt idx="184">
                  <c:v>0.99602199999999996</c:v>
                </c:pt>
                <c:pt idx="185">
                  <c:v>0.99602199999999996</c:v>
                </c:pt>
                <c:pt idx="186">
                  <c:v>0.99602199999999996</c:v>
                </c:pt>
                <c:pt idx="187">
                  <c:v>0.99602199999999996</c:v>
                </c:pt>
                <c:pt idx="188">
                  <c:v>0.99602199999999996</c:v>
                </c:pt>
                <c:pt idx="189">
                  <c:v>0.99602199999999996</c:v>
                </c:pt>
                <c:pt idx="190">
                  <c:v>0.99602199999999996</c:v>
                </c:pt>
                <c:pt idx="191">
                  <c:v>0.99602199999999996</c:v>
                </c:pt>
                <c:pt idx="192">
                  <c:v>0.99602199999999996</c:v>
                </c:pt>
                <c:pt idx="193">
                  <c:v>0.99602199999999996</c:v>
                </c:pt>
                <c:pt idx="194">
                  <c:v>0.99602199999999996</c:v>
                </c:pt>
                <c:pt idx="195">
                  <c:v>0.99602199999999996</c:v>
                </c:pt>
                <c:pt idx="196">
                  <c:v>0.99602199999999996</c:v>
                </c:pt>
                <c:pt idx="197">
                  <c:v>0.99602199999999996</c:v>
                </c:pt>
                <c:pt idx="198">
                  <c:v>0.99602199999999996</c:v>
                </c:pt>
                <c:pt idx="199">
                  <c:v>0.99602199999999996</c:v>
                </c:pt>
                <c:pt idx="200">
                  <c:v>0.99602199999999996</c:v>
                </c:pt>
                <c:pt idx="201">
                  <c:v>0.57041900000000001</c:v>
                </c:pt>
                <c:pt idx="202">
                  <c:v>0.56004799999999999</c:v>
                </c:pt>
                <c:pt idx="203">
                  <c:v>0.55115999999999998</c:v>
                </c:pt>
                <c:pt idx="204">
                  <c:v>0.54821200000000003</c:v>
                </c:pt>
                <c:pt idx="205">
                  <c:v>0.54782799999999998</c:v>
                </c:pt>
                <c:pt idx="206">
                  <c:v>0.54845500000000003</c:v>
                </c:pt>
                <c:pt idx="207">
                  <c:v>0.54921299999999995</c:v>
                </c:pt>
                <c:pt idx="208">
                  <c:v>0.54976499999999995</c:v>
                </c:pt>
                <c:pt idx="209">
                  <c:v>0.54985200000000001</c:v>
                </c:pt>
                <c:pt idx="210">
                  <c:v>0.54943900000000001</c:v>
                </c:pt>
                <c:pt idx="211">
                  <c:v>0.54865299999999995</c:v>
                </c:pt>
                <c:pt idx="212">
                  <c:v>0.96912699999999996</c:v>
                </c:pt>
                <c:pt idx="213">
                  <c:v>0.98003099999999999</c:v>
                </c:pt>
                <c:pt idx="214">
                  <c:v>0.99172499999999997</c:v>
                </c:pt>
                <c:pt idx="215">
                  <c:v>0.99829299999999999</c:v>
                </c:pt>
                <c:pt idx="216">
                  <c:v>1.001787</c:v>
                </c:pt>
                <c:pt idx="217">
                  <c:v>1.003342</c:v>
                </c:pt>
                <c:pt idx="218">
                  <c:v>1.003625</c:v>
                </c:pt>
                <c:pt idx="219">
                  <c:v>1.0030920000000001</c:v>
                </c:pt>
                <c:pt idx="220">
                  <c:v>1.0020249999999999</c:v>
                </c:pt>
                <c:pt idx="221">
                  <c:v>1.0006170000000001</c:v>
                </c:pt>
                <c:pt idx="222">
                  <c:v>0.99900299999999997</c:v>
                </c:pt>
                <c:pt idx="223">
                  <c:v>0.99728099999999997</c:v>
                </c:pt>
                <c:pt idx="224">
                  <c:v>0.99553400000000003</c:v>
                </c:pt>
                <c:pt idx="225">
                  <c:v>0.99377899999999997</c:v>
                </c:pt>
                <c:pt idx="226">
                  <c:v>0.99206799999999995</c:v>
                </c:pt>
                <c:pt idx="227">
                  <c:v>0.99042600000000003</c:v>
                </c:pt>
                <c:pt idx="228">
                  <c:v>0.988869</c:v>
                </c:pt>
                <c:pt idx="229">
                  <c:v>0.98740799999999995</c:v>
                </c:pt>
                <c:pt idx="230">
                  <c:v>0.98604999999999998</c:v>
                </c:pt>
                <c:pt idx="231">
                  <c:v>0.98479899999999998</c:v>
                </c:pt>
                <c:pt idx="232">
                  <c:v>0.98365499999999995</c:v>
                </c:pt>
                <c:pt idx="233">
                  <c:v>0.98261799999999999</c:v>
                </c:pt>
                <c:pt idx="234">
                  <c:v>0.98168599999999995</c:v>
                </c:pt>
                <c:pt idx="235">
                  <c:v>0.98085500000000003</c:v>
                </c:pt>
                <c:pt idx="236">
                  <c:v>0.980124</c:v>
                </c:pt>
                <c:pt idx="237">
                  <c:v>0.979487</c:v>
                </c:pt>
                <c:pt idx="238">
                  <c:v>0.97894000000000003</c:v>
                </c:pt>
                <c:pt idx="239">
                  <c:v>0.97848000000000002</c:v>
                </c:pt>
                <c:pt idx="240">
                  <c:v>0.978101</c:v>
                </c:pt>
                <c:pt idx="241">
                  <c:v>0.9778</c:v>
                </c:pt>
                <c:pt idx="242">
                  <c:v>0.97757099999999997</c:v>
                </c:pt>
                <c:pt idx="243">
                  <c:v>0.97741100000000003</c:v>
                </c:pt>
                <c:pt idx="244">
                  <c:v>0.97731500000000004</c:v>
                </c:pt>
                <c:pt idx="245">
                  <c:v>0.97724299999999997</c:v>
                </c:pt>
                <c:pt idx="246">
                  <c:v>0.97730799999999995</c:v>
                </c:pt>
                <c:pt idx="247">
                  <c:v>0.97734900000000002</c:v>
                </c:pt>
                <c:pt idx="248">
                  <c:v>0.97750599999999999</c:v>
                </c:pt>
                <c:pt idx="249">
                  <c:v>0.97764799999999996</c:v>
                </c:pt>
                <c:pt idx="250">
                  <c:v>0.97788600000000003</c:v>
                </c:pt>
                <c:pt idx="251">
                  <c:v>0.97811899999999996</c:v>
                </c:pt>
                <c:pt idx="252">
                  <c:v>0.97842700000000005</c:v>
                </c:pt>
                <c:pt idx="253">
                  <c:v>0.978742</c:v>
                </c:pt>
                <c:pt idx="254">
                  <c:v>0.97909400000000002</c:v>
                </c:pt>
                <c:pt idx="255">
                  <c:v>0.97947700000000004</c:v>
                </c:pt>
                <c:pt idx="256">
                  <c:v>0.97989199999999999</c:v>
                </c:pt>
                <c:pt idx="257">
                  <c:v>0.98033700000000001</c:v>
                </c:pt>
                <c:pt idx="258">
                  <c:v>0.98080999999999996</c:v>
                </c:pt>
                <c:pt idx="259">
                  <c:v>0.98131000000000002</c:v>
                </c:pt>
                <c:pt idx="260">
                  <c:v>0.98183799999999999</c:v>
                </c:pt>
                <c:pt idx="261">
                  <c:v>0.98239299999999996</c:v>
                </c:pt>
                <c:pt idx="262">
                  <c:v>0.98297400000000001</c:v>
                </c:pt>
                <c:pt idx="263">
                  <c:v>0.98358100000000004</c:v>
                </c:pt>
                <c:pt idx="264">
                  <c:v>0.98421400000000003</c:v>
                </c:pt>
                <c:pt idx="265">
                  <c:v>0.98487199999999997</c:v>
                </c:pt>
                <c:pt idx="266">
                  <c:v>0.98555499999999996</c:v>
                </c:pt>
                <c:pt idx="267">
                  <c:v>0.986263</c:v>
                </c:pt>
                <c:pt idx="268">
                  <c:v>0.98699400000000004</c:v>
                </c:pt>
                <c:pt idx="269">
                  <c:v>0.98774799999999996</c:v>
                </c:pt>
                <c:pt idx="270">
                  <c:v>0.98852399999999996</c:v>
                </c:pt>
                <c:pt idx="271">
                  <c:v>0.98932100000000001</c:v>
                </c:pt>
                <c:pt idx="272">
                  <c:v>0.99013899999999999</c:v>
                </c:pt>
                <c:pt idx="273">
                  <c:v>0.99097500000000005</c:v>
                </c:pt>
                <c:pt idx="274">
                  <c:v>0.99182800000000004</c:v>
                </c:pt>
                <c:pt idx="275">
                  <c:v>0.99269700000000005</c:v>
                </c:pt>
                <c:pt idx="276">
                  <c:v>0.99357899999999999</c:v>
                </c:pt>
                <c:pt idx="277">
                  <c:v>0.99447399999999997</c:v>
                </c:pt>
                <c:pt idx="278">
                  <c:v>0.99537799999999999</c:v>
                </c:pt>
                <c:pt idx="279">
                  <c:v>0.99628899999999998</c:v>
                </c:pt>
                <c:pt idx="280">
                  <c:v>0.99720600000000004</c:v>
                </c:pt>
                <c:pt idx="281">
                  <c:v>0.99812500000000004</c:v>
                </c:pt>
                <c:pt idx="282">
                  <c:v>0.99904400000000004</c:v>
                </c:pt>
                <c:pt idx="283">
                  <c:v>0.99996200000000002</c:v>
                </c:pt>
                <c:pt idx="284">
                  <c:v>1.000874</c:v>
                </c:pt>
                <c:pt idx="285">
                  <c:v>1.001779</c:v>
                </c:pt>
                <c:pt idx="286">
                  <c:v>1.0026740000000001</c:v>
                </c:pt>
                <c:pt idx="287">
                  <c:v>1.003557</c:v>
                </c:pt>
                <c:pt idx="288">
                  <c:v>1.0044249999999999</c:v>
                </c:pt>
                <c:pt idx="289">
                  <c:v>1.005277</c:v>
                </c:pt>
                <c:pt idx="290">
                  <c:v>1.0061100000000001</c:v>
                </c:pt>
                <c:pt idx="291">
                  <c:v>1.006923</c:v>
                </c:pt>
                <c:pt idx="292">
                  <c:v>1.0077130000000001</c:v>
                </c:pt>
                <c:pt idx="293">
                  <c:v>1.0084789999999999</c:v>
                </c:pt>
                <c:pt idx="294">
                  <c:v>1.0092209999999999</c:v>
                </c:pt>
                <c:pt idx="295">
                  <c:v>1.0099359999999999</c:v>
                </c:pt>
                <c:pt idx="296">
                  <c:v>1.010624</c:v>
                </c:pt>
                <c:pt idx="297">
                  <c:v>1.0112840000000001</c:v>
                </c:pt>
                <c:pt idx="298">
                  <c:v>1.011917</c:v>
                </c:pt>
                <c:pt idx="299">
                  <c:v>1.012521</c:v>
                </c:pt>
                <c:pt idx="300">
                  <c:v>1.0130969999999999</c:v>
                </c:pt>
                <c:pt idx="301">
                  <c:v>1.0136449999999999</c:v>
                </c:pt>
                <c:pt idx="302">
                  <c:v>1.014165</c:v>
                </c:pt>
                <c:pt idx="303">
                  <c:v>1.014659</c:v>
                </c:pt>
                <c:pt idx="304">
                  <c:v>1.015126</c:v>
                </c:pt>
                <c:pt idx="305">
                  <c:v>1.015568</c:v>
                </c:pt>
                <c:pt idx="306">
                  <c:v>1.0159849999999999</c:v>
                </c:pt>
                <c:pt idx="307">
                  <c:v>1.0163800000000001</c:v>
                </c:pt>
                <c:pt idx="308">
                  <c:v>1.016753</c:v>
                </c:pt>
                <c:pt idx="309">
                  <c:v>1.0171049999999999</c:v>
                </c:pt>
                <c:pt idx="310">
                  <c:v>1.0174380000000001</c:v>
                </c:pt>
                <c:pt idx="311">
                  <c:v>1.0177529999999999</c:v>
                </c:pt>
                <c:pt idx="312">
                  <c:v>1.018052</c:v>
                </c:pt>
                <c:pt idx="313">
                  <c:v>1.0183359999999999</c:v>
                </c:pt>
                <c:pt idx="314">
                  <c:v>1.0186059999999999</c:v>
                </c:pt>
                <c:pt idx="315">
                  <c:v>1.018864</c:v>
                </c:pt>
                <c:pt idx="316">
                  <c:v>1.0191110000000001</c:v>
                </c:pt>
                <c:pt idx="317">
                  <c:v>1.0193479999999999</c:v>
                </c:pt>
                <c:pt idx="318">
                  <c:v>1.019576</c:v>
                </c:pt>
                <c:pt idx="319">
                  <c:v>1.0197959999999999</c:v>
                </c:pt>
                <c:pt idx="320">
                  <c:v>1.0200089999999999</c:v>
                </c:pt>
                <c:pt idx="321">
                  <c:v>1.020216</c:v>
                </c:pt>
                <c:pt idx="322">
                  <c:v>1.0204169999999999</c:v>
                </c:pt>
                <c:pt idx="323">
                  <c:v>1.020613</c:v>
                </c:pt>
                <c:pt idx="324">
                  <c:v>1.020804</c:v>
                </c:pt>
                <c:pt idx="325">
                  <c:v>1.0209900000000001</c:v>
                </c:pt>
                <c:pt idx="326">
                  <c:v>1.0211710000000001</c:v>
                </c:pt>
                <c:pt idx="327">
                  <c:v>1.0213479999999999</c:v>
                </c:pt>
                <c:pt idx="328">
                  <c:v>1.0215190000000001</c:v>
                </c:pt>
                <c:pt idx="329">
                  <c:v>1.021685</c:v>
                </c:pt>
                <c:pt idx="330">
                  <c:v>1.0218449999999999</c:v>
                </c:pt>
                <c:pt idx="331">
                  <c:v>1.021998</c:v>
                </c:pt>
                <c:pt idx="332">
                  <c:v>1.022143</c:v>
                </c:pt>
                <c:pt idx="333">
                  <c:v>1.0222789999999999</c:v>
                </c:pt>
                <c:pt idx="334">
                  <c:v>1.0224059999999999</c:v>
                </c:pt>
                <c:pt idx="335">
                  <c:v>1.0225219999999999</c:v>
                </c:pt>
                <c:pt idx="336">
                  <c:v>1.022626</c:v>
                </c:pt>
                <c:pt idx="337">
                  <c:v>1.022716</c:v>
                </c:pt>
                <c:pt idx="338">
                  <c:v>1.022791</c:v>
                </c:pt>
                <c:pt idx="339">
                  <c:v>1.02285</c:v>
                </c:pt>
                <c:pt idx="340">
                  <c:v>1.0228839999999999</c:v>
                </c:pt>
                <c:pt idx="341">
                  <c:v>1.0228969999999999</c:v>
                </c:pt>
                <c:pt idx="342">
                  <c:v>1.022904</c:v>
                </c:pt>
                <c:pt idx="343">
                  <c:v>1.0228729999999999</c:v>
                </c:pt>
                <c:pt idx="344">
                  <c:v>1.022821</c:v>
                </c:pt>
                <c:pt idx="345">
                  <c:v>1.0227440000000001</c:v>
                </c:pt>
                <c:pt idx="346">
                  <c:v>1.0226409999999999</c:v>
                </c:pt>
                <c:pt idx="347">
                  <c:v>1.0225070000000001</c:v>
                </c:pt>
                <c:pt idx="348">
                  <c:v>1.0223469999999999</c:v>
                </c:pt>
                <c:pt idx="349">
                  <c:v>1.022151</c:v>
                </c:pt>
                <c:pt idx="350">
                  <c:v>1.0219279999999999</c:v>
                </c:pt>
                <c:pt idx="351">
                  <c:v>1.021666</c:v>
                </c:pt>
                <c:pt idx="352">
                  <c:v>1.021379</c:v>
                </c:pt>
                <c:pt idx="353">
                  <c:v>1.0210459999999999</c:v>
                </c:pt>
                <c:pt idx="354">
                  <c:v>1.020691</c:v>
                </c:pt>
                <c:pt idx="355">
                  <c:v>1.0202869999999999</c:v>
                </c:pt>
                <c:pt idx="356">
                  <c:v>1.019862</c:v>
                </c:pt>
                <c:pt idx="357">
                  <c:v>1.0193859999999999</c:v>
                </c:pt>
                <c:pt idx="358">
                  <c:v>1.0188919999999999</c:v>
                </c:pt>
                <c:pt idx="359">
                  <c:v>1.018343</c:v>
                </c:pt>
                <c:pt idx="360">
                  <c:v>1.017781</c:v>
                </c:pt>
                <c:pt idx="361">
                  <c:v>1.0171619999999999</c:v>
                </c:pt>
                <c:pt idx="362">
                  <c:v>1.016534</c:v>
                </c:pt>
                <c:pt idx="363">
                  <c:v>1.0158529999999999</c:v>
                </c:pt>
                <c:pt idx="364">
                  <c:v>1.015147</c:v>
                </c:pt>
                <c:pt idx="365">
                  <c:v>1.0144089999999999</c:v>
                </c:pt>
                <c:pt idx="366">
                  <c:v>1.0136430000000001</c:v>
                </c:pt>
                <c:pt idx="367">
                  <c:v>1.0128490000000001</c:v>
                </c:pt>
                <c:pt idx="368">
                  <c:v>1.01203</c:v>
                </c:pt>
                <c:pt idx="369">
                  <c:v>1.0111859999999999</c:v>
                </c:pt>
                <c:pt idx="370">
                  <c:v>1.010321</c:v>
                </c:pt>
                <c:pt idx="371">
                  <c:v>1.0094350000000001</c:v>
                </c:pt>
                <c:pt idx="372">
                  <c:v>1.0085310000000001</c:v>
                </c:pt>
                <c:pt idx="373">
                  <c:v>1.007612</c:v>
                </c:pt>
                <c:pt idx="374">
                  <c:v>1.0066790000000001</c:v>
                </c:pt>
                <c:pt idx="375">
                  <c:v>1.005736</c:v>
                </c:pt>
                <c:pt idx="376">
                  <c:v>1.0047839999999999</c:v>
                </c:pt>
                <c:pt idx="377">
                  <c:v>1.003827</c:v>
                </c:pt>
                <c:pt idx="378">
                  <c:v>1.002866</c:v>
                </c:pt>
                <c:pt idx="379">
                  <c:v>1.0019039999999999</c:v>
                </c:pt>
                <c:pt idx="380">
                  <c:v>1.000945</c:v>
                </c:pt>
                <c:pt idx="381">
                  <c:v>0.99999099999999996</c:v>
                </c:pt>
                <c:pt idx="382">
                  <c:v>0.99904400000000004</c:v>
                </c:pt>
                <c:pt idx="383">
                  <c:v>0.99810699999999997</c:v>
                </c:pt>
                <c:pt idx="384">
                  <c:v>0.99718300000000004</c:v>
                </c:pt>
                <c:pt idx="385">
                  <c:v>0.99627399999999999</c:v>
                </c:pt>
                <c:pt idx="386">
                  <c:v>0.99538400000000005</c:v>
                </c:pt>
                <c:pt idx="387">
                  <c:v>0.99451400000000001</c:v>
                </c:pt>
                <c:pt idx="388">
                  <c:v>0.99366600000000005</c:v>
                </c:pt>
                <c:pt idx="389">
                  <c:v>0.99286300000000005</c:v>
                </c:pt>
                <c:pt idx="390">
                  <c:v>0.99210200000000004</c:v>
                </c:pt>
                <c:pt idx="391">
                  <c:v>0.99136999999999997</c:v>
                </c:pt>
                <c:pt idx="392">
                  <c:v>0.99066900000000002</c:v>
                </c:pt>
                <c:pt idx="393">
                  <c:v>0.99000200000000005</c:v>
                </c:pt>
                <c:pt idx="394">
                  <c:v>0.98936999999999997</c:v>
                </c:pt>
                <c:pt idx="395">
                  <c:v>0.98877400000000004</c:v>
                </c:pt>
                <c:pt idx="396">
                  <c:v>0.98821700000000001</c:v>
                </c:pt>
                <c:pt idx="397">
                  <c:v>0.98770000000000002</c:v>
                </c:pt>
                <c:pt idx="398">
                  <c:v>0.98722299999999996</c:v>
                </c:pt>
                <c:pt idx="399">
                  <c:v>0.98678900000000003</c:v>
                </c:pt>
                <c:pt idx="400">
                  <c:v>0.98639699999999997</c:v>
                </c:pt>
                <c:pt idx="401">
                  <c:v>0.98604899999999995</c:v>
                </c:pt>
                <c:pt idx="402">
                  <c:v>0.98574499999999998</c:v>
                </c:pt>
                <c:pt idx="403">
                  <c:v>0.98548599999999997</c:v>
                </c:pt>
                <c:pt idx="404">
                  <c:v>0.98527200000000004</c:v>
                </c:pt>
                <c:pt idx="405">
                  <c:v>0.98510299999999995</c:v>
                </c:pt>
                <c:pt idx="406">
                  <c:v>0.98497900000000005</c:v>
                </c:pt>
                <c:pt idx="407">
                  <c:v>0.9849</c:v>
                </c:pt>
                <c:pt idx="408">
                  <c:v>0.98486499999999999</c:v>
                </c:pt>
                <c:pt idx="409">
                  <c:v>0.98487400000000003</c:v>
                </c:pt>
                <c:pt idx="410">
                  <c:v>0.98492599999999997</c:v>
                </c:pt>
                <c:pt idx="411">
                  <c:v>0.98502000000000001</c:v>
                </c:pt>
                <c:pt idx="412">
                  <c:v>0.985155</c:v>
                </c:pt>
                <c:pt idx="413">
                  <c:v>0.98532900000000001</c:v>
                </c:pt>
                <c:pt idx="414">
                  <c:v>0.98554200000000003</c:v>
                </c:pt>
                <c:pt idx="415">
                  <c:v>0.985792</c:v>
                </c:pt>
                <c:pt idx="416">
                  <c:v>0.98606000000000005</c:v>
                </c:pt>
                <c:pt idx="417">
                  <c:v>0.98639399999999999</c:v>
                </c:pt>
                <c:pt idx="418">
                  <c:v>0.98672400000000005</c:v>
                </c:pt>
                <c:pt idx="419">
                  <c:v>0.98712</c:v>
                </c:pt>
                <c:pt idx="420">
                  <c:v>0.98750700000000002</c:v>
                </c:pt>
                <c:pt idx="421">
                  <c:v>0.98795599999999995</c:v>
                </c:pt>
                <c:pt idx="422">
                  <c:v>0.98839100000000002</c:v>
                </c:pt>
                <c:pt idx="423">
                  <c:v>0.98888399999999999</c:v>
                </c:pt>
                <c:pt idx="424">
                  <c:v>0.98935799999999996</c:v>
                </c:pt>
                <c:pt idx="425">
                  <c:v>0.98987599999999998</c:v>
                </c:pt>
                <c:pt idx="426">
                  <c:v>0.99039999999999995</c:v>
                </c:pt>
                <c:pt idx="427">
                  <c:v>0.99093600000000004</c:v>
                </c:pt>
                <c:pt idx="428">
                  <c:v>0.99148000000000003</c:v>
                </c:pt>
                <c:pt idx="429">
                  <c:v>0.99202999999999997</c:v>
                </c:pt>
                <c:pt idx="430">
                  <c:v>0.99258299999999999</c:v>
                </c:pt>
                <c:pt idx="431">
                  <c:v>0.99313799999999997</c:v>
                </c:pt>
                <c:pt idx="432">
                  <c:v>0.99369200000000002</c:v>
                </c:pt>
                <c:pt idx="433">
                  <c:v>0.99424199999999996</c:v>
                </c:pt>
                <c:pt idx="434">
                  <c:v>0.99478800000000001</c:v>
                </c:pt>
                <c:pt idx="435">
                  <c:v>0.99532600000000004</c:v>
                </c:pt>
                <c:pt idx="436">
                  <c:v>0.99585500000000005</c:v>
                </c:pt>
                <c:pt idx="437">
                  <c:v>0.99637299999999995</c:v>
                </c:pt>
                <c:pt idx="438">
                  <c:v>0.99687800000000004</c:v>
                </c:pt>
                <c:pt idx="439">
                  <c:v>0.99736999999999998</c:v>
                </c:pt>
                <c:pt idx="440">
                  <c:v>0.99784600000000001</c:v>
                </c:pt>
                <c:pt idx="441">
                  <c:v>0.99830600000000003</c:v>
                </c:pt>
                <c:pt idx="442">
                  <c:v>0.998749</c:v>
                </c:pt>
                <c:pt idx="443">
                  <c:v>0.99917299999999998</c:v>
                </c:pt>
                <c:pt idx="444">
                  <c:v>0.99957799999999997</c:v>
                </c:pt>
                <c:pt idx="445">
                  <c:v>0.99996300000000005</c:v>
                </c:pt>
                <c:pt idx="446">
                  <c:v>1.000329</c:v>
                </c:pt>
                <c:pt idx="447">
                  <c:v>1.0006740000000001</c:v>
                </c:pt>
                <c:pt idx="448">
                  <c:v>1.000999</c:v>
                </c:pt>
                <c:pt idx="449">
                  <c:v>1.001304</c:v>
                </c:pt>
                <c:pt idx="450">
                  <c:v>1.0015890000000001</c:v>
                </c:pt>
                <c:pt idx="451">
                  <c:v>1.001854</c:v>
                </c:pt>
                <c:pt idx="452">
                  <c:v>1.0021</c:v>
                </c:pt>
                <c:pt idx="453">
                  <c:v>1.002327</c:v>
                </c:pt>
                <c:pt idx="454">
                  <c:v>1.0025360000000001</c:v>
                </c:pt>
                <c:pt idx="455">
                  <c:v>1.0027269999999999</c:v>
                </c:pt>
                <c:pt idx="456">
                  <c:v>1.002902</c:v>
                </c:pt>
                <c:pt idx="457">
                  <c:v>1.0030600000000001</c:v>
                </c:pt>
                <c:pt idx="458">
                  <c:v>1.003204</c:v>
                </c:pt>
                <c:pt idx="459">
                  <c:v>1.0033339999999999</c:v>
                </c:pt>
                <c:pt idx="460">
                  <c:v>1.00345</c:v>
                </c:pt>
                <c:pt idx="461">
                  <c:v>1.0035540000000001</c:v>
                </c:pt>
                <c:pt idx="462">
                  <c:v>1.003647</c:v>
                </c:pt>
                <c:pt idx="463">
                  <c:v>1.0037290000000001</c:v>
                </c:pt>
                <c:pt idx="464">
                  <c:v>1.0038020000000001</c:v>
                </c:pt>
                <c:pt idx="465">
                  <c:v>1.0038670000000001</c:v>
                </c:pt>
                <c:pt idx="466">
                  <c:v>1.003924</c:v>
                </c:pt>
                <c:pt idx="467">
                  <c:v>1.0039739999999999</c:v>
                </c:pt>
                <c:pt idx="468">
                  <c:v>1.004019</c:v>
                </c:pt>
                <c:pt idx="469">
                  <c:v>1.0040579999999999</c:v>
                </c:pt>
                <c:pt idx="470">
                  <c:v>1.0040929999999999</c:v>
                </c:pt>
                <c:pt idx="471">
                  <c:v>1.004124</c:v>
                </c:pt>
                <c:pt idx="472">
                  <c:v>1.0041519999999999</c:v>
                </c:pt>
                <c:pt idx="473">
                  <c:v>1.0041770000000001</c:v>
                </c:pt>
                <c:pt idx="474">
                  <c:v>1.0042009999999999</c:v>
                </c:pt>
                <c:pt idx="475">
                  <c:v>1.0042219999999999</c:v>
                </c:pt>
                <c:pt idx="476">
                  <c:v>1.0042420000000001</c:v>
                </c:pt>
                <c:pt idx="477">
                  <c:v>1.0042610000000001</c:v>
                </c:pt>
                <c:pt idx="478">
                  <c:v>1.0042800000000001</c:v>
                </c:pt>
                <c:pt idx="479">
                  <c:v>1.004297</c:v>
                </c:pt>
                <c:pt idx="480">
                  <c:v>1.0043139999999999</c:v>
                </c:pt>
                <c:pt idx="481">
                  <c:v>1.0043299999999999</c:v>
                </c:pt>
                <c:pt idx="482">
                  <c:v>1.004346</c:v>
                </c:pt>
                <c:pt idx="483">
                  <c:v>1.0043610000000001</c:v>
                </c:pt>
                <c:pt idx="484">
                  <c:v>1.0043759999999999</c:v>
                </c:pt>
                <c:pt idx="485">
                  <c:v>1.004389</c:v>
                </c:pt>
                <c:pt idx="486">
                  <c:v>1.0044010000000001</c:v>
                </c:pt>
                <c:pt idx="487">
                  <c:v>1.0044120000000001</c:v>
                </c:pt>
                <c:pt idx="488">
                  <c:v>1.004421</c:v>
                </c:pt>
                <c:pt idx="489">
                  <c:v>1.0044280000000001</c:v>
                </c:pt>
                <c:pt idx="490">
                  <c:v>1.0044329999999999</c:v>
                </c:pt>
                <c:pt idx="491">
                  <c:v>1.004435</c:v>
                </c:pt>
                <c:pt idx="492">
                  <c:v>1.004434</c:v>
                </c:pt>
                <c:pt idx="493">
                  <c:v>1.004429</c:v>
                </c:pt>
                <c:pt idx="494">
                  <c:v>1.004419</c:v>
                </c:pt>
                <c:pt idx="495">
                  <c:v>1.0044059999999999</c:v>
                </c:pt>
                <c:pt idx="496">
                  <c:v>1.004386</c:v>
                </c:pt>
                <c:pt idx="497">
                  <c:v>1.004362</c:v>
                </c:pt>
                <c:pt idx="498">
                  <c:v>1.0043310000000001</c:v>
                </c:pt>
                <c:pt idx="499">
                  <c:v>1.0042930000000001</c:v>
                </c:pt>
                <c:pt idx="500">
                  <c:v>1.004248</c:v>
                </c:pt>
                <c:pt idx="501">
                  <c:v>1.0041949999999999</c:v>
                </c:pt>
                <c:pt idx="502">
                  <c:v>1.0041340000000001</c:v>
                </c:pt>
                <c:pt idx="503">
                  <c:v>1.0040629999999999</c:v>
                </c:pt>
                <c:pt idx="504">
                  <c:v>1.0039830000000001</c:v>
                </c:pt>
                <c:pt idx="505">
                  <c:v>1.0038929999999999</c:v>
                </c:pt>
                <c:pt idx="506">
                  <c:v>1.0037929999999999</c:v>
                </c:pt>
                <c:pt idx="507">
                  <c:v>1.003681</c:v>
                </c:pt>
                <c:pt idx="508">
                  <c:v>1.003558</c:v>
                </c:pt>
                <c:pt idx="509">
                  <c:v>1.003423</c:v>
                </c:pt>
                <c:pt idx="510">
                  <c:v>1.0032749999999999</c:v>
                </c:pt>
                <c:pt idx="511">
                  <c:v>1.003115</c:v>
                </c:pt>
                <c:pt idx="512">
                  <c:v>1.0029410000000001</c:v>
                </c:pt>
                <c:pt idx="513">
                  <c:v>1.002753</c:v>
                </c:pt>
                <c:pt idx="514">
                  <c:v>1.002551</c:v>
                </c:pt>
                <c:pt idx="515">
                  <c:v>1.002335</c:v>
                </c:pt>
                <c:pt idx="516">
                  <c:v>1.0021040000000001</c:v>
                </c:pt>
                <c:pt idx="517">
                  <c:v>1.0018590000000001</c:v>
                </c:pt>
                <c:pt idx="518">
                  <c:v>1.001598</c:v>
                </c:pt>
                <c:pt idx="519">
                  <c:v>1.001323</c:v>
                </c:pt>
                <c:pt idx="520">
                  <c:v>1.0010319999999999</c:v>
                </c:pt>
                <c:pt idx="521">
                  <c:v>1.000726</c:v>
                </c:pt>
                <c:pt idx="522">
                  <c:v>1.000405</c:v>
                </c:pt>
                <c:pt idx="523">
                  <c:v>1.0000690000000001</c:v>
                </c:pt>
                <c:pt idx="524">
                  <c:v>0.999718</c:v>
                </c:pt>
                <c:pt idx="525">
                  <c:v>0.99935300000000005</c:v>
                </c:pt>
                <c:pt idx="526">
                  <c:v>0.998973</c:v>
                </c:pt>
                <c:pt idx="527">
                  <c:v>0.99858000000000002</c:v>
                </c:pt>
                <c:pt idx="528">
                  <c:v>0.99817299999999998</c:v>
                </c:pt>
                <c:pt idx="529">
                  <c:v>0.997753</c:v>
                </c:pt>
                <c:pt idx="530">
                  <c:v>0.99732100000000001</c:v>
                </c:pt>
                <c:pt idx="531">
                  <c:v>0.99687800000000004</c:v>
                </c:pt>
                <c:pt idx="532">
                  <c:v>0.99642299999999995</c:v>
                </c:pt>
                <c:pt idx="533">
                  <c:v>0.99595900000000004</c:v>
                </c:pt>
                <c:pt idx="534">
                  <c:v>0.99548599999999998</c:v>
                </c:pt>
                <c:pt idx="535">
                  <c:v>0.995004</c:v>
                </c:pt>
                <c:pt idx="536">
                  <c:v>0.99451500000000004</c:v>
                </c:pt>
                <c:pt idx="537">
                  <c:v>0.99402000000000001</c:v>
                </c:pt>
                <c:pt idx="538">
                  <c:v>0.99351999999999996</c:v>
                </c:pt>
                <c:pt idx="539">
                  <c:v>0.99301600000000001</c:v>
                </c:pt>
                <c:pt idx="540">
                  <c:v>0.99251</c:v>
                </c:pt>
                <c:pt idx="541">
                  <c:v>0.99200200000000005</c:v>
                </c:pt>
                <c:pt idx="542">
                  <c:v>0.99149399999999999</c:v>
                </c:pt>
                <c:pt idx="543">
                  <c:v>0.99098699999999995</c:v>
                </c:pt>
                <c:pt idx="544">
                  <c:v>0.990483</c:v>
                </c:pt>
                <c:pt idx="545">
                  <c:v>0.98998200000000003</c:v>
                </c:pt>
                <c:pt idx="546">
                  <c:v>0.98948700000000001</c:v>
                </c:pt>
                <c:pt idx="547">
                  <c:v>0.98899800000000004</c:v>
                </c:pt>
                <c:pt idx="548">
                  <c:v>0.98851699999999998</c:v>
                </c:pt>
                <c:pt idx="549">
                  <c:v>0.98804599999999998</c:v>
                </c:pt>
                <c:pt idx="550">
                  <c:v>0.98758500000000005</c:v>
                </c:pt>
                <c:pt idx="551">
                  <c:v>0.98713600000000001</c:v>
                </c:pt>
                <c:pt idx="552">
                  <c:v>0.98670100000000005</c:v>
                </c:pt>
                <c:pt idx="553">
                  <c:v>0.98628000000000005</c:v>
                </c:pt>
                <c:pt idx="554">
                  <c:v>0.98587499999999995</c:v>
                </c:pt>
                <c:pt idx="555">
                  <c:v>0.985487</c:v>
                </c:pt>
                <c:pt idx="556">
                  <c:v>0.98511700000000002</c:v>
                </c:pt>
                <c:pt idx="557">
                  <c:v>0.98476600000000003</c:v>
                </c:pt>
                <c:pt idx="558">
                  <c:v>0.98443599999999998</c:v>
                </c:pt>
                <c:pt idx="559">
                  <c:v>0.98412599999999995</c:v>
                </c:pt>
                <c:pt idx="560">
                  <c:v>0.98383900000000002</c:v>
                </c:pt>
                <c:pt idx="561">
                  <c:v>0.98357499999999998</c:v>
                </c:pt>
                <c:pt idx="562">
                  <c:v>0.98333499999999996</c:v>
                </c:pt>
                <c:pt idx="563">
                  <c:v>0.98311999999999999</c:v>
                </c:pt>
                <c:pt idx="564">
                  <c:v>0.98292900000000005</c:v>
                </c:pt>
                <c:pt idx="565">
                  <c:v>0.982765</c:v>
                </c:pt>
                <c:pt idx="566">
                  <c:v>0.982626</c:v>
                </c:pt>
                <c:pt idx="567">
                  <c:v>0.98251500000000003</c:v>
                </c:pt>
                <c:pt idx="568">
                  <c:v>0.98243000000000003</c:v>
                </c:pt>
                <c:pt idx="569">
                  <c:v>0.98237200000000002</c:v>
                </c:pt>
                <c:pt idx="570">
                  <c:v>0.98234200000000005</c:v>
                </c:pt>
                <c:pt idx="571">
                  <c:v>0.98233899999999996</c:v>
                </c:pt>
                <c:pt idx="572">
                  <c:v>0.98236299999999999</c:v>
                </c:pt>
                <c:pt idx="573">
                  <c:v>0.98241500000000004</c:v>
                </c:pt>
                <c:pt idx="574">
                  <c:v>0.98249299999999995</c:v>
                </c:pt>
                <c:pt idx="575">
                  <c:v>0.982599</c:v>
                </c:pt>
                <c:pt idx="576">
                  <c:v>0.98272999999999999</c:v>
                </c:pt>
                <c:pt idx="577">
                  <c:v>0.98288799999999998</c:v>
                </c:pt>
                <c:pt idx="578">
                  <c:v>0.98307100000000003</c:v>
                </c:pt>
                <c:pt idx="579">
                  <c:v>0.98327900000000001</c:v>
                </c:pt>
                <c:pt idx="580">
                  <c:v>0.98351100000000002</c:v>
                </c:pt>
                <c:pt idx="581">
                  <c:v>0.98376699999999995</c:v>
                </c:pt>
                <c:pt idx="582">
                  <c:v>0.98404499999999995</c:v>
                </c:pt>
                <c:pt idx="583">
                  <c:v>0.984344</c:v>
                </c:pt>
                <c:pt idx="584">
                  <c:v>0.98466500000000001</c:v>
                </c:pt>
                <c:pt idx="585">
                  <c:v>0.98500500000000002</c:v>
                </c:pt>
                <c:pt idx="586">
                  <c:v>0.98536299999999999</c:v>
                </c:pt>
                <c:pt idx="587">
                  <c:v>0.98573999999999995</c:v>
                </c:pt>
                <c:pt idx="588">
                  <c:v>0.98613300000000004</c:v>
                </c:pt>
                <c:pt idx="589">
                  <c:v>0.98653999999999997</c:v>
                </c:pt>
                <c:pt idx="590">
                  <c:v>0.98696200000000001</c:v>
                </c:pt>
                <c:pt idx="591">
                  <c:v>0.98739699999999997</c:v>
                </c:pt>
                <c:pt idx="592">
                  <c:v>0.98784300000000003</c:v>
                </c:pt>
                <c:pt idx="593">
                  <c:v>0.98829900000000004</c:v>
                </c:pt>
                <c:pt idx="594">
                  <c:v>0.98876399999999998</c:v>
                </c:pt>
                <c:pt idx="595">
                  <c:v>0.989236</c:v>
                </c:pt>
                <c:pt idx="596">
                  <c:v>0.98971399999999998</c:v>
                </c:pt>
                <c:pt idx="597">
                  <c:v>0.99019699999999999</c:v>
                </c:pt>
                <c:pt idx="598">
                  <c:v>0.99068400000000001</c:v>
                </c:pt>
                <c:pt idx="599">
                  <c:v>0.99117299999999997</c:v>
                </c:pt>
                <c:pt idx="600">
                  <c:v>0.99166200000000004</c:v>
                </c:pt>
                <c:pt idx="601">
                  <c:v>0.99215100000000001</c:v>
                </c:pt>
                <c:pt idx="602">
                  <c:v>0.99263800000000002</c:v>
                </c:pt>
                <c:pt idx="603">
                  <c:v>0.99312199999999995</c:v>
                </c:pt>
                <c:pt idx="604">
                  <c:v>0.99360199999999999</c:v>
                </c:pt>
                <c:pt idx="605">
                  <c:v>0.99407599999999996</c:v>
                </c:pt>
                <c:pt idx="606">
                  <c:v>0.99454399999999998</c:v>
                </c:pt>
                <c:pt idx="607">
                  <c:v>0.995004</c:v>
                </c:pt>
                <c:pt idx="608">
                  <c:v>0.99545600000000001</c:v>
                </c:pt>
                <c:pt idx="609">
                  <c:v>0.99589899999999998</c:v>
                </c:pt>
                <c:pt idx="610">
                  <c:v>0.99633000000000005</c:v>
                </c:pt>
                <c:pt idx="611">
                  <c:v>0.99675100000000005</c:v>
                </c:pt>
                <c:pt idx="612">
                  <c:v>0.99715900000000002</c:v>
                </c:pt>
                <c:pt idx="613">
                  <c:v>0.99755400000000005</c:v>
                </c:pt>
                <c:pt idx="614">
                  <c:v>0.99793600000000005</c:v>
                </c:pt>
                <c:pt idx="615">
                  <c:v>0.99830399999999997</c:v>
                </c:pt>
                <c:pt idx="616">
                  <c:v>0.99865700000000002</c:v>
                </c:pt>
                <c:pt idx="617">
                  <c:v>0.99899400000000005</c:v>
                </c:pt>
                <c:pt idx="618">
                  <c:v>0.99931599999999998</c:v>
                </c:pt>
                <c:pt idx="619">
                  <c:v>0.99962200000000001</c:v>
                </c:pt>
                <c:pt idx="620">
                  <c:v>0.99991200000000002</c:v>
                </c:pt>
                <c:pt idx="621">
                  <c:v>1.000184</c:v>
                </c:pt>
                <c:pt idx="622">
                  <c:v>1.00044</c:v>
                </c:pt>
                <c:pt idx="623">
                  <c:v>1.0006790000000001</c:v>
                </c:pt>
                <c:pt idx="624">
                  <c:v>1.0008999999999999</c:v>
                </c:pt>
                <c:pt idx="625">
                  <c:v>1.001104</c:v>
                </c:pt>
                <c:pt idx="626">
                  <c:v>1.0012909999999999</c:v>
                </c:pt>
                <c:pt idx="627">
                  <c:v>1.0014609999999999</c:v>
                </c:pt>
                <c:pt idx="628">
                  <c:v>1.001614</c:v>
                </c:pt>
                <c:pt idx="629">
                  <c:v>1.001749</c:v>
                </c:pt>
                <c:pt idx="630">
                  <c:v>1.001868</c:v>
                </c:pt>
                <c:pt idx="631">
                  <c:v>1.00197</c:v>
                </c:pt>
                <c:pt idx="632">
                  <c:v>1.0020549999999999</c:v>
                </c:pt>
                <c:pt idx="633">
                  <c:v>1.0021249999999999</c:v>
                </c:pt>
                <c:pt idx="634">
                  <c:v>1.002178</c:v>
                </c:pt>
                <c:pt idx="635">
                  <c:v>1.0022150000000001</c:v>
                </c:pt>
                <c:pt idx="636">
                  <c:v>1.002237</c:v>
                </c:pt>
                <c:pt idx="637">
                  <c:v>1.0022439999999999</c:v>
                </c:pt>
                <c:pt idx="638">
                  <c:v>1.002237</c:v>
                </c:pt>
                <c:pt idx="639">
                  <c:v>1.0022150000000001</c:v>
                </c:pt>
                <c:pt idx="640">
                  <c:v>1.0021789999999999</c:v>
                </c:pt>
                <c:pt idx="641">
                  <c:v>1.002129</c:v>
                </c:pt>
                <c:pt idx="642">
                  <c:v>1.0020659999999999</c:v>
                </c:pt>
                <c:pt idx="643">
                  <c:v>1.0019910000000001</c:v>
                </c:pt>
                <c:pt idx="644">
                  <c:v>1.001903</c:v>
                </c:pt>
                <c:pt idx="645">
                  <c:v>1.0018039999999999</c:v>
                </c:pt>
                <c:pt idx="646">
                  <c:v>1.0016929999999999</c:v>
                </c:pt>
                <c:pt idx="647">
                  <c:v>1.001571</c:v>
                </c:pt>
                <c:pt idx="648">
                  <c:v>1.0014380000000001</c:v>
                </c:pt>
                <c:pt idx="649">
                  <c:v>1.001296</c:v>
                </c:pt>
                <c:pt idx="650">
                  <c:v>1.001144</c:v>
                </c:pt>
                <c:pt idx="651">
                  <c:v>1.000983</c:v>
                </c:pt>
                <c:pt idx="652">
                  <c:v>1.0008140000000001</c:v>
                </c:pt>
                <c:pt idx="653">
                  <c:v>1.0006360000000001</c:v>
                </c:pt>
                <c:pt idx="654">
                  <c:v>1.0004519999999999</c:v>
                </c:pt>
                <c:pt idx="655">
                  <c:v>1.0002599999999999</c:v>
                </c:pt>
                <c:pt idx="656">
                  <c:v>1.0000610000000001</c:v>
                </c:pt>
                <c:pt idx="657">
                  <c:v>0.999857</c:v>
                </c:pt>
                <c:pt idx="658">
                  <c:v>0.99964699999999995</c:v>
                </c:pt>
                <c:pt idx="659">
                  <c:v>0.99943199999999999</c:v>
                </c:pt>
                <c:pt idx="660">
                  <c:v>0.99921300000000002</c:v>
                </c:pt>
                <c:pt idx="661">
                  <c:v>0.99898900000000002</c:v>
                </c:pt>
                <c:pt idx="662">
                  <c:v>0.99876299999999996</c:v>
                </c:pt>
                <c:pt idx="663">
                  <c:v>0.998533</c:v>
                </c:pt>
                <c:pt idx="664">
                  <c:v>0.99830200000000002</c:v>
                </c:pt>
                <c:pt idx="665">
                  <c:v>0.99806799999999996</c:v>
                </c:pt>
                <c:pt idx="666">
                  <c:v>0.99783299999999997</c:v>
                </c:pt>
                <c:pt idx="667">
                  <c:v>0.99759699999999996</c:v>
                </c:pt>
                <c:pt idx="668">
                  <c:v>0.99736000000000002</c:v>
                </c:pt>
                <c:pt idx="669">
                  <c:v>0.99712400000000001</c:v>
                </c:pt>
                <c:pt idx="670">
                  <c:v>0.996888</c:v>
                </c:pt>
                <c:pt idx="671">
                  <c:v>0.99665300000000001</c:v>
                </c:pt>
                <c:pt idx="672">
                  <c:v>0.99641999999999997</c:v>
                </c:pt>
                <c:pt idx="673">
                  <c:v>0.99618799999999996</c:v>
                </c:pt>
                <c:pt idx="674">
                  <c:v>0.99595800000000001</c:v>
                </c:pt>
                <c:pt idx="675">
                  <c:v>0.99573100000000003</c:v>
                </c:pt>
                <c:pt idx="676">
                  <c:v>0.995506</c:v>
                </c:pt>
                <c:pt idx="677">
                  <c:v>0.99528499999999998</c:v>
                </c:pt>
                <c:pt idx="678">
                  <c:v>0.99506700000000003</c:v>
                </c:pt>
                <c:pt idx="679">
                  <c:v>0.99485299999999999</c:v>
                </c:pt>
                <c:pt idx="680">
                  <c:v>0.99464300000000005</c:v>
                </c:pt>
                <c:pt idx="681">
                  <c:v>0.99443800000000004</c:v>
                </c:pt>
                <c:pt idx="682">
                  <c:v>0.99423700000000004</c:v>
                </c:pt>
                <c:pt idx="683">
                  <c:v>0.99404000000000003</c:v>
                </c:pt>
                <c:pt idx="684">
                  <c:v>0.99384799999999995</c:v>
                </c:pt>
                <c:pt idx="685">
                  <c:v>0.99366200000000005</c:v>
                </c:pt>
                <c:pt idx="686">
                  <c:v>0.99348000000000003</c:v>
                </c:pt>
                <c:pt idx="687">
                  <c:v>0.99330399999999996</c:v>
                </c:pt>
                <c:pt idx="688">
                  <c:v>0.99313300000000004</c:v>
                </c:pt>
                <c:pt idx="689">
                  <c:v>0.99296700000000004</c:v>
                </c:pt>
                <c:pt idx="690">
                  <c:v>0.992807</c:v>
                </c:pt>
                <c:pt idx="691">
                  <c:v>0.99265199999999998</c:v>
                </c:pt>
                <c:pt idx="692">
                  <c:v>0.99250300000000002</c:v>
                </c:pt>
                <c:pt idx="693">
                  <c:v>0.99235899999999999</c:v>
                </c:pt>
                <c:pt idx="694">
                  <c:v>0.99222100000000002</c:v>
                </c:pt>
                <c:pt idx="695">
                  <c:v>0.99208799999999997</c:v>
                </c:pt>
                <c:pt idx="696">
                  <c:v>0.99195999999999995</c:v>
                </c:pt>
                <c:pt idx="697">
                  <c:v>0.991838</c:v>
                </c:pt>
                <c:pt idx="698">
                  <c:v>0.99172099999999996</c:v>
                </c:pt>
                <c:pt idx="699">
                  <c:v>0.99160999999999999</c:v>
                </c:pt>
                <c:pt idx="700">
                  <c:v>0.99150300000000002</c:v>
                </c:pt>
                <c:pt idx="701">
                  <c:v>0.99140099999999998</c:v>
                </c:pt>
                <c:pt idx="702">
                  <c:v>0.99130499999999999</c:v>
                </c:pt>
                <c:pt idx="703">
                  <c:v>0.99121300000000001</c:v>
                </c:pt>
                <c:pt idx="704">
                  <c:v>0.99112500000000003</c:v>
                </c:pt>
                <c:pt idx="705">
                  <c:v>0.99104300000000001</c:v>
                </c:pt>
                <c:pt idx="706">
                  <c:v>0.99096499999999998</c:v>
                </c:pt>
                <c:pt idx="707">
                  <c:v>0.99089099999999997</c:v>
                </c:pt>
                <c:pt idx="708">
                  <c:v>0.99082199999999998</c:v>
                </c:pt>
                <c:pt idx="709">
                  <c:v>0.99075599999999997</c:v>
                </c:pt>
                <c:pt idx="710">
                  <c:v>0.99069499999999999</c:v>
                </c:pt>
                <c:pt idx="711">
                  <c:v>0.99063800000000002</c:v>
                </c:pt>
                <c:pt idx="712">
                  <c:v>0.99058500000000005</c:v>
                </c:pt>
                <c:pt idx="713">
                  <c:v>0.99053500000000005</c:v>
                </c:pt>
                <c:pt idx="714">
                  <c:v>0.99048899999999995</c:v>
                </c:pt>
                <c:pt idx="715">
                  <c:v>0.99044699999999997</c:v>
                </c:pt>
                <c:pt idx="716">
                  <c:v>0.99040799999999996</c:v>
                </c:pt>
                <c:pt idx="717">
                  <c:v>0.99037299999999995</c:v>
                </c:pt>
                <c:pt idx="718">
                  <c:v>0.99034100000000003</c:v>
                </c:pt>
                <c:pt idx="719">
                  <c:v>0.990313</c:v>
                </c:pt>
                <c:pt idx="720">
                  <c:v>0.99028799999999995</c:v>
                </c:pt>
                <c:pt idx="721">
                  <c:v>0.99026599999999998</c:v>
                </c:pt>
                <c:pt idx="722">
                  <c:v>0.99024699999999999</c:v>
                </c:pt>
                <c:pt idx="723">
                  <c:v>0.990232</c:v>
                </c:pt>
                <c:pt idx="724">
                  <c:v>0.99021999999999999</c:v>
                </c:pt>
                <c:pt idx="725">
                  <c:v>0.99021099999999995</c:v>
                </c:pt>
                <c:pt idx="726">
                  <c:v>0.99020600000000003</c:v>
                </c:pt>
                <c:pt idx="727">
                  <c:v>0.99020399999999997</c:v>
                </c:pt>
                <c:pt idx="728">
                  <c:v>0.99020600000000003</c:v>
                </c:pt>
                <c:pt idx="729">
                  <c:v>0.99021000000000003</c:v>
                </c:pt>
                <c:pt idx="730">
                  <c:v>0.99021899999999996</c:v>
                </c:pt>
                <c:pt idx="731">
                  <c:v>0.99023099999999997</c:v>
                </c:pt>
                <c:pt idx="732">
                  <c:v>0.99024699999999999</c:v>
                </c:pt>
                <c:pt idx="733">
                  <c:v>0.99026599999999998</c:v>
                </c:pt>
                <c:pt idx="734">
                  <c:v>0.99029</c:v>
                </c:pt>
                <c:pt idx="735">
                  <c:v>0.990317</c:v>
                </c:pt>
                <c:pt idx="736">
                  <c:v>0.99034900000000003</c:v>
                </c:pt>
                <c:pt idx="737">
                  <c:v>0.99038499999999996</c:v>
                </c:pt>
                <c:pt idx="738">
                  <c:v>0.990425</c:v>
                </c:pt>
                <c:pt idx="739">
                  <c:v>0.99046999999999996</c:v>
                </c:pt>
                <c:pt idx="740">
                  <c:v>0.99051999999999996</c:v>
                </c:pt>
                <c:pt idx="741">
                  <c:v>0.99057499999999998</c:v>
                </c:pt>
                <c:pt idx="742">
                  <c:v>0.99063400000000001</c:v>
                </c:pt>
                <c:pt idx="743">
                  <c:v>0.990699</c:v>
                </c:pt>
                <c:pt idx="744">
                  <c:v>0.99077000000000004</c:v>
                </c:pt>
                <c:pt idx="745">
                  <c:v>0.990846</c:v>
                </c:pt>
                <c:pt idx="746">
                  <c:v>0.99092800000000003</c:v>
                </c:pt>
                <c:pt idx="747">
                  <c:v>0.99101499999999998</c:v>
                </c:pt>
                <c:pt idx="748">
                  <c:v>0.99110900000000002</c:v>
                </c:pt>
                <c:pt idx="749">
                  <c:v>0.99120900000000001</c:v>
                </c:pt>
                <c:pt idx="750">
                  <c:v>0.99131499999999995</c:v>
                </c:pt>
                <c:pt idx="751">
                  <c:v>0.99142699999999995</c:v>
                </c:pt>
                <c:pt idx="752">
                  <c:v>0.99154600000000004</c:v>
                </c:pt>
                <c:pt idx="753">
                  <c:v>0.99167099999999997</c:v>
                </c:pt>
                <c:pt idx="754">
                  <c:v>0.99180299999999999</c:v>
                </c:pt>
                <c:pt idx="755">
                  <c:v>0.99194099999999996</c:v>
                </c:pt>
                <c:pt idx="756">
                  <c:v>0.99208600000000002</c:v>
                </c:pt>
                <c:pt idx="757">
                  <c:v>0.99223700000000004</c:v>
                </c:pt>
                <c:pt idx="758">
                  <c:v>0.992394</c:v>
                </c:pt>
                <c:pt idx="759">
                  <c:v>0.99255800000000005</c:v>
                </c:pt>
                <c:pt idx="760">
                  <c:v>0.99272899999999997</c:v>
                </c:pt>
                <c:pt idx="761">
                  <c:v>0.99290500000000004</c:v>
                </c:pt>
                <c:pt idx="762">
                  <c:v>0.99308700000000005</c:v>
                </c:pt>
                <c:pt idx="763">
                  <c:v>0.99327500000000002</c:v>
                </c:pt>
                <c:pt idx="764">
                  <c:v>0.99346800000000002</c:v>
                </c:pt>
                <c:pt idx="765">
                  <c:v>0.99366699999999997</c:v>
                </c:pt>
                <c:pt idx="766">
                  <c:v>0.99387000000000003</c:v>
                </c:pt>
                <c:pt idx="767">
                  <c:v>0.99407800000000002</c:v>
                </c:pt>
                <c:pt idx="768">
                  <c:v>0.99429000000000001</c:v>
                </c:pt>
                <c:pt idx="769">
                  <c:v>0.994506</c:v>
                </c:pt>
                <c:pt idx="770">
                  <c:v>0.994726</c:v>
                </c:pt>
                <c:pt idx="771">
                  <c:v>0.99494800000000005</c:v>
                </c:pt>
                <c:pt idx="772">
                  <c:v>0.99517299999999997</c:v>
                </c:pt>
                <c:pt idx="773">
                  <c:v>0.99539999999999995</c:v>
                </c:pt>
                <c:pt idx="774">
                  <c:v>0.99562899999999999</c:v>
                </c:pt>
                <c:pt idx="775">
                  <c:v>0.99585800000000002</c:v>
                </c:pt>
                <c:pt idx="776">
                  <c:v>0.996089</c:v>
                </c:pt>
                <c:pt idx="777">
                  <c:v>0.99631899999999995</c:v>
                </c:pt>
                <c:pt idx="778">
                  <c:v>0.99654900000000002</c:v>
                </c:pt>
                <c:pt idx="779">
                  <c:v>0.99677800000000005</c:v>
                </c:pt>
                <c:pt idx="780">
                  <c:v>0.99700500000000003</c:v>
                </c:pt>
                <c:pt idx="781">
                  <c:v>0.99722999999999995</c:v>
                </c:pt>
                <c:pt idx="782">
                  <c:v>0.99745200000000001</c:v>
                </c:pt>
                <c:pt idx="783">
                  <c:v>0.99767099999999997</c:v>
                </c:pt>
                <c:pt idx="784">
                  <c:v>0.99788600000000005</c:v>
                </c:pt>
                <c:pt idx="785">
                  <c:v>0.99809700000000001</c:v>
                </c:pt>
                <c:pt idx="786">
                  <c:v>0.99830300000000005</c:v>
                </c:pt>
                <c:pt idx="787">
                  <c:v>0.99850399999999995</c:v>
                </c:pt>
                <c:pt idx="788">
                  <c:v>0.998699</c:v>
                </c:pt>
                <c:pt idx="789">
                  <c:v>0.99888699999999997</c:v>
                </c:pt>
                <c:pt idx="790">
                  <c:v>0.99906899999999998</c:v>
                </c:pt>
                <c:pt idx="791">
                  <c:v>0.99924299999999999</c:v>
                </c:pt>
                <c:pt idx="792">
                  <c:v>0.99940899999999999</c:v>
                </c:pt>
                <c:pt idx="793">
                  <c:v>0.99956699999999998</c:v>
                </c:pt>
                <c:pt idx="794">
                  <c:v>0.99971699999999997</c:v>
                </c:pt>
                <c:pt idx="795">
                  <c:v>0.999857</c:v>
                </c:pt>
                <c:pt idx="796">
                  <c:v>0.99998799999999999</c:v>
                </c:pt>
                <c:pt idx="797">
                  <c:v>1.0001089999999999</c:v>
                </c:pt>
                <c:pt idx="798">
                  <c:v>1.000221</c:v>
                </c:pt>
                <c:pt idx="799">
                  <c:v>1.000321</c:v>
                </c:pt>
                <c:pt idx="800">
                  <c:v>1.0004120000000001</c:v>
                </c:pt>
                <c:pt idx="801">
                  <c:v>1.000491</c:v>
                </c:pt>
                <c:pt idx="802">
                  <c:v>1.000559</c:v>
                </c:pt>
                <c:pt idx="803">
                  <c:v>1.000615</c:v>
                </c:pt>
                <c:pt idx="804">
                  <c:v>1.0006600000000001</c:v>
                </c:pt>
                <c:pt idx="805">
                  <c:v>1.000694</c:v>
                </c:pt>
                <c:pt idx="806">
                  <c:v>1.000715</c:v>
                </c:pt>
                <c:pt idx="807">
                  <c:v>1.0007250000000001</c:v>
                </c:pt>
                <c:pt idx="808">
                  <c:v>1.0007219999999999</c:v>
                </c:pt>
                <c:pt idx="809">
                  <c:v>1.000707</c:v>
                </c:pt>
                <c:pt idx="810">
                  <c:v>1.00068</c:v>
                </c:pt>
                <c:pt idx="811">
                  <c:v>1.0006409999999999</c:v>
                </c:pt>
                <c:pt idx="812">
                  <c:v>1.000589</c:v>
                </c:pt>
                <c:pt idx="813">
                  <c:v>1.000526</c:v>
                </c:pt>
                <c:pt idx="814">
                  <c:v>1.0004500000000001</c:v>
                </c:pt>
                <c:pt idx="815">
                  <c:v>1.000362</c:v>
                </c:pt>
                <c:pt idx="816">
                  <c:v>1.0002629999999999</c:v>
                </c:pt>
                <c:pt idx="817">
                  <c:v>1.0001519999999999</c:v>
                </c:pt>
                <c:pt idx="818">
                  <c:v>1.0000290000000001</c:v>
                </c:pt>
                <c:pt idx="819">
                  <c:v>0.99989499999999998</c:v>
                </c:pt>
                <c:pt idx="820">
                  <c:v>0.99975000000000003</c:v>
                </c:pt>
                <c:pt idx="821">
                  <c:v>0.99959399999999998</c:v>
                </c:pt>
                <c:pt idx="822">
                  <c:v>0.99942799999999998</c:v>
                </c:pt>
                <c:pt idx="823">
                  <c:v>0.99925200000000003</c:v>
                </c:pt>
                <c:pt idx="824">
                  <c:v>0.99906600000000001</c:v>
                </c:pt>
                <c:pt idx="825">
                  <c:v>0.99887099999999995</c:v>
                </c:pt>
                <c:pt idx="826">
                  <c:v>0.99866699999999997</c:v>
                </c:pt>
                <c:pt idx="827">
                  <c:v>0.99845499999999998</c:v>
                </c:pt>
                <c:pt idx="828">
                  <c:v>0.99823499999999998</c:v>
                </c:pt>
                <c:pt idx="829">
                  <c:v>0.99800699999999998</c:v>
                </c:pt>
                <c:pt idx="830">
                  <c:v>0.99777400000000005</c:v>
                </c:pt>
                <c:pt idx="831">
                  <c:v>0.997533</c:v>
                </c:pt>
                <c:pt idx="832">
                  <c:v>0.99728799999999995</c:v>
                </c:pt>
                <c:pt idx="833">
                  <c:v>0.99703799999999998</c:v>
                </c:pt>
                <c:pt idx="834">
                  <c:v>0.99678299999999997</c:v>
                </c:pt>
                <c:pt idx="835">
                  <c:v>0.99652499999999999</c:v>
                </c:pt>
                <c:pt idx="836">
                  <c:v>0.99626499999999996</c:v>
                </c:pt>
                <c:pt idx="837">
                  <c:v>0.99600200000000005</c:v>
                </c:pt>
                <c:pt idx="838">
                  <c:v>0.99573900000000004</c:v>
                </c:pt>
                <c:pt idx="839">
                  <c:v>0.995475</c:v>
                </c:pt>
                <c:pt idx="840">
                  <c:v>0.99521099999999996</c:v>
                </c:pt>
                <c:pt idx="841">
                  <c:v>0.99494800000000005</c:v>
                </c:pt>
                <c:pt idx="842">
                  <c:v>0.99468699999999999</c:v>
                </c:pt>
                <c:pt idx="843">
                  <c:v>0.99442900000000001</c:v>
                </c:pt>
                <c:pt idx="844">
                  <c:v>0.994174</c:v>
                </c:pt>
                <c:pt idx="845">
                  <c:v>0.99392400000000003</c:v>
                </c:pt>
                <c:pt idx="846">
                  <c:v>0.99367799999999995</c:v>
                </c:pt>
                <c:pt idx="847">
                  <c:v>0.99343800000000004</c:v>
                </c:pt>
                <c:pt idx="848">
                  <c:v>0.99320399999999998</c:v>
                </c:pt>
                <c:pt idx="849">
                  <c:v>0.992977</c:v>
                </c:pt>
                <c:pt idx="850">
                  <c:v>0.99275800000000003</c:v>
                </c:pt>
                <c:pt idx="851">
                  <c:v>0.99254799999999999</c:v>
                </c:pt>
                <c:pt idx="852">
                  <c:v>0.99234599999999995</c:v>
                </c:pt>
                <c:pt idx="853">
                  <c:v>0.99215299999999995</c:v>
                </c:pt>
                <c:pt idx="854">
                  <c:v>0.99197000000000002</c:v>
                </c:pt>
                <c:pt idx="855">
                  <c:v>0.99179799999999996</c:v>
                </c:pt>
                <c:pt idx="856">
                  <c:v>0.99163699999999999</c:v>
                </c:pt>
                <c:pt idx="857">
                  <c:v>0.99148599999999998</c:v>
                </c:pt>
                <c:pt idx="858">
                  <c:v>0.99134800000000001</c:v>
                </c:pt>
                <c:pt idx="859">
                  <c:v>0.99122100000000002</c:v>
                </c:pt>
                <c:pt idx="860">
                  <c:v>0.99110600000000004</c:v>
                </c:pt>
                <c:pt idx="861">
                  <c:v>0.99100299999999997</c:v>
                </c:pt>
                <c:pt idx="862">
                  <c:v>0.99091300000000004</c:v>
                </c:pt>
                <c:pt idx="863">
                  <c:v>0.99083500000000002</c:v>
                </c:pt>
                <c:pt idx="864">
                  <c:v>0.99077000000000004</c:v>
                </c:pt>
                <c:pt idx="865">
                  <c:v>0.99071699999999996</c:v>
                </c:pt>
                <c:pt idx="866">
                  <c:v>0.99067700000000003</c:v>
                </c:pt>
                <c:pt idx="867">
                  <c:v>0.990649</c:v>
                </c:pt>
                <c:pt idx="868">
                  <c:v>0.99063299999999999</c:v>
                </c:pt>
                <c:pt idx="869">
                  <c:v>0.99063000000000001</c:v>
                </c:pt>
                <c:pt idx="870">
                  <c:v>0.99063800000000002</c:v>
                </c:pt>
                <c:pt idx="871">
                  <c:v>0.99065700000000001</c:v>
                </c:pt>
                <c:pt idx="872">
                  <c:v>0.99068800000000001</c:v>
                </c:pt>
                <c:pt idx="873">
                  <c:v>0.99073</c:v>
                </c:pt>
                <c:pt idx="874">
                  <c:v>0.99078200000000005</c:v>
                </c:pt>
                <c:pt idx="875">
                  <c:v>0.99084399999999995</c:v>
                </c:pt>
                <c:pt idx="876">
                  <c:v>0.99091600000000002</c:v>
                </c:pt>
                <c:pt idx="877">
                  <c:v>0.99099800000000005</c:v>
                </c:pt>
                <c:pt idx="878">
                  <c:v>0.99108799999999997</c:v>
                </c:pt>
                <c:pt idx="879">
                  <c:v>0.99118600000000001</c:v>
                </c:pt>
                <c:pt idx="880">
                  <c:v>0.99129199999999995</c:v>
                </c:pt>
                <c:pt idx="881">
                  <c:v>0.99140600000000001</c:v>
                </c:pt>
                <c:pt idx="882">
                  <c:v>0.99152600000000002</c:v>
                </c:pt>
                <c:pt idx="883">
                  <c:v>0.99165199999999998</c:v>
                </c:pt>
                <c:pt idx="884">
                  <c:v>0.99178500000000003</c:v>
                </c:pt>
                <c:pt idx="885">
                  <c:v>0.99192199999999997</c:v>
                </c:pt>
                <c:pt idx="886">
                  <c:v>0.99206399999999995</c:v>
                </c:pt>
                <c:pt idx="887">
                  <c:v>0.99221000000000004</c:v>
                </c:pt>
                <c:pt idx="888">
                  <c:v>0.99236000000000002</c:v>
                </c:pt>
                <c:pt idx="889">
                  <c:v>0.99251199999999995</c:v>
                </c:pt>
                <c:pt idx="890">
                  <c:v>0.99266799999999999</c:v>
                </c:pt>
                <c:pt idx="891">
                  <c:v>0.99282499999999996</c:v>
                </c:pt>
                <c:pt idx="892">
                  <c:v>0.99298399999999998</c:v>
                </c:pt>
                <c:pt idx="893">
                  <c:v>0.99314400000000003</c:v>
                </c:pt>
                <c:pt idx="894">
                  <c:v>0.99330399999999996</c:v>
                </c:pt>
                <c:pt idx="895">
                  <c:v>0.99346500000000004</c:v>
                </c:pt>
                <c:pt idx="896">
                  <c:v>0.99362499999999998</c:v>
                </c:pt>
                <c:pt idx="897">
                  <c:v>0.993784</c:v>
                </c:pt>
                <c:pt idx="898">
                  <c:v>0.99394300000000002</c:v>
                </c:pt>
                <c:pt idx="899">
                  <c:v>0.99409899999999995</c:v>
                </c:pt>
                <c:pt idx="900">
                  <c:v>0.99425399999999997</c:v>
                </c:pt>
                <c:pt idx="901">
                  <c:v>0.99440700000000004</c:v>
                </c:pt>
                <c:pt idx="902">
                  <c:v>0.99455700000000002</c:v>
                </c:pt>
                <c:pt idx="903">
                  <c:v>0.99470400000000003</c:v>
                </c:pt>
                <c:pt idx="904">
                  <c:v>0.99484899999999998</c:v>
                </c:pt>
                <c:pt idx="905">
                  <c:v>0.99498900000000001</c:v>
                </c:pt>
                <c:pt idx="906">
                  <c:v>0.99512699999999998</c:v>
                </c:pt>
                <c:pt idx="907">
                  <c:v>0.99526000000000003</c:v>
                </c:pt>
                <c:pt idx="908">
                  <c:v>0.99538899999999997</c:v>
                </c:pt>
                <c:pt idx="909">
                  <c:v>0.99551500000000004</c:v>
                </c:pt>
                <c:pt idx="910">
                  <c:v>0.99563599999999997</c:v>
                </c:pt>
                <c:pt idx="911">
                  <c:v>0.995753</c:v>
                </c:pt>
                <c:pt idx="912">
                  <c:v>0.995865</c:v>
                </c:pt>
                <c:pt idx="913">
                  <c:v>0.99597199999999997</c:v>
                </c:pt>
                <c:pt idx="914">
                  <c:v>0.99607599999999996</c:v>
                </c:pt>
                <c:pt idx="915">
                  <c:v>0.996174</c:v>
                </c:pt>
                <c:pt idx="916">
                  <c:v>0.99626800000000004</c:v>
                </c:pt>
                <c:pt idx="917">
                  <c:v>0.99635799999999997</c:v>
                </c:pt>
                <c:pt idx="918">
                  <c:v>0.99644299999999997</c:v>
                </c:pt>
                <c:pt idx="919">
                  <c:v>0.99652399999999997</c:v>
                </c:pt>
                <c:pt idx="920">
                  <c:v>0.99660099999999996</c:v>
                </c:pt>
                <c:pt idx="921">
                  <c:v>0.99667300000000003</c:v>
                </c:pt>
                <c:pt idx="922">
                  <c:v>0.99674099999999999</c:v>
                </c:pt>
                <c:pt idx="923">
                  <c:v>0.99680599999999997</c:v>
                </c:pt>
                <c:pt idx="924">
                  <c:v>0.99686699999999995</c:v>
                </c:pt>
                <c:pt idx="925">
                  <c:v>0.99692499999999995</c:v>
                </c:pt>
                <c:pt idx="926">
                  <c:v>0.99697899999999995</c:v>
                </c:pt>
                <c:pt idx="927">
                  <c:v>0.99702999999999997</c:v>
                </c:pt>
                <c:pt idx="928">
                  <c:v>0.99707800000000002</c:v>
                </c:pt>
                <c:pt idx="929">
                  <c:v>0.99712400000000001</c:v>
                </c:pt>
                <c:pt idx="930">
                  <c:v>0.99716800000000005</c:v>
                </c:pt>
                <c:pt idx="931">
                  <c:v>0.99720900000000001</c:v>
                </c:pt>
                <c:pt idx="932">
                  <c:v>0.99724800000000002</c:v>
                </c:pt>
                <c:pt idx="933">
                  <c:v>0.99728600000000001</c:v>
                </c:pt>
                <c:pt idx="934">
                  <c:v>0.99732200000000004</c:v>
                </c:pt>
                <c:pt idx="935">
                  <c:v>0.99735799999999997</c:v>
                </c:pt>
                <c:pt idx="936">
                  <c:v>0.99739199999999995</c:v>
                </c:pt>
                <c:pt idx="937">
                  <c:v>0.99742600000000003</c:v>
                </c:pt>
                <c:pt idx="938">
                  <c:v>0.99745899999999998</c:v>
                </c:pt>
                <c:pt idx="939">
                  <c:v>0.99749200000000005</c:v>
                </c:pt>
                <c:pt idx="940">
                  <c:v>0.99752399999999997</c:v>
                </c:pt>
                <c:pt idx="941">
                  <c:v>0.99755700000000003</c:v>
                </c:pt>
                <c:pt idx="942">
                  <c:v>0.99758999999999998</c:v>
                </c:pt>
                <c:pt idx="943">
                  <c:v>0.99762399999999996</c:v>
                </c:pt>
                <c:pt idx="944">
                  <c:v>0.99765700000000002</c:v>
                </c:pt>
                <c:pt idx="945">
                  <c:v>0.99769200000000002</c:v>
                </c:pt>
                <c:pt idx="946">
                  <c:v>0.99772700000000003</c:v>
                </c:pt>
                <c:pt idx="947">
                  <c:v>0.99776299999999996</c:v>
                </c:pt>
                <c:pt idx="948">
                  <c:v>0.99779899999999999</c:v>
                </c:pt>
                <c:pt idx="949">
                  <c:v>0.99783699999999997</c:v>
                </c:pt>
                <c:pt idx="950">
                  <c:v>0.99787499999999996</c:v>
                </c:pt>
                <c:pt idx="951">
                  <c:v>0.99791399999999997</c:v>
                </c:pt>
                <c:pt idx="952">
                  <c:v>0.99795299999999998</c:v>
                </c:pt>
                <c:pt idx="953">
                  <c:v>0.99799300000000002</c:v>
                </c:pt>
                <c:pt idx="954">
                  <c:v>0.99803399999999998</c:v>
                </c:pt>
                <c:pt idx="955">
                  <c:v>0.99807400000000002</c:v>
                </c:pt>
                <c:pt idx="956">
                  <c:v>0.99811499999999997</c:v>
                </c:pt>
                <c:pt idx="957">
                  <c:v>0.99815699999999996</c:v>
                </c:pt>
                <c:pt idx="958">
                  <c:v>0.99819800000000003</c:v>
                </c:pt>
                <c:pt idx="959">
                  <c:v>0.99823799999999996</c:v>
                </c:pt>
                <c:pt idx="960">
                  <c:v>0.998278</c:v>
                </c:pt>
                <c:pt idx="961">
                  <c:v>0.99831800000000004</c:v>
                </c:pt>
                <c:pt idx="962">
                  <c:v>0.99835600000000002</c:v>
                </c:pt>
                <c:pt idx="963">
                  <c:v>0.99839299999999997</c:v>
                </c:pt>
                <c:pt idx="964">
                  <c:v>0.99842900000000001</c:v>
                </c:pt>
                <c:pt idx="965">
                  <c:v>0.99846299999999999</c:v>
                </c:pt>
                <c:pt idx="966">
                  <c:v>0.99849500000000002</c:v>
                </c:pt>
                <c:pt idx="967">
                  <c:v>0.998525</c:v>
                </c:pt>
                <c:pt idx="968">
                  <c:v>0.99855300000000002</c:v>
                </c:pt>
                <c:pt idx="969">
                  <c:v>0.99857799999999997</c:v>
                </c:pt>
                <c:pt idx="970">
                  <c:v>0.99859900000000001</c:v>
                </c:pt>
                <c:pt idx="971">
                  <c:v>0.99861800000000001</c:v>
                </c:pt>
                <c:pt idx="972">
                  <c:v>0.99863299999999999</c:v>
                </c:pt>
                <c:pt idx="973">
                  <c:v>0.99864399999999998</c:v>
                </c:pt>
                <c:pt idx="974">
                  <c:v>0.99865199999999998</c:v>
                </c:pt>
                <c:pt idx="975">
                  <c:v>0.99865499999999996</c:v>
                </c:pt>
                <c:pt idx="976">
                  <c:v>0.99865400000000004</c:v>
                </c:pt>
                <c:pt idx="977">
                  <c:v>0.99864799999999998</c:v>
                </c:pt>
                <c:pt idx="978">
                  <c:v>0.99863800000000003</c:v>
                </c:pt>
                <c:pt idx="979">
                  <c:v>0.99862300000000004</c:v>
                </c:pt>
                <c:pt idx="980">
                  <c:v>0.99860300000000002</c:v>
                </c:pt>
                <c:pt idx="981">
                  <c:v>0.99857799999999997</c:v>
                </c:pt>
                <c:pt idx="982">
                  <c:v>0.99854699999999996</c:v>
                </c:pt>
                <c:pt idx="983">
                  <c:v>0.99851100000000004</c:v>
                </c:pt>
                <c:pt idx="984">
                  <c:v>0.99846999999999997</c:v>
                </c:pt>
                <c:pt idx="985">
                  <c:v>0.99842299999999995</c:v>
                </c:pt>
                <c:pt idx="986">
                  <c:v>0.99837100000000001</c:v>
                </c:pt>
                <c:pt idx="987">
                  <c:v>0.99831300000000001</c:v>
                </c:pt>
                <c:pt idx="988">
                  <c:v>0.99824999999999997</c:v>
                </c:pt>
                <c:pt idx="989">
                  <c:v>0.99818099999999998</c:v>
                </c:pt>
                <c:pt idx="990">
                  <c:v>0.99810699999999997</c:v>
                </c:pt>
                <c:pt idx="991">
                  <c:v>0.998027</c:v>
                </c:pt>
                <c:pt idx="992">
                  <c:v>0.997942</c:v>
                </c:pt>
                <c:pt idx="993">
                  <c:v>0.99785199999999996</c:v>
                </c:pt>
                <c:pt idx="994">
                  <c:v>0.99775700000000001</c:v>
                </c:pt>
                <c:pt idx="995">
                  <c:v>0.99765599999999999</c:v>
                </c:pt>
                <c:pt idx="996">
                  <c:v>0.99755099999999997</c:v>
                </c:pt>
                <c:pt idx="997">
                  <c:v>0.99744100000000002</c:v>
                </c:pt>
                <c:pt idx="998">
                  <c:v>0.99732699999999996</c:v>
                </c:pt>
                <c:pt idx="999">
                  <c:v>0.99720799999999998</c:v>
                </c:pt>
                <c:pt idx="1000">
                  <c:v>0.99708600000000003</c:v>
                </c:pt>
                <c:pt idx="1001">
                  <c:v>0.99695900000000004</c:v>
                </c:pt>
                <c:pt idx="1002">
                  <c:v>0.99682999999999999</c:v>
                </c:pt>
                <c:pt idx="1003">
                  <c:v>0.99669700000000006</c:v>
                </c:pt>
                <c:pt idx="1004">
                  <c:v>0.99656100000000003</c:v>
                </c:pt>
                <c:pt idx="1005">
                  <c:v>0.99642200000000003</c:v>
                </c:pt>
                <c:pt idx="1006">
                  <c:v>0.99628099999999997</c:v>
                </c:pt>
                <c:pt idx="1007">
                  <c:v>0.99613799999999997</c:v>
                </c:pt>
                <c:pt idx="1008">
                  <c:v>0.99599400000000005</c:v>
                </c:pt>
                <c:pt idx="1009">
                  <c:v>0.99584799999999996</c:v>
                </c:pt>
                <c:pt idx="1010">
                  <c:v>0.99570199999999998</c:v>
                </c:pt>
                <c:pt idx="1011">
                  <c:v>0.99555499999999997</c:v>
                </c:pt>
                <c:pt idx="1012">
                  <c:v>0.99540799999999996</c:v>
                </c:pt>
                <c:pt idx="1013">
                  <c:v>0.99526099999999995</c:v>
                </c:pt>
                <c:pt idx="1014">
                  <c:v>0.99511499999999997</c:v>
                </c:pt>
                <c:pt idx="1015">
                  <c:v>0.99497100000000005</c:v>
                </c:pt>
                <c:pt idx="1016">
                  <c:v>0.99482800000000005</c:v>
                </c:pt>
                <c:pt idx="1017">
                  <c:v>0.99468699999999999</c:v>
                </c:pt>
                <c:pt idx="1018">
                  <c:v>0.99454900000000002</c:v>
                </c:pt>
                <c:pt idx="1019">
                  <c:v>0.99441400000000002</c:v>
                </c:pt>
                <c:pt idx="1020">
                  <c:v>0.994282</c:v>
                </c:pt>
                <c:pt idx="1021">
                  <c:v>0.99415399999999998</c:v>
                </c:pt>
                <c:pt idx="1022">
                  <c:v>0.99402999999999997</c:v>
                </c:pt>
                <c:pt idx="1023">
                  <c:v>0.99391099999999999</c:v>
                </c:pt>
                <c:pt idx="1024">
                  <c:v>0.99379600000000001</c:v>
                </c:pt>
                <c:pt idx="1025">
                  <c:v>0.99368699999999999</c:v>
                </c:pt>
                <c:pt idx="1026">
                  <c:v>0.99358400000000002</c:v>
                </c:pt>
                <c:pt idx="1027">
                  <c:v>0.99348800000000004</c:v>
                </c:pt>
                <c:pt idx="1028">
                  <c:v>0.99339699999999997</c:v>
                </c:pt>
                <c:pt idx="1029">
                  <c:v>0.99331400000000003</c:v>
                </c:pt>
                <c:pt idx="1030">
                  <c:v>0.99323700000000004</c:v>
                </c:pt>
                <c:pt idx="1031">
                  <c:v>0.99316800000000005</c:v>
                </c:pt>
                <c:pt idx="1032">
                  <c:v>0.99310600000000004</c:v>
                </c:pt>
                <c:pt idx="1033">
                  <c:v>0.99305299999999996</c:v>
                </c:pt>
                <c:pt idx="1034">
                  <c:v>0.99300699999999997</c:v>
                </c:pt>
                <c:pt idx="1035">
                  <c:v>0.99296899999999999</c:v>
                </c:pt>
                <c:pt idx="1036">
                  <c:v>0.99294000000000004</c:v>
                </c:pt>
                <c:pt idx="1037">
                  <c:v>0.992919</c:v>
                </c:pt>
                <c:pt idx="1038">
                  <c:v>0.99290699999999998</c:v>
                </c:pt>
                <c:pt idx="1039">
                  <c:v>0.99290299999999998</c:v>
                </c:pt>
                <c:pt idx="1040">
                  <c:v>0.99290800000000001</c:v>
                </c:pt>
                <c:pt idx="1041">
                  <c:v>0.99292199999999997</c:v>
                </c:pt>
                <c:pt idx="1042">
                  <c:v>0.99294300000000002</c:v>
                </c:pt>
                <c:pt idx="1043">
                  <c:v>0.99297299999999999</c:v>
                </c:pt>
                <c:pt idx="1044">
                  <c:v>0.99301200000000001</c:v>
                </c:pt>
                <c:pt idx="1045">
                  <c:v>0.993058</c:v>
                </c:pt>
                <c:pt idx="1046">
                  <c:v>0.99311300000000002</c:v>
                </c:pt>
                <c:pt idx="1047">
                  <c:v>0.99317500000000003</c:v>
                </c:pt>
                <c:pt idx="1048">
                  <c:v>0.99324400000000002</c:v>
                </c:pt>
                <c:pt idx="1049">
                  <c:v>0.99332100000000001</c:v>
                </c:pt>
                <c:pt idx="1050">
                  <c:v>0.99340499999999998</c:v>
                </c:pt>
                <c:pt idx="1051">
                  <c:v>0.99349500000000002</c:v>
                </c:pt>
                <c:pt idx="1052">
                  <c:v>0.99359200000000003</c:v>
                </c:pt>
                <c:pt idx="1053">
                  <c:v>0.99369399999999997</c:v>
                </c:pt>
                <c:pt idx="1054">
                  <c:v>0.99380299999999999</c:v>
                </c:pt>
                <c:pt idx="1055">
                  <c:v>0.99391600000000002</c:v>
                </c:pt>
                <c:pt idx="1056">
                  <c:v>0.99403399999999997</c:v>
                </c:pt>
                <c:pt idx="1057">
                  <c:v>0.99415600000000004</c:v>
                </c:pt>
                <c:pt idx="1058">
                  <c:v>0.99428300000000003</c:v>
                </c:pt>
                <c:pt idx="1059">
                  <c:v>0.99441299999999999</c:v>
                </c:pt>
                <c:pt idx="1060">
                  <c:v>0.99454600000000004</c:v>
                </c:pt>
                <c:pt idx="1061">
                  <c:v>0.99468100000000004</c:v>
                </c:pt>
                <c:pt idx="1062">
                  <c:v>0.99481900000000001</c:v>
                </c:pt>
                <c:pt idx="1063">
                  <c:v>0.99495900000000004</c:v>
                </c:pt>
                <c:pt idx="1064">
                  <c:v>0.99509999999999998</c:v>
                </c:pt>
                <c:pt idx="1065">
                  <c:v>0.99524199999999996</c:v>
                </c:pt>
                <c:pt idx="1066">
                  <c:v>0.99538499999999996</c:v>
                </c:pt>
                <c:pt idx="1067">
                  <c:v>0.99552700000000005</c:v>
                </c:pt>
                <c:pt idx="1068">
                  <c:v>0.99567000000000005</c:v>
                </c:pt>
                <c:pt idx="1069">
                  <c:v>0.995811</c:v>
                </c:pt>
                <c:pt idx="1070">
                  <c:v>0.99595199999999995</c:v>
                </c:pt>
                <c:pt idx="1071">
                  <c:v>0.99609099999999995</c:v>
                </c:pt>
                <c:pt idx="1072">
                  <c:v>0.996228</c:v>
                </c:pt>
                <c:pt idx="1073">
                  <c:v>0.996363</c:v>
                </c:pt>
                <c:pt idx="1074">
                  <c:v>0.99649500000000002</c:v>
                </c:pt>
                <c:pt idx="1075">
                  <c:v>0.99662499999999998</c:v>
                </c:pt>
                <c:pt idx="1076">
                  <c:v>0.99675100000000005</c:v>
                </c:pt>
                <c:pt idx="1077">
                  <c:v>0.99687400000000004</c:v>
                </c:pt>
                <c:pt idx="1078">
                  <c:v>0.99699300000000002</c:v>
                </c:pt>
                <c:pt idx="1079">
                  <c:v>0.99710799999999999</c:v>
                </c:pt>
                <c:pt idx="1080">
                  <c:v>0.99722</c:v>
                </c:pt>
                <c:pt idx="1081">
                  <c:v>0.99732600000000005</c:v>
                </c:pt>
                <c:pt idx="1082">
                  <c:v>0.99742799999999998</c:v>
                </c:pt>
                <c:pt idx="1083">
                  <c:v>0.99752600000000002</c:v>
                </c:pt>
                <c:pt idx="1084">
                  <c:v>0.997618</c:v>
                </c:pt>
                <c:pt idx="1085">
                  <c:v>0.99770499999999995</c:v>
                </c:pt>
                <c:pt idx="1086">
                  <c:v>0.99778699999999998</c:v>
                </c:pt>
                <c:pt idx="1087">
                  <c:v>0.99786399999999997</c:v>
                </c:pt>
                <c:pt idx="1088">
                  <c:v>0.99793500000000002</c:v>
                </c:pt>
                <c:pt idx="1089">
                  <c:v>0.998</c:v>
                </c:pt>
                <c:pt idx="1090">
                  <c:v>0.99806099999999998</c:v>
                </c:pt>
                <c:pt idx="1091">
                  <c:v>0.99811499999999997</c:v>
                </c:pt>
                <c:pt idx="1092">
                  <c:v>0.99816400000000005</c:v>
                </c:pt>
                <c:pt idx="1093">
                  <c:v>0.99820699999999996</c:v>
                </c:pt>
                <c:pt idx="1094">
                  <c:v>0.99824500000000005</c:v>
                </c:pt>
                <c:pt idx="1095">
                  <c:v>0.99827699999999997</c:v>
                </c:pt>
                <c:pt idx="1096">
                  <c:v>0.99830399999999997</c:v>
                </c:pt>
                <c:pt idx="1097">
                  <c:v>0.99832500000000002</c:v>
                </c:pt>
                <c:pt idx="1098">
                  <c:v>0.99834100000000003</c:v>
                </c:pt>
                <c:pt idx="1099">
                  <c:v>0.99835200000000002</c:v>
                </c:pt>
                <c:pt idx="1100">
                  <c:v>0.99835700000000005</c:v>
                </c:pt>
                <c:pt idx="1101">
                  <c:v>0.99835700000000005</c:v>
                </c:pt>
                <c:pt idx="1102">
                  <c:v>0.99835300000000005</c:v>
                </c:pt>
                <c:pt idx="1103">
                  <c:v>0.99834299999999998</c:v>
                </c:pt>
                <c:pt idx="1104">
                  <c:v>0.99832900000000002</c:v>
                </c:pt>
                <c:pt idx="1105">
                  <c:v>0.99831099999999995</c:v>
                </c:pt>
                <c:pt idx="1106">
                  <c:v>0.99828799999999995</c:v>
                </c:pt>
                <c:pt idx="1107">
                  <c:v>0.99826099999999995</c:v>
                </c:pt>
                <c:pt idx="1108">
                  <c:v>0.99822999999999995</c:v>
                </c:pt>
                <c:pt idx="1109">
                  <c:v>0.99819599999999997</c:v>
                </c:pt>
                <c:pt idx="1110">
                  <c:v>0.99815799999999999</c:v>
                </c:pt>
                <c:pt idx="1111">
                  <c:v>0.99811700000000003</c:v>
                </c:pt>
                <c:pt idx="1112">
                  <c:v>0.99807299999999999</c:v>
                </c:pt>
                <c:pt idx="1113">
                  <c:v>0.99802599999999997</c:v>
                </c:pt>
                <c:pt idx="1114">
                  <c:v>0.99797599999999997</c:v>
                </c:pt>
                <c:pt idx="1115">
                  <c:v>0.99792499999999995</c:v>
                </c:pt>
                <c:pt idx="1116">
                  <c:v>0.99787099999999995</c:v>
                </c:pt>
                <c:pt idx="1117">
                  <c:v>0.99781500000000001</c:v>
                </c:pt>
                <c:pt idx="1118">
                  <c:v>0.99775800000000003</c:v>
                </c:pt>
                <c:pt idx="1119">
                  <c:v>0.997699</c:v>
                </c:pt>
                <c:pt idx="1120">
                  <c:v>0.99763999999999997</c:v>
                </c:pt>
                <c:pt idx="1121">
                  <c:v>0.99757899999999999</c:v>
                </c:pt>
                <c:pt idx="1122">
                  <c:v>0.99751800000000002</c:v>
                </c:pt>
                <c:pt idx="1123">
                  <c:v>0.99745600000000001</c:v>
                </c:pt>
                <c:pt idx="1124">
                  <c:v>0.99739299999999997</c:v>
                </c:pt>
                <c:pt idx="1125">
                  <c:v>0.99733099999999997</c:v>
                </c:pt>
                <c:pt idx="1126">
                  <c:v>0.99726899999999996</c:v>
                </c:pt>
                <c:pt idx="1127">
                  <c:v>0.99720699999999995</c:v>
                </c:pt>
                <c:pt idx="1128">
                  <c:v>0.99714599999999998</c:v>
                </c:pt>
                <c:pt idx="1129">
                  <c:v>0.997085</c:v>
                </c:pt>
                <c:pt idx="1130">
                  <c:v>0.99702400000000002</c:v>
                </c:pt>
                <c:pt idx="1131">
                  <c:v>0.99696499999999999</c:v>
                </c:pt>
                <c:pt idx="1132">
                  <c:v>0.99690699999999999</c:v>
                </c:pt>
                <c:pt idx="1133">
                  <c:v>0.99684899999999999</c:v>
                </c:pt>
                <c:pt idx="1134">
                  <c:v>0.99679300000000004</c:v>
                </c:pt>
                <c:pt idx="1135">
                  <c:v>0.99673800000000001</c:v>
                </c:pt>
                <c:pt idx="1136">
                  <c:v>0.99668400000000001</c:v>
                </c:pt>
                <c:pt idx="1137">
                  <c:v>0.99663199999999996</c:v>
                </c:pt>
                <c:pt idx="1138">
                  <c:v>0.99658100000000005</c:v>
                </c:pt>
                <c:pt idx="1139">
                  <c:v>0.99653099999999994</c:v>
                </c:pt>
                <c:pt idx="1140">
                  <c:v>0.99648300000000001</c:v>
                </c:pt>
                <c:pt idx="1141">
                  <c:v>0.99643599999999999</c:v>
                </c:pt>
                <c:pt idx="1142">
                  <c:v>0.99639</c:v>
                </c:pt>
                <c:pt idx="1143">
                  <c:v>0.99634599999999995</c:v>
                </c:pt>
                <c:pt idx="1144">
                  <c:v>0.99630300000000005</c:v>
                </c:pt>
                <c:pt idx="1145">
                  <c:v>0.99626099999999995</c:v>
                </c:pt>
                <c:pt idx="1146">
                  <c:v>0.99622100000000002</c:v>
                </c:pt>
                <c:pt idx="1147">
                  <c:v>0.99618200000000001</c:v>
                </c:pt>
                <c:pt idx="1148">
                  <c:v>0.99614400000000003</c:v>
                </c:pt>
                <c:pt idx="1149">
                  <c:v>0.99610699999999996</c:v>
                </c:pt>
                <c:pt idx="1150">
                  <c:v>0.99607100000000004</c:v>
                </c:pt>
                <c:pt idx="1151">
                  <c:v>0.996035</c:v>
                </c:pt>
                <c:pt idx="1152">
                  <c:v>0.99600100000000003</c:v>
                </c:pt>
                <c:pt idx="1153">
                  <c:v>0.99596700000000005</c:v>
                </c:pt>
                <c:pt idx="1154">
                  <c:v>0.99593399999999999</c:v>
                </c:pt>
                <c:pt idx="1155">
                  <c:v>0.99590199999999995</c:v>
                </c:pt>
                <c:pt idx="1156">
                  <c:v>0.99587000000000003</c:v>
                </c:pt>
                <c:pt idx="1157">
                  <c:v>0.995838</c:v>
                </c:pt>
                <c:pt idx="1158">
                  <c:v>0.995807</c:v>
                </c:pt>
                <c:pt idx="1159">
                  <c:v>0.99577599999999999</c:v>
                </c:pt>
                <c:pt idx="1160">
                  <c:v>0.99574499999999999</c:v>
                </c:pt>
                <c:pt idx="1161">
                  <c:v>0.99571399999999999</c:v>
                </c:pt>
                <c:pt idx="1162">
                  <c:v>0.99568299999999998</c:v>
                </c:pt>
                <c:pt idx="1163">
                  <c:v>0.99565300000000001</c:v>
                </c:pt>
                <c:pt idx="1164">
                  <c:v>0.99562099999999998</c:v>
                </c:pt>
                <c:pt idx="1165">
                  <c:v>0.99558999999999997</c:v>
                </c:pt>
                <c:pt idx="1166">
                  <c:v>0.99555899999999997</c:v>
                </c:pt>
                <c:pt idx="1167">
                  <c:v>0.99552700000000005</c:v>
                </c:pt>
                <c:pt idx="1168">
                  <c:v>0.99549500000000002</c:v>
                </c:pt>
                <c:pt idx="1169">
                  <c:v>0.99546299999999999</c:v>
                </c:pt>
                <c:pt idx="1170">
                  <c:v>0.99543000000000004</c:v>
                </c:pt>
                <c:pt idx="1171">
                  <c:v>0.99539699999999998</c:v>
                </c:pt>
                <c:pt idx="1172">
                  <c:v>0.99536400000000003</c:v>
                </c:pt>
                <c:pt idx="1173">
                  <c:v>0.99533000000000005</c:v>
                </c:pt>
                <c:pt idx="1174">
                  <c:v>0.99529599999999996</c:v>
                </c:pt>
                <c:pt idx="1175">
                  <c:v>0.99526099999999995</c:v>
                </c:pt>
                <c:pt idx="1176">
                  <c:v>0.99522600000000006</c:v>
                </c:pt>
                <c:pt idx="1177">
                  <c:v>0.99519100000000005</c:v>
                </c:pt>
                <c:pt idx="1178">
                  <c:v>0.99515600000000004</c:v>
                </c:pt>
                <c:pt idx="1179">
                  <c:v>0.99512</c:v>
                </c:pt>
                <c:pt idx="1180">
                  <c:v>0.99508399999999997</c:v>
                </c:pt>
                <c:pt idx="1181">
                  <c:v>0.99504800000000004</c:v>
                </c:pt>
                <c:pt idx="1182">
                  <c:v>0.99501200000000001</c:v>
                </c:pt>
                <c:pt idx="1183">
                  <c:v>0.99497599999999997</c:v>
                </c:pt>
                <c:pt idx="1184">
                  <c:v>0.99494000000000005</c:v>
                </c:pt>
                <c:pt idx="1185">
                  <c:v>0.99490400000000001</c:v>
                </c:pt>
                <c:pt idx="1186">
                  <c:v>0.994869</c:v>
                </c:pt>
                <c:pt idx="1187">
                  <c:v>0.99483299999999997</c:v>
                </c:pt>
                <c:pt idx="1188">
                  <c:v>0.99479899999999999</c:v>
                </c:pt>
                <c:pt idx="1189">
                  <c:v>0.99476399999999998</c:v>
                </c:pt>
                <c:pt idx="1190">
                  <c:v>0.99473100000000003</c:v>
                </c:pt>
                <c:pt idx="1191">
                  <c:v>0.99469799999999997</c:v>
                </c:pt>
                <c:pt idx="1192">
                  <c:v>0.99466600000000005</c:v>
                </c:pt>
                <c:pt idx="1193">
                  <c:v>0.99463500000000005</c:v>
                </c:pt>
                <c:pt idx="1194">
                  <c:v>0.99460499999999996</c:v>
                </c:pt>
                <c:pt idx="1195">
                  <c:v>0.99457600000000002</c:v>
                </c:pt>
                <c:pt idx="1196">
                  <c:v>0.99454900000000002</c:v>
                </c:pt>
                <c:pt idx="1197">
                  <c:v>0.99452399999999996</c:v>
                </c:pt>
                <c:pt idx="1198">
                  <c:v>0.99450000000000005</c:v>
                </c:pt>
                <c:pt idx="1199">
                  <c:v>0.99447700000000006</c:v>
                </c:pt>
                <c:pt idx="1200">
                  <c:v>0.99445700000000004</c:v>
                </c:pt>
                <c:pt idx="1201">
                  <c:v>0.99443899999999996</c:v>
                </c:pt>
                <c:pt idx="1202">
                  <c:v>0.99442299999999995</c:v>
                </c:pt>
                <c:pt idx="1203">
                  <c:v>0.99440899999999999</c:v>
                </c:pt>
                <c:pt idx="1204">
                  <c:v>0.994398</c:v>
                </c:pt>
                <c:pt idx="1205">
                  <c:v>0.99438899999999997</c:v>
                </c:pt>
                <c:pt idx="1206">
                  <c:v>0.99438300000000002</c:v>
                </c:pt>
                <c:pt idx="1207">
                  <c:v>0.99437900000000001</c:v>
                </c:pt>
                <c:pt idx="1208">
                  <c:v>0.99437900000000001</c:v>
                </c:pt>
                <c:pt idx="1209">
                  <c:v>0.99438099999999996</c:v>
                </c:pt>
                <c:pt idx="1210">
                  <c:v>0.99438599999999999</c:v>
                </c:pt>
                <c:pt idx="1211">
                  <c:v>0.99439500000000003</c:v>
                </c:pt>
                <c:pt idx="1212">
                  <c:v>0.99440700000000004</c:v>
                </c:pt>
                <c:pt idx="1213">
                  <c:v>0.994421</c:v>
                </c:pt>
                <c:pt idx="1214">
                  <c:v>0.99443999999999999</c:v>
                </c:pt>
                <c:pt idx="1215">
                  <c:v>0.99446100000000004</c:v>
                </c:pt>
                <c:pt idx="1216">
                  <c:v>0.99448599999999998</c:v>
                </c:pt>
                <c:pt idx="1217">
                  <c:v>0.99451400000000001</c:v>
                </c:pt>
                <c:pt idx="1218">
                  <c:v>0.99454600000000004</c:v>
                </c:pt>
                <c:pt idx="1219">
                  <c:v>0.99458100000000005</c:v>
                </c:pt>
                <c:pt idx="1220">
                  <c:v>0.99461900000000003</c:v>
                </c:pt>
                <c:pt idx="1221">
                  <c:v>0.99465999999999999</c:v>
                </c:pt>
                <c:pt idx="1222">
                  <c:v>0.99470499999999995</c:v>
                </c:pt>
                <c:pt idx="1223">
                  <c:v>0.99475199999999997</c:v>
                </c:pt>
                <c:pt idx="1224">
                  <c:v>0.99480299999999999</c:v>
                </c:pt>
                <c:pt idx="1225">
                  <c:v>0.99485699999999999</c:v>
                </c:pt>
                <c:pt idx="1226">
                  <c:v>0.99491300000000005</c:v>
                </c:pt>
                <c:pt idx="1227">
                  <c:v>0.99497199999999997</c:v>
                </c:pt>
                <c:pt idx="1228">
                  <c:v>0.99503399999999997</c:v>
                </c:pt>
                <c:pt idx="1229">
                  <c:v>0.99509800000000004</c:v>
                </c:pt>
                <c:pt idx="1230">
                  <c:v>0.99516499999999997</c:v>
                </c:pt>
                <c:pt idx="1231">
                  <c:v>0.99523300000000003</c:v>
                </c:pt>
                <c:pt idx="1232">
                  <c:v>0.99530399999999997</c:v>
                </c:pt>
                <c:pt idx="1233">
                  <c:v>0.99537600000000004</c:v>
                </c:pt>
                <c:pt idx="1234">
                  <c:v>0.99544999999999995</c:v>
                </c:pt>
                <c:pt idx="1235">
                  <c:v>0.99552600000000002</c:v>
                </c:pt>
                <c:pt idx="1236">
                  <c:v>0.99560199999999999</c:v>
                </c:pt>
                <c:pt idx="1237">
                  <c:v>0.99567899999999998</c:v>
                </c:pt>
                <c:pt idx="1238">
                  <c:v>0.99575800000000003</c:v>
                </c:pt>
                <c:pt idx="1239">
                  <c:v>0.99583600000000005</c:v>
                </c:pt>
                <c:pt idx="1240">
                  <c:v>0.99591499999999999</c:v>
                </c:pt>
                <c:pt idx="1241">
                  <c:v>0.99599400000000005</c:v>
                </c:pt>
                <c:pt idx="1242">
                  <c:v>0.99607299999999999</c:v>
                </c:pt>
                <c:pt idx="1243">
                  <c:v>0.99615100000000001</c:v>
                </c:pt>
                <c:pt idx="1244">
                  <c:v>0.99622900000000003</c:v>
                </c:pt>
                <c:pt idx="1245">
                  <c:v>0.99630600000000002</c:v>
                </c:pt>
                <c:pt idx="1246">
                  <c:v>0.99638199999999999</c:v>
                </c:pt>
                <c:pt idx="1247">
                  <c:v>0.99645700000000004</c:v>
                </c:pt>
                <c:pt idx="1248">
                  <c:v>0.99653000000000003</c:v>
                </c:pt>
                <c:pt idx="1249">
                  <c:v>0.99660199999999999</c:v>
                </c:pt>
                <c:pt idx="1250">
                  <c:v>0.996672</c:v>
                </c:pt>
                <c:pt idx="1251">
                  <c:v>0.99673900000000004</c:v>
                </c:pt>
                <c:pt idx="1252">
                  <c:v>0.99680500000000005</c:v>
                </c:pt>
                <c:pt idx="1253">
                  <c:v>0.99686799999999998</c:v>
                </c:pt>
                <c:pt idx="1254">
                  <c:v>0.99692800000000004</c:v>
                </c:pt>
                <c:pt idx="1255">
                  <c:v>0.99698600000000004</c:v>
                </c:pt>
                <c:pt idx="1256">
                  <c:v>0.99704000000000004</c:v>
                </c:pt>
                <c:pt idx="1257">
                  <c:v>0.99709199999999998</c:v>
                </c:pt>
                <c:pt idx="1258">
                  <c:v>0.99714000000000003</c:v>
                </c:pt>
                <c:pt idx="1259">
                  <c:v>0.99718499999999999</c:v>
                </c:pt>
                <c:pt idx="1260">
                  <c:v>0.99722599999999995</c:v>
                </c:pt>
                <c:pt idx="1261">
                  <c:v>0.99726400000000004</c:v>
                </c:pt>
                <c:pt idx="1262">
                  <c:v>0.99729800000000002</c:v>
                </c:pt>
                <c:pt idx="1263">
                  <c:v>0.99732900000000002</c:v>
                </c:pt>
                <c:pt idx="1264">
                  <c:v>0.99735600000000002</c:v>
                </c:pt>
                <c:pt idx="1265">
                  <c:v>0.99737799999999999</c:v>
                </c:pt>
                <c:pt idx="1266">
                  <c:v>0.99739699999999998</c:v>
                </c:pt>
                <c:pt idx="1267">
                  <c:v>0.99741199999999997</c:v>
                </c:pt>
                <c:pt idx="1268">
                  <c:v>0.99742299999999995</c:v>
                </c:pt>
                <c:pt idx="1269">
                  <c:v>0.99743000000000004</c:v>
                </c:pt>
                <c:pt idx="1270">
                  <c:v>0.99743300000000001</c:v>
                </c:pt>
                <c:pt idx="1271">
                  <c:v>0.99743199999999999</c:v>
                </c:pt>
                <c:pt idx="1272">
                  <c:v>0.99742699999999995</c:v>
                </c:pt>
                <c:pt idx="1273">
                  <c:v>0.99741800000000003</c:v>
                </c:pt>
                <c:pt idx="1274">
                  <c:v>0.99740499999999999</c:v>
                </c:pt>
                <c:pt idx="1275">
                  <c:v>0.99738800000000005</c:v>
                </c:pt>
                <c:pt idx="1276">
                  <c:v>0.997367</c:v>
                </c:pt>
                <c:pt idx="1277">
                  <c:v>0.99734299999999998</c:v>
                </c:pt>
                <c:pt idx="1278">
                  <c:v>0.99731499999999995</c:v>
                </c:pt>
                <c:pt idx="1279">
                  <c:v>0.99728300000000003</c:v>
                </c:pt>
                <c:pt idx="1280">
                  <c:v>0.99724800000000002</c:v>
                </c:pt>
                <c:pt idx="1281">
                  <c:v>0.99721000000000004</c:v>
                </c:pt>
                <c:pt idx="1282">
                  <c:v>0.99716899999999997</c:v>
                </c:pt>
                <c:pt idx="1283">
                  <c:v>0.99712400000000001</c:v>
                </c:pt>
                <c:pt idx="1284">
                  <c:v>0.99707699999999999</c:v>
                </c:pt>
                <c:pt idx="1285">
                  <c:v>0.997027</c:v>
                </c:pt>
                <c:pt idx="1286">
                  <c:v>0.99697400000000003</c:v>
                </c:pt>
                <c:pt idx="1287">
                  <c:v>0.996919</c:v>
                </c:pt>
                <c:pt idx="1288">
                  <c:v>0.996861</c:v>
                </c:pt>
                <c:pt idx="1289">
                  <c:v>0.99680199999999997</c:v>
                </c:pt>
                <c:pt idx="1290">
                  <c:v>0.99673999999999996</c:v>
                </c:pt>
                <c:pt idx="1291">
                  <c:v>0.99667700000000004</c:v>
                </c:pt>
                <c:pt idx="1292">
                  <c:v>0.99661200000000005</c:v>
                </c:pt>
                <c:pt idx="1293">
                  <c:v>0.99654600000000004</c:v>
                </c:pt>
                <c:pt idx="1294">
                  <c:v>0.996479</c:v>
                </c:pt>
                <c:pt idx="1295">
                  <c:v>0.99641100000000005</c:v>
                </c:pt>
                <c:pt idx="1296">
                  <c:v>0.99634199999999995</c:v>
                </c:pt>
                <c:pt idx="1297">
                  <c:v>0.99627299999999996</c:v>
                </c:pt>
                <c:pt idx="1298">
                  <c:v>0.99620299999999995</c:v>
                </c:pt>
                <c:pt idx="1299">
                  <c:v>0.99613399999999996</c:v>
                </c:pt>
                <c:pt idx="1300">
                  <c:v>0.99606399999999995</c:v>
                </c:pt>
                <c:pt idx="1301">
                  <c:v>0.99599400000000005</c:v>
                </c:pt>
                <c:pt idx="1302">
                  <c:v>0.99592499999999995</c:v>
                </c:pt>
                <c:pt idx="1303">
                  <c:v>0.99585699999999999</c:v>
                </c:pt>
                <c:pt idx="1304">
                  <c:v>0.99578999999999995</c:v>
                </c:pt>
                <c:pt idx="1305">
                  <c:v>0.99572300000000002</c:v>
                </c:pt>
                <c:pt idx="1306">
                  <c:v>0.99565800000000004</c:v>
                </c:pt>
                <c:pt idx="1307">
                  <c:v>0.99559399999999998</c:v>
                </c:pt>
                <c:pt idx="1308">
                  <c:v>0.99553100000000005</c:v>
                </c:pt>
                <c:pt idx="1309">
                  <c:v>0.99546999999999997</c:v>
                </c:pt>
                <c:pt idx="1310">
                  <c:v>0.99541100000000005</c:v>
                </c:pt>
                <c:pt idx="1311">
                  <c:v>0.99535399999999996</c:v>
                </c:pt>
                <c:pt idx="1312">
                  <c:v>0.99529900000000004</c:v>
                </c:pt>
                <c:pt idx="1313">
                  <c:v>0.99524599999999996</c:v>
                </c:pt>
                <c:pt idx="1314">
                  <c:v>0.99519500000000005</c:v>
                </c:pt>
                <c:pt idx="1315">
                  <c:v>0.995147</c:v>
                </c:pt>
                <c:pt idx="1316">
                  <c:v>0.99510100000000001</c:v>
                </c:pt>
                <c:pt idx="1317">
                  <c:v>0.99505699999999997</c:v>
                </c:pt>
                <c:pt idx="1318">
                  <c:v>0.99501600000000001</c:v>
                </c:pt>
                <c:pt idx="1319">
                  <c:v>0.99497800000000003</c:v>
                </c:pt>
                <c:pt idx="1320">
                  <c:v>0.99494199999999999</c:v>
                </c:pt>
                <c:pt idx="1321">
                  <c:v>0.99490900000000004</c:v>
                </c:pt>
                <c:pt idx="1322">
                  <c:v>0.99487899999999996</c:v>
                </c:pt>
                <c:pt idx="1323">
                  <c:v>0.99485100000000004</c:v>
                </c:pt>
                <c:pt idx="1324">
                  <c:v>0.99482599999999999</c:v>
                </c:pt>
                <c:pt idx="1325">
                  <c:v>0.99480400000000002</c:v>
                </c:pt>
                <c:pt idx="1326">
                  <c:v>0.994784</c:v>
                </c:pt>
                <c:pt idx="1327">
                  <c:v>0.99476699999999996</c:v>
                </c:pt>
                <c:pt idx="1328">
                  <c:v>0.99475199999999997</c:v>
                </c:pt>
                <c:pt idx="1329">
                  <c:v>0.99473999999999996</c:v>
                </c:pt>
                <c:pt idx="1330">
                  <c:v>0.99473100000000003</c:v>
                </c:pt>
                <c:pt idx="1331">
                  <c:v>0.99472400000000005</c:v>
                </c:pt>
                <c:pt idx="1332">
                  <c:v>0.99471900000000002</c:v>
                </c:pt>
                <c:pt idx="1333">
                  <c:v>0.99471600000000004</c:v>
                </c:pt>
                <c:pt idx="1334">
                  <c:v>0.99471600000000004</c:v>
                </c:pt>
                <c:pt idx="1335">
                  <c:v>0.99471799999999999</c:v>
                </c:pt>
                <c:pt idx="1336">
                  <c:v>0.99472099999999997</c:v>
                </c:pt>
                <c:pt idx="1337">
                  <c:v>0.99472700000000003</c:v>
                </c:pt>
                <c:pt idx="1338">
                  <c:v>0.99473400000000001</c:v>
                </c:pt>
                <c:pt idx="1339">
                  <c:v>0.99474300000000004</c:v>
                </c:pt>
                <c:pt idx="1340">
                  <c:v>0.99475400000000003</c:v>
                </c:pt>
                <c:pt idx="1341">
                  <c:v>0.99476600000000004</c:v>
                </c:pt>
                <c:pt idx="1342">
                  <c:v>0.99478</c:v>
                </c:pt>
                <c:pt idx="1343">
                  <c:v>0.99479499999999998</c:v>
                </c:pt>
                <c:pt idx="1344">
                  <c:v>0.994811</c:v>
                </c:pt>
                <c:pt idx="1345">
                  <c:v>0.99482800000000005</c:v>
                </c:pt>
                <c:pt idx="1346">
                  <c:v>0.99484600000000001</c:v>
                </c:pt>
                <c:pt idx="1347">
                  <c:v>0.994865</c:v>
                </c:pt>
                <c:pt idx="1348">
                  <c:v>0.99488500000000002</c:v>
                </c:pt>
                <c:pt idx="1349">
                  <c:v>0.99490599999999996</c:v>
                </c:pt>
                <c:pt idx="1350">
                  <c:v>0.99492700000000001</c:v>
                </c:pt>
                <c:pt idx="1351">
                  <c:v>0.99494800000000005</c:v>
                </c:pt>
                <c:pt idx="1352">
                  <c:v>0.99497000000000002</c:v>
                </c:pt>
                <c:pt idx="1353">
                  <c:v>0.99499300000000002</c:v>
                </c:pt>
                <c:pt idx="1354">
                  <c:v>0.99501499999999998</c:v>
                </c:pt>
                <c:pt idx="1355">
                  <c:v>0.99503799999999998</c:v>
                </c:pt>
                <c:pt idx="1356">
                  <c:v>0.99506099999999997</c:v>
                </c:pt>
                <c:pt idx="1357">
                  <c:v>0.99508399999999997</c:v>
                </c:pt>
                <c:pt idx="1358">
                  <c:v>0.99510699999999996</c:v>
                </c:pt>
                <c:pt idx="1359">
                  <c:v>0.99512900000000004</c:v>
                </c:pt>
                <c:pt idx="1360">
                  <c:v>0.99515200000000004</c:v>
                </c:pt>
                <c:pt idx="1361">
                  <c:v>0.99517500000000003</c:v>
                </c:pt>
                <c:pt idx="1362">
                  <c:v>0.995197</c:v>
                </c:pt>
                <c:pt idx="1363">
                  <c:v>0.99521899999999996</c:v>
                </c:pt>
                <c:pt idx="1364">
                  <c:v>0.99524000000000001</c:v>
                </c:pt>
                <c:pt idx="1365">
                  <c:v>0.99526199999999998</c:v>
                </c:pt>
                <c:pt idx="1366">
                  <c:v>0.99528300000000003</c:v>
                </c:pt>
                <c:pt idx="1367">
                  <c:v>0.99530399999999997</c:v>
                </c:pt>
                <c:pt idx="1368">
                  <c:v>0.99532399999999999</c:v>
                </c:pt>
                <c:pt idx="1369">
                  <c:v>0.99534400000000001</c:v>
                </c:pt>
                <c:pt idx="1370">
                  <c:v>0.99536400000000003</c:v>
                </c:pt>
                <c:pt idx="1371">
                  <c:v>0.99538300000000002</c:v>
                </c:pt>
                <c:pt idx="1372">
                  <c:v>0.99540200000000001</c:v>
                </c:pt>
                <c:pt idx="1373">
                  <c:v>0.995421</c:v>
                </c:pt>
                <c:pt idx="1374">
                  <c:v>0.99543899999999996</c:v>
                </c:pt>
                <c:pt idx="1375">
                  <c:v>0.99545700000000004</c:v>
                </c:pt>
                <c:pt idx="1376">
                  <c:v>0.995475</c:v>
                </c:pt>
                <c:pt idx="1377">
                  <c:v>0.99549200000000004</c:v>
                </c:pt>
                <c:pt idx="1378">
                  <c:v>0.99550899999999998</c:v>
                </c:pt>
                <c:pt idx="1379">
                  <c:v>0.99552700000000005</c:v>
                </c:pt>
                <c:pt idx="1380">
                  <c:v>0.99554399999999998</c:v>
                </c:pt>
                <c:pt idx="1381">
                  <c:v>0.99556</c:v>
                </c:pt>
                <c:pt idx="1382">
                  <c:v>0.99557700000000005</c:v>
                </c:pt>
                <c:pt idx="1383">
                  <c:v>0.99559399999999998</c:v>
                </c:pt>
                <c:pt idx="1384">
                  <c:v>0.99561100000000002</c:v>
                </c:pt>
                <c:pt idx="1385">
                  <c:v>0.99562799999999996</c:v>
                </c:pt>
                <c:pt idx="1386">
                  <c:v>0.995645</c:v>
                </c:pt>
                <c:pt idx="1387">
                  <c:v>0.99566200000000005</c:v>
                </c:pt>
                <c:pt idx="1388">
                  <c:v>0.99568000000000001</c:v>
                </c:pt>
                <c:pt idx="1389">
                  <c:v>0.99569799999999997</c:v>
                </c:pt>
                <c:pt idx="1390">
                  <c:v>0.99571600000000005</c:v>
                </c:pt>
                <c:pt idx="1391">
                  <c:v>0.99573400000000001</c:v>
                </c:pt>
                <c:pt idx="1392">
                  <c:v>0.995753</c:v>
                </c:pt>
                <c:pt idx="1393">
                  <c:v>0.99577199999999999</c:v>
                </c:pt>
                <c:pt idx="1394">
                  <c:v>0.99579099999999998</c:v>
                </c:pt>
                <c:pt idx="1395">
                  <c:v>0.995811</c:v>
                </c:pt>
                <c:pt idx="1396">
                  <c:v>0.99583200000000005</c:v>
                </c:pt>
                <c:pt idx="1397">
                  <c:v>0.99585199999999996</c:v>
                </c:pt>
                <c:pt idx="1398">
                  <c:v>0.99587400000000004</c:v>
                </c:pt>
                <c:pt idx="1399">
                  <c:v>0.995896</c:v>
                </c:pt>
                <c:pt idx="1400">
                  <c:v>0.99591799999999997</c:v>
                </c:pt>
                <c:pt idx="1401">
                  <c:v>0.99594099999999997</c:v>
                </c:pt>
                <c:pt idx="1402">
                  <c:v>0.99596499999999999</c:v>
                </c:pt>
                <c:pt idx="1403">
                  <c:v>0.99598900000000001</c:v>
                </c:pt>
                <c:pt idx="1404">
                  <c:v>0.99601300000000004</c:v>
                </c:pt>
                <c:pt idx="1405">
                  <c:v>0.99603799999999998</c:v>
                </c:pt>
                <c:pt idx="1406">
                  <c:v>0.99606399999999995</c:v>
                </c:pt>
                <c:pt idx="1407">
                  <c:v>0.996089</c:v>
                </c:pt>
                <c:pt idx="1408">
                  <c:v>0.99611499999999997</c:v>
                </c:pt>
                <c:pt idx="1409">
                  <c:v>0.99614199999999997</c:v>
                </c:pt>
                <c:pt idx="1410">
                  <c:v>0.99616800000000005</c:v>
                </c:pt>
                <c:pt idx="1411">
                  <c:v>0.99619500000000005</c:v>
                </c:pt>
                <c:pt idx="1412">
                  <c:v>0.99622200000000005</c:v>
                </c:pt>
                <c:pt idx="1413">
                  <c:v>0.99624999999999997</c:v>
                </c:pt>
                <c:pt idx="1414">
                  <c:v>0.99627699999999997</c:v>
                </c:pt>
                <c:pt idx="1415">
                  <c:v>0.99630399999999997</c:v>
                </c:pt>
                <c:pt idx="1416">
                  <c:v>0.99633099999999997</c:v>
                </c:pt>
                <c:pt idx="1417">
                  <c:v>0.99635799999999997</c:v>
                </c:pt>
                <c:pt idx="1418">
                  <c:v>0.99638400000000005</c:v>
                </c:pt>
                <c:pt idx="1419">
                  <c:v>0.99641000000000002</c:v>
                </c:pt>
                <c:pt idx="1420">
                  <c:v>0.99643599999999999</c:v>
                </c:pt>
                <c:pt idx="1421">
                  <c:v>0.99646100000000004</c:v>
                </c:pt>
                <c:pt idx="1422">
                  <c:v>0.99648599999999998</c:v>
                </c:pt>
                <c:pt idx="1423">
                  <c:v>0.99651000000000001</c:v>
                </c:pt>
                <c:pt idx="1424">
                  <c:v>0.996533</c:v>
                </c:pt>
                <c:pt idx="1425">
                  <c:v>0.99655499999999997</c:v>
                </c:pt>
                <c:pt idx="1426">
                  <c:v>0.99657600000000002</c:v>
                </c:pt>
                <c:pt idx="1427">
                  <c:v>0.99659600000000004</c:v>
                </c:pt>
                <c:pt idx="1428">
                  <c:v>0.99661599999999995</c:v>
                </c:pt>
                <c:pt idx="1429">
                  <c:v>0.99663299999999999</c:v>
                </c:pt>
                <c:pt idx="1430">
                  <c:v>0.99665000000000004</c:v>
                </c:pt>
                <c:pt idx="1431">
                  <c:v>0.99666500000000002</c:v>
                </c:pt>
                <c:pt idx="1432">
                  <c:v>0.99667899999999998</c:v>
                </c:pt>
                <c:pt idx="1433">
                  <c:v>0.99669099999999999</c:v>
                </c:pt>
                <c:pt idx="1434">
                  <c:v>0.99670199999999998</c:v>
                </c:pt>
                <c:pt idx="1435">
                  <c:v>0.99671100000000001</c:v>
                </c:pt>
                <c:pt idx="1436">
                  <c:v>0.99671900000000002</c:v>
                </c:pt>
                <c:pt idx="1437">
                  <c:v>0.99672499999999997</c:v>
                </c:pt>
                <c:pt idx="1438">
                  <c:v>0.99672799999999995</c:v>
                </c:pt>
                <c:pt idx="1439">
                  <c:v>0.99673100000000003</c:v>
                </c:pt>
                <c:pt idx="1440">
                  <c:v>0.99673100000000003</c:v>
                </c:pt>
                <c:pt idx="1441">
                  <c:v>0.99672899999999998</c:v>
                </c:pt>
                <c:pt idx="1442">
                  <c:v>0.99672499999999997</c:v>
                </c:pt>
                <c:pt idx="1443">
                  <c:v>0.99672000000000005</c:v>
                </c:pt>
                <c:pt idx="1444">
                  <c:v>0.99671299999999996</c:v>
                </c:pt>
                <c:pt idx="1445">
                  <c:v>0.99670300000000001</c:v>
                </c:pt>
                <c:pt idx="1446">
                  <c:v>0.99669200000000002</c:v>
                </c:pt>
                <c:pt idx="1447">
                  <c:v>0.99667799999999995</c:v>
                </c:pt>
                <c:pt idx="1448">
                  <c:v>0.99666299999999997</c:v>
                </c:pt>
                <c:pt idx="1449">
                  <c:v>0.99664600000000003</c:v>
                </c:pt>
                <c:pt idx="1450">
                  <c:v>0.99662700000000004</c:v>
                </c:pt>
                <c:pt idx="1451">
                  <c:v>0.99660599999999999</c:v>
                </c:pt>
                <c:pt idx="1452">
                  <c:v>0.996583</c:v>
                </c:pt>
                <c:pt idx="1453">
                  <c:v>0.99655899999999997</c:v>
                </c:pt>
                <c:pt idx="1454">
                  <c:v>0.996533</c:v>
                </c:pt>
                <c:pt idx="1455">
                  <c:v>0.99650499999999997</c:v>
                </c:pt>
                <c:pt idx="1456">
                  <c:v>0.996475</c:v>
                </c:pt>
                <c:pt idx="1457">
                  <c:v>0.99644500000000003</c:v>
                </c:pt>
                <c:pt idx="1458">
                  <c:v>0.99641199999999996</c:v>
                </c:pt>
                <c:pt idx="1459">
                  <c:v>0.99637799999999999</c:v>
                </c:pt>
                <c:pt idx="1460">
                  <c:v>0.99634299999999998</c:v>
                </c:pt>
                <c:pt idx="1461">
                  <c:v>0.99630700000000005</c:v>
                </c:pt>
                <c:pt idx="1462">
                  <c:v>0.99626999999999999</c:v>
                </c:pt>
                <c:pt idx="1463">
                  <c:v>0.99623099999999998</c:v>
                </c:pt>
                <c:pt idx="1464">
                  <c:v>0.99619199999999997</c:v>
                </c:pt>
                <c:pt idx="1465">
                  <c:v>0.99615200000000004</c:v>
                </c:pt>
                <c:pt idx="1466">
                  <c:v>0.99611099999999997</c:v>
                </c:pt>
                <c:pt idx="1467">
                  <c:v>0.99607000000000001</c:v>
                </c:pt>
                <c:pt idx="1468">
                  <c:v>0.99602900000000005</c:v>
                </c:pt>
                <c:pt idx="1469">
                  <c:v>0.99598699999999996</c:v>
                </c:pt>
                <c:pt idx="1470">
                  <c:v>0.99594400000000005</c:v>
                </c:pt>
                <c:pt idx="1471">
                  <c:v>0.99590199999999995</c:v>
                </c:pt>
                <c:pt idx="1472">
                  <c:v>0.99585999999999997</c:v>
                </c:pt>
                <c:pt idx="1473">
                  <c:v>0.99581799999999998</c:v>
                </c:pt>
                <c:pt idx="1474">
                  <c:v>0.99577599999999999</c:v>
                </c:pt>
                <c:pt idx="1475">
                  <c:v>0.99573500000000004</c:v>
                </c:pt>
                <c:pt idx="1476">
                  <c:v>0.99569399999999997</c:v>
                </c:pt>
                <c:pt idx="1477">
                  <c:v>0.99565400000000004</c:v>
                </c:pt>
                <c:pt idx="1478">
                  <c:v>0.995614</c:v>
                </c:pt>
                <c:pt idx="1479">
                  <c:v>0.99557600000000002</c:v>
                </c:pt>
                <c:pt idx="1480">
                  <c:v>0.99553800000000003</c:v>
                </c:pt>
                <c:pt idx="1481">
                  <c:v>0.995502</c:v>
                </c:pt>
                <c:pt idx="1482">
                  <c:v>0.99546599999999996</c:v>
                </c:pt>
                <c:pt idx="1483">
                  <c:v>0.99543199999999998</c:v>
                </c:pt>
                <c:pt idx="1484">
                  <c:v>0.99539999999999995</c:v>
                </c:pt>
                <c:pt idx="1485">
                  <c:v>0.99536899999999995</c:v>
                </c:pt>
                <c:pt idx="1486">
                  <c:v>0.99534</c:v>
                </c:pt>
                <c:pt idx="1487">
                  <c:v>0.99531199999999997</c:v>
                </c:pt>
                <c:pt idx="1488">
                  <c:v>0.995286</c:v>
                </c:pt>
                <c:pt idx="1489">
                  <c:v>0.99526199999999998</c:v>
                </c:pt>
                <c:pt idx="1490">
                  <c:v>0.99524000000000001</c:v>
                </c:pt>
                <c:pt idx="1491">
                  <c:v>0.99521999999999999</c:v>
                </c:pt>
                <c:pt idx="1492">
                  <c:v>0.995201</c:v>
                </c:pt>
                <c:pt idx="1493">
                  <c:v>0.99518499999999999</c:v>
                </c:pt>
                <c:pt idx="1494">
                  <c:v>0.99517100000000003</c:v>
                </c:pt>
                <c:pt idx="1495">
                  <c:v>0.99515900000000002</c:v>
                </c:pt>
                <c:pt idx="1496">
                  <c:v>0.99514899999999995</c:v>
                </c:pt>
                <c:pt idx="1497">
                  <c:v>0.99514100000000005</c:v>
                </c:pt>
                <c:pt idx="1498">
                  <c:v>0.99513600000000002</c:v>
                </c:pt>
                <c:pt idx="1499">
                  <c:v>0.99513200000000002</c:v>
                </c:pt>
                <c:pt idx="1500">
                  <c:v>0.99513099999999999</c:v>
                </c:pt>
                <c:pt idx="1501">
                  <c:v>0.99513200000000002</c:v>
                </c:pt>
                <c:pt idx="1502">
                  <c:v>0.99513499999999999</c:v>
                </c:pt>
                <c:pt idx="1503">
                  <c:v>0.99514000000000002</c:v>
                </c:pt>
                <c:pt idx="1504">
                  <c:v>0.995147</c:v>
                </c:pt>
                <c:pt idx="1505">
                  <c:v>0.99515600000000004</c:v>
                </c:pt>
                <c:pt idx="1506">
                  <c:v>0.99516700000000002</c:v>
                </c:pt>
                <c:pt idx="1507">
                  <c:v>0.99517999999999995</c:v>
                </c:pt>
                <c:pt idx="1508">
                  <c:v>0.99519500000000005</c:v>
                </c:pt>
                <c:pt idx="1509">
                  <c:v>0.99521099999999996</c:v>
                </c:pt>
                <c:pt idx="1510">
                  <c:v>0.99522999999999995</c:v>
                </c:pt>
                <c:pt idx="1511">
                  <c:v>0.99524900000000005</c:v>
                </c:pt>
                <c:pt idx="1512">
                  <c:v>0.99527100000000002</c:v>
                </c:pt>
                <c:pt idx="1513">
                  <c:v>0.99529400000000001</c:v>
                </c:pt>
                <c:pt idx="1514">
                  <c:v>0.99531800000000004</c:v>
                </c:pt>
                <c:pt idx="1515">
                  <c:v>0.99534400000000001</c:v>
                </c:pt>
                <c:pt idx="1516">
                  <c:v>0.99536999999999998</c:v>
                </c:pt>
                <c:pt idx="1517">
                  <c:v>0.99539800000000001</c:v>
                </c:pt>
                <c:pt idx="1518">
                  <c:v>0.99542699999999995</c:v>
                </c:pt>
                <c:pt idx="1519">
                  <c:v>0.99545700000000004</c:v>
                </c:pt>
                <c:pt idx="1520">
                  <c:v>0.99548800000000004</c:v>
                </c:pt>
                <c:pt idx="1521">
                  <c:v>0.99551900000000004</c:v>
                </c:pt>
                <c:pt idx="1522">
                  <c:v>0.99555099999999996</c:v>
                </c:pt>
                <c:pt idx="1523">
                  <c:v>0.99558400000000002</c:v>
                </c:pt>
                <c:pt idx="1524">
                  <c:v>0.99561599999999995</c:v>
                </c:pt>
                <c:pt idx="1525">
                  <c:v>0.99565000000000003</c:v>
                </c:pt>
                <c:pt idx="1526">
                  <c:v>0.99568299999999998</c:v>
                </c:pt>
                <c:pt idx="1527">
                  <c:v>0.99571699999999996</c:v>
                </c:pt>
                <c:pt idx="1528">
                  <c:v>0.99575100000000005</c:v>
                </c:pt>
                <c:pt idx="1529">
                  <c:v>0.995784</c:v>
                </c:pt>
                <c:pt idx="1530">
                  <c:v>0.99581799999999998</c:v>
                </c:pt>
                <c:pt idx="1531">
                  <c:v>0.99585100000000004</c:v>
                </c:pt>
                <c:pt idx="1532">
                  <c:v>0.99588399999999999</c:v>
                </c:pt>
                <c:pt idx="1533">
                  <c:v>0.99591700000000005</c:v>
                </c:pt>
                <c:pt idx="1534">
                  <c:v>0.99594899999999997</c:v>
                </c:pt>
                <c:pt idx="1535">
                  <c:v>0.99598100000000001</c:v>
                </c:pt>
                <c:pt idx="1536">
                  <c:v>0.99601200000000001</c:v>
                </c:pt>
                <c:pt idx="1537">
                  <c:v>0.99604300000000001</c:v>
                </c:pt>
                <c:pt idx="1538">
                  <c:v>0.99607299999999999</c:v>
                </c:pt>
                <c:pt idx="1539">
                  <c:v>0.99610200000000004</c:v>
                </c:pt>
                <c:pt idx="1540">
                  <c:v>0.99612999999999996</c:v>
                </c:pt>
                <c:pt idx="1541">
                  <c:v>0.99615699999999996</c:v>
                </c:pt>
                <c:pt idx="1542">
                  <c:v>0.99618399999999996</c:v>
                </c:pt>
                <c:pt idx="1543">
                  <c:v>0.99621000000000004</c:v>
                </c:pt>
                <c:pt idx="1544">
                  <c:v>0.99623399999999995</c:v>
                </c:pt>
                <c:pt idx="1545">
                  <c:v>0.99625799999999998</c:v>
                </c:pt>
                <c:pt idx="1546">
                  <c:v>0.99628099999999997</c:v>
                </c:pt>
                <c:pt idx="1547">
                  <c:v>0.99630200000000002</c:v>
                </c:pt>
                <c:pt idx="1548">
                  <c:v>0.99632299999999996</c:v>
                </c:pt>
                <c:pt idx="1549">
                  <c:v>0.99634199999999995</c:v>
                </c:pt>
                <c:pt idx="1550">
                  <c:v>0.99636100000000005</c:v>
                </c:pt>
                <c:pt idx="1551">
                  <c:v>0.99637799999999999</c:v>
                </c:pt>
                <c:pt idx="1552">
                  <c:v>0.99639500000000003</c:v>
                </c:pt>
                <c:pt idx="1553">
                  <c:v>0.99641000000000002</c:v>
                </c:pt>
                <c:pt idx="1554">
                  <c:v>0.99642399999999998</c:v>
                </c:pt>
                <c:pt idx="1555">
                  <c:v>0.99643700000000002</c:v>
                </c:pt>
                <c:pt idx="1556">
                  <c:v>0.99644999999999995</c:v>
                </c:pt>
                <c:pt idx="1557">
                  <c:v>0.99646100000000004</c:v>
                </c:pt>
                <c:pt idx="1558">
                  <c:v>0.996471</c:v>
                </c:pt>
                <c:pt idx="1559">
                  <c:v>0.99648000000000003</c:v>
                </c:pt>
                <c:pt idx="1560">
                  <c:v>0.99648899999999996</c:v>
                </c:pt>
                <c:pt idx="1561">
                  <c:v>0.99649600000000005</c:v>
                </c:pt>
                <c:pt idx="1562">
                  <c:v>0.99650300000000003</c:v>
                </c:pt>
                <c:pt idx="1563">
                  <c:v>0.99650899999999998</c:v>
                </c:pt>
                <c:pt idx="1564">
                  <c:v>0.99651400000000001</c:v>
                </c:pt>
                <c:pt idx="1565">
                  <c:v>0.99651900000000004</c:v>
                </c:pt>
                <c:pt idx="1566">
                  <c:v>0.99652200000000002</c:v>
                </c:pt>
                <c:pt idx="1567">
                  <c:v>0.99652499999999999</c:v>
                </c:pt>
                <c:pt idx="1568">
                  <c:v>0.99652799999999997</c:v>
                </c:pt>
                <c:pt idx="1569">
                  <c:v>0.99653000000000003</c:v>
                </c:pt>
                <c:pt idx="1570">
                  <c:v>0.99653099999999994</c:v>
                </c:pt>
                <c:pt idx="1571">
                  <c:v>0.99653199999999997</c:v>
                </c:pt>
                <c:pt idx="1572">
                  <c:v>0.99653199999999997</c:v>
                </c:pt>
                <c:pt idx="1573">
                  <c:v>0.99653199999999997</c:v>
                </c:pt>
                <c:pt idx="1574">
                  <c:v>0.99653199999999997</c:v>
                </c:pt>
                <c:pt idx="1575">
                  <c:v>0.99653099999999994</c:v>
                </c:pt>
                <c:pt idx="1576">
                  <c:v>0.99653000000000003</c:v>
                </c:pt>
                <c:pt idx="1577">
                  <c:v>0.996529</c:v>
                </c:pt>
                <c:pt idx="1578">
                  <c:v>0.99652799999999997</c:v>
                </c:pt>
                <c:pt idx="1579">
                  <c:v>0.99652600000000002</c:v>
                </c:pt>
                <c:pt idx="1580">
                  <c:v>0.99652399999999997</c:v>
                </c:pt>
                <c:pt idx="1581">
                  <c:v>0.99652200000000002</c:v>
                </c:pt>
                <c:pt idx="1582">
                  <c:v>0.99651999999999996</c:v>
                </c:pt>
                <c:pt idx="1583">
                  <c:v>0.99651800000000001</c:v>
                </c:pt>
                <c:pt idx="1584">
                  <c:v>0.99651500000000004</c:v>
                </c:pt>
                <c:pt idx="1585">
                  <c:v>0.99651299999999998</c:v>
                </c:pt>
                <c:pt idx="1586">
                  <c:v>0.99651000000000001</c:v>
                </c:pt>
                <c:pt idx="1587">
                  <c:v>0.99650799999999995</c:v>
                </c:pt>
                <c:pt idx="1588">
                  <c:v>0.99650499999999997</c:v>
                </c:pt>
                <c:pt idx="1589">
                  <c:v>0.99650300000000003</c:v>
                </c:pt>
                <c:pt idx="1590">
                  <c:v>0.99650000000000005</c:v>
                </c:pt>
                <c:pt idx="1591">
                  <c:v>0.99649799999999999</c:v>
                </c:pt>
                <c:pt idx="1592">
                  <c:v>0.99649500000000002</c:v>
                </c:pt>
                <c:pt idx="1593">
                  <c:v>0.99649200000000004</c:v>
                </c:pt>
                <c:pt idx="1594">
                  <c:v>0.99648999999999999</c:v>
                </c:pt>
                <c:pt idx="1595">
                  <c:v>0.99648700000000001</c:v>
                </c:pt>
                <c:pt idx="1596">
                  <c:v>0.99648400000000004</c:v>
                </c:pt>
                <c:pt idx="1597">
                  <c:v>0.99648099999999995</c:v>
                </c:pt>
                <c:pt idx="1598">
                  <c:v>0.99647799999999997</c:v>
                </c:pt>
                <c:pt idx="1599">
                  <c:v>0.996475</c:v>
                </c:pt>
                <c:pt idx="1600">
                  <c:v>0.996471</c:v>
                </c:pt>
                <c:pt idx="1601">
                  <c:v>0.99646800000000002</c:v>
                </c:pt>
                <c:pt idx="1602">
                  <c:v>0.99646400000000002</c:v>
                </c:pt>
                <c:pt idx="1603">
                  <c:v>0.99646000000000001</c:v>
                </c:pt>
                <c:pt idx="1604">
                  <c:v>0.99645600000000001</c:v>
                </c:pt>
                <c:pt idx="1605">
                  <c:v>0.996452</c:v>
                </c:pt>
                <c:pt idx="1606">
                  <c:v>0.99644699999999997</c:v>
                </c:pt>
                <c:pt idx="1607">
                  <c:v>0.99644200000000005</c:v>
                </c:pt>
                <c:pt idx="1608">
                  <c:v>0.99643700000000002</c:v>
                </c:pt>
                <c:pt idx="1609">
                  <c:v>0.99643199999999998</c:v>
                </c:pt>
                <c:pt idx="1610">
                  <c:v>0.99642600000000003</c:v>
                </c:pt>
                <c:pt idx="1611">
                  <c:v>0.99641999999999997</c:v>
                </c:pt>
                <c:pt idx="1612">
                  <c:v>0.99641299999999999</c:v>
                </c:pt>
                <c:pt idx="1613">
                  <c:v>0.99640600000000001</c:v>
                </c:pt>
                <c:pt idx="1614">
                  <c:v>0.99639800000000001</c:v>
                </c:pt>
                <c:pt idx="1615">
                  <c:v>0.99639</c:v>
                </c:pt>
                <c:pt idx="1616">
                  <c:v>0.99638199999999999</c:v>
                </c:pt>
                <c:pt idx="1617">
                  <c:v>0.99637299999999995</c:v>
                </c:pt>
                <c:pt idx="1618">
                  <c:v>0.996363</c:v>
                </c:pt>
                <c:pt idx="1619">
                  <c:v>0.99635300000000004</c:v>
                </c:pt>
                <c:pt idx="1620">
                  <c:v>0.99634299999999998</c:v>
                </c:pt>
                <c:pt idx="1621">
                  <c:v>0.996332</c:v>
                </c:pt>
                <c:pt idx="1622">
                  <c:v>0.99631999999999998</c:v>
                </c:pt>
                <c:pt idx="1623">
                  <c:v>0.99630799999999997</c:v>
                </c:pt>
                <c:pt idx="1624">
                  <c:v>0.99629500000000004</c:v>
                </c:pt>
                <c:pt idx="1625">
                  <c:v>0.996282</c:v>
                </c:pt>
                <c:pt idx="1626">
                  <c:v>0.99626899999999996</c:v>
                </c:pt>
                <c:pt idx="1627">
                  <c:v>0.996255</c:v>
                </c:pt>
                <c:pt idx="1628">
                  <c:v>0.99624000000000001</c:v>
                </c:pt>
                <c:pt idx="1629">
                  <c:v>0.99622500000000003</c:v>
                </c:pt>
                <c:pt idx="1630">
                  <c:v>0.99621000000000004</c:v>
                </c:pt>
                <c:pt idx="1631">
                  <c:v>0.99619400000000002</c:v>
                </c:pt>
                <c:pt idx="1632">
                  <c:v>0.99617800000000001</c:v>
                </c:pt>
                <c:pt idx="1633">
                  <c:v>0.99616099999999996</c:v>
                </c:pt>
                <c:pt idx="1634">
                  <c:v>0.99614400000000003</c:v>
                </c:pt>
                <c:pt idx="1635">
                  <c:v>0.99612699999999998</c:v>
                </c:pt>
                <c:pt idx="1636">
                  <c:v>0.99611000000000005</c:v>
                </c:pt>
                <c:pt idx="1637">
                  <c:v>0.99609199999999998</c:v>
                </c:pt>
                <c:pt idx="1638">
                  <c:v>0.99607400000000001</c:v>
                </c:pt>
                <c:pt idx="1639">
                  <c:v>0.99605600000000005</c:v>
                </c:pt>
                <c:pt idx="1640">
                  <c:v>0.99603799999999998</c:v>
                </c:pt>
                <c:pt idx="1641">
                  <c:v>0.99602000000000002</c:v>
                </c:pt>
                <c:pt idx="1642">
                  <c:v>0.99600200000000005</c:v>
                </c:pt>
                <c:pt idx="1643">
                  <c:v>0.99598399999999998</c:v>
                </c:pt>
                <c:pt idx="1644">
                  <c:v>0.99596600000000002</c:v>
                </c:pt>
                <c:pt idx="1645">
                  <c:v>0.99594800000000006</c:v>
                </c:pt>
                <c:pt idx="1646">
                  <c:v>0.99592999999999998</c:v>
                </c:pt>
                <c:pt idx="1647">
                  <c:v>0.99591300000000005</c:v>
                </c:pt>
                <c:pt idx="1648">
                  <c:v>0.995896</c:v>
                </c:pt>
                <c:pt idx="1649">
                  <c:v>0.99587899999999996</c:v>
                </c:pt>
                <c:pt idx="1650">
                  <c:v>0.99586300000000005</c:v>
                </c:pt>
                <c:pt idx="1651">
                  <c:v>0.99584700000000004</c:v>
                </c:pt>
                <c:pt idx="1652">
                  <c:v>0.99583200000000005</c:v>
                </c:pt>
                <c:pt idx="1653">
                  <c:v>0.99581699999999995</c:v>
                </c:pt>
                <c:pt idx="1654">
                  <c:v>0.99580299999999999</c:v>
                </c:pt>
                <c:pt idx="1655">
                  <c:v>0.99578999999999995</c:v>
                </c:pt>
                <c:pt idx="1656">
                  <c:v>0.99577700000000002</c:v>
                </c:pt>
                <c:pt idx="1657">
                  <c:v>0.99576500000000001</c:v>
                </c:pt>
                <c:pt idx="1658">
                  <c:v>0.99575400000000003</c:v>
                </c:pt>
                <c:pt idx="1659">
                  <c:v>0.99574399999999996</c:v>
                </c:pt>
                <c:pt idx="1660">
                  <c:v>0.99573500000000004</c:v>
                </c:pt>
                <c:pt idx="1661">
                  <c:v>0.995726</c:v>
                </c:pt>
                <c:pt idx="1662">
                  <c:v>0.99571900000000002</c:v>
                </c:pt>
                <c:pt idx="1663">
                  <c:v>0.99571200000000004</c:v>
                </c:pt>
                <c:pt idx="1664">
                  <c:v>0.99570700000000001</c:v>
                </c:pt>
                <c:pt idx="1665">
                  <c:v>0.995703</c:v>
                </c:pt>
                <c:pt idx="1666">
                  <c:v>0.99570000000000003</c:v>
                </c:pt>
                <c:pt idx="1667">
                  <c:v>0.99569700000000005</c:v>
                </c:pt>
                <c:pt idx="1668">
                  <c:v>0.99569600000000003</c:v>
                </c:pt>
                <c:pt idx="1669">
                  <c:v>0.99569700000000005</c:v>
                </c:pt>
                <c:pt idx="1670">
                  <c:v>0.99569799999999997</c:v>
                </c:pt>
                <c:pt idx="1671">
                  <c:v>0.99570099999999995</c:v>
                </c:pt>
                <c:pt idx="1672">
                  <c:v>0.99570400000000003</c:v>
                </c:pt>
                <c:pt idx="1673">
                  <c:v>0.99570899999999996</c:v>
                </c:pt>
                <c:pt idx="1674">
                  <c:v>0.99571500000000002</c:v>
                </c:pt>
                <c:pt idx="1675">
                  <c:v>0.995722</c:v>
                </c:pt>
                <c:pt idx="1676">
                  <c:v>0.99573</c:v>
                </c:pt>
                <c:pt idx="1677">
                  <c:v>0.99573999999999996</c:v>
                </c:pt>
                <c:pt idx="1678">
                  <c:v>0.99575000000000002</c:v>
                </c:pt>
                <c:pt idx="1679">
                  <c:v>0.99576200000000004</c:v>
                </c:pt>
                <c:pt idx="1680">
                  <c:v>0.99577400000000005</c:v>
                </c:pt>
                <c:pt idx="1681">
                  <c:v>0.99578800000000001</c:v>
                </c:pt>
                <c:pt idx="1682">
                  <c:v>0.99580199999999996</c:v>
                </c:pt>
                <c:pt idx="1683">
                  <c:v>0.99581699999999995</c:v>
                </c:pt>
                <c:pt idx="1684">
                  <c:v>0.995834</c:v>
                </c:pt>
                <c:pt idx="1685">
                  <c:v>0.99585100000000004</c:v>
                </c:pt>
                <c:pt idx="1686">
                  <c:v>0.995869</c:v>
                </c:pt>
                <c:pt idx="1687">
                  <c:v>0.99588699999999997</c:v>
                </c:pt>
                <c:pt idx="1688">
                  <c:v>0.99590699999999999</c:v>
                </c:pt>
                <c:pt idx="1689">
                  <c:v>0.99592700000000001</c:v>
                </c:pt>
                <c:pt idx="1690">
                  <c:v>0.99594700000000003</c:v>
                </c:pt>
                <c:pt idx="1691">
                  <c:v>0.99596799999999996</c:v>
                </c:pt>
                <c:pt idx="1692">
                  <c:v>0.99599000000000004</c:v>
                </c:pt>
                <c:pt idx="1693">
                  <c:v>0.99601200000000001</c:v>
                </c:pt>
                <c:pt idx="1694">
                  <c:v>0.99603399999999997</c:v>
                </c:pt>
                <c:pt idx="1695">
                  <c:v>0.99605600000000005</c:v>
                </c:pt>
                <c:pt idx="1696">
                  <c:v>0.99607900000000005</c:v>
                </c:pt>
                <c:pt idx="1697">
                  <c:v>0.99610200000000004</c:v>
                </c:pt>
                <c:pt idx="1698">
                  <c:v>0.99612500000000004</c:v>
                </c:pt>
                <c:pt idx="1699">
                  <c:v>0.99614800000000003</c:v>
                </c:pt>
                <c:pt idx="1700">
                  <c:v>0.99617100000000003</c:v>
                </c:pt>
                <c:pt idx="1701">
                  <c:v>0.996193</c:v>
                </c:pt>
                <c:pt idx="1702">
                  <c:v>0.99621599999999999</c:v>
                </c:pt>
                <c:pt idx="1703">
                  <c:v>0.99623799999999996</c:v>
                </c:pt>
                <c:pt idx="1704">
                  <c:v>0.99626000000000003</c:v>
                </c:pt>
                <c:pt idx="1705">
                  <c:v>0.996282</c:v>
                </c:pt>
                <c:pt idx="1706">
                  <c:v>0.99630300000000005</c:v>
                </c:pt>
                <c:pt idx="1707">
                  <c:v>0.99632399999999999</c:v>
                </c:pt>
                <c:pt idx="1708">
                  <c:v>0.99634400000000001</c:v>
                </c:pt>
                <c:pt idx="1709">
                  <c:v>0.996363</c:v>
                </c:pt>
                <c:pt idx="1710">
                  <c:v>0.99638199999999999</c:v>
                </c:pt>
                <c:pt idx="1711">
                  <c:v>0.99640099999999998</c:v>
                </c:pt>
                <c:pt idx="1712">
                  <c:v>0.99641800000000003</c:v>
                </c:pt>
                <c:pt idx="1713">
                  <c:v>0.99643499999999996</c:v>
                </c:pt>
                <c:pt idx="1714">
                  <c:v>0.99645099999999998</c:v>
                </c:pt>
                <c:pt idx="1715">
                  <c:v>0.99646599999999996</c:v>
                </c:pt>
                <c:pt idx="1716">
                  <c:v>0.99648099999999995</c:v>
                </c:pt>
                <c:pt idx="1717">
                  <c:v>0.99649399999999999</c:v>
                </c:pt>
                <c:pt idx="1718">
                  <c:v>0.99650700000000003</c:v>
                </c:pt>
                <c:pt idx="1719">
                  <c:v>0.99651800000000001</c:v>
                </c:pt>
                <c:pt idx="1720">
                  <c:v>0.996529</c:v>
                </c:pt>
                <c:pt idx="1721">
                  <c:v>0.99653800000000003</c:v>
                </c:pt>
                <c:pt idx="1722">
                  <c:v>0.99654699999999996</c:v>
                </c:pt>
                <c:pt idx="1723">
                  <c:v>0.99655499999999997</c:v>
                </c:pt>
                <c:pt idx="1724">
                  <c:v>0.99656100000000003</c:v>
                </c:pt>
                <c:pt idx="1725">
                  <c:v>0.99656699999999998</c:v>
                </c:pt>
                <c:pt idx="1726">
                  <c:v>0.99657099999999998</c:v>
                </c:pt>
                <c:pt idx="1727">
                  <c:v>0.99657499999999999</c:v>
                </c:pt>
                <c:pt idx="1728">
                  <c:v>0.99657799999999996</c:v>
                </c:pt>
                <c:pt idx="1729">
                  <c:v>0.99657899999999999</c:v>
                </c:pt>
                <c:pt idx="1730">
                  <c:v>0.99658000000000002</c:v>
                </c:pt>
                <c:pt idx="1731">
                  <c:v>0.99658000000000002</c:v>
                </c:pt>
                <c:pt idx="1732">
                  <c:v>0.99657799999999996</c:v>
                </c:pt>
                <c:pt idx="1733">
                  <c:v>0.99657600000000002</c:v>
                </c:pt>
                <c:pt idx="1734">
                  <c:v>0.99657300000000004</c:v>
                </c:pt>
                <c:pt idx="1735">
                  <c:v>0.99656900000000004</c:v>
                </c:pt>
                <c:pt idx="1736">
                  <c:v>0.99656400000000001</c:v>
                </c:pt>
                <c:pt idx="1737">
                  <c:v>0.99655899999999997</c:v>
                </c:pt>
                <c:pt idx="1738">
                  <c:v>0.99655300000000002</c:v>
                </c:pt>
                <c:pt idx="1739">
                  <c:v>0.99654500000000001</c:v>
                </c:pt>
                <c:pt idx="1740">
                  <c:v>0.99653800000000003</c:v>
                </c:pt>
                <c:pt idx="1741">
                  <c:v>0.996529</c:v>
                </c:pt>
                <c:pt idx="1742">
                  <c:v>0.99651999999999996</c:v>
                </c:pt>
                <c:pt idx="1743">
                  <c:v>0.99651000000000001</c:v>
                </c:pt>
                <c:pt idx="1744">
                  <c:v>0.99650000000000005</c:v>
                </c:pt>
                <c:pt idx="1745">
                  <c:v>0.99648899999999996</c:v>
                </c:pt>
                <c:pt idx="1746">
                  <c:v>0.99647799999999997</c:v>
                </c:pt>
                <c:pt idx="1747">
                  <c:v>0.99646599999999996</c:v>
                </c:pt>
                <c:pt idx="1748">
                  <c:v>0.99645399999999995</c:v>
                </c:pt>
                <c:pt idx="1749">
                  <c:v>0.99644200000000005</c:v>
                </c:pt>
                <c:pt idx="1750">
                  <c:v>0.99642900000000001</c:v>
                </c:pt>
                <c:pt idx="1751">
                  <c:v>0.99641599999999997</c:v>
                </c:pt>
                <c:pt idx="1752">
                  <c:v>0.99640300000000004</c:v>
                </c:pt>
                <c:pt idx="1753">
                  <c:v>0.99639</c:v>
                </c:pt>
                <c:pt idx="1754">
                  <c:v>0.99637600000000004</c:v>
                </c:pt>
                <c:pt idx="1755">
                  <c:v>0.996363</c:v>
                </c:pt>
                <c:pt idx="1756">
                  <c:v>0.99634900000000004</c:v>
                </c:pt>
                <c:pt idx="1757">
                  <c:v>0.99633499999999997</c:v>
                </c:pt>
                <c:pt idx="1758">
                  <c:v>0.99632200000000004</c:v>
                </c:pt>
                <c:pt idx="1759">
                  <c:v>0.99630799999999997</c:v>
                </c:pt>
                <c:pt idx="1760">
                  <c:v>0.99629500000000004</c:v>
                </c:pt>
                <c:pt idx="1761">
                  <c:v>0.99628099999999997</c:v>
                </c:pt>
                <c:pt idx="1762">
                  <c:v>0.99626800000000004</c:v>
                </c:pt>
                <c:pt idx="1763">
                  <c:v>0.996255</c:v>
                </c:pt>
                <c:pt idx="1764">
                  <c:v>0.99624199999999996</c:v>
                </c:pt>
                <c:pt idx="1765">
                  <c:v>0.99622900000000003</c:v>
                </c:pt>
                <c:pt idx="1766">
                  <c:v>0.99621599999999999</c:v>
                </c:pt>
                <c:pt idx="1767">
                  <c:v>0.99620399999999998</c:v>
                </c:pt>
                <c:pt idx="1768">
                  <c:v>0.99619199999999997</c:v>
                </c:pt>
                <c:pt idx="1769">
                  <c:v>0.99618099999999998</c:v>
                </c:pt>
                <c:pt idx="1770">
                  <c:v>0.99616899999999997</c:v>
                </c:pt>
                <c:pt idx="1771">
                  <c:v>0.99615799999999999</c:v>
                </c:pt>
                <c:pt idx="1772">
                  <c:v>0.996147</c:v>
                </c:pt>
                <c:pt idx="1773">
                  <c:v>0.99613700000000005</c:v>
                </c:pt>
                <c:pt idx="1774">
                  <c:v>0.99612599999999996</c:v>
                </c:pt>
                <c:pt idx="1775">
                  <c:v>0.99611700000000003</c:v>
                </c:pt>
                <c:pt idx="1776">
                  <c:v>0.99610699999999996</c:v>
                </c:pt>
                <c:pt idx="1777">
                  <c:v>0.99609800000000004</c:v>
                </c:pt>
                <c:pt idx="1778">
                  <c:v>0.996089</c:v>
                </c:pt>
                <c:pt idx="1779">
                  <c:v>0.99607999999999997</c:v>
                </c:pt>
                <c:pt idx="1780">
                  <c:v>0.99607199999999996</c:v>
                </c:pt>
                <c:pt idx="1781">
                  <c:v>0.99606399999999995</c:v>
                </c:pt>
                <c:pt idx="1782">
                  <c:v>0.99605600000000005</c:v>
                </c:pt>
                <c:pt idx="1783">
                  <c:v>0.99604899999999996</c:v>
                </c:pt>
                <c:pt idx="1784">
                  <c:v>0.99604199999999998</c:v>
                </c:pt>
                <c:pt idx="1785">
                  <c:v>0.996035</c:v>
                </c:pt>
                <c:pt idx="1786">
                  <c:v>0.99602800000000002</c:v>
                </c:pt>
                <c:pt idx="1787">
                  <c:v>0.99602199999999996</c:v>
                </c:pt>
                <c:pt idx="1788">
                  <c:v>0.99601499999999998</c:v>
                </c:pt>
                <c:pt idx="1789">
                  <c:v>0.99600900000000003</c:v>
                </c:pt>
                <c:pt idx="1790">
                  <c:v>0.99600299999999997</c:v>
                </c:pt>
                <c:pt idx="1791">
                  <c:v>0.99599800000000005</c:v>
                </c:pt>
                <c:pt idx="1792">
                  <c:v>0.99599199999999999</c:v>
                </c:pt>
                <c:pt idx="1793">
                  <c:v>0.99598699999999996</c:v>
                </c:pt>
                <c:pt idx="1794">
                  <c:v>0.99598200000000003</c:v>
                </c:pt>
                <c:pt idx="1795">
                  <c:v>0.995977</c:v>
                </c:pt>
                <c:pt idx="1796">
                  <c:v>0.99597199999999997</c:v>
                </c:pt>
                <c:pt idx="1797">
                  <c:v>0.99596700000000005</c:v>
                </c:pt>
                <c:pt idx="1798">
                  <c:v>0.99596200000000001</c:v>
                </c:pt>
                <c:pt idx="1799">
                  <c:v>0.99595699999999998</c:v>
                </c:pt>
                <c:pt idx="1800">
                  <c:v>0.99595299999999998</c:v>
                </c:pt>
                <c:pt idx="1801">
                  <c:v>0.99594800000000006</c:v>
                </c:pt>
                <c:pt idx="1802">
                  <c:v>0.99594400000000005</c:v>
                </c:pt>
                <c:pt idx="1803">
                  <c:v>0.99593900000000002</c:v>
                </c:pt>
                <c:pt idx="1804">
                  <c:v>0.99593500000000001</c:v>
                </c:pt>
                <c:pt idx="1805">
                  <c:v>0.99592999999999998</c:v>
                </c:pt>
                <c:pt idx="1806">
                  <c:v>0.99592599999999998</c:v>
                </c:pt>
                <c:pt idx="1807">
                  <c:v>0.99592099999999995</c:v>
                </c:pt>
                <c:pt idx="1808">
                  <c:v>0.99591700000000005</c:v>
                </c:pt>
                <c:pt idx="1809">
                  <c:v>0.99591300000000005</c:v>
                </c:pt>
                <c:pt idx="1810">
                  <c:v>0.99590800000000002</c:v>
                </c:pt>
                <c:pt idx="1811">
                  <c:v>0.99590400000000001</c:v>
                </c:pt>
                <c:pt idx="1812">
                  <c:v>0.99590000000000001</c:v>
                </c:pt>
                <c:pt idx="1813">
                  <c:v>0.995896</c:v>
                </c:pt>
                <c:pt idx="1814">
                  <c:v>0.995892</c:v>
                </c:pt>
                <c:pt idx="1815">
                  <c:v>0.99588699999999997</c:v>
                </c:pt>
                <c:pt idx="1816">
                  <c:v>0.99588299999999996</c:v>
                </c:pt>
                <c:pt idx="1817">
                  <c:v>0.99587899999999996</c:v>
                </c:pt>
                <c:pt idx="1818">
                  <c:v>0.99587599999999998</c:v>
                </c:pt>
                <c:pt idx="1819">
                  <c:v>0.99587199999999998</c:v>
                </c:pt>
                <c:pt idx="1820">
                  <c:v>0.99586799999999998</c:v>
                </c:pt>
                <c:pt idx="1821">
                  <c:v>0.995865</c:v>
                </c:pt>
                <c:pt idx="1822">
                  <c:v>0.995861</c:v>
                </c:pt>
                <c:pt idx="1823">
                  <c:v>0.99585800000000002</c:v>
                </c:pt>
                <c:pt idx="1824">
                  <c:v>0.99585500000000005</c:v>
                </c:pt>
                <c:pt idx="1825">
                  <c:v>0.99585199999999996</c:v>
                </c:pt>
                <c:pt idx="1826">
                  <c:v>0.99584899999999998</c:v>
                </c:pt>
                <c:pt idx="1827">
                  <c:v>0.99584700000000004</c:v>
                </c:pt>
                <c:pt idx="1828">
                  <c:v>0.99584399999999995</c:v>
                </c:pt>
                <c:pt idx="1829">
                  <c:v>0.995842</c:v>
                </c:pt>
                <c:pt idx="1830">
                  <c:v>0.99584099999999998</c:v>
                </c:pt>
                <c:pt idx="1831">
                  <c:v>0.99583900000000003</c:v>
                </c:pt>
                <c:pt idx="1832">
                  <c:v>0.995838</c:v>
                </c:pt>
                <c:pt idx="1833">
                  <c:v>0.99583699999999997</c:v>
                </c:pt>
                <c:pt idx="1834">
                  <c:v>0.99583699999999997</c:v>
                </c:pt>
                <c:pt idx="1835">
                  <c:v>0.99583699999999997</c:v>
                </c:pt>
                <c:pt idx="1836">
                  <c:v>0.99583699999999997</c:v>
                </c:pt>
                <c:pt idx="1837">
                  <c:v>0.99583699999999997</c:v>
                </c:pt>
                <c:pt idx="1838">
                  <c:v>0.995838</c:v>
                </c:pt>
                <c:pt idx="1839">
                  <c:v>0.99583999999999995</c:v>
                </c:pt>
                <c:pt idx="1840">
                  <c:v>0.995842</c:v>
                </c:pt>
                <c:pt idx="1841">
                  <c:v>0.99584399999999995</c:v>
                </c:pt>
                <c:pt idx="1842">
                  <c:v>0.99584700000000004</c:v>
                </c:pt>
                <c:pt idx="1843">
                  <c:v>0.99585000000000001</c:v>
                </c:pt>
                <c:pt idx="1844">
                  <c:v>0.99585299999999999</c:v>
                </c:pt>
                <c:pt idx="1845">
                  <c:v>0.99585699999999999</c:v>
                </c:pt>
                <c:pt idx="1846">
                  <c:v>0.99586200000000002</c:v>
                </c:pt>
                <c:pt idx="1847">
                  <c:v>0.99586699999999995</c:v>
                </c:pt>
                <c:pt idx="1848">
                  <c:v>0.99587199999999998</c:v>
                </c:pt>
                <c:pt idx="1849">
                  <c:v>0.99587800000000004</c:v>
                </c:pt>
                <c:pt idx="1850">
                  <c:v>0.99588399999999999</c:v>
                </c:pt>
                <c:pt idx="1851">
                  <c:v>0.99589099999999997</c:v>
                </c:pt>
                <c:pt idx="1852">
                  <c:v>0.99589799999999995</c:v>
                </c:pt>
                <c:pt idx="1853">
                  <c:v>0.99590500000000004</c:v>
                </c:pt>
                <c:pt idx="1854">
                  <c:v>0.99591300000000005</c:v>
                </c:pt>
                <c:pt idx="1855">
                  <c:v>0.99592199999999997</c:v>
                </c:pt>
                <c:pt idx="1856">
                  <c:v>0.99592999999999998</c:v>
                </c:pt>
                <c:pt idx="1857">
                  <c:v>0.99593900000000002</c:v>
                </c:pt>
                <c:pt idx="1858">
                  <c:v>0.99594800000000006</c:v>
                </c:pt>
                <c:pt idx="1859">
                  <c:v>0.99595800000000001</c:v>
                </c:pt>
                <c:pt idx="1860">
                  <c:v>0.99596799999999996</c:v>
                </c:pt>
                <c:pt idx="1861">
                  <c:v>0.99597800000000003</c:v>
                </c:pt>
                <c:pt idx="1862">
                  <c:v>0.99598900000000001</c:v>
                </c:pt>
                <c:pt idx="1863">
                  <c:v>0.99599899999999997</c:v>
                </c:pt>
                <c:pt idx="1864">
                  <c:v>0.99600999999999995</c:v>
                </c:pt>
                <c:pt idx="1865">
                  <c:v>0.99602100000000005</c:v>
                </c:pt>
                <c:pt idx="1866">
                  <c:v>0.99603200000000003</c:v>
                </c:pt>
                <c:pt idx="1867">
                  <c:v>0.99604300000000001</c:v>
                </c:pt>
                <c:pt idx="1868">
                  <c:v>0.99605399999999999</c:v>
                </c:pt>
                <c:pt idx="1869">
                  <c:v>0.99606499999999998</c:v>
                </c:pt>
                <c:pt idx="1870">
                  <c:v>0.99607599999999996</c:v>
                </c:pt>
                <c:pt idx="1871">
                  <c:v>0.99608799999999997</c:v>
                </c:pt>
                <c:pt idx="1872">
                  <c:v>0.99609899999999996</c:v>
                </c:pt>
                <c:pt idx="1873">
                  <c:v>0.99610900000000002</c:v>
                </c:pt>
                <c:pt idx="1874">
                  <c:v>0.99612000000000001</c:v>
                </c:pt>
                <c:pt idx="1875">
                  <c:v>0.99613099999999999</c:v>
                </c:pt>
                <c:pt idx="1876">
                  <c:v>0.99614100000000005</c:v>
                </c:pt>
                <c:pt idx="1877">
                  <c:v>0.99615100000000001</c:v>
                </c:pt>
                <c:pt idx="1878">
                  <c:v>0.99616099999999996</c:v>
                </c:pt>
                <c:pt idx="1879">
                  <c:v>0.99617</c:v>
                </c:pt>
                <c:pt idx="1880">
                  <c:v>0.99617900000000004</c:v>
                </c:pt>
                <c:pt idx="1881">
                  <c:v>0.99618799999999996</c:v>
                </c:pt>
                <c:pt idx="1882">
                  <c:v>0.99619599999999997</c:v>
                </c:pt>
                <c:pt idx="1883">
                  <c:v>0.99620399999999998</c:v>
                </c:pt>
                <c:pt idx="1884">
                  <c:v>0.99621199999999999</c:v>
                </c:pt>
                <c:pt idx="1885">
                  <c:v>0.99621800000000005</c:v>
                </c:pt>
                <c:pt idx="1886">
                  <c:v>0.99622500000000003</c:v>
                </c:pt>
                <c:pt idx="1887">
                  <c:v>0.99623099999999998</c:v>
                </c:pt>
                <c:pt idx="1888">
                  <c:v>0.99623600000000001</c:v>
                </c:pt>
                <c:pt idx="1889">
                  <c:v>0.99624000000000001</c:v>
                </c:pt>
                <c:pt idx="1890">
                  <c:v>0.99624400000000002</c:v>
                </c:pt>
                <c:pt idx="1891">
                  <c:v>0.99624800000000002</c:v>
                </c:pt>
                <c:pt idx="1892">
                  <c:v>0.996251</c:v>
                </c:pt>
                <c:pt idx="1893">
                  <c:v>0.99625300000000006</c:v>
                </c:pt>
                <c:pt idx="1894">
                  <c:v>0.99625399999999997</c:v>
                </c:pt>
                <c:pt idx="1895">
                  <c:v>0.996255</c:v>
                </c:pt>
                <c:pt idx="1896">
                  <c:v>0.996255</c:v>
                </c:pt>
                <c:pt idx="1897">
                  <c:v>0.99625399999999997</c:v>
                </c:pt>
                <c:pt idx="1898">
                  <c:v>0.99625300000000006</c:v>
                </c:pt>
                <c:pt idx="1899">
                  <c:v>0.996251</c:v>
                </c:pt>
                <c:pt idx="1900">
                  <c:v>0.99624900000000005</c:v>
                </c:pt>
                <c:pt idx="1901">
                  <c:v>0.99624599999999996</c:v>
                </c:pt>
                <c:pt idx="1902">
                  <c:v>0.99624199999999996</c:v>
                </c:pt>
                <c:pt idx="1903">
                  <c:v>0.99623700000000004</c:v>
                </c:pt>
                <c:pt idx="1904">
                  <c:v>0.99623200000000001</c:v>
                </c:pt>
                <c:pt idx="1905">
                  <c:v>0.99622599999999994</c:v>
                </c:pt>
                <c:pt idx="1906">
                  <c:v>0.99621999999999999</c:v>
                </c:pt>
                <c:pt idx="1907">
                  <c:v>0.99621300000000002</c:v>
                </c:pt>
                <c:pt idx="1908">
                  <c:v>0.99620500000000001</c:v>
                </c:pt>
                <c:pt idx="1909">
                  <c:v>0.996197</c:v>
                </c:pt>
                <c:pt idx="1910">
                  <c:v>0.99618799999999996</c:v>
                </c:pt>
                <c:pt idx="1911">
                  <c:v>0.99617900000000004</c:v>
                </c:pt>
                <c:pt idx="1912">
                  <c:v>0.99617</c:v>
                </c:pt>
                <c:pt idx="1913">
                  <c:v>0.99616000000000005</c:v>
                </c:pt>
                <c:pt idx="1914">
                  <c:v>0.99614899999999995</c:v>
                </c:pt>
                <c:pt idx="1915">
                  <c:v>0.99613799999999997</c:v>
                </c:pt>
                <c:pt idx="1916">
                  <c:v>0.99612699999999998</c:v>
                </c:pt>
                <c:pt idx="1917">
                  <c:v>0.99611499999999997</c:v>
                </c:pt>
                <c:pt idx="1918">
                  <c:v>0.99610399999999999</c:v>
                </c:pt>
                <c:pt idx="1919">
                  <c:v>0.99609099999999995</c:v>
                </c:pt>
                <c:pt idx="1920">
                  <c:v>0.99607900000000005</c:v>
                </c:pt>
                <c:pt idx="1921">
                  <c:v>0.99606700000000004</c:v>
                </c:pt>
                <c:pt idx="1922">
                  <c:v>0.99605399999999999</c:v>
                </c:pt>
                <c:pt idx="1923">
                  <c:v>0.99604099999999995</c:v>
                </c:pt>
                <c:pt idx="1924">
                  <c:v>0.99602800000000002</c:v>
                </c:pt>
                <c:pt idx="1925">
                  <c:v>0.99601499999999998</c:v>
                </c:pt>
                <c:pt idx="1926">
                  <c:v>0.99600200000000005</c:v>
                </c:pt>
                <c:pt idx="1927">
                  <c:v>0.99598900000000001</c:v>
                </c:pt>
                <c:pt idx="1928">
                  <c:v>0.99597599999999997</c:v>
                </c:pt>
                <c:pt idx="1929">
                  <c:v>0.99596300000000004</c:v>
                </c:pt>
                <c:pt idx="1930">
                  <c:v>0.99595100000000003</c:v>
                </c:pt>
                <c:pt idx="1931">
                  <c:v>0.99593799999999999</c:v>
                </c:pt>
                <c:pt idx="1932">
                  <c:v>0.99592599999999998</c:v>
                </c:pt>
                <c:pt idx="1933">
                  <c:v>0.99591300000000005</c:v>
                </c:pt>
                <c:pt idx="1934">
                  <c:v>0.99590100000000004</c:v>
                </c:pt>
                <c:pt idx="1935">
                  <c:v>0.99589000000000005</c:v>
                </c:pt>
                <c:pt idx="1936">
                  <c:v>0.99587800000000004</c:v>
                </c:pt>
                <c:pt idx="1937">
                  <c:v>0.99586699999999995</c:v>
                </c:pt>
                <c:pt idx="1938">
                  <c:v>0.99585599999999996</c:v>
                </c:pt>
                <c:pt idx="1939">
                  <c:v>0.99584600000000001</c:v>
                </c:pt>
                <c:pt idx="1940">
                  <c:v>0.99583600000000005</c:v>
                </c:pt>
                <c:pt idx="1941">
                  <c:v>0.99582599999999999</c:v>
                </c:pt>
                <c:pt idx="1942">
                  <c:v>0.99581699999999995</c:v>
                </c:pt>
                <c:pt idx="1943">
                  <c:v>0.99580800000000003</c:v>
                </c:pt>
                <c:pt idx="1944">
                  <c:v>0.99580000000000002</c:v>
                </c:pt>
                <c:pt idx="1945">
                  <c:v>0.99579200000000001</c:v>
                </c:pt>
                <c:pt idx="1946">
                  <c:v>0.99578500000000003</c:v>
                </c:pt>
                <c:pt idx="1947">
                  <c:v>0.99577800000000005</c:v>
                </c:pt>
                <c:pt idx="1948">
                  <c:v>0.99577099999999996</c:v>
                </c:pt>
                <c:pt idx="1949">
                  <c:v>0.99576500000000001</c:v>
                </c:pt>
                <c:pt idx="1950">
                  <c:v>0.99575899999999995</c:v>
                </c:pt>
                <c:pt idx="1951">
                  <c:v>0.99575400000000003</c:v>
                </c:pt>
                <c:pt idx="1952">
                  <c:v>0.99575000000000002</c:v>
                </c:pt>
                <c:pt idx="1953">
                  <c:v>0.99574600000000002</c:v>
                </c:pt>
                <c:pt idx="1954">
                  <c:v>0.99574200000000002</c:v>
                </c:pt>
                <c:pt idx="1955">
                  <c:v>0.99573900000000004</c:v>
                </c:pt>
                <c:pt idx="1956">
                  <c:v>0.99573599999999995</c:v>
                </c:pt>
                <c:pt idx="1957">
                  <c:v>0.99573400000000001</c:v>
                </c:pt>
                <c:pt idx="1958">
                  <c:v>0.99573199999999995</c:v>
                </c:pt>
                <c:pt idx="1959">
                  <c:v>0.99573</c:v>
                </c:pt>
                <c:pt idx="1960">
                  <c:v>0.99572899999999998</c:v>
                </c:pt>
                <c:pt idx="1961">
                  <c:v>0.99572899999999998</c:v>
                </c:pt>
                <c:pt idx="1962">
                  <c:v>0.99572899999999998</c:v>
                </c:pt>
                <c:pt idx="1963">
                  <c:v>0.99572899999999998</c:v>
                </c:pt>
                <c:pt idx="1964">
                  <c:v>0.99572899999999998</c:v>
                </c:pt>
                <c:pt idx="1965">
                  <c:v>0.99573</c:v>
                </c:pt>
                <c:pt idx="1966">
                  <c:v>0.99573100000000003</c:v>
                </c:pt>
                <c:pt idx="1967">
                  <c:v>0.99573299999999998</c:v>
                </c:pt>
                <c:pt idx="1968">
                  <c:v>0.99573400000000001</c:v>
                </c:pt>
                <c:pt idx="1969">
                  <c:v>0.99573599999999995</c:v>
                </c:pt>
                <c:pt idx="1970">
                  <c:v>0.99573800000000001</c:v>
                </c:pt>
                <c:pt idx="1971">
                  <c:v>0.99574099999999999</c:v>
                </c:pt>
                <c:pt idx="1972">
                  <c:v>0.99574300000000004</c:v>
                </c:pt>
                <c:pt idx="1973">
                  <c:v>0.99574600000000002</c:v>
                </c:pt>
                <c:pt idx="1974">
                  <c:v>0.995749</c:v>
                </c:pt>
                <c:pt idx="1975">
                  <c:v>0.99575199999999997</c:v>
                </c:pt>
                <c:pt idx="1976">
                  <c:v>0.99575499999999995</c:v>
                </c:pt>
                <c:pt idx="1977">
                  <c:v>0.99575899999999995</c:v>
                </c:pt>
                <c:pt idx="1978">
                  <c:v>0.99576200000000004</c:v>
                </c:pt>
                <c:pt idx="1979">
                  <c:v>0.99576600000000004</c:v>
                </c:pt>
                <c:pt idx="1980">
                  <c:v>0.99576900000000002</c:v>
                </c:pt>
                <c:pt idx="1981">
                  <c:v>0.99577300000000002</c:v>
                </c:pt>
                <c:pt idx="1982">
                  <c:v>0.99577599999999999</c:v>
                </c:pt>
                <c:pt idx="1983">
                  <c:v>0.99578</c:v>
                </c:pt>
                <c:pt idx="1984">
                  <c:v>0.995784</c:v>
                </c:pt>
                <c:pt idx="1985">
                  <c:v>0.99578699999999998</c:v>
                </c:pt>
                <c:pt idx="1986">
                  <c:v>0.99579099999999998</c:v>
                </c:pt>
                <c:pt idx="1987">
                  <c:v>0.99579399999999996</c:v>
                </c:pt>
                <c:pt idx="1988">
                  <c:v>0.99579799999999996</c:v>
                </c:pt>
                <c:pt idx="1989">
                  <c:v>0.99580100000000005</c:v>
                </c:pt>
                <c:pt idx="1990">
                  <c:v>0.99580500000000005</c:v>
                </c:pt>
                <c:pt idx="1991">
                  <c:v>0.99580800000000003</c:v>
                </c:pt>
                <c:pt idx="1992">
                  <c:v>0.995811</c:v>
                </c:pt>
                <c:pt idx="1993">
                  <c:v>0.99581399999999998</c:v>
                </c:pt>
                <c:pt idx="1994">
                  <c:v>0.99581699999999995</c:v>
                </c:pt>
                <c:pt idx="1995">
                  <c:v>0.99582000000000004</c:v>
                </c:pt>
                <c:pt idx="1996">
                  <c:v>0.99582300000000001</c:v>
                </c:pt>
                <c:pt idx="1997">
                  <c:v>0.99582599999999999</c:v>
                </c:pt>
                <c:pt idx="1998">
                  <c:v>0.99582899999999996</c:v>
                </c:pt>
                <c:pt idx="1999">
                  <c:v>0.99583200000000005</c:v>
                </c:pt>
                <c:pt idx="2000">
                  <c:v>0.995834</c:v>
                </c:pt>
                <c:pt idx="2001">
                  <c:v>0.99583699999999997</c:v>
                </c:pt>
                <c:pt idx="2002">
                  <c:v>0.99583900000000003</c:v>
                </c:pt>
              </c:numCache>
            </c:numRef>
          </c:yVal>
          <c:smooth val="0"/>
          <c:extLst>
            <c:ext xmlns:c16="http://schemas.microsoft.com/office/drawing/2014/chart" uri="{C3380CC4-5D6E-409C-BE32-E72D297353CC}">
              <c16:uniqueId val="{00000001-A885-45AF-97DE-B39FF25EFDDA}"/>
            </c:ext>
          </c:extLst>
        </c:ser>
        <c:ser>
          <c:idx val="2"/>
          <c:order val="2"/>
          <c:tx>
            <c:strRef>
              <c:f>Sheet1!$D$1:$D$2</c:f>
              <c:strCache>
                <c:ptCount val="2"/>
                <c:pt idx="0">
                  <c:v>V8</c:v>
                </c:pt>
                <c:pt idx="1">
                  <c:v>LL(a-b)</c:v>
                </c:pt>
              </c:strCache>
            </c:strRef>
          </c:tx>
          <c:spPr>
            <a:ln w="12700" cap="rnd">
              <a:solidFill>
                <a:srgbClr val="00B0F0"/>
              </a:solidFill>
              <a:round/>
            </a:ln>
            <a:effectLst/>
          </c:spPr>
          <c:marker>
            <c:symbol val="none"/>
          </c:marker>
          <c:xVal>
            <c:numRef>
              <c:f>Sheet1!$A$3:$A$2005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Sheet1!$D$3:$D$2005</c:f>
              <c:numCache>
                <c:formatCode>General</c:formatCode>
                <c:ptCount val="2003"/>
                <c:pt idx="0">
                  <c:v>0.99602199999999996</c:v>
                </c:pt>
                <c:pt idx="1">
                  <c:v>0.99602199999999996</c:v>
                </c:pt>
                <c:pt idx="2">
                  <c:v>0.99602199999999996</c:v>
                </c:pt>
                <c:pt idx="3">
                  <c:v>0.99602199999999996</c:v>
                </c:pt>
                <c:pt idx="4">
                  <c:v>0.99602199999999996</c:v>
                </c:pt>
                <c:pt idx="5">
                  <c:v>0.99602199999999996</c:v>
                </c:pt>
                <c:pt idx="6">
                  <c:v>0.99602199999999996</c:v>
                </c:pt>
                <c:pt idx="7">
                  <c:v>0.99602199999999996</c:v>
                </c:pt>
                <c:pt idx="8">
                  <c:v>0.99602199999999996</c:v>
                </c:pt>
                <c:pt idx="9">
                  <c:v>0.99602199999999996</c:v>
                </c:pt>
                <c:pt idx="10">
                  <c:v>0.99602199999999996</c:v>
                </c:pt>
                <c:pt idx="11">
                  <c:v>0.99602199999999996</c:v>
                </c:pt>
                <c:pt idx="12">
                  <c:v>0.99602199999999996</c:v>
                </c:pt>
                <c:pt idx="13">
                  <c:v>0.99602199999999996</c:v>
                </c:pt>
                <c:pt idx="14">
                  <c:v>0.99602199999999996</c:v>
                </c:pt>
                <c:pt idx="15">
                  <c:v>0.99602199999999996</c:v>
                </c:pt>
                <c:pt idx="16">
                  <c:v>0.99602199999999996</c:v>
                </c:pt>
                <c:pt idx="17">
                  <c:v>0.99602199999999996</c:v>
                </c:pt>
                <c:pt idx="18">
                  <c:v>0.99602199999999996</c:v>
                </c:pt>
                <c:pt idx="19">
                  <c:v>0.99602199999999996</c:v>
                </c:pt>
                <c:pt idx="20">
                  <c:v>0.99602199999999996</c:v>
                </c:pt>
                <c:pt idx="21">
                  <c:v>0.99602199999999996</c:v>
                </c:pt>
                <c:pt idx="22">
                  <c:v>0.99602199999999996</c:v>
                </c:pt>
                <c:pt idx="23">
                  <c:v>0.99602199999999996</c:v>
                </c:pt>
                <c:pt idx="24">
                  <c:v>0.99602199999999996</c:v>
                </c:pt>
                <c:pt idx="25">
                  <c:v>0.99602199999999996</c:v>
                </c:pt>
                <c:pt idx="26">
                  <c:v>0.99602199999999996</c:v>
                </c:pt>
                <c:pt idx="27">
                  <c:v>0.99602199999999996</c:v>
                </c:pt>
                <c:pt idx="28">
                  <c:v>0.99602199999999996</c:v>
                </c:pt>
                <c:pt idx="29">
                  <c:v>0.99602199999999996</c:v>
                </c:pt>
                <c:pt idx="30">
                  <c:v>0.99602199999999996</c:v>
                </c:pt>
                <c:pt idx="31">
                  <c:v>0.99602199999999996</c:v>
                </c:pt>
                <c:pt idx="32">
                  <c:v>0.99602199999999996</c:v>
                </c:pt>
                <c:pt idx="33">
                  <c:v>0.99602199999999996</c:v>
                </c:pt>
                <c:pt idx="34">
                  <c:v>0.99602199999999996</c:v>
                </c:pt>
                <c:pt idx="35">
                  <c:v>0.99602199999999996</c:v>
                </c:pt>
                <c:pt idx="36">
                  <c:v>0.99602199999999996</c:v>
                </c:pt>
                <c:pt idx="37">
                  <c:v>0.99602199999999996</c:v>
                </c:pt>
                <c:pt idx="38">
                  <c:v>0.99602199999999996</c:v>
                </c:pt>
                <c:pt idx="39">
                  <c:v>0.99602199999999996</c:v>
                </c:pt>
                <c:pt idx="40">
                  <c:v>0.99602199999999996</c:v>
                </c:pt>
                <c:pt idx="41">
                  <c:v>0.99602199999999996</c:v>
                </c:pt>
                <c:pt idx="42">
                  <c:v>0.99602199999999996</c:v>
                </c:pt>
                <c:pt idx="43">
                  <c:v>0.99602199999999996</c:v>
                </c:pt>
                <c:pt idx="44">
                  <c:v>0.99602199999999996</c:v>
                </c:pt>
                <c:pt idx="45">
                  <c:v>0.99602199999999996</c:v>
                </c:pt>
                <c:pt idx="46">
                  <c:v>0.99602199999999996</c:v>
                </c:pt>
                <c:pt idx="47">
                  <c:v>0.99602199999999996</c:v>
                </c:pt>
                <c:pt idx="48">
                  <c:v>0.99602199999999996</c:v>
                </c:pt>
                <c:pt idx="49">
                  <c:v>0.99602199999999996</c:v>
                </c:pt>
                <c:pt idx="50">
                  <c:v>0.99602199999999996</c:v>
                </c:pt>
                <c:pt idx="51">
                  <c:v>0.99602199999999996</c:v>
                </c:pt>
                <c:pt idx="52">
                  <c:v>0.99602199999999996</c:v>
                </c:pt>
                <c:pt idx="53">
                  <c:v>0.99602199999999996</c:v>
                </c:pt>
                <c:pt idx="54">
                  <c:v>0.99602199999999996</c:v>
                </c:pt>
                <c:pt idx="55">
                  <c:v>0.99602199999999996</c:v>
                </c:pt>
                <c:pt idx="56">
                  <c:v>0.99602199999999996</c:v>
                </c:pt>
                <c:pt idx="57">
                  <c:v>0.99602199999999996</c:v>
                </c:pt>
                <c:pt idx="58">
                  <c:v>0.99602199999999996</c:v>
                </c:pt>
                <c:pt idx="59">
                  <c:v>0.99602199999999996</c:v>
                </c:pt>
                <c:pt idx="60">
                  <c:v>0.99602199999999996</c:v>
                </c:pt>
                <c:pt idx="61">
                  <c:v>0.99602199999999996</c:v>
                </c:pt>
                <c:pt idx="62">
                  <c:v>0.99602199999999996</c:v>
                </c:pt>
                <c:pt idx="63">
                  <c:v>0.99602199999999996</c:v>
                </c:pt>
                <c:pt idx="64">
                  <c:v>0.99602199999999996</c:v>
                </c:pt>
                <c:pt idx="65">
                  <c:v>0.99602199999999996</c:v>
                </c:pt>
                <c:pt idx="66">
                  <c:v>0.99602199999999996</c:v>
                </c:pt>
                <c:pt idx="67">
                  <c:v>0.99602199999999996</c:v>
                </c:pt>
                <c:pt idx="68">
                  <c:v>0.99602199999999996</c:v>
                </c:pt>
                <c:pt idx="69">
                  <c:v>0.99602199999999996</c:v>
                </c:pt>
                <c:pt idx="70">
                  <c:v>0.99602199999999996</c:v>
                </c:pt>
                <c:pt idx="71">
                  <c:v>0.99602199999999996</c:v>
                </c:pt>
                <c:pt idx="72">
                  <c:v>0.99602199999999996</c:v>
                </c:pt>
                <c:pt idx="73">
                  <c:v>0.99602199999999996</c:v>
                </c:pt>
                <c:pt idx="74">
                  <c:v>0.99602199999999996</c:v>
                </c:pt>
                <c:pt idx="75">
                  <c:v>0.99602199999999996</c:v>
                </c:pt>
                <c:pt idx="76">
                  <c:v>0.99602199999999996</c:v>
                </c:pt>
                <c:pt idx="77">
                  <c:v>0.99602199999999996</c:v>
                </c:pt>
                <c:pt idx="78">
                  <c:v>0.99602199999999996</c:v>
                </c:pt>
                <c:pt idx="79">
                  <c:v>0.99602199999999996</c:v>
                </c:pt>
                <c:pt idx="80">
                  <c:v>0.99602199999999996</c:v>
                </c:pt>
                <c:pt idx="81">
                  <c:v>0.99602199999999996</c:v>
                </c:pt>
                <c:pt idx="82">
                  <c:v>0.99602199999999996</c:v>
                </c:pt>
                <c:pt idx="83">
                  <c:v>0.99602199999999996</c:v>
                </c:pt>
                <c:pt idx="84">
                  <c:v>0.99602199999999996</c:v>
                </c:pt>
                <c:pt idx="85">
                  <c:v>0.99602199999999996</c:v>
                </c:pt>
                <c:pt idx="86">
                  <c:v>0.99602199999999996</c:v>
                </c:pt>
                <c:pt idx="87">
                  <c:v>0.99602199999999996</c:v>
                </c:pt>
                <c:pt idx="88">
                  <c:v>0.99602199999999996</c:v>
                </c:pt>
                <c:pt idx="89">
                  <c:v>0.99602199999999996</c:v>
                </c:pt>
                <c:pt idx="90">
                  <c:v>0.99602199999999996</c:v>
                </c:pt>
                <c:pt idx="91">
                  <c:v>0.99602199999999996</c:v>
                </c:pt>
                <c:pt idx="92">
                  <c:v>0.99602199999999996</c:v>
                </c:pt>
                <c:pt idx="93">
                  <c:v>0.99602199999999996</c:v>
                </c:pt>
                <c:pt idx="94">
                  <c:v>0.99602199999999996</c:v>
                </c:pt>
                <c:pt idx="95">
                  <c:v>0.99602199999999996</c:v>
                </c:pt>
                <c:pt idx="96">
                  <c:v>0.99602199999999996</c:v>
                </c:pt>
                <c:pt idx="97">
                  <c:v>0.99602199999999996</c:v>
                </c:pt>
                <c:pt idx="98">
                  <c:v>0.99602199999999996</c:v>
                </c:pt>
                <c:pt idx="99">
                  <c:v>0.99602199999999996</c:v>
                </c:pt>
                <c:pt idx="100">
                  <c:v>0.99602199999999996</c:v>
                </c:pt>
                <c:pt idx="101">
                  <c:v>0.99602199999999996</c:v>
                </c:pt>
                <c:pt idx="102">
                  <c:v>0.99602199999999996</c:v>
                </c:pt>
                <c:pt idx="103">
                  <c:v>0.99602199999999996</c:v>
                </c:pt>
                <c:pt idx="104">
                  <c:v>0.99602199999999996</c:v>
                </c:pt>
                <c:pt idx="105">
                  <c:v>0.99602199999999996</c:v>
                </c:pt>
                <c:pt idx="106">
                  <c:v>0.99602199999999996</c:v>
                </c:pt>
                <c:pt idx="107">
                  <c:v>0.99602199999999996</c:v>
                </c:pt>
                <c:pt idx="108">
                  <c:v>0.99602199999999996</c:v>
                </c:pt>
                <c:pt idx="109">
                  <c:v>0.99602199999999996</c:v>
                </c:pt>
                <c:pt idx="110">
                  <c:v>0.99602199999999996</c:v>
                </c:pt>
                <c:pt idx="111">
                  <c:v>0.99602199999999996</c:v>
                </c:pt>
                <c:pt idx="112">
                  <c:v>0.99602199999999996</c:v>
                </c:pt>
                <c:pt idx="113">
                  <c:v>0.99602199999999996</c:v>
                </c:pt>
                <c:pt idx="114">
                  <c:v>0.99602199999999996</c:v>
                </c:pt>
                <c:pt idx="115">
                  <c:v>0.99602199999999996</c:v>
                </c:pt>
                <c:pt idx="116">
                  <c:v>0.99602199999999996</c:v>
                </c:pt>
                <c:pt idx="117">
                  <c:v>0.99602199999999996</c:v>
                </c:pt>
                <c:pt idx="118">
                  <c:v>0.99602199999999996</c:v>
                </c:pt>
                <c:pt idx="119">
                  <c:v>0.99602199999999996</c:v>
                </c:pt>
                <c:pt idx="120">
                  <c:v>0.99602199999999996</c:v>
                </c:pt>
                <c:pt idx="121">
                  <c:v>0.99602199999999996</c:v>
                </c:pt>
                <c:pt idx="122">
                  <c:v>0.99602199999999996</c:v>
                </c:pt>
                <c:pt idx="123">
                  <c:v>0.99602199999999996</c:v>
                </c:pt>
                <c:pt idx="124">
                  <c:v>0.99602199999999996</c:v>
                </c:pt>
                <c:pt idx="125">
                  <c:v>0.99602199999999996</c:v>
                </c:pt>
                <c:pt idx="126">
                  <c:v>0.99602199999999996</c:v>
                </c:pt>
                <c:pt idx="127">
                  <c:v>0.99602199999999996</c:v>
                </c:pt>
                <c:pt idx="128">
                  <c:v>0.99602199999999996</c:v>
                </c:pt>
                <c:pt idx="129">
                  <c:v>0.99602199999999996</c:v>
                </c:pt>
                <c:pt idx="130">
                  <c:v>0.99602199999999996</c:v>
                </c:pt>
                <c:pt idx="131">
                  <c:v>0.99602199999999996</c:v>
                </c:pt>
                <c:pt idx="132">
                  <c:v>0.99602199999999996</c:v>
                </c:pt>
                <c:pt idx="133">
                  <c:v>0.99602199999999996</c:v>
                </c:pt>
                <c:pt idx="134">
                  <c:v>0.99602199999999996</c:v>
                </c:pt>
                <c:pt idx="135">
                  <c:v>0.99602199999999996</c:v>
                </c:pt>
                <c:pt idx="136">
                  <c:v>0.99602199999999996</c:v>
                </c:pt>
                <c:pt idx="137">
                  <c:v>0.99602199999999996</c:v>
                </c:pt>
                <c:pt idx="138">
                  <c:v>0.99602199999999996</c:v>
                </c:pt>
                <c:pt idx="139">
                  <c:v>0.99602199999999996</c:v>
                </c:pt>
                <c:pt idx="140">
                  <c:v>0.99602199999999996</c:v>
                </c:pt>
                <c:pt idx="141">
                  <c:v>0.99602199999999996</c:v>
                </c:pt>
                <c:pt idx="142">
                  <c:v>0.99602199999999996</c:v>
                </c:pt>
                <c:pt idx="143">
                  <c:v>0.99602199999999996</c:v>
                </c:pt>
                <c:pt idx="144">
                  <c:v>0.99602199999999996</c:v>
                </c:pt>
                <c:pt idx="145">
                  <c:v>0.99602199999999996</c:v>
                </c:pt>
                <c:pt idx="146">
                  <c:v>0.99602199999999996</c:v>
                </c:pt>
                <c:pt idx="147">
                  <c:v>0.99602199999999996</c:v>
                </c:pt>
                <c:pt idx="148">
                  <c:v>0.99602199999999996</c:v>
                </c:pt>
                <c:pt idx="149">
                  <c:v>0.99602199999999996</c:v>
                </c:pt>
                <c:pt idx="150">
                  <c:v>0.99602199999999996</c:v>
                </c:pt>
                <c:pt idx="151">
                  <c:v>0.99602199999999996</c:v>
                </c:pt>
                <c:pt idx="152">
                  <c:v>0.99602199999999996</c:v>
                </c:pt>
                <c:pt idx="153">
                  <c:v>0.99602199999999996</c:v>
                </c:pt>
                <c:pt idx="154">
                  <c:v>0.99602199999999996</c:v>
                </c:pt>
                <c:pt idx="155">
                  <c:v>0.99602199999999996</c:v>
                </c:pt>
                <c:pt idx="156">
                  <c:v>0.99602199999999996</c:v>
                </c:pt>
                <c:pt idx="157">
                  <c:v>0.99602199999999996</c:v>
                </c:pt>
                <c:pt idx="158">
                  <c:v>0.99602199999999996</c:v>
                </c:pt>
                <c:pt idx="159">
                  <c:v>0.99602199999999996</c:v>
                </c:pt>
                <c:pt idx="160">
                  <c:v>0.99602199999999996</c:v>
                </c:pt>
                <c:pt idx="161">
                  <c:v>0.99602199999999996</c:v>
                </c:pt>
                <c:pt idx="162">
                  <c:v>0.99602199999999996</c:v>
                </c:pt>
                <c:pt idx="163">
                  <c:v>0.99602199999999996</c:v>
                </c:pt>
                <c:pt idx="164">
                  <c:v>0.99602199999999996</c:v>
                </c:pt>
                <c:pt idx="165">
                  <c:v>0.99602199999999996</c:v>
                </c:pt>
                <c:pt idx="166">
                  <c:v>0.99602199999999996</c:v>
                </c:pt>
                <c:pt idx="167">
                  <c:v>0.99602199999999996</c:v>
                </c:pt>
                <c:pt idx="168">
                  <c:v>0.99602199999999996</c:v>
                </c:pt>
                <c:pt idx="169">
                  <c:v>0.99602199999999996</c:v>
                </c:pt>
                <c:pt idx="170">
                  <c:v>0.99602199999999996</c:v>
                </c:pt>
                <c:pt idx="171">
                  <c:v>0.99602199999999996</c:v>
                </c:pt>
                <c:pt idx="172">
                  <c:v>0.99602199999999996</c:v>
                </c:pt>
                <c:pt idx="173">
                  <c:v>0.99602199999999996</c:v>
                </c:pt>
                <c:pt idx="174">
                  <c:v>0.99602199999999996</c:v>
                </c:pt>
                <c:pt idx="175">
                  <c:v>0.99602199999999996</c:v>
                </c:pt>
                <c:pt idx="176">
                  <c:v>0.99602199999999996</c:v>
                </c:pt>
                <c:pt idx="177">
                  <c:v>0.99602199999999996</c:v>
                </c:pt>
                <c:pt idx="178">
                  <c:v>0.99602199999999996</c:v>
                </c:pt>
                <c:pt idx="179">
                  <c:v>0.99602199999999996</c:v>
                </c:pt>
                <c:pt idx="180">
                  <c:v>0.99602199999999996</c:v>
                </c:pt>
                <c:pt idx="181">
                  <c:v>0.99602199999999996</c:v>
                </c:pt>
                <c:pt idx="182">
                  <c:v>0.99602199999999996</c:v>
                </c:pt>
                <c:pt idx="183">
                  <c:v>0.99602199999999996</c:v>
                </c:pt>
                <c:pt idx="184">
                  <c:v>0.99602199999999996</c:v>
                </c:pt>
                <c:pt idx="185">
                  <c:v>0.99602199999999996</c:v>
                </c:pt>
                <c:pt idx="186">
                  <c:v>0.99602199999999996</c:v>
                </c:pt>
                <c:pt idx="187">
                  <c:v>0.99602199999999996</c:v>
                </c:pt>
                <c:pt idx="188">
                  <c:v>0.99602199999999996</c:v>
                </c:pt>
                <c:pt idx="189">
                  <c:v>0.99602199999999996</c:v>
                </c:pt>
                <c:pt idx="190">
                  <c:v>0.99602199999999996</c:v>
                </c:pt>
                <c:pt idx="191">
                  <c:v>0.99602199999999996</c:v>
                </c:pt>
                <c:pt idx="192">
                  <c:v>0.99602199999999996</c:v>
                </c:pt>
                <c:pt idx="193">
                  <c:v>0.99602199999999996</c:v>
                </c:pt>
                <c:pt idx="194">
                  <c:v>0.99602199999999996</c:v>
                </c:pt>
                <c:pt idx="195">
                  <c:v>0.99602199999999996</c:v>
                </c:pt>
                <c:pt idx="196">
                  <c:v>0.99602199999999996</c:v>
                </c:pt>
                <c:pt idx="197">
                  <c:v>0.99602199999999996</c:v>
                </c:pt>
                <c:pt idx="198">
                  <c:v>0.99602199999999996</c:v>
                </c:pt>
                <c:pt idx="199">
                  <c:v>0.99602199999999996</c:v>
                </c:pt>
                <c:pt idx="200">
                  <c:v>0.99602199999999996</c:v>
                </c:pt>
                <c:pt idx="201">
                  <c:v>0.72423099999999996</c:v>
                </c:pt>
                <c:pt idx="202">
                  <c:v>0.72062400000000004</c:v>
                </c:pt>
                <c:pt idx="203">
                  <c:v>0.71945599999999998</c:v>
                </c:pt>
                <c:pt idx="204">
                  <c:v>0.72209100000000004</c:v>
                </c:pt>
                <c:pt idx="205">
                  <c:v>0.72640099999999996</c:v>
                </c:pt>
                <c:pt idx="206">
                  <c:v>0.73133300000000001</c:v>
                </c:pt>
                <c:pt idx="207">
                  <c:v>0.73629699999999998</c:v>
                </c:pt>
                <c:pt idx="208">
                  <c:v>0.74102599999999996</c:v>
                </c:pt>
                <c:pt idx="209">
                  <c:v>0.74533400000000005</c:v>
                </c:pt>
                <c:pt idx="210">
                  <c:v>0.74919999999999998</c:v>
                </c:pt>
                <c:pt idx="211">
                  <c:v>0.75203900000000001</c:v>
                </c:pt>
                <c:pt idx="212">
                  <c:v>0.96780100000000002</c:v>
                </c:pt>
                <c:pt idx="213">
                  <c:v>0.97908799999999996</c:v>
                </c:pt>
                <c:pt idx="214">
                  <c:v>0.99119100000000004</c:v>
                </c:pt>
                <c:pt idx="215">
                  <c:v>0.99797800000000003</c:v>
                </c:pt>
                <c:pt idx="216">
                  <c:v>1.001576</c:v>
                </c:pt>
                <c:pt idx="217">
                  <c:v>1.0031600000000001</c:v>
                </c:pt>
                <c:pt idx="218">
                  <c:v>1.003423</c:v>
                </c:pt>
                <c:pt idx="219">
                  <c:v>1.002837</c:v>
                </c:pt>
                <c:pt idx="220">
                  <c:v>1.001692</c:v>
                </c:pt>
                <c:pt idx="221">
                  <c:v>1.0001910000000001</c:v>
                </c:pt>
                <c:pt idx="222">
                  <c:v>0.998475</c:v>
                </c:pt>
                <c:pt idx="223">
                  <c:v>0.99664200000000003</c:v>
                </c:pt>
                <c:pt idx="224">
                  <c:v>0.99478299999999997</c:v>
                </c:pt>
                <c:pt idx="225">
                  <c:v>0.99291300000000005</c:v>
                </c:pt>
                <c:pt idx="226">
                  <c:v>0.99108799999999997</c:v>
                </c:pt>
                <c:pt idx="227">
                  <c:v>0.98933400000000005</c:v>
                </c:pt>
                <c:pt idx="228">
                  <c:v>0.98766799999999999</c:v>
                </c:pt>
                <c:pt idx="229">
                  <c:v>0.98610299999999995</c:v>
                </c:pt>
                <c:pt idx="230">
                  <c:v>0.98464600000000002</c:v>
                </c:pt>
                <c:pt idx="231">
                  <c:v>0.98330200000000001</c:v>
                </c:pt>
                <c:pt idx="232">
                  <c:v>0.98207100000000003</c:v>
                </c:pt>
                <c:pt idx="233">
                  <c:v>0.98095299999999996</c:v>
                </c:pt>
                <c:pt idx="234">
                  <c:v>0.97994700000000001</c:v>
                </c:pt>
                <c:pt idx="235">
                  <c:v>0.97904899999999995</c:v>
                </c:pt>
                <c:pt idx="236">
                  <c:v>0.97825700000000004</c:v>
                </c:pt>
                <c:pt idx="237">
                  <c:v>0.97756699999999996</c:v>
                </c:pt>
                <c:pt idx="238">
                  <c:v>0.97697299999999998</c:v>
                </c:pt>
                <c:pt idx="239">
                  <c:v>0.97647099999999998</c:v>
                </c:pt>
                <c:pt idx="240">
                  <c:v>0.97605699999999995</c:v>
                </c:pt>
                <c:pt idx="241">
                  <c:v>0.97572700000000001</c:v>
                </c:pt>
                <c:pt idx="242">
                  <c:v>0.97547399999999995</c:v>
                </c:pt>
                <c:pt idx="243">
                  <c:v>0.97529600000000005</c:v>
                </c:pt>
                <c:pt idx="244">
                  <c:v>0.97518800000000005</c:v>
                </c:pt>
                <c:pt idx="245">
                  <c:v>0.97514400000000001</c:v>
                </c:pt>
                <c:pt idx="246">
                  <c:v>0.97512500000000002</c:v>
                </c:pt>
                <c:pt idx="247">
                  <c:v>0.97524100000000002</c:v>
                </c:pt>
                <c:pt idx="248">
                  <c:v>0.97533700000000001</c:v>
                </c:pt>
                <c:pt idx="249">
                  <c:v>0.97554600000000002</c:v>
                </c:pt>
                <c:pt idx="250">
                  <c:v>0.97574399999999994</c:v>
                </c:pt>
                <c:pt idx="251">
                  <c:v>0.97603399999999996</c:v>
                </c:pt>
                <c:pt idx="252">
                  <c:v>0.97632600000000003</c:v>
                </c:pt>
                <c:pt idx="253">
                  <c:v>0.97668699999999997</c:v>
                </c:pt>
                <c:pt idx="254">
                  <c:v>0.97706300000000001</c:v>
                </c:pt>
                <c:pt idx="255">
                  <c:v>0.977468</c:v>
                </c:pt>
                <c:pt idx="256">
                  <c:v>0.97790999999999995</c:v>
                </c:pt>
                <c:pt idx="257">
                  <c:v>0.97838499999999995</c:v>
                </c:pt>
                <c:pt idx="258">
                  <c:v>0.97889000000000004</c:v>
                </c:pt>
                <c:pt idx="259">
                  <c:v>0.97942600000000002</c:v>
                </c:pt>
                <c:pt idx="260">
                  <c:v>0.97999099999999995</c:v>
                </c:pt>
                <c:pt idx="261">
                  <c:v>0.98058599999999996</c:v>
                </c:pt>
                <c:pt idx="262">
                  <c:v>0.981209</c:v>
                </c:pt>
                <c:pt idx="263">
                  <c:v>0.98186099999999998</c:v>
                </c:pt>
                <c:pt idx="264">
                  <c:v>0.98254200000000003</c:v>
                </c:pt>
                <c:pt idx="265">
                  <c:v>0.98324999999999996</c:v>
                </c:pt>
                <c:pt idx="266">
                  <c:v>0.983985</c:v>
                </c:pt>
                <c:pt idx="267">
                  <c:v>0.98474700000000004</c:v>
                </c:pt>
                <c:pt idx="268">
                  <c:v>0.98553599999999997</c:v>
                </c:pt>
                <c:pt idx="269">
                  <c:v>0.98634900000000003</c:v>
                </c:pt>
                <c:pt idx="270">
                  <c:v>0.98718799999999995</c:v>
                </c:pt>
                <c:pt idx="271">
                  <c:v>0.98804899999999996</c:v>
                </c:pt>
                <c:pt idx="272">
                  <c:v>0.98893299999999995</c:v>
                </c:pt>
                <c:pt idx="273">
                  <c:v>0.98983699999999997</c:v>
                </c:pt>
                <c:pt idx="274">
                  <c:v>0.99075999999999997</c:v>
                </c:pt>
                <c:pt idx="275">
                  <c:v>0.99170000000000003</c:v>
                </c:pt>
                <c:pt idx="276">
                  <c:v>0.99265499999999995</c:v>
                </c:pt>
                <c:pt idx="277">
                  <c:v>0.99362300000000003</c:v>
                </c:pt>
                <c:pt idx="278">
                  <c:v>0.99460099999999996</c:v>
                </c:pt>
                <c:pt idx="279">
                  <c:v>0.99558800000000003</c:v>
                </c:pt>
                <c:pt idx="280">
                  <c:v>0.99657899999999999</c:v>
                </c:pt>
                <c:pt idx="281">
                  <c:v>0.99757399999999996</c:v>
                </c:pt>
                <c:pt idx="282">
                  <c:v>0.99856800000000001</c:v>
                </c:pt>
                <c:pt idx="283">
                  <c:v>0.99956</c:v>
                </c:pt>
                <c:pt idx="284">
                  <c:v>1.0005459999999999</c:v>
                </c:pt>
                <c:pt idx="285">
                  <c:v>1.0015229999999999</c:v>
                </c:pt>
                <c:pt idx="286">
                  <c:v>1.002489</c:v>
                </c:pt>
                <c:pt idx="287">
                  <c:v>1.003441</c:v>
                </c:pt>
                <c:pt idx="288">
                  <c:v>1.0043770000000001</c:v>
                </c:pt>
                <c:pt idx="289">
                  <c:v>1.0052939999999999</c:v>
                </c:pt>
                <c:pt idx="290">
                  <c:v>1.006189</c:v>
                </c:pt>
                <c:pt idx="291">
                  <c:v>1.007061</c:v>
                </c:pt>
                <c:pt idx="292">
                  <c:v>1.007908</c:v>
                </c:pt>
                <c:pt idx="293">
                  <c:v>1.008729</c:v>
                </c:pt>
                <c:pt idx="294">
                  <c:v>1.0095209999999999</c:v>
                </c:pt>
                <c:pt idx="295">
                  <c:v>1.010283</c:v>
                </c:pt>
                <c:pt idx="296">
                  <c:v>1.011015</c:v>
                </c:pt>
                <c:pt idx="297">
                  <c:v>1.011717</c:v>
                </c:pt>
                <c:pt idx="298">
                  <c:v>1.012386</c:v>
                </c:pt>
                <c:pt idx="299">
                  <c:v>1.0130239999999999</c:v>
                </c:pt>
                <c:pt idx="300">
                  <c:v>1.0136309999999999</c:v>
                </c:pt>
                <c:pt idx="301">
                  <c:v>1.0142059999999999</c:v>
                </c:pt>
                <c:pt idx="302">
                  <c:v>1.01475</c:v>
                </c:pt>
                <c:pt idx="303">
                  <c:v>1.0152639999999999</c:v>
                </c:pt>
                <c:pt idx="304">
                  <c:v>1.0157499999999999</c:v>
                </c:pt>
                <c:pt idx="305">
                  <c:v>1.0162059999999999</c:v>
                </c:pt>
                <c:pt idx="306">
                  <c:v>1.016637</c:v>
                </c:pt>
                <c:pt idx="307">
                  <c:v>1.0170410000000001</c:v>
                </c:pt>
                <c:pt idx="308">
                  <c:v>1.0174209999999999</c:v>
                </c:pt>
                <c:pt idx="309">
                  <c:v>1.017779</c:v>
                </c:pt>
                <c:pt idx="310">
                  <c:v>1.018116</c:v>
                </c:pt>
                <c:pt idx="311">
                  <c:v>1.0184340000000001</c:v>
                </c:pt>
                <c:pt idx="312">
                  <c:v>1.0187330000000001</c:v>
                </c:pt>
                <c:pt idx="313">
                  <c:v>1.0190170000000001</c:v>
                </c:pt>
                <c:pt idx="314">
                  <c:v>1.0192859999999999</c:v>
                </c:pt>
                <c:pt idx="315">
                  <c:v>1.0195419999999999</c:v>
                </c:pt>
                <c:pt idx="316">
                  <c:v>1.019787</c:v>
                </c:pt>
                <c:pt idx="317">
                  <c:v>1.020022</c:v>
                </c:pt>
                <c:pt idx="318">
                  <c:v>1.020248</c:v>
                </c:pt>
                <c:pt idx="319">
                  <c:v>1.0204660000000001</c:v>
                </c:pt>
                <c:pt idx="320">
                  <c:v>1.020678</c:v>
                </c:pt>
                <c:pt idx="321">
                  <c:v>1.0208839999999999</c:v>
                </c:pt>
                <c:pt idx="322">
                  <c:v>1.0210859999999999</c:v>
                </c:pt>
                <c:pt idx="323">
                  <c:v>1.0212829999999999</c:v>
                </c:pt>
                <c:pt idx="324">
                  <c:v>1.0214760000000001</c:v>
                </c:pt>
                <c:pt idx="325">
                  <c:v>1.021666</c:v>
                </c:pt>
                <c:pt idx="326">
                  <c:v>1.0218529999999999</c:v>
                </c:pt>
                <c:pt idx="327">
                  <c:v>1.0220359999999999</c:v>
                </c:pt>
                <c:pt idx="328">
                  <c:v>1.0222150000000001</c:v>
                </c:pt>
                <c:pt idx="329">
                  <c:v>1.0223899999999999</c:v>
                </c:pt>
                <c:pt idx="330">
                  <c:v>1.0225610000000001</c:v>
                </c:pt>
                <c:pt idx="331">
                  <c:v>1.022726</c:v>
                </c:pt>
                <c:pt idx="332">
                  <c:v>1.022885</c:v>
                </c:pt>
                <c:pt idx="333">
                  <c:v>1.0230360000000001</c:v>
                </c:pt>
                <c:pt idx="334">
                  <c:v>1.0231790000000001</c:v>
                </c:pt>
                <c:pt idx="335">
                  <c:v>1.0233110000000001</c:v>
                </c:pt>
                <c:pt idx="336">
                  <c:v>1.023433</c:v>
                </c:pt>
                <c:pt idx="337">
                  <c:v>1.023542</c:v>
                </c:pt>
                <c:pt idx="338">
                  <c:v>1.023631</c:v>
                </c:pt>
                <c:pt idx="339">
                  <c:v>1.023701</c:v>
                </c:pt>
                <c:pt idx="340">
                  <c:v>1.0237689999999999</c:v>
                </c:pt>
                <c:pt idx="341">
                  <c:v>1.0238020000000001</c:v>
                </c:pt>
                <c:pt idx="342">
                  <c:v>1.0238149999999999</c:v>
                </c:pt>
                <c:pt idx="343">
                  <c:v>1.0238100000000001</c:v>
                </c:pt>
                <c:pt idx="344">
                  <c:v>1.023776</c:v>
                </c:pt>
                <c:pt idx="345">
                  <c:v>1.023717</c:v>
                </c:pt>
                <c:pt idx="346">
                  <c:v>1.02363</c:v>
                </c:pt>
                <c:pt idx="347">
                  <c:v>1.0235110000000001</c:v>
                </c:pt>
                <c:pt idx="348">
                  <c:v>1.0233639999999999</c:v>
                </c:pt>
                <c:pt idx="349">
                  <c:v>1.02318</c:v>
                </c:pt>
                <c:pt idx="350">
                  <c:v>1.0229680000000001</c:v>
                </c:pt>
                <c:pt idx="351">
                  <c:v>1.022713</c:v>
                </c:pt>
                <c:pt idx="352">
                  <c:v>1.0224310000000001</c:v>
                </c:pt>
                <c:pt idx="353">
                  <c:v>1.022103</c:v>
                </c:pt>
                <c:pt idx="354">
                  <c:v>1.0217480000000001</c:v>
                </c:pt>
                <c:pt idx="355">
                  <c:v>1.021342</c:v>
                </c:pt>
                <c:pt idx="356">
                  <c:v>1.020913</c:v>
                </c:pt>
                <c:pt idx="357">
                  <c:v>1.020429</c:v>
                </c:pt>
                <c:pt idx="358">
                  <c:v>1.0199260000000001</c:v>
                </c:pt>
                <c:pt idx="359">
                  <c:v>1.0193639999999999</c:v>
                </c:pt>
                <c:pt idx="360">
                  <c:v>1.0187870000000001</c:v>
                </c:pt>
                <c:pt idx="361">
                  <c:v>1.018149</c:v>
                </c:pt>
                <c:pt idx="362">
                  <c:v>1.017501</c:v>
                </c:pt>
                <c:pt idx="363">
                  <c:v>1.016791</c:v>
                </c:pt>
                <c:pt idx="364">
                  <c:v>1.0160750000000001</c:v>
                </c:pt>
                <c:pt idx="365">
                  <c:v>1.015301</c:v>
                </c:pt>
                <c:pt idx="366">
                  <c:v>1.0145029999999999</c:v>
                </c:pt>
                <c:pt idx="367">
                  <c:v>1.013674</c:v>
                </c:pt>
                <c:pt idx="368">
                  <c:v>1.012818</c:v>
                </c:pt>
                <c:pt idx="369">
                  <c:v>1.011935</c:v>
                </c:pt>
                <c:pt idx="370">
                  <c:v>1.011029</c:v>
                </c:pt>
                <c:pt idx="371">
                  <c:v>1.0101</c:v>
                </c:pt>
                <c:pt idx="372">
                  <c:v>1.0091509999999999</c:v>
                </c:pt>
                <c:pt idx="373">
                  <c:v>1.008186</c:v>
                </c:pt>
                <c:pt idx="374">
                  <c:v>1.0072049999999999</c:v>
                </c:pt>
                <c:pt idx="375">
                  <c:v>1.006213</c:v>
                </c:pt>
                <c:pt idx="376">
                  <c:v>1.0052110000000001</c:v>
                </c:pt>
                <c:pt idx="377">
                  <c:v>1.004202</c:v>
                </c:pt>
                <c:pt idx="378">
                  <c:v>1.0031890000000001</c:v>
                </c:pt>
                <c:pt idx="379">
                  <c:v>1.002175</c:v>
                </c:pt>
                <c:pt idx="380">
                  <c:v>1.001163</c:v>
                </c:pt>
                <c:pt idx="381">
                  <c:v>1.000156</c:v>
                </c:pt>
                <c:pt idx="382">
                  <c:v>0.99915600000000004</c:v>
                </c:pt>
                <c:pt idx="383">
                  <c:v>0.99816700000000003</c:v>
                </c:pt>
                <c:pt idx="384">
                  <c:v>0.99719100000000005</c:v>
                </c:pt>
                <c:pt idx="385">
                  <c:v>0.99622999999999995</c:v>
                </c:pt>
                <c:pt idx="386">
                  <c:v>0.99528899999999998</c:v>
                </c:pt>
                <c:pt idx="387">
                  <c:v>0.99436899999999995</c:v>
                </c:pt>
                <c:pt idx="388">
                  <c:v>0.99349200000000004</c:v>
                </c:pt>
                <c:pt idx="389">
                  <c:v>0.99265899999999996</c:v>
                </c:pt>
                <c:pt idx="390">
                  <c:v>0.99185400000000001</c:v>
                </c:pt>
                <c:pt idx="391">
                  <c:v>0.99107900000000004</c:v>
                </c:pt>
                <c:pt idx="392">
                  <c:v>0.99033899999999997</c:v>
                </c:pt>
                <c:pt idx="393">
                  <c:v>0.98963299999999998</c:v>
                </c:pt>
                <c:pt idx="394">
                  <c:v>0.98896399999999995</c:v>
                </c:pt>
                <c:pt idx="395">
                  <c:v>0.98833499999999996</c:v>
                </c:pt>
                <c:pt idx="396">
                  <c:v>0.98774600000000001</c:v>
                </c:pt>
                <c:pt idx="397">
                  <c:v>0.98719900000000005</c:v>
                </c:pt>
                <c:pt idx="398">
                  <c:v>0.98669499999999999</c:v>
                </c:pt>
                <c:pt idx="399">
                  <c:v>0.986236</c:v>
                </c:pt>
                <c:pt idx="400">
                  <c:v>0.985823</c:v>
                </c:pt>
                <c:pt idx="401">
                  <c:v>0.98545499999999997</c:v>
                </c:pt>
                <c:pt idx="402">
                  <c:v>0.98513499999999998</c:v>
                </c:pt>
                <c:pt idx="403">
                  <c:v>0.98486200000000002</c:v>
                </c:pt>
                <c:pt idx="404">
                  <c:v>0.98463800000000001</c:v>
                </c:pt>
                <c:pt idx="405">
                  <c:v>0.98446100000000003</c:v>
                </c:pt>
                <c:pt idx="406">
                  <c:v>0.98433199999999998</c:v>
                </c:pt>
                <c:pt idx="407">
                  <c:v>0.98424999999999996</c:v>
                </c:pt>
                <c:pt idx="408">
                  <c:v>0.98421599999999998</c:v>
                </c:pt>
                <c:pt idx="409">
                  <c:v>0.98422900000000002</c:v>
                </c:pt>
                <c:pt idx="410">
                  <c:v>0.98428800000000005</c:v>
                </c:pt>
                <c:pt idx="411">
                  <c:v>0.98439100000000002</c:v>
                </c:pt>
                <c:pt idx="412">
                  <c:v>0.98453900000000005</c:v>
                </c:pt>
                <c:pt idx="413">
                  <c:v>0.98472800000000005</c:v>
                </c:pt>
                <c:pt idx="414">
                  <c:v>0.98495900000000003</c:v>
                </c:pt>
                <c:pt idx="415">
                  <c:v>0.98523000000000005</c:v>
                </c:pt>
                <c:pt idx="416">
                  <c:v>0.98551800000000001</c:v>
                </c:pt>
                <c:pt idx="417">
                  <c:v>0.98587899999999995</c:v>
                </c:pt>
                <c:pt idx="418">
                  <c:v>0.98623499999999997</c:v>
                </c:pt>
                <c:pt idx="419">
                  <c:v>0.98666200000000004</c:v>
                </c:pt>
                <c:pt idx="420">
                  <c:v>0.98707900000000004</c:v>
                </c:pt>
                <c:pt idx="421">
                  <c:v>0.98756299999999997</c:v>
                </c:pt>
                <c:pt idx="422">
                  <c:v>0.98803099999999999</c:v>
                </c:pt>
                <c:pt idx="423">
                  <c:v>0.98856200000000005</c:v>
                </c:pt>
                <c:pt idx="424">
                  <c:v>0.98907100000000003</c:v>
                </c:pt>
                <c:pt idx="425">
                  <c:v>0.98963900000000005</c:v>
                </c:pt>
                <c:pt idx="426">
                  <c:v>0.99017999999999995</c:v>
                </c:pt>
                <c:pt idx="427">
                  <c:v>0.99076399999999998</c:v>
                </c:pt>
                <c:pt idx="428">
                  <c:v>0.99134900000000004</c:v>
                </c:pt>
                <c:pt idx="429">
                  <c:v>0.99194099999999996</c:v>
                </c:pt>
                <c:pt idx="430">
                  <c:v>0.99253499999999995</c:v>
                </c:pt>
                <c:pt idx="431">
                  <c:v>0.99313099999999999</c:v>
                </c:pt>
                <c:pt idx="432">
                  <c:v>0.99372499999999997</c:v>
                </c:pt>
                <c:pt idx="433">
                  <c:v>0.99431599999999998</c:v>
                </c:pt>
                <c:pt idx="434">
                  <c:v>0.99490000000000001</c:v>
                </c:pt>
                <c:pt idx="435">
                  <c:v>0.99547600000000003</c:v>
                </c:pt>
                <c:pt idx="436">
                  <c:v>0.99604199999999998</c:v>
                </c:pt>
                <c:pt idx="437">
                  <c:v>0.99659600000000004</c:v>
                </c:pt>
                <c:pt idx="438">
                  <c:v>0.99713600000000002</c:v>
                </c:pt>
                <c:pt idx="439">
                  <c:v>0.99765999999999999</c:v>
                </c:pt>
                <c:pt idx="440">
                  <c:v>0.99816700000000003</c:v>
                </c:pt>
                <c:pt idx="441">
                  <c:v>0.99865700000000002</c:v>
                </c:pt>
                <c:pt idx="442">
                  <c:v>0.99912699999999999</c:v>
                </c:pt>
                <c:pt idx="443">
                  <c:v>0.99957600000000002</c:v>
                </c:pt>
                <c:pt idx="444">
                  <c:v>1.000005</c:v>
                </c:pt>
                <c:pt idx="445">
                  <c:v>1.000413</c:v>
                </c:pt>
                <c:pt idx="446">
                  <c:v>1.0007980000000001</c:v>
                </c:pt>
                <c:pt idx="447">
                  <c:v>1.0011620000000001</c:v>
                </c:pt>
                <c:pt idx="448">
                  <c:v>1.001503</c:v>
                </c:pt>
                <c:pt idx="449">
                  <c:v>1.0018229999999999</c:v>
                </c:pt>
                <c:pt idx="450">
                  <c:v>1.0021199999999999</c:v>
                </c:pt>
                <c:pt idx="451">
                  <c:v>1.0023960000000001</c:v>
                </c:pt>
                <c:pt idx="452">
                  <c:v>1.002651</c:v>
                </c:pt>
                <c:pt idx="453">
                  <c:v>1.0028859999999999</c:v>
                </c:pt>
                <c:pt idx="454">
                  <c:v>1.003101</c:v>
                </c:pt>
                <c:pt idx="455">
                  <c:v>1.0032970000000001</c:v>
                </c:pt>
                <c:pt idx="456">
                  <c:v>1.0034749999999999</c:v>
                </c:pt>
                <c:pt idx="457">
                  <c:v>1.0036369999999999</c:v>
                </c:pt>
                <c:pt idx="458">
                  <c:v>1.003782</c:v>
                </c:pt>
                <c:pt idx="459">
                  <c:v>1.0039119999999999</c:v>
                </c:pt>
                <c:pt idx="460">
                  <c:v>1.0040279999999999</c:v>
                </c:pt>
                <c:pt idx="461">
                  <c:v>1.0041310000000001</c:v>
                </c:pt>
                <c:pt idx="462">
                  <c:v>1.0042230000000001</c:v>
                </c:pt>
                <c:pt idx="463">
                  <c:v>1.0043040000000001</c:v>
                </c:pt>
                <c:pt idx="464">
                  <c:v>1.004375</c:v>
                </c:pt>
                <c:pt idx="465">
                  <c:v>1.004437</c:v>
                </c:pt>
                <c:pt idx="466">
                  <c:v>1.0044919999999999</c:v>
                </c:pt>
                <c:pt idx="467">
                  <c:v>1.00454</c:v>
                </c:pt>
                <c:pt idx="468">
                  <c:v>1.004583</c:v>
                </c:pt>
                <c:pt idx="469">
                  <c:v>1.0046200000000001</c:v>
                </c:pt>
                <c:pt idx="470">
                  <c:v>1.0046539999999999</c:v>
                </c:pt>
                <c:pt idx="471">
                  <c:v>1.004683</c:v>
                </c:pt>
                <c:pt idx="472">
                  <c:v>1.00471</c:v>
                </c:pt>
                <c:pt idx="473">
                  <c:v>1.0047349999999999</c:v>
                </c:pt>
                <c:pt idx="474">
                  <c:v>1.004758</c:v>
                </c:pt>
                <c:pt idx="475">
                  <c:v>1.00478</c:v>
                </c:pt>
                <c:pt idx="476">
                  <c:v>1.0048010000000001</c:v>
                </c:pt>
                <c:pt idx="477">
                  <c:v>1.0048220000000001</c:v>
                </c:pt>
                <c:pt idx="478">
                  <c:v>1.004842</c:v>
                </c:pt>
                <c:pt idx="479">
                  <c:v>1.004861</c:v>
                </c:pt>
                <c:pt idx="480">
                  <c:v>1.0048809999999999</c:v>
                </c:pt>
                <c:pt idx="481">
                  <c:v>1.004901</c:v>
                </c:pt>
                <c:pt idx="482">
                  <c:v>1.00492</c:v>
                </c:pt>
                <c:pt idx="483">
                  <c:v>1.004939</c:v>
                </c:pt>
                <c:pt idx="484">
                  <c:v>1.0049570000000001</c:v>
                </c:pt>
                <c:pt idx="485">
                  <c:v>1.004975</c:v>
                </c:pt>
                <c:pt idx="486">
                  <c:v>1.0049920000000001</c:v>
                </c:pt>
                <c:pt idx="487">
                  <c:v>1.0050079999999999</c:v>
                </c:pt>
                <c:pt idx="488">
                  <c:v>1.0050220000000001</c:v>
                </c:pt>
                <c:pt idx="489">
                  <c:v>1.0050349999999999</c:v>
                </c:pt>
                <c:pt idx="490">
                  <c:v>1.005044</c:v>
                </c:pt>
                <c:pt idx="491">
                  <c:v>1.0050509999999999</c:v>
                </c:pt>
                <c:pt idx="492">
                  <c:v>1.005055</c:v>
                </c:pt>
                <c:pt idx="493">
                  <c:v>1.005055</c:v>
                </c:pt>
                <c:pt idx="494">
                  <c:v>1.00505</c:v>
                </c:pt>
                <c:pt idx="495">
                  <c:v>1.0050399999999999</c:v>
                </c:pt>
                <c:pt idx="496">
                  <c:v>1.0050250000000001</c:v>
                </c:pt>
                <c:pt idx="497">
                  <c:v>1.005004</c:v>
                </c:pt>
                <c:pt idx="498">
                  <c:v>1.0049760000000001</c:v>
                </c:pt>
                <c:pt idx="499">
                  <c:v>1.0049410000000001</c:v>
                </c:pt>
                <c:pt idx="500">
                  <c:v>1.0048969999999999</c:v>
                </c:pt>
                <c:pt idx="501">
                  <c:v>1.0048459999999999</c:v>
                </c:pt>
                <c:pt idx="502">
                  <c:v>1.004785</c:v>
                </c:pt>
                <c:pt idx="503">
                  <c:v>1.004715</c:v>
                </c:pt>
                <c:pt idx="504">
                  <c:v>1.004634</c:v>
                </c:pt>
                <c:pt idx="505">
                  <c:v>1.004542</c:v>
                </c:pt>
                <c:pt idx="506">
                  <c:v>1.0044390000000001</c:v>
                </c:pt>
                <c:pt idx="507">
                  <c:v>1.004324</c:v>
                </c:pt>
                <c:pt idx="508">
                  <c:v>1.0041960000000001</c:v>
                </c:pt>
                <c:pt idx="509">
                  <c:v>1.0040560000000001</c:v>
                </c:pt>
                <c:pt idx="510">
                  <c:v>1.0039009999999999</c:v>
                </c:pt>
                <c:pt idx="511">
                  <c:v>1.003733</c:v>
                </c:pt>
                <c:pt idx="512">
                  <c:v>1.0035499999999999</c:v>
                </c:pt>
                <c:pt idx="513">
                  <c:v>1.0033529999999999</c:v>
                </c:pt>
                <c:pt idx="514">
                  <c:v>1.0031399999999999</c:v>
                </c:pt>
                <c:pt idx="515">
                  <c:v>1.0029110000000001</c:v>
                </c:pt>
                <c:pt idx="516">
                  <c:v>1.002667</c:v>
                </c:pt>
                <c:pt idx="517">
                  <c:v>1.002407</c:v>
                </c:pt>
                <c:pt idx="518">
                  <c:v>1.00213</c:v>
                </c:pt>
                <c:pt idx="519">
                  <c:v>1.0018370000000001</c:v>
                </c:pt>
                <c:pt idx="520">
                  <c:v>1.001528</c:v>
                </c:pt>
                <c:pt idx="521">
                  <c:v>1.0012019999999999</c:v>
                </c:pt>
                <c:pt idx="522">
                  <c:v>1.0008600000000001</c:v>
                </c:pt>
                <c:pt idx="523">
                  <c:v>1.0005010000000001</c:v>
                </c:pt>
                <c:pt idx="524">
                  <c:v>1.000127</c:v>
                </c:pt>
                <c:pt idx="525">
                  <c:v>0.99973599999999996</c:v>
                </c:pt>
                <c:pt idx="526">
                  <c:v>0.99933000000000005</c:v>
                </c:pt>
                <c:pt idx="527">
                  <c:v>0.99890999999999996</c:v>
                </c:pt>
                <c:pt idx="528">
                  <c:v>0.99847399999999997</c:v>
                </c:pt>
                <c:pt idx="529">
                  <c:v>0.99802500000000005</c:v>
                </c:pt>
                <c:pt idx="530">
                  <c:v>0.99756199999999995</c:v>
                </c:pt>
                <c:pt idx="531">
                  <c:v>0.99708699999999995</c:v>
                </c:pt>
                <c:pt idx="532">
                  <c:v>0.99660000000000004</c:v>
                </c:pt>
                <c:pt idx="533">
                  <c:v>0.99610200000000004</c:v>
                </c:pt>
                <c:pt idx="534">
                  <c:v>0.99559399999999998</c:v>
                </c:pt>
                <c:pt idx="535">
                  <c:v>0.99507699999999999</c:v>
                </c:pt>
                <c:pt idx="536">
                  <c:v>0.99455300000000002</c:v>
                </c:pt>
                <c:pt idx="537">
                  <c:v>0.99402199999999996</c:v>
                </c:pt>
                <c:pt idx="538">
                  <c:v>0.99348499999999995</c:v>
                </c:pt>
                <c:pt idx="539">
                  <c:v>0.99294400000000005</c:v>
                </c:pt>
                <c:pt idx="540">
                  <c:v>0.99240099999999998</c:v>
                </c:pt>
                <c:pt idx="541">
                  <c:v>0.99185500000000004</c:v>
                </c:pt>
                <c:pt idx="542">
                  <c:v>0.99131000000000002</c:v>
                </c:pt>
                <c:pt idx="543">
                  <c:v>0.99076600000000004</c:v>
                </c:pt>
                <c:pt idx="544">
                  <c:v>0.99022500000000002</c:v>
                </c:pt>
                <c:pt idx="545">
                  <c:v>0.98968800000000001</c:v>
                </c:pt>
                <c:pt idx="546">
                  <c:v>0.98915699999999995</c:v>
                </c:pt>
                <c:pt idx="547">
                  <c:v>0.98863299999999998</c:v>
                </c:pt>
                <c:pt idx="548">
                  <c:v>0.98811700000000002</c:v>
                </c:pt>
                <c:pt idx="549">
                  <c:v>0.98761200000000005</c:v>
                </c:pt>
                <c:pt idx="550">
                  <c:v>0.98711800000000005</c:v>
                </c:pt>
                <c:pt idx="551">
                  <c:v>0.98663800000000001</c:v>
                </c:pt>
                <c:pt idx="552">
                  <c:v>0.98617200000000005</c:v>
                </c:pt>
                <c:pt idx="553">
                  <c:v>0.98572099999999996</c:v>
                </c:pt>
                <c:pt idx="554">
                  <c:v>0.98528800000000005</c:v>
                </c:pt>
                <c:pt idx="555">
                  <c:v>0.984873</c:v>
                </c:pt>
                <c:pt idx="556">
                  <c:v>0.98447799999999996</c:v>
                </c:pt>
                <c:pt idx="557">
                  <c:v>0.98410399999999998</c:v>
                </c:pt>
                <c:pt idx="558">
                  <c:v>0.98375199999999996</c:v>
                </c:pt>
                <c:pt idx="559">
                  <c:v>0.98342300000000005</c:v>
                </c:pt>
                <c:pt idx="560">
                  <c:v>0.98311800000000005</c:v>
                </c:pt>
                <c:pt idx="561">
                  <c:v>0.98283799999999999</c:v>
                </c:pt>
                <c:pt idx="562">
                  <c:v>0.98258299999999998</c:v>
                </c:pt>
                <c:pt idx="563">
                  <c:v>0.98235499999999998</c:v>
                </c:pt>
                <c:pt idx="564">
                  <c:v>0.98215399999999997</c:v>
                </c:pt>
                <c:pt idx="565">
                  <c:v>0.98198099999999999</c:v>
                </c:pt>
                <c:pt idx="566">
                  <c:v>0.98183600000000004</c:v>
                </c:pt>
                <c:pt idx="567">
                  <c:v>0.98171900000000001</c:v>
                </c:pt>
                <c:pt idx="568">
                  <c:v>0.98163199999999995</c:v>
                </c:pt>
                <c:pt idx="569">
                  <c:v>0.98157300000000003</c:v>
                </c:pt>
                <c:pt idx="570">
                  <c:v>0.98154399999999997</c:v>
                </c:pt>
                <c:pt idx="571">
                  <c:v>0.98154399999999997</c:v>
                </c:pt>
                <c:pt idx="572">
                  <c:v>0.98157399999999995</c:v>
                </c:pt>
                <c:pt idx="573">
                  <c:v>0.98163199999999995</c:v>
                </c:pt>
                <c:pt idx="574">
                  <c:v>0.98171900000000001</c:v>
                </c:pt>
                <c:pt idx="575">
                  <c:v>0.98183500000000001</c:v>
                </c:pt>
                <c:pt idx="576">
                  <c:v>0.98197900000000005</c:v>
                </c:pt>
                <c:pt idx="577">
                  <c:v>0.98214999999999997</c:v>
                </c:pt>
                <c:pt idx="578">
                  <c:v>0.982348</c:v>
                </c:pt>
                <c:pt idx="579">
                  <c:v>0.98257300000000003</c:v>
                </c:pt>
                <c:pt idx="580">
                  <c:v>0.982823</c:v>
                </c:pt>
                <c:pt idx="581">
                  <c:v>0.98309800000000003</c:v>
                </c:pt>
                <c:pt idx="582">
                  <c:v>0.98339600000000005</c:v>
                </c:pt>
                <c:pt idx="583">
                  <c:v>0.98371799999999998</c:v>
                </c:pt>
                <c:pt idx="584">
                  <c:v>0.98406099999999996</c:v>
                </c:pt>
                <c:pt idx="585">
                  <c:v>0.98442499999999999</c:v>
                </c:pt>
                <c:pt idx="586">
                  <c:v>0.98480900000000005</c:v>
                </c:pt>
                <c:pt idx="587">
                  <c:v>0.98521099999999995</c:v>
                </c:pt>
                <c:pt idx="588">
                  <c:v>0.98563000000000001</c:v>
                </c:pt>
                <c:pt idx="589">
                  <c:v>0.98606400000000005</c:v>
                </c:pt>
                <c:pt idx="590">
                  <c:v>0.986514</c:v>
                </c:pt>
                <c:pt idx="591">
                  <c:v>0.98697599999999996</c:v>
                </c:pt>
                <c:pt idx="592">
                  <c:v>0.98745000000000005</c:v>
                </c:pt>
                <c:pt idx="593">
                  <c:v>0.98793500000000001</c:v>
                </c:pt>
                <c:pt idx="594">
                  <c:v>0.98842799999999997</c:v>
                </c:pt>
                <c:pt idx="595">
                  <c:v>0.98892899999999995</c:v>
                </c:pt>
                <c:pt idx="596">
                  <c:v>0.98943700000000001</c:v>
                </c:pt>
                <c:pt idx="597">
                  <c:v>0.98994800000000005</c:v>
                </c:pt>
                <c:pt idx="598">
                  <c:v>0.99046299999999998</c:v>
                </c:pt>
                <c:pt idx="599">
                  <c:v>0.99097999999999997</c:v>
                </c:pt>
                <c:pt idx="600">
                  <c:v>0.99149699999999996</c:v>
                </c:pt>
                <c:pt idx="601">
                  <c:v>0.99201399999999995</c:v>
                </c:pt>
                <c:pt idx="602">
                  <c:v>0.99252799999999997</c:v>
                </c:pt>
                <c:pt idx="603">
                  <c:v>0.99303900000000001</c:v>
                </c:pt>
                <c:pt idx="604">
                  <c:v>0.99354399999999998</c:v>
                </c:pt>
                <c:pt idx="605">
                  <c:v>0.99404400000000004</c:v>
                </c:pt>
                <c:pt idx="606">
                  <c:v>0.994537</c:v>
                </c:pt>
                <c:pt idx="607">
                  <c:v>0.99502100000000004</c:v>
                </c:pt>
                <c:pt idx="608">
                  <c:v>0.99549600000000005</c:v>
                </c:pt>
                <c:pt idx="609">
                  <c:v>0.99596099999999999</c:v>
                </c:pt>
                <c:pt idx="610">
                  <c:v>0.99641400000000002</c:v>
                </c:pt>
                <c:pt idx="611">
                  <c:v>0.99685500000000005</c:v>
                </c:pt>
                <c:pt idx="612">
                  <c:v>0.99728300000000003</c:v>
                </c:pt>
                <c:pt idx="613">
                  <c:v>0.99769699999999994</c:v>
                </c:pt>
                <c:pt idx="614">
                  <c:v>0.99809700000000001</c:v>
                </c:pt>
                <c:pt idx="615">
                  <c:v>0.99848099999999995</c:v>
                </c:pt>
                <c:pt idx="616">
                  <c:v>0.99885000000000002</c:v>
                </c:pt>
                <c:pt idx="617">
                  <c:v>0.99920200000000003</c:v>
                </c:pt>
                <c:pt idx="618">
                  <c:v>0.99953800000000004</c:v>
                </c:pt>
                <c:pt idx="619">
                  <c:v>0.99985599999999997</c:v>
                </c:pt>
                <c:pt idx="620">
                  <c:v>1.0001580000000001</c:v>
                </c:pt>
                <c:pt idx="621">
                  <c:v>1.0004409999999999</c:v>
                </c:pt>
                <c:pt idx="622">
                  <c:v>1.000707</c:v>
                </c:pt>
                <c:pt idx="623">
                  <c:v>1.0009539999999999</c:v>
                </c:pt>
                <c:pt idx="624">
                  <c:v>1.0011840000000001</c:v>
                </c:pt>
                <c:pt idx="625">
                  <c:v>1.001395</c:v>
                </c:pt>
                <c:pt idx="626">
                  <c:v>1.0015879999999999</c:v>
                </c:pt>
                <c:pt idx="627">
                  <c:v>1.001763</c:v>
                </c:pt>
                <c:pt idx="628">
                  <c:v>1.0019210000000001</c:v>
                </c:pt>
                <c:pt idx="629">
                  <c:v>1.00206</c:v>
                </c:pt>
                <c:pt idx="630">
                  <c:v>1.0021819999999999</c:v>
                </c:pt>
                <c:pt idx="631">
                  <c:v>1.002286</c:v>
                </c:pt>
                <c:pt idx="632">
                  <c:v>1.002373</c:v>
                </c:pt>
                <c:pt idx="633">
                  <c:v>1.002443</c:v>
                </c:pt>
                <c:pt idx="634">
                  <c:v>1.0024960000000001</c:v>
                </c:pt>
                <c:pt idx="635">
                  <c:v>1.0025329999999999</c:v>
                </c:pt>
                <c:pt idx="636">
                  <c:v>1.0025550000000001</c:v>
                </c:pt>
                <c:pt idx="637">
                  <c:v>1.0025599999999999</c:v>
                </c:pt>
                <c:pt idx="638">
                  <c:v>1.002551</c:v>
                </c:pt>
                <c:pt idx="639">
                  <c:v>1.002526</c:v>
                </c:pt>
                <c:pt idx="640">
                  <c:v>1.0024869999999999</c:v>
                </c:pt>
                <c:pt idx="641">
                  <c:v>1.002435</c:v>
                </c:pt>
                <c:pt idx="642">
                  <c:v>1.0023679999999999</c:v>
                </c:pt>
                <c:pt idx="643">
                  <c:v>1.002289</c:v>
                </c:pt>
                <c:pt idx="644">
                  <c:v>1.002197</c:v>
                </c:pt>
                <c:pt idx="645">
                  <c:v>1.002092</c:v>
                </c:pt>
                <c:pt idx="646">
                  <c:v>1.001976</c:v>
                </c:pt>
                <c:pt idx="647">
                  <c:v>1.001849</c:v>
                </c:pt>
                <c:pt idx="648">
                  <c:v>1.001711</c:v>
                </c:pt>
                <c:pt idx="649">
                  <c:v>1.0015620000000001</c:v>
                </c:pt>
                <c:pt idx="650">
                  <c:v>1.001404</c:v>
                </c:pt>
                <c:pt idx="651">
                  <c:v>1.0012369999999999</c:v>
                </c:pt>
                <c:pt idx="652">
                  <c:v>1.0010600000000001</c:v>
                </c:pt>
                <c:pt idx="653">
                  <c:v>1.0008760000000001</c:v>
                </c:pt>
                <c:pt idx="654">
                  <c:v>1.0006839999999999</c:v>
                </c:pt>
                <c:pt idx="655">
                  <c:v>1.0004839999999999</c:v>
                </c:pt>
                <c:pt idx="656">
                  <c:v>1.000278</c:v>
                </c:pt>
                <c:pt idx="657">
                  <c:v>1.000065</c:v>
                </c:pt>
                <c:pt idx="658">
                  <c:v>0.99984700000000004</c:v>
                </c:pt>
                <c:pt idx="659">
                  <c:v>0.99962300000000004</c:v>
                </c:pt>
                <c:pt idx="660">
                  <c:v>0.99939500000000003</c:v>
                </c:pt>
                <c:pt idx="661">
                  <c:v>0.99916300000000002</c:v>
                </c:pt>
                <c:pt idx="662">
                  <c:v>0.99892700000000001</c:v>
                </c:pt>
                <c:pt idx="663">
                  <c:v>0.99868800000000002</c:v>
                </c:pt>
                <c:pt idx="664">
                  <c:v>0.99844599999999994</c:v>
                </c:pt>
                <c:pt idx="665">
                  <c:v>0.99820299999999995</c:v>
                </c:pt>
                <c:pt idx="666">
                  <c:v>0.99795699999999998</c:v>
                </c:pt>
                <c:pt idx="667">
                  <c:v>0.99771100000000001</c:v>
                </c:pt>
                <c:pt idx="668">
                  <c:v>0.99746400000000002</c:v>
                </c:pt>
                <c:pt idx="669">
                  <c:v>0.99721700000000002</c:v>
                </c:pt>
                <c:pt idx="670">
                  <c:v>0.99697000000000002</c:v>
                </c:pt>
                <c:pt idx="671">
                  <c:v>0.99672400000000005</c:v>
                </c:pt>
                <c:pt idx="672">
                  <c:v>0.996479</c:v>
                </c:pt>
                <c:pt idx="673">
                  <c:v>0.99623600000000001</c:v>
                </c:pt>
                <c:pt idx="674">
                  <c:v>0.99599400000000005</c:v>
                </c:pt>
                <c:pt idx="675">
                  <c:v>0.99575499999999995</c:v>
                </c:pt>
                <c:pt idx="676">
                  <c:v>0.99551900000000004</c:v>
                </c:pt>
                <c:pt idx="677">
                  <c:v>0.995286</c:v>
                </c:pt>
                <c:pt idx="678">
                  <c:v>0.99505600000000005</c:v>
                </c:pt>
                <c:pt idx="679">
                  <c:v>0.99482999999999999</c:v>
                </c:pt>
                <c:pt idx="680">
                  <c:v>0.99460800000000005</c:v>
                </c:pt>
                <c:pt idx="681">
                  <c:v>0.99439100000000002</c:v>
                </c:pt>
                <c:pt idx="682">
                  <c:v>0.99417699999999998</c:v>
                </c:pt>
                <c:pt idx="683">
                  <c:v>0.99396899999999999</c:v>
                </c:pt>
                <c:pt idx="684">
                  <c:v>0.99376500000000001</c:v>
                </c:pt>
                <c:pt idx="685">
                  <c:v>0.99356599999999995</c:v>
                </c:pt>
                <c:pt idx="686">
                  <c:v>0.99337299999999995</c:v>
                </c:pt>
                <c:pt idx="687">
                  <c:v>0.99318499999999998</c:v>
                </c:pt>
                <c:pt idx="688">
                  <c:v>0.99300200000000005</c:v>
                </c:pt>
                <c:pt idx="689">
                  <c:v>0.99282499999999996</c:v>
                </c:pt>
                <c:pt idx="690">
                  <c:v>0.99265300000000001</c:v>
                </c:pt>
                <c:pt idx="691">
                  <c:v>0.99248700000000001</c:v>
                </c:pt>
                <c:pt idx="692">
                  <c:v>0.99232699999999996</c:v>
                </c:pt>
                <c:pt idx="693">
                  <c:v>0.99217200000000005</c:v>
                </c:pt>
                <c:pt idx="694">
                  <c:v>0.99202299999999999</c:v>
                </c:pt>
                <c:pt idx="695">
                  <c:v>0.99187999999999998</c:v>
                </c:pt>
                <c:pt idx="696">
                  <c:v>0.99174300000000004</c:v>
                </c:pt>
                <c:pt idx="697">
                  <c:v>0.99161100000000002</c:v>
                </c:pt>
                <c:pt idx="698">
                  <c:v>0.99148400000000003</c:v>
                </c:pt>
                <c:pt idx="699">
                  <c:v>0.99136299999999999</c:v>
                </c:pt>
                <c:pt idx="700">
                  <c:v>0.99124699999999999</c:v>
                </c:pt>
                <c:pt idx="701">
                  <c:v>0.99113700000000005</c:v>
                </c:pt>
                <c:pt idx="702">
                  <c:v>0.99103200000000002</c:v>
                </c:pt>
                <c:pt idx="703">
                  <c:v>0.99093200000000004</c:v>
                </c:pt>
                <c:pt idx="704">
                  <c:v>0.99083699999999997</c:v>
                </c:pt>
                <c:pt idx="705">
                  <c:v>0.99074700000000004</c:v>
                </c:pt>
                <c:pt idx="706">
                  <c:v>0.99066200000000004</c:v>
                </c:pt>
                <c:pt idx="707">
                  <c:v>0.99058199999999996</c:v>
                </c:pt>
                <c:pt idx="708">
                  <c:v>0.990506</c:v>
                </c:pt>
                <c:pt idx="709">
                  <c:v>0.99043499999999995</c:v>
                </c:pt>
                <c:pt idx="710">
                  <c:v>0.99036900000000005</c:v>
                </c:pt>
                <c:pt idx="711">
                  <c:v>0.99030600000000002</c:v>
                </c:pt>
                <c:pt idx="712">
                  <c:v>0.99024800000000002</c:v>
                </c:pt>
                <c:pt idx="713">
                  <c:v>0.99019400000000002</c:v>
                </c:pt>
                <c:pt idx="714">
                  <c:v>0.99014400000000002</c:v>
                </c:pt>
                <c:pt idx="715">
                  <c:v>0.99009800000000003</c:v>
                </c:pt>
                <c:pt idx="716">
                  <c:v>0.99005600000000005</c:v>
                </c:pt>
                <c:pt idx="717">
                  <c:v>0.99001799999999995</c:v>
                </c:pt>
                <c:pt idx="718">
                  <c:v>0.98998399999999998</c:v>
                </c:pt>
                <c:pt idx="719">
                  <c:v>0.98995299999999997</c:v>
                </c:pt>
                <c:pt idx="720">
                  <c:v>0.98992599999999997</c:v>
                </c:pt>
                <c:pt idx="721">
                  <c:v>0.98990299999999998</c:v>
                </c:pt>
                <c:pt idx="722">
                  <c:v>0.98988299999999996</c:v>
                </c:pt>
                <c:pt idx="723">
                  <c:v>0.98986700000000005</c:v>
                </c:pt>
                <c:pt idx="724">
                  <c:v>0.98985500000000004</c:v>
                </c:pt>
                <c:pt idx="725">
                  <c:v>0.989846</c:v>
                </c:pt>
                <c:pt idx="726">
                  <c:v>0.98984099999999997</c:v>
                </c:pt>
                <c:pt idx="727">
                  <c:v>0.98984000000000005</c:v>
                </c:pt>
                <c:pt idx="728">
                  <c:v>0.989842</c:v>
                </c:pt>
                <c:pt idx="729">
                  <c:v>0.98984799999999995</c:v>
                </c:pt>
                <c:pt idx="730">
                  <c:v>0.98985800000000002</c:v>
                </c:pt>
                <c:pt idx="731">
                  <c:v>0.98987199999999997</c:v>
                </c:pt>
                <c:pt idx="732">
                  <c:v>0.98989000000000005</c:v>
                </c:pt>
                <c:pt idx="733">
                  <c:v>0.98991200000000001</c:v>
                </c:pt>
                <c:pt idx="734">
                  <c:v>0.98993799999999998</c:v>
                </c:pt>
                <c:pt idx="735">
                  <c:v>0.98996899999999999</c:v>
                </c:pt>
                <c:pt idx="736">
                  <c:v>0.990004</c:v>
                </c:pt>
                <c:pt idx="737">
                  <c:v>0.99004400000000004</c:v>
                </c:pt>
                <c:pt idx="738">
                  <c:v>0.99008799999999997</c:v>
                </c:pt>
                <c:pt idx="739">
                  <c:v>0.99013799999999996</c:v>
                </c:pt>
                <c:pt idx="740">
                  <c:v>0.99019199999999996</c:v>
                </c:pt>
                <c:pt idx="741">
                  <c:v>0.99025200000000002</c:v>
                </c:pt>
                <c:pt idx="742">
                  <c:v>0.990317</c:v>
                </c:pt>
                <c:pt idx="743">
                  <c:v>0.99038800000000005</c:v>
                </c:pt>
                <c:pt idx="744">
                  <c:v>0.99046400000000001</c:v>
                </c:pt>
                <c:pt idx="745">
                  <c:v>0.99054699999999996</c:v>
                </c:pt>
                <c:pt idx="746">
                  <c:v>0.99063500000000004</c:v>
                </c:pt>
                <c:pt idx="747">
                  <c:v>0.99073</c:v>
                </c:pt>
                <c:pt idx="748">
                  <c:v>0.99082999999999999</c:v>
                </c:pt>
                <c:pt idx="749">
                  <c:v>0.99093799999999999</c:v>
                </c:pt>
                <c:pt idx="750">
                  <c:v>0.99105200000000004</c:v>
                </c:pt>
                <c:pt idx="751">
                  <c:v>0.99117200000000005</c:v>
                </c:pt>
                <c:pt idx="752">
                  <c:v>0.99129900000000004</c:v>
                </c:pt>
                <c:pt idx="753">
                  <c:v>0.99143300000000001</c:v>
                </c:pt>
                <c:pt idx="754">
                  <c:v>0.99157399999999996</c:v>
                </c:pt>
                <c:pt idx="755">
                  <c:v>0.99172099999999996</c:v>
                </c:pt>
                <c:pt idx="756">
                  <c:v>0.99187599999999998</c:v>
                </c:pt>
                <c:pt idx="757">
                  <c:v>0.99203699999999995</c:v>
                </c:pt>
                <c:pt idx="758">
                  <c:v>0.99220399999999997</c:v>
                </c:pt>
                <c:pt idx="759">
                  <c:v>0.99237900000000001</c:v>
                </c:pt>
                <c:pt idx="760">
                  <c:v>0.99256</c:v>
                </c:pt>
                <c:pt idx="761">
                  <c:v>0.99274700000000005</c:v>
                </c:pt>
                <c:pt idx="762">
                  <c:v>0.99294000000000004</c:v>
                </c:pt>
                <c:pt idx="763">
                  <c:v>0.99313899999999999</c:v>
                </c:pt>
                <c:pt idx="764">
                  <c:v>0.993344</c:v>
                </c:pt>
                <c:pt idx="765">
                  <c:v>0.99355300000000002</c:v>
                </c:pt>
                <c:pt idx="766">
                  <c:v>0.99376799999999998</c:v>
                </c:pt>
                <c:pt idx="767">
                  <c:v>0.99398799999999998</c:v>
                </c:pt>
                <c:pt idx="768">
                  <c:v>0.99421199999999998</c:v>
                </c:pt>
                <c:pt idx="769">
                  <c:v>0.99443999999999999</c:v>
                </c:pt>
                <c:pt idx="770">
                  <c:v>0.99467099999999997</c:v>
                </c:pt>
                <c:pt idx="771">
                  <c:v>0.99490599999999996</c:v>
                </c:pt>
                <c:pt idx="772">
                  <c:v>0.995143</c:v>
                </c:pt>
                <c:pt idx="773">
                  <c:v>0.99538199999999999</c:v>
                </c:pt>
                <c:pt idx="774">
                  <c:v>0.99562200000000001</c:v>
                </c:pt>
                <c:pt idx="775">
                  <c:v>0.99586399999999997</c:v>
                </c:pt>
                <c:pt idx="776">
                  <c:v>0.99610600000000005</c:v>
                </c:pt>
                <c:pt idx="777">
                  <c:v>0.99634800000000001</c:v>
                </c:pt>
                <c:pt idx="778">
                  <c:v>0.99658899999999995</c:v>
                </c:pt>
                <c:pt idx="779">
                  <c:v>0.99682899999999997</c:v>
                </c:pt>
                <c:pt idx="780">
                  <c:v>0.99706799999999995</c:v>
                </c:pt>
                <c:pt idx="781">
                  <c:v>0.99730399999999997</c:v>
                </c:pt>
                <c:pt idx="782">
                  <c:v>0.99753700000000001</c:v>
                </c:pt>
                <c:pt idx="783">
                  <c:v>0.99776600000000004</c:v>
                </c:pt>
                <c:pt idx="784">
                  <c:v>0.99799199999999999</c:v>
                </c:pt>
                <c:pt idx="785">
                  <c:v>0.99821300000000002</c:v>
                </c:pt>
                <c:pt idx="786">
                  <c:v>0.99842900000000001</c:v>
                </c:pt>
                <c:pt idx="787">
                  <c:v>0.99863900000000005</c:v>
                </c:pt>
                <c:pt idx="788">
                  <c:v>0.99884300000000004</c:v>
                </c:pt>
                <c:pt idx="789">
                  <c:v>0.99904000000000004</c:v>
                </c:pt>
                <c:pt idx="790">
                  <c:v>0.99922999999999995</c:v>
                </c:pt>
                <c:pt idx="791">
                  <c:v>0.99941199999999997</c:v>
                </c:pt>
                <c:pt idx="792">
                  <c:v>0.99958599999999997</c:v>
                </c:pt>
                <c:pt idx="793">
                  <c:v>0.99975199999999997</c:v>
                </c:pt>
                <c:pt idx="794">
                  <c:v>0.99990800000000002</c:v>
                </c:pt>
                <c:pt idx="795">
                  <c:v>1.0000549999999999</c:v>
                </c:pt>
                <c:pt idx="796">
                  <c:v>1.000192</c:v>
                </c:pt>
                <c:pt idx="797">
                  <c:v>1.000319</c:v>
                </c:pt>
                <c:pt idx="798">
                  <c:v>1.0004360000000001</c:v>
                </c:pt>
                <c:pt idx="799">
                  <c:v>1.0005409999999999</c:v>
                </c:pt>
                <c:pt idx="800">
                  <c:v>1.0006349999999999</c:v>
                </c:pt>
                <c:pt idx="801">
                  <c:v>1.000718</c:v>
                </c:pt>
                <c:pt idx="802">
                  <c:v>1.0007900000000001</c:v>
                </c:pt>
                <c:pt idx="803">
                  <c:v>1.0008490000000001</c:v>
                </c:pt>
                <c:pt idx="804">
                  <c:v>1.000896</c:v>
                </c:pt>
                <c:pt idx="805">
                  <c:v>1.000931</c:v>
                </c:pt>
                <c:pt idx="806">
                  <c:v>1.0009539999999999</c:v>
                </c:pt>
                <c:pt idx="807">
                  <c:v>1.000963</c:v>
                </c:pt>
                <c:pt idx="808">
                  <c:v>1.000961</c:v>
                </c:pt>
                <c:pt idx="809">
                  <c:v>1.000945</c:v>
                </c:pt>
                <c:pt idx="810">
                  <c:v>1.0009170000000001</c:v>
                </c:pt>
                <c:pt idx="811">
                  <c:v>1.0008760000000001</c:v>
                </c:pt>
                <c:pt idx="812">
                  <c:v>1.0008220000000001</c:v>
                </c:pt>
                <c:pt idx="813">
                  <c:v>1.000756</c:v>
                </c:pt>
                <c:pt idx="814">
                  <c:v>1.0006759999999999</c:v>
                </c:pt>
                <c:pt idx="815">
                  <c:v>1.0005839999999999</c:v>
                </c:pt>
                <c:pt idx="816">
                  <c:v>1.00048</c:v>
                </c:pt>
                <c:pt idx="817">
                  <c:v>1.0003629999999999</c:v>
                </c:pt>
                <c:pt idx="818">
                  <c:v>1.000235</c:v>
                </c:pt>
                <c:pt idx="819">
                  <c:v>1.000094</c:v>
                </c:pt>
                <c:pt idx="820">
                  <c:v>0.999942</c:v>
                </c:pt>
                <c:pt idx="821">
                  <c:v>0.99977800000000006</c:v>
                </c:pt>
                <c:pt idx="822">
                  <c:v>0.99960400000000005</c:v>
                </c:pt>
                <c:pt idx="823">
                  <c:v>0.99941800000000003</c:v>
                </c:pt>
                <c:pt idx="824">
                  <c:v>0.99922299999999997</c:v>
                </c:pt>
                <c:pt idx="825">
                  <c:v>0.99901700000000004</c:v>
                </c:pt>
                <c:pt idx="826">
                  <c:v>0.998803</c:v>
                </c:pt>
                <c:pt idx="827">
                  <c:v>0.99857899999999999</c:v>
                </c:pt>
                <c:pt idx="828">
                  <c:v>0.99834699999999998</c:v>
                </c:pt>
                <c:pt idx="829">
                  <c:v>0.998108</c:v>
                </c:pt>
                <c:pt idx="830">
                  <c:v>0.997861</c:v>
                </c:pt>
                <c:pt idx="831">
                  <c:v>0.99760800000000005</c:v>
                </c:pt>
                <c:pt idx="832">
                  <c:v>0.99734800000000001</c:v>
                </c:pt>
                <c:pt idx="833">
                  <c:v>0.99708399999999997</c:v>
                </c:pt>
                <c:pt idx="834">
                  <c:v>0.99681500000000001</c:v>
                </c:pt>
                <c:pt idx="835">
                  <c:v>0.99654299999999996</c:v>
                </c:pt>
                <c:pt idx="836">
                  <c:v>0.99626700000000001</c:v>
                </c:pt>
                <c:pt idx="837">
                  <c:v>0.99599000000000004</c:v>
                </c:pt>
                <c:pt idx="838">
                  <c:v>0.99571100000000001</c:v>
                </c:pt>
                <c:pt idx="839">
                  <c:v>0.99543099999999995</c:v>
                </c:pt>
                <c:pt idx="840">
                  <c:v>0.99515200000000004</c:v>
                </c:pt>
                <c:pt idx="841">
                  <c:v>0.99487400000000004</c:v>
                </c:pt>
                <c:pt idx="842">
                  <c:v>0.99459699999999995</c:v>
                </c:pt>
                <c:pt idx="843">
                  <c:v>0.99432299999999996</c:v>
                </c:pt>
                <c:pt idx="844">
                  <c:v>0.99405299999999996</c:v>
                </c:pt>
                <c:pt idx="845">
                  <c:v>0.99378699999999998</c:v>
                </c:pt>
                <c:pt idx="846">
                  <c:v>0.99352700000000005</c:v>
                </c:pt>
                <c:pt idx="847">
                  <c:v>0.99327200000000004</c:v>
                </c:pt>
                <c:pt idx="848">
                  <c:v>0.99302299999999999</c:v>
                </c:pt>
                <c:pt idx="849">
                  <c:v>0.99278200000000005</c:v>
                </c:pt>
                <c:pt idx="850">
                  <c:v>0.99254900000000001</c:v>
                </c:pt>
                <c:pt idx="851">
                  <c:v>0.99232500000000001</c:v>
                </c:pt>
                <c:pt idx="852">
                  <c:v>0.99211000000000005</c:v>
                </c:pt>
                <c:pt idx="853">
                  <c:v>0.99190500000000004</c:v>
                </c:pt>
                <c:pt idx="854">
                  <c:v>0.99171100000000001</c:v>
                </c:pt>
                <c:pt idx="855">
                  <c:v>0.99152700000000005</c:v>
                </c:pt>
                <c:pt idx="856">
                  <c:v>0.99135499999999999</c:v>
                </c:pt>
                <c:pt idx="857">
                  <c:v>0.99119500000000005</c:v>
                </c:pt>
                <c:pt idx="858">
                  <c:v>0.99104700000000001</c:v>
                </c:pt>
                <c:pt idx="859">
                  <c:v>0.99091200000000002</c:v>
                </c:pt>
                <c:pt idx="860">
                  <c:v>0.99078900000000003</c:v>
                </c:pt>
                <c:pt idx="861">
                  <c:v>0.99067899999999998</c:v>
                </c:pt>
                <c:pt idx="862">
                  <c:v>0.99058199999999996</c:v>
                </c:pt>
                <c:pt idx="863">
                  <c:v>0.99049900000000002</c:v>
                </c:pt>
                <c:pt idx="864">
                  <c:v>0.990429</c:v>
                </c:pt>
                <c:pt idx="865">
                  <c:v>0.99037200000000003</c:v>
                </c:pt>
                <c:pt idx="866">
                  <c:v>0.99032799999999999</c:v>
                </c:pt>
                <c:pt idx="867">
                  <c:v>0.99029800000000001</c:v>
                </c:pt>
                <c:pt idx="868">
                  <c:v>0.99028000000000005</c:v>
                </c:pt>
                <c:pt idx="869">
                  <c:v>0.99027600000000005</c:v>
                </c:pt>
                <c:pt idx="870">
                  <c:v>0.99028300000000002</c:v>
                </c:pt>
                <c:pt idx="871">
                  <c:v>0.99030300000000004</c:v>
                </c:pt>
                <c:pt idx="872">
                  <c:v>0.99033499999999997</c:v>
                </c:pt>
                <c:pt idx="873">
                  <c:v>0.99037900000000001</c:v>
                </c:pt>
                <c:pt idx="874">
                  <c:v>0.99043400000000004</c:v>
                </c:pt>
                <c:pt idx="875">
                  <c:v>0.99049900000000002</c:v>
                </c:pt>
                <c:pt idx="876">
                  <c:v>0.99057499999999998</c:v>
                </c:pt>
                <c:pt idx="877">
                  <c:v>0.99066100000000001</c:v>
                </c:pt>
                <c:pt idx="878">
                  <c:v>0.99075599999999997</c:v>
                </c:pt>
                <c:pt idx="879">
                  <c:v>0.99085999999999996</c:v>
                </c:pt>
                <c:pt idx="880">
                  <c:v>0.99097199999999996</c:v>
                </c:pt>
                <c:pt idx="881">
                  <c:v>0.99109199999999997</c:v>
                </c:pt>
                <c:pt idx="882">
                  <c:v>0.99121999999999999</c:v>
                </c:pt>
                <c:pt idx="883">
                  <c:v>0.99135399999999996</c:v>
                </c:pt>
                <c:pt idx="884">
                  <c:v>0.99149399999999999</c:v>
                </c:pt>
                <c:pt idx="885">
                  <c:v>0.99163999999999997</c:v>
                </c:pt>
                <c:pt idx="886">
                  <c:v>0.99178999999999995</c:v>
                </c:pt>
                <c:pt idx="887">
                  <c:v>0.99194499999999997</c:v>
                </c:pt>
                <c:pt idx="888">
                  <c:v>0.99210399999999999</c:v>
                </c:pt>
                <c:pt idx="889">
                  <c:v>0.99226599999999998</c:v>
                </c:pt>
                <c:pt idx="890">
                  <c:v>0.99243099999999995</c:v>
                </c:pt>
                <c:pt idx="891">
                  <c:v>0.99259799999999998</c:v>
                </c:pt>
                <c:pt idx="892">
                  <c:v>0.99276699999999996</c:v>
                </c:pt>
                <c:pt idx="893">
                  <c:v>0.99293699999999996</c:v>
                </c:pt>
                <c:pt idx="894">
                  <c:v>0.99310699999999996</c:v>
                </c:pt>
                <c:pt idx="895">
                  <c:v>0.99327799999999999</c:v>
                </c:pt>
                <c:pt idx="896">
                  <c:v>0.993448</c:v>
                </c:pt>
                <c:pt idx="897">
                  <c:v>0.993618</c:v>
                </c:pt>
                <c:pt idx="898">
                  <c:v>0.99378699999999998</c:v>
                </c:pt>
                <c:pt idx="899">
                  <c:v>0.99395299999999998</c:v>
                </c:pt>
                <c:pt idx="900">
                  <c:v>0.99411799999999995</c:v>
                </c:pt>
                <c:pt idx="901">
                  <c:v>0.99428099999999997</c:v>
                </c:pt>
                <c:pt idx="902">
                  <c:v>0.99444100000000002</c:v>
                </c:pt>
                <c:pt idx="903">
                  <c:v>0.99459799999999998</c:v>
                </c:pt>
                <c:pt idx="904">
                  <c:v>0.99475100000000005</c:v>
                </c:pt>
                <c:pt idx="905">
                  <c:v>0.99490199999999995</c:v>
                </c:pt>
                <c:pt idx="906">
                  <c:v>0.99504800000000004</c:v>
                </c:pt>
                <c:pt idx="907">
                  <c:v>0.99519000000000002</c:v>
                </c:pt>
                <c:pt idx="908">
                  <c:v>0.99532799999999999</c:v>
                </c:pt>
                <c:pt idx="909">
                  <c:v>0.99546199999999996</c:v>
                </c:pt>
                <c:pt idx="910">
                  <c:v>0.995591</c:v>
                </c:pt>
                <c:pt idx="911">
                  <c:v>0.99571500000000002</c:v>
                </c:pt>
                <c:pt idx="912">
                  <c:v>0.99583500000000003</c:v>
                </c:pt>
                <c:pt idx="913">
                  <c:v>0.99595</c:v>
                </c:pt>
                <c:pt idx="914">
                  <c:v>0.99605999999999995</c:v>
                </c:pt>
                <c:pt idx="915">
                  <c:v>0.99616499999999997</c:v>
                </c:pt>
                <c:pt idx="916">
                  <c:v>0.99626599999999998</c:v>
                </c:pt>
                <c:pt idx="917">
                  <c:v>0.99636199999999997</c:v>
                </c:pt>
                <c:pt idx="918">
                  <c:v>0.99645300000000003</c:v>
                </c:pt>
                <c:pt idx="919">
                  <c:v>0.99653899999999995</c:v>
                </c:pt>
                <c:pt idx="920">
                  <c:v>0.99662099999999998</c:v>
                </c:pt>
                <c:pt idx="921">
                  <c:v>0.99669799999999997</c:v>
                </c:pt>
                <c:pt idx="922">
                  <c:v>0.99677099999999996</c:v>
                </c:pt>
                <c:pt idx="923">
                  <c:v>0.99683999999999995</c:v>
                </c:pt>
                <c:pt idx="924">
                  <c:v>0.99690500000000004</c:v>
                </c:pt>
                <c:pt idx="925">
                  <c:v>0.99696600000000002</c:v>
                </c:pt>
                <c:pt idx="926">
                  <c:v>0.99702400000000002</c:v>
                </c:pt>
                <c:pt idx="927">
                  <c:v>0.99707900000000005</c:v>
                </c:pt>
                <c:pt idx="928">
                  <c:v>0.99712999999999996</c:v>
                </c:pt>
                <c:pt idx="929">
                  <c:v>0.99717900000000004</c:v>
                </c:pt>
                <c:pt idx="930">
                  <c:v>0.99722500000000003</c:v>
                </c:pt>
                <c:pt idx="931">
                  <c:v>0.99726899999999996</c:v>
                </c:pt>
                <c:pt idx="932">
                  <c:v>0.99731099999999995</c:v>
                </c:pt>
                <c:pt idx="933">
                  <c:v>0.99735099999999999</c:v>
                </c:pt>
                <c:pt idx="934">
                  <c:v>0.99738899999999997</c:v>
                </c:pt>
                <c:pt idx="935">
                  <c:v>0.99742600000000003</c:v>
                </c:pt>
                <c:pt idx="936">
                  <c:v>0.99746299999999999</c:v>
                </c:pt>
                <c:pt idx="937">
                  <c:v>0.997498</c:v>
                </c:pt>
                <c:pt idx="938">
                  <c:v>0.997533</c:v>
                </c:pt>
                <c:pt idx="939">
                  <c:v>0.99756800000000001</c:v>
                </c:pt>
                <c:pt idx="940">
                  <c:v>0.99760199999999999</c:v>
                </c:pt>
                <c:pt idx="941">
                  <c:v>0.997637</c:v>
                </c:pt>
                <c:pt idx="942">
                  <c:v>0.997672</c:v>
                </c:pt>
                <c:pt idx="943">
                  <c:v>0.99770700000000001</c:v>
                </c:pt>
                <c:pt idx="944">
                  <c:v>0.99774200000000002</c:v>
                </c:pt>
                <c:pt idx="945">
                  <c:v>0.99777899999999997</c:v>
                </c:pt>
                <c:pt idx="946">
                  <c:v>0.99781600000000004</c:v>
                </c:pt>
                <c:pt idx="947">
                  <c:v>0.99785299999999999</c:v>
                </c:pt>
                <c:pt idx="948">
                  <c:v>0.997892</c:v>
                </c:pt>
                <c:pt idx="949">
                  <c:v>0.99793100000000001</c:v>
                </c:pt>
                <c:pt idx="950">
                  <c:v>0.99797100000000005</c:v>
                </c:pt>
                <c:pt idx="951">
                  <c:v>0.99801200000000001</c:v>
                </c:pt>
                <c:pt idx="952">
                  <c:v>0.99805299999999997</c:v>
                </c:pt>
                <c:pt idx="953">
                  <c:v>0.99809499999999995</c:v>
                </c:pt>
                <c:pt idx="954">
                  <c:v>0.99813799999999997</c:v>
                </c:pt>
                <c:pt idx="955">
                  <c:v>0.99818099999999998</c:v>
                </c:pt>
                <c:pt idx="956">
                  <c:v>0.998224</c:v>
                </c:pt>
                <c:pt idx="957">
                  <c:v>0.99826700000000002</c:v>
                </c:pt>
                <c:pt idx="958">
                  <c:v>0.99831099999999995</c:v>
                </c:pt>
                <c:pt idx="959">
                  <c:v>0.99835300000000005</c:v>
                </c:pt>
                <c:pt idx="960">
                  <c:v>0.99839599999999995</c:v>
                </c:pt>
                <c:pt idx="961">
                  <c:v>0.99843700000000002</c:v>
                </c:pt>
                <c:pt idx="962">
                  <c:v>0.99847799999999998</c:v>
                </c:pt>
                <c:pt idx="963">
                  <c:v>0.99851699999999999</c:v>
                </c:pt>
                <c:pt idx="964">
                  <c:v>0.99855499999999997</c:v>
                </c:pt>
                <c:pt idx="965">
                  <c:v>0.99859100000000001</c:v>
                </c:pt>
                <c:pt idx="966">
                  <c:v>0.99862399999999996</c:v>
                </c:pt>
                <c:pt idx="967">
                  <c:v>0.99865599999999999</c:v>
                </c:pt>
                <c:pt idx="968">
                  <c:v>0.99868500000000004</c:v>
                </c:pt>
                <c:pt idx="969">
                  <c:v>0.99871100000000002</c:v>
                </c:pt>
                <c:pt idx="970">
                  <c:v>0.99873400000000001</c:v>
                </c:pt>
                <c:pt idx="971">
                  <c:v>0.998753</c:v>
                </c:pt>
                <c:pt idx="972">
                  <c:v>0.99876900000000002</c:v>
                </c:pt>
                <c:pt idx="973">
                  <c:v>0.99878100000000003</c:v>
                </c:pt>
                <c:pt idx="974">
                  <c:v>0.99878900000000004</c:v>
                </c:pt>
                <c:pt idx="975">
                  <c:v>0.99879200000000001</c:v>
                </c:pt>
                <c:pt idx="976">
                  <c:v>0.99879099999999998</c:v>
                </c:pt>
                <c:pt idx="977">
                  <c:v>0.99878500000000003</c:v>
                </c:pt>
                <c:pt idx="978">
                  <c:v>0.99877400000000005</c:v>
                </c:pt>
                <c:pt idx="979">
                  <c:v>0.99875800000000003</c:v>
                </c:pt>
                <c:pt idx="980">
                  <c:v>0.99873699999999999</c:v>
                </c:pt>
                <c:pt idx="981">
                  <c:v>0.99870999999999999</c:v>
                </c:pt>
                <c:pt idx="982">
                  <c:v>0.99867799999999995</c:v>
                </c:pt>
                <c:pt idx="983">
                  <c:v>0.99863999999999997</c:v>
                </c:pt>
                <c:pt idx="984">
                  <c:v>0.99859699999999996</c:v>
                </c:pt>
                <c:pt idx="985">
                  <c:v>0.99854799999999999</c:v>
                </c:pt>
                <c:pt idx="986">
                  <c:v>0.99849200000000005</c:v>
                </c:pt>
                <c:pt idx="987">
                  <c:v>0.99843099999999996</c:v>
                </c:pt>
                <c:pt idx="988">
                  <c:v>0.99836499999999995</c:v>
                </c:pt>
                <c:pt idx="989">
                  <c:v>0.99829199999999996</c:v>
                </c:pt>
                <c:pt idx="990">
                  <c:v>0.99821400000000005</c:v>
                </c:pt>
                <c:pt idx="991">
                  <c:v>0.99812999999999996</c:v>
                </c:pt>
                <c:pt idx="992">
                  <c:v>0.99804000000000004</c:v>
                </c:pt>
                <c:pt idx="993">
                  <c:v>0.99794499999999997</c:v>
                </c:pt>
                <c:pt idx="994">
                  <c:v>0.99784399999999995</c:v>
                </c:pt>
                <c:pt idx="995">
                  <c:v>0.99773800000000001</c:v>
                </c:pt>
                <c:pt idx="996">
                  <c:v>0.99762700000000004</c:v>
                </c:pt>
                <c:pt idx="997">
                  <c:v>0.99751199999999995</c:v>
                </c:pt>
                <c:pt idx="998">
                  <c:v>0.99739100000000003</c:v>
                </c:pt>
                <c:pt idx="999">
                  <c:v>0.99726599999999999</c:v>
                </c:pt>
                <c:pt idx="1000">
                  <c:v>0.99713700000000005</c:v>
                </c:pt>
                <c:pt idx="1001">
                  <c:v>0.99700299999999997</c:v>
                </c:pt>
                <c:pt idx="1002">
                  <c:v>0.99686600000000003</c:v>
                </c:pt>
                <c:pt idx="1003">
                  <c:v>0.996726</c:v>
                </c:pt>
                <c:pt idx="1004">
                  <c:v>0.99658199999999997</c:v>
                </c:pt>
                <c:pt idx="1005">
                  <c:v>0.99643599999999999</c:v>
                </c:pt>
                <c:pt idx="1006">
                  <c:v>0.99628700000000003</c:v>
                </c:pt>
                <c:pt idx="1007">
                  <c:v>0.99613600000000002</c:v>
                </c:pt>
                <c:pt idx="1008">
                  <c:v>0.99598399999999998</c:v>
                </c:pt>
                <c:pt idx="1009">
                  <c:v>0.99582999999999999</c:v>
                </c:pt>
                <c:pt idx="1010">
                  <c:v>0.99567499999999998</c:v>
                </c:pt>
                <c:pt idx="1011">
                  <c:v>0.99551999999999996</c:v>
                </c:pt>
                <c:pt idx="1012">
                  <c:v>0.99536500000000006</c:v>
                </c:pt>
                <c:pt idx="1013">
                  <c:v>0.99521000000000004</c:v>
                </c:pt>
                <c:pt idx="1014">
                  <c:v>0.99505600000000005</c:v>
                </c:pt>
                <c:pt idx="1015">
                  <c:v>0.99490299999999998</c:v>
                </c:pt>
                <c:pt idx="1016">
                  <c:v>0.99475199999999997</c:v>
                </c:pt>
                <c:pt idx="1017">
                  <c:v>0.99460400000000004</c:v>
                </c:pt>
                <c:pt idx="1018">
                  <c:v>0.99445700000000004</c:v>
                </c:pt>
                <c:pt idx="1019">
                  <c:v>0.99431400000000003</c:v>
                </c:pt>
                <c:pt idx="1020">
                  <c:v>0.99417500000000003</c:v>
                </c:pt>
                <c:pt idx="1021">
                  <c:v>0.99403900000000001</c:v>
                </c:pt>
                <c:pt idx="1022">
                  <c:v>0.99390800000000001</c:v>
                </c:pt>
                <c:pt idx="1023">
                  <c:v>0.99378200000000005</c:v>
                </c:pt>
                <c:pt idx="1024">
                  <c:v>0.99366100000000002</c:v>
                </c:pt>
                <c:pt idx="1025">
                  <c:v>0.99354600000000004</c:v>
                </c:pt>
                <c:pt idx="1026">
                  <c:v>0.99343599999999999</c:v>
                </c:pt>
                <c:pt idx="1027">
                  <c:v>0.99333400000000005</c:v>
                </c:pt>
                <c:pt idx="1028">
                  <c:v>0.99323799999999995</c:v>
                </c:pt>
                <c:pt idx="1029">
                  <c:v>0.99314899999999995</c:v>
                </c:pt>
                <c:pt idx="1030">
                  <c:v>0.99306799999999995</c:v>
                </c:pt>
                <c:pt idx="1031">
                  <c:v>0.99299499999999996</c:v>
                </c:pt>
                <c:pt idx="1032">
                  <c:v>0.99292999999999998</c:v>
                </c:pt>
                <c:pt idx="1033">
                  <c:v>0.99287300000000001</c:v>
                </c:pt>
                <c:pt idx="1034">
                  <c:v>0.99282400000000004</c:v>
                </c:pt>
                <c:pt idx="1035">
                  <c:v>0.992784</c:v>
                </c:pt>
                <c:pt idx="1036">
                  <c:v>0.992753</c:v>
                </c:pt>
                <c:pt idx="1037">
                  <c:v>0.99273100000000003</c:v>
                </c:pt>
                <c:pt idx="1038">
                  <c:v>0.99271799999999999</c:v>
                </c:pt>
                <c:pt idx="1039">
                  <c:v>0.99271399999999999</c:v>
                </c:pt>
                <c:pt idx="1040">
                  <c:v>0.99271900000000002</c:v>
                </c:pt>
                <c:pt idx="1041">
                  <c:v>0.99273299999999998</c:v>
                </c:pt>
                <c:pt idx="1042">
                  <c:v>0.99275599999999997</c:v>
                </c:pt>
                <c:pt idx="1043">
                  <c:v>0.992788</c:v>
                </c:pt>
                <c:pt idx="1044">
                  <c:v>0.99282800000000004</c:v>
                </c:pt>
                <c:pt idx="1045">
                  <c:v>0.99287800000000004</c:v>
                </c:pt>
                <c:pt idx="1046">
                  <c:v>0.99293500000000001</c:v>
                </c:pt>
                <c:pt idx="1047">
                  <c:v>0.99300100000000002</c:v>
                </c:pt>
                <c:pt idx="1048">
                  <c:v>0.99307500000000004</c:v>
                </c:pt>
                <c:pt idx="1049">
                  <c:v>0.99315600000000004</c:v>
                </c:pt>
                <c:pt idx="1050">
                  <c:v>0.99324500000000004</c:v>
                </c:pt>
                <c:pt idx="1051">
                  <c:v>0.99334</c:v>
                </c:pt>
                <c:pt idx="1052">
                  <c:v>0.99344299999999996</c:v>
                </c:pt>
                <c:pt idx="1053">
                  <c:v>0.99355099999999996</c:v>
                </c:pt>
                <c:pt idx="1054">
                  <c:v>0.99366600000000005</c:v>
                </c:pt>
                <c:pt idx="1055">
                  <c:v>0.99378599999999995</c:v>
                </c:pt>
                <c:pt idx="1056">
                  <c:v>0.99391099999999999</c:v>
                </c:pt>
                <c:pt idx="1057">
                  <c:v>0.99404099999999995</c:v>
                </c:pt>
                <c:pt idx="1058">
                  <c:v>0.99417500000000003</c:v>
                </c:pt>
                <c:pt idx="1059">
                  <c:v>0.99431199999999997</c:v>
                </c:pt>
                <c:pt idx="1060">
                  <c:v>0.99445300000000003</c:v>
                </c:pt>
                <c:pt idx="1061">
                  <c:v>0.99459699999999995</c:v>
                </c:pt>
                <c:pt idx="1062">
                  <c:v>0.99474300000000004</c:v>
                </c:pt>
                <c:pt idx="1063">
                  <c:v>0.99489099999999997</c:v>
                </c:pt>
                <c:pt idx="1064">
                  <c:v>0.99504099999999995</c:v>
                </c:pt>
                <c:pt idx="1065">
                  <c:v>0.99519100000000005</c:v>
                </c:pt>
                <c:pt idx="1066">
                  <c:v>0.99534199999999995</c:v>
                </c:pt>
                <c:pt idx="1067">
                  <c:v>0.99549299999999996</c:v>
                </c:pt>
                <c:pt idx="1068">
                  <c:v>0.99564399999999997</c:v>
                </c:pt>
                <c:pt idx="1069">
                  <c:v>0.99579399999999996</c:v>
                </c:pt>
                <c:pt idx="1070">
                  <c:v>0.99594300000000002</c:v>
                </c:pt>
                <c:pt idx="1071">
                  <c:v>0.99609000000000003</c:v>
                </c:pt>
                <c:pt idx="1072">
                  <c:v>0.99623499999999998</c:v>
                </c:pt>
                <c:pt idx="1073">
                  <c:v>0.99637799999999999</c:v>
                </c:pt>
                <c:pt idx="1074">
                  <c:v>0.99651800000000001</c:v>
                </c:pt>
                <c:pt idx="1075">
                  <c:v>0.99665599999999999</c:v>
                </c:pt>
                <c:pt idx="1076">
                  <c:v>0.99678999999999995</c:v>
                </c:pt>
                <c:pt idx="1077">
                  <c:v>0.99692000000000003</c:v>
                </c:pt>
                <c:pt idx="1078">
                  <c:v>0.99704599999999999</c:v>
                </c:pt>
                <c:pt idx="1079">
                  <c:v>0.99716800000000005</c:v>
                </c:pt>
                <c:pt idx="1080">
                  <c:v>0.99728600000000001</c:v>
                </c:pt>
                <c:pt idx="1081">
                  <c:v>0.99739900000000004</c:v>
                </c:pt>
                <c:pt idx="1082">
                  <c:v>0.99750799999999995</c:v>
                </c:pt>
                <c:pt idx="1083">
                  <c:v>0.99761100000000003</c:v>
                </c:pt>
                <c:pt idx="1084">
                  <c:v>0.99770899999999996</c:v>
                </c:pt>
                <c:pt idx="1085">
                  <c:v>0.99780100000000005</c:v>
                </c:pt>
                <c:pt idx="1086">
                  <c:v>0.997888</c:v>
                </c:pt>
                <c:pt idx="1087">
                  <c:v>0.99797000000000002</c:v>
                </c:pt>
                <c:pt idx="1088">
                  <c:v>0.99804499999999996</c:v>
                </c:pt>
                <c:pt idx="1089">
                  <c:v>0.99811499999999997</c:v>
                </c:pt>
                <c:pt idx="1090">
                  <c:v>0.99817900000000004</c:v>
                </c:pt>
                <c:pt idx="1091">
                  <c:v>0.99823700000000004</c:v>
                </c:pt>
                <c:pt idx="1092">
                  <c:v>0.99829000000000001</c:v>
                </c:pt>
                <c:pt idx="1093">
                  <c:v>0.998336</c:v>
                </c:pt>
                <c:pt idx="1094">
                  <c:v>0.99837600000000004</c:v>
                </c:pt>
                <c:pt idx="1095">
                  <c:v>0.99841100000000005</c:v>
                </c:pt>
                <c:pt idx="1096">
                  <c:v>0.99843999999999999</c:v>
                </c:pt>
                <c:pt idx="1097">
                  <c:v>0.99846199999999996</c:v>
                </c:pt>
                <c:pt idx="1098">
                  <c:v>0.99848000000000003</c:v>
                </c:pt>
                <c:pt idx="1099">
                  <c:v>0.99849100000000002</c:v>
                </c:pt>
                <c:pt idx="1100">
                  <c:v>0.99849699999999997</c:v>
                </c:pt>
                <c:pt idx="1101">
                  <c:v>0.998498</c:v>
                </c:pt>
                <c:pt idx="1102">
                  <c:v>0.99849399999999999</c:v>
                </c:pt>
                <c:pt idx="1103">
                  <c:v>0.99848400000000004</c:v>
                </c:pt>
                <c:pt idx="1104">
                  <c:v>0.99846999999999997</c:v>
                </c:pt>
                <c:pt idx="1105">
                  <c:v>0.99845099999999998</c:v>
                </c:pt>
                <c:pt idx="1106">
                  <c:v>0.99842699999999995</c:v>
                </c:pt>
                <c:pt idx="1107">
                  <c:v>0.99839900000000004</c:v>
                </c:pt>
                <c:pt idx="1108">
                  <c:v>0.998367</c:v>
                </c:pt>
                <c:pt idx="1109">
                  <c:v>0.99833099999999997</c:v>
                </c:pt>
                <c:pt idx="1110">
                  <c:v>0.99829100000000004</c:v>
                </c:pt>
                <c:pt idx="1111">
                  <c:v>0.99824800000000002</c:v>
                </c:pt>
                <c:pt idx="1112">
                  <c:v>0.99820200000000003</c:v>
                </c:pt>
                <c:pt idx="1113">
                  <c:v>0.99815299999999996</c:v>
                </c:pt>
                <c:pt idx="1114">
                  <c:v>0.99810100000000002</c:v>
                </c:pt>
                <c:pt idx="1115">
                  <c:v>0.99804599999999999</c:v>
                </c:pt>
                <c:pt idx="1116">
                  <c:v>0.99798900000000001</c:v>
                </c:pt>
                <c:pt idx="1117">
                  <c:v>0.99793100000000001</c:v>
                </c:pt>
                <c:pt idx="1118">
                  <c:v>0.99787000000000003</c:v>
                </c:pt>
                <c:pt idx="1119">
                  <c:v>0.99780800000000003</c:v>
                </c:pt>
                <c:pt idx="1120">
                  <c:v>0.99774499999999999</c:v>
                </c:pt>
                <c:pt idx="1121">
                  <c:v>0.99768100000000004</c:v>
                </c:pt>
                <c:pt idx="1122">
                  <c:v>0.99761599999999995</c:v>
                </c:pt>
                <c:pt idx="1123">
                  <c:v>0.99755000000000005</c:v>
                </c:pt>
                <c:pt idx="1124">
                  <c:v>0.99748499999999996</c:v>
                </c:pt>
                <c:pt idx="1125">
                  <c:v>0.99741800000000003</c:v>
                </c:pt>
                <c:pt idx="1126">
                  <c:v>0.99735300000000005</c:v>
                </c:pt>
                <c:pt idx="1127">
                  <c:v>0.99728700000000003</c:v>
                </c:pt>
                <c:pt idx="1128">
                  <c:v>0.99722200000000005</c:v>
                </c:pt>
                <c:pt idx="1129">
                  <c:v>0.99715699999999996</c:v>
                </c:pt>
                <c:pt idx="1130">
                  <c:v>0.99709300000000001</c:v>
                </c:pt>
                <c:pt idx="1131">
                  <c:v>0.99702999999999997</c:v>
                </c:pt>
                <c:pt idx="1132">
                  <c:v>0.99696700000000005</c:v>
                </c:pt>
                <c:pt idx="1133">
                  <c:v>0.99690599999999996</c:v>
                </c:pt>
                <c:pt idx="1134">
                  <c:v>0.99684600000000001</c:v>
                </c:pt>
                <c:pt idx="1135">
                  <c:v>0.99678800000000001</c:v>
                </c:pt>
                <c:pt idx="1136">
                  <c:v>0.99673100000000003</c:v>
                </c:pt>
                <c:pt idx="1137">
                  <c:v>0.99667499999999998</c:v>
                </c:pt>
                <c:pt idx="1138">
                  <c:v>0.99661999999999995</c:v>
                </c:pt>
                <c:pt idx="1139">
                  <c:v>0.99656699999999998</c:v>
                </c:pt>
                <c:pt idx="1140">
                  <c:v>0.99651500000000004</c:v>
                </c:pt>
                <c:pt idx="1141">
                  <c:v>0.99646500000000005</c:v>
                </c:pt>
                <c:pt idx="1142">
                  <c:v>0.996417</c:v>
                </c:pt>
                <c:pt idx="1143">
                  <c:v>0.99636899999999995</c:v>
                </c:pt>
                <c:pt idx="1144">
                  <c:v>0.99632299999999996</c:v>
                </c:pt>
                <c:pt idx="1145">
                  <c:v>0.99627900000000003</c:v>
                </c:pt>
                <c:pt idx="1146">
                  <c:v>0.99623600000000001</c:v>
                </c:pt>
                <c:pt idx="1147">
                  <c:v>0.99619400000000002</c:v>
                </c:pt>
                <c:pt idx="1148">
                  <c:v>0.99615299999999996</c:v>
                </c:pt>
                <c:pt idx="1149">
                  <c:v>0.99611300000000003</c:v>
                </c:pt>
                <c:pt idx="1150">
                  <c:v>0.99607500000000004</c:v>
                </c:pt>
                <c:pt idx="1151">
                  <c:v>0.99603699999999995</c:v>
                </c:pt>
                <c:pt idx="1152">
                  <c:v>0.996</c:v>
                </c:pt>
                <c:pt idx="1153">
                  <c:v>0.99596399999999996</c:v>
                </c:pt>
                <c:pt idx="1154">
                  <c:v>0.99592800000000004</c:v>
                </c:pt>
                <c:pt idx="1155">
                  <c:v>0.99589399999999995</c:v>
                </c:pt>
                <c:pt idx="1156">
                  <c:v>0.99585900000000005</c:v>
                </c:pt>
                <c:pt idx="1157">
                  <c:v>0.99582599999999999</c:v>
                </c:pt>
                <c:pt idx="1158">
                  <c:v>0.99579200000000001</c:v>
                </c:pt>
                <c:pt idx="1159">
                  <c:v>0.99575899999999995</c:v>
                </c:pt>
                <c:pt idx="1160">
                  <c:v>0.995726</c:v>
                </c:pt>
                <c:pt idx="1161">
                  <c:v>0.99569300000000005</c:v>
                </c:pt>
                <c:pt idx="1162">
                  <c:v>0.99565999999999999</c:v>
                </c:pt>
                <c:pt idx="1163">
                  <c:v>0.99562700000000004</c:v>
                </c:pt>
                <c:pt idx="1164">
                  <c:v>0.99559399999999998</c:v>
                </c:pt>
                <c:pt idx="1165">
                  <c:v>0.99556100000000003</c:v>
                </c:pt>
                <c:pt idx="1166">
                  <c:v>0.99552700000000005</c:v>
                </c:pt>
                <c:pt idx="1167">
                  <c:v>0.99549299999999996</c:v>
                </c:pt>
                <c:pt idx="1168">
                  <c:v>0.99545899999999998</c:v>
                </c:pt>
                <c:pt idx="1169">
                  <c:v>0.995425</c:v>
                </c:pt>
                <c:pt idx="1170">
                  <c:v>0.99539100000000003</c:v>
                </c:pt>
                <c:pt idx="1171">
                  <c:v>0.99535600000000002</c:v>
                </c:pt>
                <c:pt idx="1172">
                  <c:v>0.99531999999999998</c:v>
                </c:pt>
                <c:pt idx="1173">
                  <c:v>0.99528499999999998</c:v>
                </c:pt>
                <c:pt idx="1174">
                  <c:v>0.99524900000000005</c:v>
                </c:pt>
                <c:pt idx="1175">
                  <c:v>0.99521199999999999</c:v>
                </c:pt>
                <c:pt idx="1176">
                  <c:v>0.99517500000000003</c:v>
                </c:pt>
                <c:pt idx="1177">
                  <c:v>0.99513799999999997</c:v>
                </c:pt>
                <c:pt idx="1178">
                  <c:v>0.99510100000000001</c:v>
                </c:pt>
                <c:pt idx="1179">
                  <c:v>0.99506399999999995</c:v>
                </c:pt>
                <c:pt idx="1180">
                  <c:v>0.99502599999999997</c:v>
                </c:pt>
                <c:pt idx="1181">
                  <c:v>0.99498799999999998</c:v>
                </c:pt>
                <c:pt idx="1182">
                  <c:v>0.99495</c:v>
                </c:pt>
                <c:pt idx="1183">
                  <c:v>0.99491200000000002</c:v>
                </c:pt>
                <c:pt idx="1184">
                  <c:v>0.99487499999999995</c:v>
                </c:pt>
                <c:pt idx="1185">
                  <c:v>0.99483699999999997</c:v>
                </c:pt>
                <c:pt idx="1186">
                  <c:v>0.99480000000000002</c:v>
                </c:pt>
                <c:pt idx="1187">
                  <c:v>0.99476299999999995</c:v>
                </c:pt>
                <c:pt idx="1188">
                  <c:v>0.99472700000000003</c:v>
                </c:pt>
                <c:pt idx="1189">
                  <c:v>0.99469099999999999</c:v>
                </c:pt>
                <c:pt idx="1190">
                  <c:v>0.99465599999999998</c:v>
                </c:pt>
                <c:pt idx="1191">
                  <c:v>0.99462099999999998</c:v>
                </c:pt>
                <c:pt idx="1192">
                  <c:v>0.99458800000000003</c:v>
                </c:pt>
                <c:pt idx="1193">
                  <c:v>0.994556</c:v>
                </c:pt>
                <c:pt idx="1194">
                  <c:v>0.99452499999999999</c:v>
                </c:pt>
                <c:pt idx="1195">
                  <c:v>0.99449500000000002</c:v>
                </c:pt>
                <c:pt idx="1196">
                  <c:v>0.99446699999999999</c:v>
                </c:pt>
                <c:pt idx="1197">
                  <c:v>0.99443999999999999</c:v>
                </c:pt>
                <c:pt idx="1198">
                  <c:v>0.99441500000000005</c:v>
                </c:pt>
                <c:pt idx="1199">
                  <c:v>0.99439200000000005</c:v>
                </c:pt>
                <c:pt idx="1200">
                  <c:v>0.994371</c:v>
                </c:pt>
                <c:pt idx="1201">
                  <c:v>0.99435200000000001</c:v>
                </c:pt>
                <c:pt idx="1202">
                  <c:v>0.99433499999999997</c:v>
                </c:pt>
                <c:pt idx="1203">
                  <c:v>0.99432100000000001</c:v>
                </c:pt>
                <c:pt idx="1204">
                  <c:v>0.994309</c:v>
                </c:pt>
                <c:pt idx="1205">
                  <c:v>0.99429999999999996</c:v>
                </c:pt>
                <c:pt idx="1206">
                  <c:v>0.99429400000000001</c:v>
                </c:pt>
                <c:pt idx="1207">
                  <c:v>0.99429000000000001</c:v>
                </c:pt>
                <c:pt idx="1208">
                  <c:v>0.99429000000000001</c:v>
                </c:pt>
                <c:pt idx="1209">
                  <c:v>0.99429199999999995</c:v>
                </c:pt>
                <c:pt idx="1210">
                  <c:v>0.99429800000000002</c:v>
                </c:pt>
                <c:pt idx="1211">
                  <c:v>0.99430700000000005</c:v>
                </c:pt>
                <c:pt idx="1212">
                  <c:v>0.99431999999999998</c:v>
                </c:pt>
                <c:pt idx="1213">
                  <c:v>0.99433499999999997</c:v>
                </c:pt>
                <c:pt idx="1214">
                  <c:v>0.99435499999999999</c:v>
                </c:pt>
                <c:pt idx="1215">
                  <c:v>0.99437699999999996</c:v>
                </c:pt>
                <c:pt idx="1216">
                  <c:v>0.99440399999999995</c:v>
                </c:pt>
                <c:pt idx="1217">
                  <c:v>0.99443300000000001</c:v>
                </c:pt>
                <c:pt idx="1218">
                  <c:v>0.99446599999999996</c:v>
                </c:pt>
                <c:pt idx="1219">
                  <c:v>0.99450300000000003</c:v>
                </c:pt>
                <c:pt idx="1220">
                  <c:v>0.99454299999999995</c:v>
                </c:pt>
                <c:pt idx="1221">
                  <c:v>0.994587</c:v>
                </c:pt>
                <c:pt idx="1222">
                  <c:v>0.99463400000000002</c:v>
                </c:pt>
                <c:pt idx="1223">
                  <c:v>0.99468400000000001</c:v>
                </c:pt>
                <c:pt idx="1224">
                  <c:v>0.99473699999999998</c:v>
                </c:pt>
                <c:pt idx="1225">
                  <c:v>0.99479399999999996</c:v>
                </c:pt>
                <c:pt idx="1226">
                  <c:v>0.99485299999999999</c:v>
                </c:pt>
                <c:pt idx="1227">
                  <c:v>0.99491600000000002</c:v>
                </c:pt>
                <c:pt idx="1228">
                  <c:v>0.994981</c:v>
                </c:pt>
                <c:pt idx="1229">
                  <c:v>0.99504800000000004</c:v>
                </c:pt>
                <c:pt idx="1230">
                  <c:v>0.99511799999999995</c:v>
                </c:pt>
                <c:pt idx="1231">
                  <c:v>0.99519100000000005</c:v>
                </c:pt>
                <c:pt idx="1232">
                  <c:v>0.99526499999999996</c:v>
                </c:pt>
                <c:pt idx="1233">
                  <c:v>0.99534100000000003</c:v>
                </c:pt>
                <c:pt idx="1234">
                  <c:v>0.99541900000000005</c:v>
                </c:pt>
                <c:pt idx="1235">
                  <c:v>0.99549799999999999</c:v>
                </c:pt>
                <c:pt idx="1236">
                  <c:v>0.99557899999999999</c:v>
                </c:pt>
                <c:pt idx="1237">
                  <c:v>0.99565999999999999</c:v>
                </c:pt>
                <c:pt idx="1238">
                  <c:v>0.99574200000000002</c:v>
                </c:pt>
                <c:pt idx="1239">
                  <c:v>0.99582499999999996</c:v>
                </c:pt>
                <c:pt idx="1240">
                  <c:v>0.99590900000000004</c:v>
                </c:pt>
                <c:pt idx="1241">
                  <c:v>0.99599199999999999</c:v>
                </c:pt>
                <c:pt idx="1242">
                  <c:v>0.99607500000000004</c:v>
                </c:pt>
                <c:pt idx="1243">
                  <c:v>0.99615799999999999</c:v>
                </c:pt>
                <c:pt idx="1244">
                  <c:v>0.99624000000000001</c:v>
                </c:pt>
                <c:pt idx="1245">
                  <c:v>0.99632100000000001</c:v>
                </c:pt>
                <c:pt idx="1246">
                  <c:v>0.99640099999999998</c:v>
                </c:pt>
                <c:pt idx="1247">
                  <c:v>0.99648000000000003</c:v>
                </c:pt>
                <c:pt idx="1248">
                  <c:v>0.99655700000000003</c:v>
                </c:pt>
                <c:pt idx="1249">
                  <c:v>0.99663299999999999</c:v>
                </c:pt>
                <c:pt idx="1250">
                  <c:v>0.99670599999999998</c:v>
                </c:pt>
                <c:pt idx="1251">
                  <c:v>0.99677800000000005</c:v>
                </c:pt>
                <c:pt idx="1252">
                  <c:v>0.99684700000000004</c:v>
                </c:pt>
                <c:pt idx="1253">
                  <c:v>0.99691300000000005</c:v>
                </c:pt>
                <c:pt idx="1254">
                  <c:v>0.996977</c:v>
                </c:pt>
                <c:pt idx="1255">
                  <c:v>0.99703799999999998</c:v>
                </c:pt>
                <c:pt idx="1256">
                  <c:v>0.99709499999999995</c:v>
                </c:pt>
                <c:pt idx="1257">
                  <c:v>0.99714999999999998</c:v>
                </c:pt>
                <c:pt idx="1258">
                  <c:v>0.997201</c:v>
                </c:pt>
                <c:pt idx="1259">
                  <c:v>0.99724800000000002</c:v>
                </c:pt>
                <c:pt idx="1260">
                  <c:v>0.99729199999999996</c:v>
                </c:pt>
                <c:pt idx="1261">
                  <c:v>0.997332</c:v>
                </c:pt>
                <c:pt idx="1262">
                  <c:v>0.99736899999999995</c:v>
                </c:pt>
                <c:pt idx="1263">
                  <c:v>0.99740099999999998</c:v>
                </c:pt>
                <c:pt idx="1264">
                  <c:v>0.99742900000000001</c:v>
                </c:pt>
                <c:pt idx="1265">
                  <c:v>0.99745300000000003</c:v>
                </c:pt>
                <c:pt idx="1266">
                  <c:v>0.99747399999999997</c:v>
                </c:pt>
                <c:pt idx="1267">
                  <c:v>0.99748899999999996</c:v>
                </c:pt>
                <c:pt idx="1268">
                  <c:v>0.99750099999999997</c:v>
                </c:pt>
                <c:pt idx="1269">
                  <c:v>0.99750899999999998</c:v>
                </c:pt>
                <c:pt idx="1270">
                  <c:v>0.99751199999999995</c:v>
                </c:pt>
                <c:pt idx="1271">
                  <c:v>0.99751100000000004</c:v>
                </c:pt>
                <c:pt idx="1272">
                  <c:v>0.997506</c:v>
                </c:pt>
                <c:pt idx="1273">
                  <c:v>0.99749699999999997</c:v>
                </c:pt>
                <c:pt idx="1274">
                  <c:v>0.99748300000000001</c:v>
                </c:pt>
                <c:pt idx="1275">
                  <c:v>0.99746599999999996</c:v>
                </c:pt>
                <c:pt idx="1276">
                  <c:v>0.997444</c:v>
                </c:pt>
                <c:pt idx="1277">
                  <c:v>0.99741900000000006</c:v>
                </c:pt>
                <c:pt idx="1278">
                  <c:v>0.99738899999999997</c:v>
                </c:pt>
                <c:pt idx="1279">
                  <c:v>0.99735600000000002</c:v>
                </c:pt>
                <c:pt idx="1280">
                  <c:v>0.99731999999999998</c:v>
                </c:pt>
                <c:pt idx="1281">
                  <c:v>0.99728000000000006</c:v>
                </c:pt>
                <c:pt idx="1282">
                  <c:v>0.99723600000000001</c:v>
                </c:pt>
                <c:pt idx="1283">
                  <c:v>0.99718899999999999</c:v>
                </c:pt>
                <c:pt idx="1284">
                  <c:v>0.997139</c:v>
                </c:pt>
                <c:pt idx="1285">
                  <c:v>0.99708699999999995</c:v>
                </c:pt>
                <c:pt idx="1286">
                  <c:v>0.997031</c:v>
                </c:pt>
                <c:pt idx="1287">
                  <c:v>0.996973</c:v>
                </c:pt>
                <c:pt idx="1288">
                  <c:v>0.99691200000000002</c:v>
                </c:pt>
                <c:pt idx="1289">
                  <c:v>0.99684899999999999</c:v>
                </c:pt>
                <c:pt idx="1290">
                  <c:v>0.99678500000000003</c:v>
                </c:pt>
                <c:pt idx="1291">
                  <c:v>0.99671799999999999</c:v>
                </c:pt>
                <c:pt idx="1292">
                  <c:v>0.99665000000000004</c:v>
                </c:pt>
                <c:pt idx="1293">
                  <c:v>0.99658000000000002</c:v>
                </c:pt>
                <c:pt idx="1294">
                  <c:v>0.99650899999999998</c:v>
                </c:pt>
                <c:pt idx="1295">
                  <c:v>0.99643700000000002</c:v>
                </c:pt>
                <c:pt idx="1296">
                  <c:v>0.99636400000000003</c:v>
                </c:pt>
                <c:pt idx="1297">
                  <c:v>0.99629000000000001</c:v>
                </c:pt>
                <c:pt idx="1298">
                  <c:v>0.99621700000000002</c:v>
                </c:pt>
                <c:pt idx="1299">
                  <c:v>0.996143</c:v>
                </c:pt>
                <c:pt idx="1300">
                  <c:v>0.99606899999999998</c:v>
                </c:pt>
                <c:pt idx="1301">
                  <c:v>0.99599499999999996</c:v>
                </c:pt>
                <c:pt idx="1302">
                  <c:v>0.99592199999999997</c:v>
                </c:pt>
                <c:pt idx="1303">
                  <c:v>0.99584899999999998</c:v>
                </c:pt>
                <c:pt idx="1304">
                  <c:v>0.99577700000000002</c:v>
                </c:pt>
                <c:pt idx="1305">
                  <c:v>0.99570700000000001</c:v>
                </c:pt>
                <c:pt idx="1306">
                  <c:v>0.99563699999999999</c:v>
                </c:pt>
                <c:pt idx="1307">
                  <c:v>0.99556900000000004</c:v>
                </c:pt>
                <c:pt idx="1308">
                  <c:v>0.995502</c:v>
                </c:pt>
                <c:pt idx="1309">
                  <c:v>0.99543700000000002</c:v>
                </c:pt>
                <c:pt idx="1310">
                  <c:v>0.99537399999999998</c:v>
                </c:pt>
                <c:pt idx="1311">
                  <c:v>0.995313</c:v>
                </c:pt>
                <c:pt idx="1312">
                  <c:v>0.995255</c:v>
                </c:pt>
                <c:pt idx="1313">
                  <c:v>0.99519800000000003</c:v>
                </c:pt>
                <c:pt idx="1314">
                  <c:v>0.99514400000000003</c:v>
                </c:pt>
                <c:pt idx="1315">
                  <c:v>0.99509199999999998</c:v>
                </c:pt>
                <c:pt idx="1316">
                  <c:v>0.99504300000000001</c:v>
                </c:pt>
                <c:pt idx="1317">
                  <c:v>0.99499599999999999</c:v>
                </c:pt>
                <c:pt idx="1318">
                  <c:v>0.99495199999999995</c:v>
                </c:pt>
                <c:pt idx="1319">
                  <c:v>0.99491099999999999</c:v>
                </c:pt>
                <c:pt idx="1320">
                  <c:v>0.99487300000000001</c:v>
                </c:pt>
                <c:pt idx="1321">
                  <c:v>0.99483699999999997</c:v>
                </c:pt>
                <c:pt idx="1322">
                  <c:v>0.99480500000000005</c:v>
                </c:pt>
                <c:pt idx="1323">
                  <c:v>0.99477499999999996</c:v>
                </c:pt>
                <c:pt idx="1324">
                  <c:v>0.99474799999999997</c:v>
                </c:pt>
                <c:pt idx="1325">
                  <c:v>0.99472300000000002</c:v>
                </c:pt>
                <c:pt idx="1326">
                  <c:v>0.99470199999999998</c:v>
                </c:pt>
                <c:pt idx="1327">
                  <c:v>0.99468299999999998</c:v>
                </c:pt>
                <c:pt idx="1328">
                  <c:v>0.994668</c:v>
                </c:pt>
                <c:pt idx="1329">
                  <c:v>0.99465400000000004</c:v>
                </c:pt>
                <c:pt idx="1330">
                  <c:v>0.99464399999999997</c:v>
                </c:pt>
                <c:pt idx="1331">
                  <c:v>0.99463599999999996</c:v>
                </c:pt>
                <c:pt idx="1332">
                  <c:v>0.99463000000000001</c:v>
                </c:pt>
                <c:pt idx="1333">
                  <c:v>0.99462700000000004</c:v>
                </c:pt>
                <c:pt idx="1334">
                  <c:v>0.99462600000000001</c:v>
                </c:pt>
                <c:pt idx="1335">
                  <c:v>0.99462799999999996</c:v>
                </c:pt>
                <c:pt idx="1336">
                  <c:v>0.99463100000000004</c:v>
                </c:pt>
                <c:pt idx="1337">
                  <c:v>0.99463699999999999</c:v>
                </c:pt>
                <c:pt idx="1338">
                  <c:v>0.994645</c:v>
                </c:pt>
                <c:pt idx="1339">
                  <c:v>0.99465400000000004</c:v>
                </c:pt>
                <c:pt idx="1340">
                  <c:v>0.99466500000000002</c:v>
                </c:pt>
                <c:pt idx="1341">
                  <c:v>0.99467799999999995</c:v>
                </c:pt>
                <c:pt idx="1342">
                  <c:v>0.99469200000000002</c:v>
                </c:pt>
                <c:pt idx="1343">
                  <c:v>0.99470800000000004</c:v>
                </c:pt>
                <c:pt idx="1344">
                  <c:v>0.99472499999999997</c:v>
                </c:pt>
                <c:pt idx="1345">
                  <c:v>0.99474300000000004</c:v>
                </c:pt>
                <c:pt idx="1346">
                  <c:v>0.99476200000000004</c:v>
                </c:pt>
                <c:pt idx="1347">
                  <c:v>0.99478200000000006</c:v>
                </c:pt>
                <c:pt idx="1348">
                  <c:v>0.99480299999999999</c:v>
                </c:pt>
                <c:pt idx="1349">
                  <c:v>0.99482499999999996</c:v>
                </c:pt>
                <c:pt idx="1350">
                  <c:v>0.99484799999999995</c:v>
                </c:pt>
                <c:pt idx="1351">
                  <c:v>0.99487099999999995</c:v>
                </c:pt>
                <c:pt idx="1352">
                  <c:v>0.99489399999999995</c:v>
                </c:pt>
                <c:pt idx="1353">
                  <c:v>0.99491799999999997</c:v>
                </c:pt>
                <c:pt idx="1354">
                  <c:v>0.99494199999999999</c:v>
                </c:pt>
                <c:pt idx="1355">
                  <c:v>0.99496600000000002</c:v>
                </c:pt>
                <c:pt idx="1356">
                  <c:v>0.99499099999999996</c:v>
                </c:pt>
                <c:pt idx="1357">
                  <c:v>0.99501499999999998</c:v>
                </c:pt>
                <c:pt idx="1358">
                  <c:v>0.99504000000000004</c:v>
                </c:pt>
                <c:pt idx="1359">
                  <c:v>0.99506399999999995</c:v>
                </c:pt>
                <c:pt idx="1360">
                  <c:v>0.995089</c:v>
                </c:pt>
                <c:pt idx="1361">
                  <c:v>0.99511300000000003</c:v>
                </c:pt>
                <c:pt idx="1362">
                  <c:v>0.99513700000000005</c:v>
                </c:pt>
                <c:pt idx="1363">
                  <c:v>0.99516000000000004</c:v>
                </c:pt>
                <c:pt idx="1364">
                  <c:v>0.99518399999999996</c:v>
                </c:pt>
                <c:pt idx="1365">
                  <c:v>0.99520699999999995</c:v>
                </c:pt>
                <c:pt idx="1366">
                  <c:v>0.99522900000000003</c:v>
                </c:pt>
                <c:pt idx="1367">
                  <c:v>0.99525200000000003</c:v>
                </c:pt>
                <c:pt idx="1368">
                  <c:v>0.99527399999999999</c:v>
                </c:pt>
                <c:pt idx="1369">
                  <c:v>0.99529500000000004</c:v>
                </c:pt>
                <c:pt idx="1370">
                  <c:v>0.99531700000000001</c:v>
                </c:pt>
                <c:pt idx="1371">
                  <c:v>0.99533700000000003</c:v>
                </c:pt>
                <c:pt idx="1372">
                  <c:v>0.99535799999999997</c:v>
                </c:pt>
                <c:pt idx="1373">
                  <c:v>0.99537799999999999</c:v>
                </c:pt>
                <c:pt idx="1374">
                  <c:v>0.99539800000000001</c:v>
                </c:pt>
                <c:pt idx="1375">
                  <c:v>0.995417</c:v>
                </c:pt>
                <c:pt idx="1376">
                  <c:v>0.99543599999999999</c:v>
                </c:pt>
                <c:pt idx="1377">
                  <c:v>0.99545499999999998</c:v>
                </c:pt>
                <c:pt idx="1378">
                  <c:v>0.99547399999999997</c:v>
                </c:pt>
                <c:pt idx="1379">
                  <c:v>0.99549200000000004</c:v>
                </c:pt>
                <c:pt idx="1380">
                  <c:v>0.99551000000000001</c:v>
                </c:pt>
                <c:pt idx="1381">
                  <c:v>0.99552799999999997</c:v>
                </c:pt>
                <c:pt idx="1382">
                  <c:v>0.99554699999999996</c:v>
                </c:pt>
                <c:pt idx="1383">
                  <c:v>0.99556500000000003</c:v>
                </c:pt>
                <c:pt idx="1384">
                  <c:v>0.995583</c:v>
                </c:pt>
                <c:pt idx="1385">
                  <c:v>0.99560099999999996</c:v>
                </c:pt>
                <c:pt idx="1386">
                  <c:v>0.99561900000000003</c:v>
                </c:pt>
                <c:pt idx="1387">
                  <c:v>0.99563699999999999</c:v>
                </c:pt>
                <c:pt idx="1388">
                  <c:v>0.99565599999999999</c:v>
                </c:pt>
                <c:pt idx="1389">
                  <c:v>0.99567499999999998</c:v>
                </c:pt>
                <c:pt idx="1390">
                  <c:v>0.99569399999999997</c:v>
                </c:pt>
                <c:pt idx="1391">
                  <c:v>0.99571299999999996</c:v>
                </c:pt>
                <c:pt idx="1392">
                  <c:v>0.99573299999999998</c:v>
                </c:pt>
                <c:pt idx="1393">
                  <c:v>0.995753</c:v>
                </c:pt>
                <c:pt idx="1394">
                  <c:v>0.99577300000000002</c:v>
                </c:pt>
                <c:pt idx="1395">
                  <c:v>0.99579399999999996</c:v>
                </c:pt>
                <c:pt idx="1396">
                  <c:v>0.99581600000000003</c:v>
                </c:pt>
                <c:pt idx="1397">
                  <c:v>0.995838</c:v>
                </c:pt>
                <c:pt idx="1398">
                  <c:v>0.99585999999999997</c:v>
                </c:pt>
                <c:pt idx="1399">
                  <c:v>0.99588299999999996</c:v>
                </c:pt>
                <c:pt idx="1400">
                  <c:v>0.99590699999999999</c:v>
                </c:pt>
                <c:pt idx="1401">
                  <c:v>0.99593100000000001</c:v>
                </c:pt>
                <c:pt idx="1402">
                  <c:v>0.99595599999999995</c:v>
                </c:pt>
                <c:pt idx="1403">
                  <c:v>0.99598100000000001</c:v>
                </c:pt>
                <c:pt idx="1404">
                  <c:v>0.99600599999999995</c:v>
                </c:pt>
                <c:pt idx="1405">
                  <c:v>0.99603200000000003</c:v>
                </c:pt>
                <c:pt idx="1406">
                  <c:v>0.99605900000000003</c:v>
                </c:pt>
                <c:pt idx="1407">
                  <c:v>0.99608600000000003</c:v>
                </c:pt>
                <c:pt idx="1408">
                  <c:v>0.99611300000000003</c:v>
                </c:pt>
                <c:pt idx="1409">
                  <c:v>0.99614100000000005</c:v>
                </c:pt>
                <c:pt idx="1410">
                  <c:v>0.99616899999999997</c:v>
                </c:pt>
                <c:pt idx="1411">
                  <c:v>0.996197</c:v>
                </c:pt>
                <c:pt idx="1412">
                  <c:v>0.99622500000000003</c:v>
                </c:pt>
                <c:pt idx="1413">
                  <c:v>0.99625300000000006</c:v>
                </c:pt>
                <c:pt idx="1414">
                  <c:v>0.996282</c:v>
                </c:pt>
                <c:pt idx="1415">
                  <c:v>0.99631000000000003</c:v>
                </c:pt>
                <c:pt idx="1416">
                  <c:v>0.99633799999999995</c:v>
                </c:pt>
                <c:pt idx="1417">
                  <c:v>0.99636599999999997</c:v>
                </c:pt>
                <c:pt idx="1418">
                  <c:v>0.996394</c:v>
                </c:pt>
                <c:pt idx="1419">
                  <c:v>0.996421</c:v>
                </c:pt>
                <c:pt idx="1420">
                  <c:v>0.996448</c:v>
                </c:pt>
                <c:pt idx="1421">
                  <c:v>0.996475</c:v>
                </c:pt>
                <c:pt idx="1422">
                  <c:v>0.99650000000000005</c:v>
                </c:pt>
                <c:pt idx="1423">
                  <c:v>0.99652499999999999</c:v>
                </c:pt>
                <c:pt idx="1424">
                  <c:v>0.99654900000000002</c:v>
                </c:pt>
                <c:pt idx="1425">
                  <c:v>0.99657300000000004</c:v>
                </c:pt>
                <c:pt idx="1426">
                  <c:v>0.99659500000000001</c:v>
                </c:pt>
                <c:pt idx="1427">
                  <c:v>0.99661599999999995</c:v>
                </c:pt>
                <c:pt idx="1428">
                  <c:v>0.99663599999999997</c:v>
                </c:pt>
                <c:pt idx="1429">
                  <c:v>0.99665499999999996</c:v>
                </c:pt>
                <c:pt idx="1430">
                  <c:v>0.996672</c:v>
                </c:pt>
                <c:pt idx="1431">
                  <c:v>0.99668800000000002</c:v>
                </c:pt>
                <c:pt idx="1432">
                  <c:v>0.99670300000000001</c:v>
                </c:pt>
                <c:pt idx="1433">
                  <c:v>0.99671600000000005</c:v>
                </c:pt>
                <c:pt idx="1434">
                  <c:v>0.99672700000000003</c:v>
                </c:pt>
                <c:pt idx="1435">
                  <c:v>0.99673699999999998</c:v>
                </c:pt>
                <c:pt idx="1436">
                  <c:v>0.99674499999999999</c:v>
                </c:pt>
                <c:pt idx="1437">
                  <c:v>0.99675100000000005</c:v>
                </c:pt>
                <c:pt idx="1438">
                  <c:v>0.99675499999999995</c:v>
                </c:pt>
                <c:pt idx="1439">
                  <c:v>0.996757</c:v>
                </c:pt>
                <c:pt idx="1440">
                  <c:v>0.996757</c:v>
                </c:pt>
                <c:pt idx="1441">
                  <c:v>0.99675499999999995</c:v>
                </c:pt>
                <c:pt idx="1442">
                  <c:v>0.99675199999999997</c:v>
                </c:pt>
                <c:pt idx="1443">
                  <c:v>0.99674600000000002</c:v>
                </c:pt>
                <c:pt idx="1444">
                  <c:v>0.99673800000000001</c:v>
                </c:pt>
                <c:pt idx="1445">
                  <c:v>0.99672799999999995</c:v>
                </c:pt>
                <c:pt idx="1446">
                  <c:v>0.99671699999999996</c:v>
                </c:pt>
                <c:pt idx="1447">
                  <c:v>0.99670300000000001</c:v>
                </c:pt>
                <c:pt idx="1448">
                  <c:v>0.99668699999999999</c:v>
                </c:pt>
                <c:pt idx="1449">
                  <c:v>0.99666900000000003</c:v>
                </c:pt>
                <c:pt idx="1450">
                  <c:v>0.99664900000000001</c:v>
                </c:pt>
                <c:pt idx="1451">
                  <c:v>0.99662700000000004</c:v>
                </c:pt>
                <c:pt idx="1452">
                  <c:v>0.99660300000000002</c:v>
                </c:pt>
                <c:pt idx="1453">
                  <c:v>0.99657700000000005</c:v>
                </c:pt>
                <c:pt idx="1454">
                  <c:v>0.99655000000000005</c:v>
                </c:pt>
                <c:pt idx="1455">
                  <c:v>0.99652099999999999</c:v>
                </c:pt>
                <c:pt idx="1456">
                  <c:v>0.99648999999999999</c:v>
                </c:pt>
                <c:pt idx="1457">
                  <c:v>0.99645700000000004</c:v>
                </c:pt>
                <c:pt idx="1458">
                  <c:v>0.99642299999999995</c:v>
                </c:pt>
                <c:pt idx="1459">
                  <c:v>0.99638800000000005</c:v>
                </c:pt>
                <c:pt idx="1460">
                  <c:v>0.99635099999999999</c:v>
                </c:pt>
                <c:pt idx="1461">
                  <c:v>0.996313</c:v>
                </c:pt>
                <c:pt idx="1462">
                  <c:v>0.99627299999999996</c:v>
                </c:pt>
                <c:pt idx="1463">
                  <c:v>0.99623300000000004</c:v>
                </c:pt>
                <c:pt idx="1464">
                  <c:v>0.99619199999999997</c:v>
                </c:pt>
                <c:pt idx="1465">
                  <c:v>0.99614999999999998</c:v>
                </c:pt>
                <c:pt idx="1466">
                  <c:v>0.99610699999999996</c:v>
                </c:pt>
                <c:pt idx="1467">
                  <c:v>0.99606300000000003</c:v>
                </c:pt>
                <c:pt idx="1468">
                  <c:v>0.99601899999999999</c:v>
                </c:pt>
                <c:pt idx="1469">
                  <c:v>0.99597500000000005</c:v>
                </c:pt>
                <c:pt idx="1470">
                  <c:v>0.99592999999999998</c:v>
                </c:pt>
                <c:pt idx="1471">
                  <c:v>0.99588600000000005</c:v>
                </c:pt>
                <c:pt idx="1472">
                  <c:v>0.99584099999999998</c:v>
                </c:pt>
                <c:pt idx="1473">
                  <c:v>0.99579700000000004</c:v>
                </c:pt>
                <c:pt idx="1474">
                  <c:v>0.995753</c:v>
                </c:pt>
                <c:pt idx="1475">
                  <c:v>0.99570899999999996</c:v>
                </c:pt>
                <c:pt idx="1476">
                  <c:v>0.99566600000000005</c:v>
                </c:pt>
                <c:pt idx="1477">
                  <c:v>0.99562300000000004</c:v>
                </c:pt>
                <c:pt idx="1478">
                  <c:v>0.99558100000000005</c:v>
                </c:pt>
                <c:pt idx="1479">
                  <c:v>0.99553999999999998</c:v>
                </c:pt>
                <c:pt idx="1480">
                  <c:v>0.99550099999999997</c:v>
                </c:pt>
                <c:pt idx="1481">
                  <c:v>0.99546199999999996</c:v>
                </c:pt>
                <c:pt idx="1482">
                  <c:v>0.995425</c:v>
                </c:pt>
                <c:pt idx="1483">
                  <c:v>0.99538899999999997</c:v>
                </c:pt>
                <c:pt idx="1484">
                  <c:v>0.99535399999999996</c:v>
                </c:pt>
                <c:pt idx="1485">
                  <c:v>0.99532100000000001</c:v>
                </c:pt>
                <c:pt idx="1486">
                  <c:v>0.99529000000000001</c:v>
                </c:pt>
                <c:pt idx="1487">
                  <c:v>0.99526099999999995</c:v>
                </c:pt>
                <c:pt idx="1488">
                  <c:v>0.99523300000000003</c:v>
                </c:pt>
                <c:pt idx="1489">
                  <c:v>0.99520699999999995</c:v>
                </c:pt>
                <c:pt idx="1490">
                  <c:v>0.99518399999999996</c:v>
                </c:pt>
                <c:pt idx="1491">
                  <c:v>0.99516199999999999</c:v>
                </c:pt>
                <c:pt idx="1492">
                  <c:v>0.995143</c:v>
                </c:pt>
                <c:pt idx="1493">
                  <c:v>0.99512500000000004</c:v>
                </c:pt>
                <c:pt idx="1494">
                  <c:v>0.99511000000000005</c:v>
                </c:pt>
                <c:pt idx="1495">
                  <c:v>0.99509700000000001</c:v>
                </c:pt>
                <c:pt idx="1496">
                  <c:v>0.99508600000000003</c:v>
                </c:pt>
                <c:pt idx="1497">
                  <c:v>0.99507800000000002</c:v>
                </c:pt>
                <c:pt idx="1498">
                  <c:v>0.99507199999999996</c:v>
                </c:pt>
                <c:pt idx="1499">
                  <c:v>0.99506799999999995</c:v>
                </c:pt>
                <c:pt idx="1500">
                  <c:v>0.99506600000000001</c:v>
                </c:pt>
                <c:pt idx="1501">
                  <c:v>0.99506700000000003</c:v>
                </c:pt>
                <c:pt idx="1502">
                  <c:v>0.99507000000000001</c:v>
                </c:pt>
                <c:pt idx="1503">
                  <c:v>0.99507500000000004</c:v>
                </c:pt>
                <c:pt idx="1504">
                  <c:v>0.99508200000000002</c:v>
                </c:pt>
                <c:pt idx="1505">
                  <c:v>0.99509099999999995</c:v>
                </c:pt>
                <c:pt idx="1506">
                  <c:v>0.99510299999999996</c:v>
                </c:pt>
                <c:pt idx="1507">
                  <c:v>0.995116</c:v>
                </c:pt>
                <c:pt idx="1508">
                  <c:v>0.99513200000000002</c:v>
                </c:pt>
                <c:pt idx="1509">
                  <c:v>0.99514899999999995</c:v>
                </c:pt>
                <c:pt idx="1510">
                  <c:v>0.99516800000000005</c:v>
                </c:pt>
                <c:pt idx="1511">
                  <c:v>0.99518899999999999</c:v>
                </c:pt>
                <c:pt idx="1512">
                  <c:v>0.99521199999999999</c:v>
                </c:pt>
                <c:pt idx="1513">
                  <c:v>0.99523600000000001</c:v>
                </c:pt>
                <c:pt idx="1514">
                  <c:v>0.99526099999999995</c:v>
                </c:pt>
                <c:pt idx="1515">
                  <c:v>0.99528799999999995</c:v>
                </c:pt>
                <c:pt idx="1516">
                  <c:v>0.99531700000000001</c:v>
                </c:pt>
                <c:pt idx="1517">
                  <c:v>0.99534599999999995</c:v>
                </c:pt>
                <c:pt idx="1518">
                  <c:v>0.99537600000000004</c:v>
                </c:pt>
                <c:pt idx="1519">
                  <c:v>0.99540799999999996</c:v>
                </c:pt>
                <c:pt idx="1520">
                  <c:v>0.99543999999999999</c:v>
                </c:pt>
                <c:pt idx="1521">
                  <c:v>0.99547399999999997</c:v>
                </c:pt>
                <c:pt idx="1522">
                  <c:v>0.99550799999999995</c:v>
                </c:pt>
                <c:pt idx="1523">
                  <c:v>0.99554200000000004</c:v>
                </c:pt>
                <c:pt idx="1524">
                  <c:v>0.99557700000000005</c:v>
                </c:pt>
                <c:pt idx="1525">
                  <c:v>0.99561200000000005</c:v>
                </c:pt>
                <c:pt idx="1526">
                  <c:v>0.99564799999999998</c:v>
                </c:pt>
                <c:pt idx="1527">
                  <c:v>0.99568400000000001</c:v>
                </c:pt>
                <c:pt idx="1528">
                  <c:v>0.99571900000000002</c:v>
                </c:pt>
                <c:pt idx="1529">
                  <c:v>0.99575499999999995</c:v>
                </c:pt>
                <c:pt idx="1530">
                  <c:v>0.99579099999999998</c:v>
                </c:pt>
                <c:pt idx="1531">
                  <c:v>0.99582599999999999</c:v>
                </c:pt>
                <c:pt idx="1532">
                  <c:v>0.99586200000000002</c:v>
                </c:pt>
                <c:pt idx="1533">
                  <c:v>0.995896</c:v>
                </c:pt>
                <c:pt idx="1534">
                  <c:v>0.99593100000000001</c:v>
                </c:pt>
                <c:pt idx="1535">
                  <c:v>0.99596499999999999</c:v>
                </c:pt>
                <c:pt idx="1536">
                  <c:v>0.99599800000000005</c:v>
                </c:pt>
                <c:pt idx="1537">
                  <c:v>0.99602999999999997</c:v>
                </c:pt>
                <c:pt idx="1538">
                  <c:v>0.996062</c:v>
                </c:pt>
                <c:pt idx="1539">
                  <c:v>0.99609300000000001</c:v>
                </c:pt>
                <c:pt idx="1540">
                  <c:v>0.99612400000000001</c:v>
                </c:pt>
                <c:pt idx="1541">
                  <c:v>0.99615299999999996</c:v>
                </c:pt>
                <c:pt idx="1542">
                  <c:v>0.99618099999999998</c:v>
                </c:pt>
                <c:pt idx="1543">
                  <c:v>0.99620900000000001</c:v>
                </c:pt>
                <c:pt idx="1544">
                  <c:v>0.99623499999999998</c:v>
                </c:pt>
                <c:pt idx="1545">
                  <c:v>0.99626099999999995</c:v>
                </c:pt>
                <c:pt idx="1546">
                  <c:v>0.99628499999999998</c:v>
                </c:pt>
                <c:pt idx="1547">
                  <c:v>0.99630799999999997</c:v>
                </c:pt>
                <c:pt idx="1548">
                  <c:v>0.99633000000000005</c:v>
                </c:pt>
                <c:pt idx="1549">
                  <c:v>0.99635099999999999</c:v>
                </c:pt>
                <c:pt idx="1550">
                  <c:v>0.99637100000000001</c:v>
                </c:pt>
                <c:pt idx="1551">
                  <c:v>0.99639</c:v>
                </c:pt>
                <c:pt idx="1552">
                  <c:v>0.99640700000000004</c:v>
                </c:pt>
                <c:pt idx="1553">
                  <c:v>0.99642399999999998</c:v>
                </c:pt>
                <c:pt idx="1554">
                  <c:v>0.99643899999999996</c:v>
                </c:pt>
                <c:pt idx="1555">
                  <c:v>0.99645399999999995</c:v>
                </c:pt>
                <c:pt idx="1556">
                  <c:v>0.99646699999999999</c:v>
                </c:pt>
                <c:pt idx="1557">
                  <c:v>0.996479</c:v>
                </c:pt>
                <c:pt idx="1558">
                  <c:v>0.99648999999999999</c:v>
                </c:pt>
                <c:pt idx="1559">
                  <c:v>0.99650000000000005</c:v>
                </c:pt>
                <c:pt idx="1560">
                  <c:v>0.99651000000000001</c:v>
                </c:pt>
                <c:pt idx="1561">
                  <c:v>0.99651800000000001</c:v>
                </c:pt>
                <c:pt idx="1562">
                  <c:v>0.99652499999999999</c:v>
                </c:pt>
                <c:pt idx="1563">
                  <c:v>0.99653199999999997</c:v>
                </c:pt>
                <c:pt idx="1564">
                  <c:v>0.99653700000000001</c:v>
                </c:pt>
                <c:pt idx="1565">
                  <c:v>0.99654200000000004</c:v>
                </c:pt>
                <c:pt idx="1566">
                  <c:v>0.99654600000000004</c:v>
                </c:pt>
                <c:pt idx="1567">
                  <c:v>0.99654900000000002</c:v>
                </c:pt>
                <c:pt idx="1568">
                  <c:v>0.99655199999999999</c:v>
                </c:pt>
                <c:pt idx="1569">
                  <c:v>0.99655400000000005</c:v>
                </c:pt>
                <c:pt idx="1570">
                  <c:v>0.996556</c:v>
                </c:pt>
                <c:pt idx="1571">
                  <c:v>0.99655700000000003</c:v>
                </c:pt>
                <c:pt idx="1572">
                  <c:v>0.99655700000000003</c:v>
                </c:pt>
                <c:pt idx="1573">
                  <c:v>0.99655700000000003</c:v>
                </c:pt>
                <c:pt idx="1574">
                  <c:v>0.99655700000000003</c:v>
                </c:pt>
                <c:pt idx="1575">
                  <c:v>0.996556</c:v>
                </c:pt>
                <c:pt idx="1576">
                  <c:v>0.99655499999999997</c:v>
                </c:pt>
                <c:pt idx="1577">
                  <c:v>0.99655400000000005</c:v>
                </c:pt>
                <c:pt idx="1578">
                  <c:v>0.99655199999999999</c:v>
                </c:pt>
                <c:pt idx="1579">
                  <c:v>0.99655000000000005</c:v>
                </c:pt>
                <c:pt idx="1580">
                  <c:v>0.99654799999999999</c:v>
                </c:pt>
                <c:pt idx="1581">
                  <c:v>0.99654600000000004</c:v>
                </c:pt>
                <c:pt idx="1582">
                  <c:v>0.99654399999999999</c:v>
                </c:pt>
                <c:pt idx="1583">
                  <c:v>0.99654100000000001</c:v>
                </c:pt>
                <c:pt idx="1584">
                  <c:v>0.99653800000000003</c:v>
                </c:pt>
                <c:pt idx="1585">
                  <c:v>0.99653599999999998</c:v>
                </c:pt>
                <c:pt idx="1586">
                  <c:v>0.996533</c:v>
                </c:pt>
                <c:pt idx="1587">
                  <c:v>0.99653000000000003</c:v>
                </c:pt>
                <c:pt idx="1588">
                  <c:v>0.99652700000000005</c:v>
                </c:pt>
                <c:pt idx="1589">
                  <c:v>0.99652399999999997</c:v>
                </c:pt>
                <c:pt idx="1590">
                  <c:v>0.99652200000000002</c:v>
                </c:pt>
                <c:pt idx="1591">
                  <c:v>0.99651900000000004</c:v>
                </c:pt>
                <c:pt idx="1592">
                  <c:v>0.99651599999999996</c:v>
                </c:pt>
                <c:pt idx="1593">
                  <c:v>0.99651299999999998</c:v>
                </c:pt>
                <c:pt idx="1594">
                  <c:v>0.99650899999999998</c:v>
                </c:pt>
                <c:pt idx="1595">
                  <c:v>0.996506</c:v>
                </c:pt>
                <c:pt idx="1596">
                  <c:v>0.99650300000000003</c:v>
                </c:pt>
                <c:pt idx="1597">
                  <c:v>0.99650000000000005</c:v>
                </c:pt>
                <c:pt idx="1598">
                  <c:v>0.99649600000000005</c:v>
                </c:pt>
                <c:pt idx="1599">
                  <c:v>0.99649299999999996</c:v>
                </c:pt>
                <c:pt idx="1600">
                  <c:v>0.99648899999999996</c:v>
                </c:pt>
                <c:pt idx="1601">
                  <c:v>0.99648499999999995</c:v>
                </c:pt>
                <c:pt idx="1602">
                  <c:v>0.99648099999999995</c:v>
                </c:pt>
                <c:pt idx="1603">
                  <c:v>0.99647699999999995</c:v>
                </c:pt>
                <c:pt idx="1604">
                  <c:v>0.99647200000000002</c:v>
                </c:pt>
                <c:pt idx="1605">
                  <c:v>0.99646800000000002</c:v>
                </c:pt>
                <c:pt idx="1606">
                  <c:v>0.99646299999999999</c:v>
                </c:pt>
                <c:pt idx="1607">
                  <c:v>0.99645700000000004</c:v>
                </c:pt>
                <c:pt idx="1608">
                  <c:v>0.996452</c:v>
                </c:pt>
                <c:pt idx="1609">
                  <c:v>0.99644600000000005</c:v>
                </c:pt>
                <c:pt idx="1610">
                  <c:v>0.99643899999999996</c:v>
                </c:pt>
                <c:pt idx="1611">
                  <c:v>0.99643300000000001</c:v>
                </c:pt>
                <c:pt idx="1612">
                  <c:v>0.99642600000000003</c:v>
                </c:pt>
                <c:pt idx="1613">
                  <c:v>0.99641800000000003</c:v>
                </c:pt>
                <c:pt idx="1614">
                  <c:v>0.99641000000000002</c:v>
                </c:pt>
                <c:pt idx="1615">
                  <c:v>0.99640099999999998</c:v>
                </c:pt>
                <c:pt idx="1616">
                  <c:v>0.99639200000000006</c:v>
                </c:pt>
                <c:pt idx="1617">
                  <c:v>0.99638300000000002</c:v>
                </c:pt>
                <c:pt idx="1618">
                  <c:v>0.99637299999999995</c:v>
                </c:pt>
                <c:pt idx="1619">
                  <c:v>0.99636199999999997</c:v>
                </c:pt>
                <c:pt idx="1620">
                  <c:v>0.99635099999999999</c:v>
                </c:pt>
                <c:pt idx="1621">
                  <c:v>0.99634</c:v>
                </c:pt>
                <c:pt idx="1622">
                  <c:v>0.99632799999999999</c:v>
                </c:pt>
                <c:pt idx="1623">
                  <c:v>0.99631499999999995</c:v>
                </c:pt>
                <c:pt idx="1624">
                  <c:v>0.99630200000000002</c:v>
                </c:pt>
                <c:pt idx="1625">
                  <c:v>0.99628799999999995</c:v>
                </c:pt>
                <c:pt idx="1626">
                  <c:v>0.99627399999999999</c:v>
                </c:pt>
                <c:pt idx="1627">
                  <c:v>0.99625900000000001</c:v>
                </c:pt>
                <c:pt idx="1628">
                  <c:v>0.99624400000000002</c:v>
                </c:pt>
                <c:pt idx="1629">
                  <c:v>0.996228</c:v>
                </c:pt>
                <c:pt idx="1630">
                  <c:v>0.99621199999999999</c:v>
                </c:pt>
                <c:pt idx="1631">
                  <c:v>0.99619599999999997</c:v>
                </c:pt>
                <c:pt idx="1632">
                  <c:v>0.99617900000000004</c:v>
                </c:pt>
                <c:pt idx="1633">
                  <c:v>0.99616099999999996</c:v>
                </c:pt>
                <c:pt idx="1634">
                  <c:v>0.99614400000000003</c:v>
                </c:pt>
                <c:pt idx="1635">
                  <c:v>0.99612599999999996</c:v>
                </c:pt>
                <c:pt idx="1636">
                  <c:v>0.99610799999999999</c:v>
                </c:pt>
                <c:pt idx="1637">
                  <c:v>0.996089</c:v>
                </c:pt>
                <c:pt idx="1638">
                  <c:v>0.99607100000000004</c:v>
                </c:pt>
                <c:pt idx="1639">
                  <c:v>0.99605200000000005</c:v>
                </c:pt>
                <c:pt idx="1640">
                  <c:v>0.99603299999999995</c:v>
                </c:pt>
                <c:pt idx="1641">
                  <c:v>0.99601399999999995</c:v>
                </c:pt>
                <c:pt idx="1642">
                  <c:v>0.99599499999999996</c:v>
                </c:pt>
                <c:pt idx="1643">
                  <c:v>0.99597599999999997</c:v>
                </c:pt>
                <c:pt idx="1644">
                  <c:v>0.99595699999999998</c:v>
                </c:pt>
                <c:pt idx="1645">
                  <c:v>0.99593900000000002</c:v>
                </c:pt>
                <c:pt idx="1646">
                  <c:v>0.99592000000000003</c:v>
                </c:pt>
                <c:pt idx="1647">
                  <c:v>0.99590199999999995</c:v>
                </c:pt>
                <c:pt idx="1648">
                  <c:v>0.99588399999999999</c:v>
                </c:pt>
                <c:pt idx="1649">
                  <c:v>0.99586699999999995</c:v>
                </c:pt>
                <c:pt idx="1650">
                  <c:v>0.99585000000000001</c:v>
                </c:pt>
                <c:pt idx="1651">
                  <c:v>0.99583299999999997</c:v>
                </c:pt>
                <c:pt idx="1652">
                  <c:v>0.99581699999999995</c:v>
                </c:pt>
                <c:pt idx="1653">
                  <c:v>0.99580199999999996</c:v>
                </c:pt>
                <c:pt idx="1654">
                  <c:v>0.99578699999999998</c:v>
                </c:pt>
                <c:pt idx="1655">
                  <c:v>0.99577300000000002</c:v>
                </c:pt>
                <c:pt idx="1656">
                  <c:v>0.99575999999999998</c:v>
                </c:pt>
                <c:pt idx="1657">
                  <c:v>0.99574700000000005</c:v>
                </c:pt>
                <c:pt idx="1658">
                  <c:v>0.99573599999999995</c:v>
                </c:pt>
                <c:pt idx="1659">
                  <c:v>0.99572499999999997</c:v>
                </c:pt>
                <c:pt idx="1660">
                  <c:v>0.99571500000000002</c:v>
                </c:pt>
                <c:pt idx="1661">
                  <c:v>0.99570700000000001</c:v>
                </c:pt>
                <c:pt idx="1662">
                  <c:v>0.995699</c:v>
                </c:pt>
                <c:pt idx="1663">
                  <c:v>0.99569200000000002</c:v>
                </c:pt>
                <c:pt idx="1664">
                  <c:v>0.99568599999999996</c:v>
                </c:pt>
                <c:pt idx="1665">
                  <c:v>0.99568199999999996</c:v>
                </c:pt>
                <c:pt idx="1666">
                  <c:v>0.99567899999999998</c:v>
                </c:pt>
                <c:pt idx="1667">
                  <c:v>0.99567600000000001</c:v>
                </c:pt>
                <c:pt idx="1668">
                  <c:v>0.99567499999999998</c:v>
                </c:pt>
                <c:pt idx="1669">
                  <c:v>0.99567600000000001</c:v>
                </c:pt>
                <c:pt idx="1670">
                  <c:v>0.99567700000000003</c:v>
                </c:pt>
                <c:pt idx="1671">
                  <c:v>0.99568000000000001</c:v>
                </c:pt>
                <c:pt idx="1672">
                  <c:v>0.99568299999999998</c:v>
                </c:pt>
                <c:pt idx="1673">
                  <c:v>0.99568800000000002</c:v>
                </c:pt>
                <c:pt idx="1674">
                  <c:v>0.995695</c:v>
                </c:pt>
                <c:pt idx="1675">
                  <c:v>0.99570199999999998</c:v>
                </c:pt>
                <c:pt idx="1676">
                  <c:v>0.99571100000000001</c:v>
                </c:pt>
                <c:pt idx="1677">
                  <c:v>0.99572099999999997</c:v>
                </c:pt>
                <c:pt idx="1678">
                  <c:v>0.99573199999999995</c:v>
                </c:pt>
                <c:pt idx="1679">
                  <c:v>0.99574399999999996</c:v>
                </c:pt>
                <c:pt idx="1680">
                  <c:v>0.995757</c:v>
                </c:pt>
                <c:pt idx="1681">
                  <c:v>0.99577099999999996</c:v>
                </c:pt>
                <c:pt idx="1682">
                  <c:v>0.99578599999999995</c:v>
                </c:pt>
                <c:pt idx="1683">
                  <c:v>0.99580299999999999</c:v>
                </c:pt>
                <c:pt idx="1684">
                  <c:v>0.99582000000000004</c:v>
                </c:pt>
                <c:pt idx="1685">
                  <c:v>0.995838</c:v>
                </c:pt>
                <c:pt idx="1686">
                  <c:v>0.99585699999999999</c:v>
                </c:pt>
                <c:pt idx="1687">
                  <c:v>0.99587599999999998</c:v>
                </c:pt>
                <c:pt idx="1688">
                  <c:v>0.99589700000000003</c:v>
                </c:pt>
                <c:pt idx="1689">
                  <c:v>0.99591799999999997</c:v>
                </c:pt>
                <c:pt idx="1690">
                  <c:v>0.99593900000000002</c:v>
                </c:pt>
                <c:pt idx="1691">
                  <c:v>0.99596099999999999</c:v>
                </c:pt>
                <c:pt idx="1692">
                  <c:v>0.99598399999999998</c:v>
                </c:pt>
                <c:pt idx="1693">
                  <c:v>0.99600699999999998</c:v>
                </c:pt>
                <c:pt idx="1694">
                  <c:v>0.996031</c:v>
                </c:pt>
                <c:pt idx="1695">
                  <c:v>0.99605399999999999</c:v>
                </c:pt>
                <c:pt idx="1696">
                  <c:v>0.99607800000000002</c:v>
                </c:pt>
                <c:pt idx="1697">
                  <c:v>0.99610299999999996</c:v>
                </c:pt>
                <c:pt idx="1698">
                  <c:v>0.99612699999999998</c:v>
                </c:pt>
                <c:pt idx="1699">
                  <c:v>0.99615100000000001</c:v>
                </c:pt>
                <c:pt idx="1700">
                  <c:v>0.99617500000000003</c:v>
                </c:pt>
                <c:pt idx="1701">
                  <c:v>0.99619899999999995</c:v>
                </c:pt>
                <c:pt idx="1702">
                  <c:v>0.99622299999999997</c:v>
                </c:pt>
                <c:pt idx="1703">
                  <c:v>0.99624699999999999</c:v>
                </c:pt>
                <c:pt idx="1704">
                  <c:v>0.99626999999999999</c:v>
                </c:pt>
                <c:pt idx="1705">
                  <c:v>0.99629299999999998</c:v>
                </c:pt>
                <c:pt idx="1706">
                  <c:v>0.99631499999999995</c:v>
                </c:pt>
                <c:pt idx="1707">
                  <c:v>0.99633700000000003</c:v>
                </c:pt>
                <c:pt idx="1708">
                  <c:v>0.99635899999999999</c:v>
                </c:pt>
                <c:pt idx="1709">
                  <c:v>0.99638000000000004</c:v>
                </c:pt>
                <c:pt idx="1710">
                  <c:v>0.99639999999999995</c:v>
                </c:pt>
                <c:pt idx="1711">
                  <c:v>0.99641900000000005</c:v>
                </c:pt>
                <c:pt idx="1712">
                  <c:v>0.99643800000000005</c:v>
                </c:pt>
                <c:pt idx="1713">
                  <c:v>0.99645600000000001</c:v>
                </c:pt>
                <c:pt idx="1714">
                  <c:v>0.99647300000000005</c:v>
                </c:pt>
                <c:pt idx="1715">
                  <c:v>0.99648899999999996</c:v>
                </c:pt>
                <c:pt idx="1716">
                  <c:v>0.99650499999999997</c:v>
                </c:pt>
                <c:pt idx="1717">
                  <c:v>0.99651900000000004</c:v>
                </c:pt>
                <c:pt idx="1718">
                  <c:v>0.99653199999999997</c:v>
                </c:pt>
                <c:pt idx="1719">
                  <c:v>0.99654500000000001</c:v>
                </c:pt>
                <c:pt idx="1720">
                  <c:v>0.996556</c:v>
                </c:pt>
                <c:pt idx="1721">
                  <c:v>0.99656699999999998</c:v>
                </c:pt>
                <c:pt idx="1722">
                  <c:v>0.99657600000000002</c:v>
                </c:pt>
                <c:pt idx="1723">
                  <c:v>0.99658400000000003</c:v>
                </c:pt>
                <c:pt idx="1724">
                  <c:v>0.996591</c:v>
                </c:pt>
                <c:pt idx="1725">
                  <c:v>0.99659799999999998</c:v>
                </c:pt>
                <c:pt idx="1726">
                  <c:v>0.99660300000000002</c:v>
                </c:pt>
                <c:pt idx="1727">
                  <c:v>0.99660700000000002</c:v>
                </c:pt>
                <c:pt idx="1728">
                  <c:v>0.99661</c:v>
                </c:pt>
                <c:pt idx="1729">
                  <c:v>0.99661200000000005</c:v>
                </c:pt>
                <c:pt idx="1730">
                  <c:v>0.99661299999999997</c:v>
                </c:pt>
                <c:pt idx="1731">
                  <c:v>0.99661299999999997</c:v>
                </c:pt>
                <c:pt idx="1732">
                  <c:v>0.99661100000000002</c:v>
                </c:pt>
                <c:pt idx="1733">
                  <c:v>0.99660899999999997</c:v>
                </c:pt>
                <c:pt idx="1734">
                  <c:v>0.99660599999999999</c:v>
                </c:pt>
                <c:pt idx="1735">
                  <c:v>0.99660199999999999</c:v>
                </c:pt>
                <c:pt idx="1736">
                  <c:v>0.99659799999999998</c:v>
                </c:pt>
                <c:pt idx="1737">
                  <c:v>0.99659200000000003</c:v>
                </c:pt>
                <c:pt idx="1738">
                  <c:v>0.99658500000000005</c:v>
                </c:pt>
                <c:pt idx="1739">
                  <c:v>0.99657799999999996</c:v>
                </c:pt>
                <c:pt idx="1740">
                  <c:v>0.99656999999999996</c:v>
                </c:pt>
                <c:pt idx="1741">
                  <c:v>0.99656100000000003</c:v>
                </c:pt>
                <c:pt idx="1742">
                  <c:v>0.99655199999999999</c:v>
                </c:pt>
                <c:pt idx="1743">
                  <c:v>0.99654100000000001</c:v>
                </c:pt>
                <c:pt idx="1744">
                  <c:v>0.99653099999999994</c:v>
                </c:pt>
                <c:pt idx="1745">
                  <c:v>0.99651900000000004</c:v>
                </c:pt>
                <c:pt idx="1746">
                  <c:v>0.99650799999999995</c:v>
                </c:pt>
                <c:pt idx="1747">
                  <c:v>0.99649500000000002</c:v>
                </c:pt>
                <c:pt idx="1748">
                  <c:v>0.99648300000000001</c:v>
                </c:pt>
                <c:pt idx="1749">
                  <c:v>0.99646999999999997</c:v>
                </c:pt>
                <c:pt idx="1750">
                  <c:v>0.99645600000000001</c:v>
                </c:pt>
                <c:pt idx="1751">
                  <c:v>0.99644299999999997</c:v>
                </c:pt>
                <c:pt idx="1752">
                  <c:v>0.99642900000000001</c:v>
                </c:pt>
                <c:pt idx="1753">
                  <c:v>0.99641500000000005</c:v>
                </c:pt>
                <c:pt idx="1754">
                  <c:v>0.99639999999999995</c:v>
                </c:pt>
                <c:pt idx="1755">
                  <c:v>0.99638599999999999</c:v>
                </c:pt>
                <c:pt idx="1756">
                  <c:v>0.99637200000000004</c:v>
                </c:pt>
                <c:pt idx="1757">
                  <c:v>0.99635700000000005</c:v>
                </c:pt>
                <c:pt idx="1758">
                  <c:v>0.99634299999999998</c:v>
                </c:pt>
                <c:pt idx="1759">
                  <c:v>0.99632799999999999</c:v>
                </c:pt>
                <c:pt idx="1760">
                  <c:v>0.99631400000000003</c:v>
                </c:pt>
                <c:pt idx="1761">
                  <c:v>0.99629900000000005</c:v>
                </c:pt>
                <c:pt idx="1762">
                  <c:v>0.99628499999999998</c:v>
                </c:pt>
                <c:pt idx="1763">
                  <c:v>0.99627100000000002</c:v>
                </c:pt>
                <c:pt idx="1764">
                  <c:v>0.99625799999999998</c:v>
                </c:pt>
                <c:pt idx="1765">
                  <c:v>0.99624400000000002</c:v>
                </c:pt>
                <c:pt idx="1766">
                  <c:v>0.99623099999999998</c:v>
                </c:pt>
                <c:pt idx="1767">
                  <c:v>0.99621800000000005</c:v>
                </c:pt>
                <c:pt idx="1768">
                  <c:v>0.99620500000000001</c:v>
                </c:pt>
                <c:pt idx="1769">
                  <c:v>0.99619199999999997</c:v>
                </c:pt>
                <c:pt idx="1770">
                  <c:v>0.99617999999999995</c:v>
                </c:pt>
                <c:pt idx="1771">
                  <c:v>0.99616800000000005</c:v>
                </c:pt>
                <c:pt idx="1772">
                  <c:v>0.99615600000000004</c:v>
                </c:pt>
                <c:pt idx="1773">
                  <c:v>0.99614499999999995</c:v>
                </c:pt>
                <c:pt idx="1774">
                  <c:v>0.99613399999999996</c:v>
                </c:pt>
                <c:pt idx="1775">
                  <c:v>0.99612400000000001</c:v>
                </c:pt>
                <c:pt idx="1776">
                  <c:v>0.99611300000000003</c:v>
                </c:pt>
                <c:pt idx="1777">
                  <c:v>0.99610299999999996</c:v>
                </c:pt>
                <c:pt idx="1778">
                  <c:v>0.99609400000000003</c:v>
                </c:pt>
                <c:pt idx="1779">
                  <c:v>0.996085</c:v>
                </c:pt>
                <c:pt idx="1780">
                  <c:v>0.99607599999999996</c:v>
                </c:pt>
                <c:pt idx="1781">
                  <c:v>0.99606700000000004</c:v>
                </c:pt>
                <c:pt idx="1782">
                  <c:v>0.99605900000000003</c:v>
                </c:pt>
                <c:pt idx="1783">
                  <c:v>0.99605100000000002</c:v>
                </c:pt>
                <c:pt idx="1784">
                  <c:v>0.99604300000000001</c:v>
                </c:pt>
                <c:pt idx="1785">
                  <c:v>0.99603600000000003</c:v>
                </c:pt>
                <c:pt idx="1786">
                  <c:v>0.99602800000000002</c:v>
                </c:pt>
                <c:pt idx="1787">
                  <c:v>0.99602199999999996</c:v>
                </c:pt>
                <c:pt idx="1788">
                  <c:v>0.99601499999999998</c:v>
                </c:pt>
                <c:pt idx="1789">
                  <c:v>0.996008</c:v>
                </c:pt>
                <c:pt idx="1790">
                  <c:v>0.99600200000000005</c:v>
                </c:pt>
                <c:pt idx="1791">
                  <c:v>0.99599599999999999</c:v>
                </c:pt>
                <c:pt idx="1792">
                  <c:v>0.99599000000000004</c:v>
                </c:pt>
                <c:pt idx="1793">
                  <c:v>0.99598500000000001</c:v>
                </c:pt>
                <c:pt idx="1794">
                  <c:v>0.99597899999999995</c:v>
                </c:pt>
                <c:pt idx="1795">
                  <c:v>0.99597400000000003</c:v>
                </c:pt>
                <c:pt idx="1796">
                  <c:v>0.99596799999999996</c:v>
                </c:pt>
                <c:pt idx="1797">
                  <c:v>0.99596300000000004</c:v>
                </c:pt>
                <c:pt idx="1798">
                  <c:v>0.99595800000000001</c:v>
                </c:pt>
                <c:pt idx="1799">
                  <c:v>0.99595299999999998</c:v>
                </c:pt>
                <c:pt idx="1800">
                  <c:v>0.99594800000000006</c:v>
                </c:pt>
                <c:pt idx="1801">
                  <c:v>0.99594300000000002</c:v>
                </c:pt>
                <c:pt idx="1802">
                  <c:v>0.99593900000000002</c:v>
                </c:pt>
                <c:pt idx="1803">
                  <c:v>0.99593399999999999</c:v>
                </c:pt>
                <c:pt idx="1804">
                  <c:v>0.99592899999999995</c:v>
                </c:pt>
                <c:pt idx="1805">
                  <c:v>0.99592499999999995</c:v>
                </c:pt>
                <c:pt idx="1806">
                  <c:v>0.99592000000000003</c:v>
                </c:pt>
                <c:pt idx="1807">
                  <c:v>0.99591600000000002</c:v>
                </c:pt>
                <c:pt idx="1808">
                  <c:v>0.99591099999999999</c:v>
                </c:pt>
                <c:pt idx="1809">
                  <c:v>0.99590699999999999</c:v>
                </c:pt>
                <c:pt idx="1810">
                  <c:v>0.99590199999999995</c:v>
                </c:pt>
                <c:pt idx="1811">
                  <c:v>0.99589799999999995</c:v>
                </c:pt>
                <c:pt idx="1812">
                  <c:v>0.99589300000000003</c:v>
                </c:pt>
                <c:pt idx="1813">
                  <c:v>0.99588900000000002</c:v>
                </c:pt>
                <c:pt idx="1814">
                  <c:v>0.99588500000000002</c:v>
                </c:pt>
                <c:pt idx="1815">
                  <c:v>0.99588100000000002</c:v>
                </c:pt>
                <c:pt idx="1816">
                  <c:v>0.99587700000000001</c:v>
                </c:pt>
                <c:pt idx="1817">
                  <c:v>0.99587300000000001</c:v>
                </c:pt>
                <c:pt idx="1818">
                  <c:v>0.995869</c:v>
                </c:pt>
                <c:pt idx="1819">
                  <c:v>0.995865</c:v>
                </c:pt>
                <c:pt idx="1820">
                  <c:v>0.995861</c:v>
                </c:pt>
                <c:pt idx="1821">
                  <c:v>0.99585699999999999</c:v>
                </c:pt>
                <c:pt idx="1822">
                  <c:v>0.99585400000000002</c:v>
                </c:pt>
                <c:pt idx="1823">
                  <c:v>0.99585100000000004</c:v>
                </c:pt>
                <c:pt idx="1824">
                  <c:v>0.99584799999999996</c:v>
                </c:pt>
                <c:pt idx="1825">
                  <c:v>0.99584499999999998</c:v>
                </c:pt>
                <c:pt idx="1826">
                  <c:v>0.995842</c:v>
                </c:pt>
                <c:pt idx="1827">
                  <c:v>0.99583900000000003</c:v>
                </c:pt>
                <c:pt idx="1828">
                  <c:v>0.99583699999999997</c:v>
                </c:pt>
                <c:pt idx="1829">
                  <c:v>0.99583500000000003</c:v>
                </c:pt>
                <c:pt idx="1830">
                  <c:v>0.995834</c:v>
                </c:pt>
                <c:pt idx="1831">
                  <c:v>0.99583200000000005</c:v>
                </c:pt>
                <c:pt idx="1832">
                  <c:v>0.99583100000000002</c:v>
                </c:pt>
                <c:pt idx="1833">
                  <c:v>0.99582999999999999</c:v>
                </c:pt>
                <c:pt idx="1834">
                  <c:v>0.99582999999999999</c:v>
                </c:pt>
                <c:pt idx="1835">
                  <c:v>0.99582999999999999</c:v>
                </c:pt>
                <c:pt idx="1836">
                  <c:v>0.99582999999999999</c:v>
                </c:pt>
                <c:pt idx="1837">
                  <c:v>0.99583100000000002</c:v>
                </c:pt>
                <c:pt idx="1838">
                  <c:v>0.99583200000000005</c:v>
                </c:pt>
                <c:pt idx="1839">
                  <c:v>0.995834</c:v>
                </c:pt>
                <c:pt idx="1840">
                  <c:v>0.99583600000000005</c:v>
                </c:pt>
                <c:pt idx="1841">
                  <c:v>0.995838</c:v>
                </c:pt>
                <c:pt idx="1842">
                  <c:v>0.99584099999999998</c:v>
                </c:pt>
                <c:pt idx="1843">
                  <c:v>0.99584499999999998</c:v>
                </c:pt>
                <c:pt idx="1844">
                  <c:v>0.99584799999999996</c:v>
                </c:pt>
                <c:pt idx="1845">
                  <c:v>0.99585299999999999</c:v>
                </c:pt>
                <c:pt idx="1846">
                  <c:v>0.99585699999999999</c:v>
                </c:pt>
                <c:pt idx="1847">
                  <c:v>0.99586300000000005</c:v>
                </c:pt>
                <c:pt idx="1848">
                  <c:v>0.99586799999999998</c:v>
                </c:pt>
                <c:pt idx="1849">
                  <c:v>0.99587400000000004</c:v>
                </c:pt>
                <c:pt idx="1850">
                  <c:v>0.99588100000000002</c:v>
                </c:pt>
                <c:pt idx="1851">
                  <c:v>0.995888</c:v>
                </c:pt>
                <c:pt idx="1852">
                  <c:v>0.99589499999999997</c:v>
                </c:pt>
                <c:pt idx="1853">
                  <c:v>0.99590299999999998</c:v>
                </c:pt>
                <c:pt idx="1854">
                  <c:v>0.99591200000000002</c:v>
                </c:pt>
                <c:pt idx="1855">
                  <c:v>0.99592000000000003</c:v>
                </c:pt>
                <c:pt idx="1856">
                  <c:v>0.99592899999999995</c:v>
                </c:pt>
                <c:pt idx="1857">
                  <c:v>0.99593900000000002</c:v>
                </c:pt>
                <c:pt idx="1858">
                  <c:v>0.99594899999999997</c:v>
                </c:pt>
                <c:pt idx="1859">
                  <c:v>0.99595900000000004</c:v>
                </c:pt>
                <c:pt idx="1860">
                  <c:v>0.99596899999999999</c:v>
                </c:pt>
                <c:pt idx="1861">
                  <c:v>0.99597999999999998</c:v>
                </c:pt>
                <c:pt idx="1862">
                  <c:v>0.99599099999999996</c:v>
                </c:pt>
                <c:pt idx="1863">
                  <c:v>0.99600200000000005</c:v>
                </c:pt>
                <c:pt idx="1864">
                  <c:v>0.99601300000000004</c:v>
                </c:pt>
                <c:pt idx="1865">
                  <c:v>0.99602400000000002</c:v>
                </c:pt>
                <c:pt idx="1866">
                  <c:v>0.99603600000000003</c:v>
                </c:pt>
                <c:pt idx="1867">
                  <c:v>0.99604800000000004</c:v>
                </c:pt>
                <c:pt idx="1868">
                  <c:v>0.99605900000000003</c:v>
                </c:pt>
                <c:pt idx="1869">
                  <c:v>0.99607100000000004</c:v>
                </c:pt>
                <c:pt idx="1870">
                  <c:v>0.99608300000000005</c:v>
                </c:pt>
                <c:pt idx="1871">
                  <c:v>0.99609400000000003</c:v>
                </c:pt>
                <c:pt idx="1872">
                  <c:v>0.99610600000000005</c:v>
                </c:pt>
                <c:pt idx="1873">
                  <c:v>0.99611700000000003</c:v>
                </c:pt>
                <c:pt idx="1874">
                  <c:v>0.99612900000000004</c:v>
                </c:pt>
                <c:pt idx="1875">
                  <c:v>0.99614000000000003</c:v>
                </c:pt>
                <c:pt idx="1876">
                  <c:v>0.99615100000000001</c:v>
                </c:pt>
                <c:pt idx="1877">
                  <c:v>0.99616099999999996</c:v>
                </c:pt>
                <c:pt idx="1878">
                  <c:v>0.99617100000000003</c:v>
                </c:pt>
                <c:pt idx="1879">
                  <c:v>0.99618099999999998</c:v>
                </c:pt>
                <c:pt idx="1880">
                  <c:v>0.99619100000000005</c:v>
                </c:pt>
                <c:pt idx="1881">
                  <c:v>0.99619999999999997</c:v>
                </c:pt>
                <c:pt idx="1882">
                  <c:v>0.99620900000000001</c:v>
                </c:pt>
                <c:pt idx="1883">
                  <c:v>0.99621700000000002</c:v>
                </c:pt>
                <c:pt idx="1884">
                  <c:v>0.99622500000000003</c:v>
                </c:pt>
                <c:pt idx="1885">
                  <c:v>0.99623200000000001</c:v>
                </c:pt>
                <c:pt idx="1886">
                  <c:v>0.99623799999999996</c:v>
                </c:pt>
                <c:pt idx="1887">
                  <c:v>0.99624500000000005</c:v>
                </c:pt>
                <c:pt idx="1888">
                  <c:v>0.99624999999999997</c:v>
                </c:pt>
                <c:pt idx="1889">
                  <c:v>0.996255</c:v>
                </c:pt>
                <c:pt idx="1890">
                  <c:v>0.99625900000000001</c:v>
                </c:pt>
                <c:pt idx="1891">
                  <c:v>0.99626300000000001</c:v>
                </c:pt>
                <c:pt idx="1892">
                  <c:v>0.99626599999999998</c:v>
                </c:pt>
                <c:pt idx="1893">
                  <c:v>0.99626800000000004</c:v>
                </c:pt>
                <c:pt idx="1894">
                  <c:v>0.99626999999999999</c:v>
                </c:pt>
                <c:pt idx="1895">
                  <c:v>0.99626999999999999</c:v>
                </c:pt>
                <c:pt idx="1896">
                  <c:v>0.99627100000000002</c:v>
                </c:pt>
                <c:pt idx="1897">
                  <c:v>0.99626999999999999</c:v>
                </c:pt>
                <c:pt idx="1898">
                  <c:v>0.99626899999999996</c:v>
                </c:pt>
                <c:pt idx="1899">
                  <c:v>0.99626700000000001</c:v>
                </c:pt>
                <c:pt idx="1900">
                  <c:v>0.99626400000000004</c:v>
                </c:pt>
                <c:pt idx="1901">
                  <c:v>0.99626099999999995</c:v>
                </c:pt>
                <c:pt idx="1902">
                  <c:v>0.99625699999999995</c:v>
                </c:pt>
                <c:pt idx="1903">
                  <c:v>0.99625200000000003</c:v>
                </c:pt>
                <c:pt idx="1904">
                  <c:v>0.99624699999999999</c:v>
                </c:pt>
                <c:pt idx="1905">
                  <c:v>0.99624100000000004</c:v>
                </c:pt>
                <c:pt idx="1906">
                  <c:v>0.99623399999999995</c:v>
                </c:pt>
                <c:pt idx="1907">
                  <c:v>0.99622699999999997</c:v>
                </c:pt>
                <c:pt idx="1908">
                  <c:v>0.99621899999999997</c:v>
                </c:pt>
                <c:pt idx="1909">
                  <c:v>0.99621000000000004</c:v>
                </c:pt>
                <c:pt idx="1910">
                  <c:v>0.996201</c:v>
                </c:pt>
                <c:pt idx="1911">
                  <c:v>0.99619199999999997</c:v>
                </c:pt>
                <c:pt idx="1912">
                  <c:v>0.99618099999999998</c:v>
                </c:pt>
                <c:pt idx="1913">
                  <c:v>0.99617100000000003</c:v>
                </c:pt>
                <c:pt idx="1914">
                  <c:v>0.99616000000000005</c:v>
                </c:pt>
                <c:pt idx="1915">
                  <c:v>0.99614800000000003</c:v>
                </c:pt>
                <c:pt idx="1916">
                  <c:v>0.99613700000000005</c:v>
                </c:pt>
                <c:pt idx="1917">
                  <c:v>0.99612400000000001</c:v>
                </c:pt>
                <c:pt idx="1918">
                  <c:v>0.996112</c:v>
                </c:pt>
                <c:pt idx="1919">
                  <c:v>0.99609899999999996</c:v>
                </c:pt>
                <c:pt idx="1920">
                  <c:v>0.99608600000000003</c:v>
                </c:pt>
                <c:pt idx="1921">
                  <c:v>0.99607299999999999</c:v>
                </c:pt>
                <c:pt idx="1922">
                  <c:v>0.99605999999999995</c:v>
                </c:pt>
                <c:pt idx="1923">
                  <c:v>0.99604599999999999</c:v>
                </c:pt>
                <c:pt idx="1924">
                  <c:v>0.99603200000000003</c:v>
                </c:pt>
                <c:pt idx="1925">
                  <c:v>0.99601899999999999</c:v>
                </c:pt>
                <c:pt idx="1926">
                  <c:v>0.99600500000000003</c:v>
                </c:pt>
                <c:pt idx="1927">
                  <c:v>0.99599099999999996</c:v>
                </c:pt>
                <c:pt idx="1928">
                  <c:v>0.99597800000000003</c:v>
                </c:pt>
                <c:pt idx="1929">
                  <c:v>0.99596399999999996</c:v>
                </c:pt>
                <c:pt idx="1930">
                  <c:v>0.99595</c:v>
                </c:pt>
                <c:pt idx="1931">
                  <c:v>0.99593699999999996</c:v>
                </c:pt>
                <c:pt idx="1932">
                  <c:v>0.99592400000000003</c:v>
                </c:pt>
                <c:pt idx="1933">
                  <c:v>0.99591099999999999</c:v>
                </c:pt>
                <c:pt idx="1934">
                  <c:v>0.99589799999999995</c:v>
                </c:pt>
                <c:pt idx="1935">
                  <c:v>0.99588600000000005</c:v>
                </c:pt>
                <c:pt idx="1936">
                  <c:v>0.99587400000000004</c:v>
                </c:pt>
                <c:pt idx="1937">
                  <c:v>0.99586200000000002</c:v>
                </c:pt>
                <c:pt idx="1938">
                  <c:v>0.99585000000000001</c:v>
                </c:pt>
                <c:pt idx="1939">
                  <c:v>0.99583900000000003</c:v>
                </c:pt>
                <c:pt idx="1940">
                  <c:v>0.99582899999999996</c:v>
                </c:pt>
                <c:pt idx="1941">
                  <c:v>0.99581799999999998</c:v>
                </c:pt>
                <c:pt idx="1942">
                  <c:v>0.99580900000000006</c:v>
                </c:pt>
                <c:pt idx="1943">
                  <c:v>0.99579899999999999</c:v>
                </c:pt>
                <c:pt idx="1944">
                  <c:v>0.99578999999999995</c:v>
                </c:pt>
                <c:pt idx="1945">
                  <c:v>0.99578199999999994</c:v>
                </c:pt>
                <c:pt idx="1946">
                  <c:v>0.99577400000000005</c:v>
                </c:pt>
                <c:pt idx="1947">
                  <c:v>0.99576600000000004</c:v>
                </c:pt>
                <c:pt idx="1948">
                  <c:v>0.99575899999999995</c:v>
                </c:pt>
                <c:pt idx="1949">
                  <c:v>0.995753</c:v>
                </c:pt>
                <c:pt idx="1950">
                  <c:v>0.99574700000000005</c:v>
                </c:pt>
                <c:pt idx="1951">
                  <c:v>0.99574099999999999</c:v>
                </c:pt>
                <c:pt idx="1952">
                  <c:v>0.99573599999999995</c:v>
                </c:pt>
                <c:pt idx="1953">
                  <c:v>0.99573199999999995</c:v>
                </c:pt>
                <c:pt idx="1954">
                  <c:v>0.99572799999999995</c:v>
                </c:pt>
                <c:pt idx="1955">
                  <c:v>0.99572400000000005</c:v>
                </c:pt>
                <c:pt idx="1956">
                  <c:v>0.99572099999999997</c:v>
                </c:pt>
                <c:pt idx="1957">
                  <c:v>0.99571900000000002</c:v>
                </c:pt>
                <c:pt idx="1958">
                  <c:v>0.99571600000000005</c:v>
                </c:pt>
                <c:pt idx="1959">
                  <c:v>0.99571500000000002</c:v>
                </c:pt>
                <c:pt idx="1960">
                  <c:v>0.99571399999999999</c:v>
                </c:pt>
                <c:pt idx="1961">
                  <c:v>0.99571299999999996</c:v>
                </c:pt>
                <c:pt idx="1962">
                  <c:v>0.99571200000000004</c:v>
                </c:pt>
                <c:pt idx="1963">
                  <c:v>0.99571200000000004</c:v>
                </c:pt>
                <c:pt idx="1964">
                  <c:v>0.99571299999999996</c:v>
                </c:pt>
                <c:pt idx="1965">
                  <c:v>0.99571399999999999</c:v>
                </c:pt>
                <c:pt idx="1966">
                  <c:v>0.99571500000000002</c:v>
                </c:pt>
                <c:pt idx="1967">
                  <c:v>0.99571600000000005</c:v>
                </c:pt>
                <c:pt idx="1968">
                  <c:v>0.99571799999999999</c:v>
                </c:pt>
                <c:pt idx="1969">
                  <c:v>0.99572000000000005</c:v>
                </c:pt>
                <c:pt idx="1970">
                  <c:v>0.995722</c:v>
                </c:pt>
                <c:pt idx="1971">
                  <c:v>0.99572499999999997</c:v>
                </c:pt>
                <c:pt idx="1972">
                  <c:v>0.99572700000000003</c:v>
                </c:pt>
                <c:pt idx="1973">
                  <c:v>0.99573</c:v>
                </c:pt>
                <c:pt idx="1974">
                  <c:v>0.99573299999999998</c:v>
                </c:pt>
                <c:pt idx="1975">
                  <c:v>0.99573599999999995</c:v>
                </c:pt>
                <c:pt idx="1976">
                  <c:v>0.99573999999999996</c:v>
                </c:pt>
                <c:pt idx="1977">
                  <c:v>0.99574300000000004</c:v>
                </c:pt>
                <c:pt idx="1978">
                  <c:v>0.99574700000000005</c:v>
                </c:pt>
                <c:pt idx="1979">
                  <c:v>0.99575000000000002</c:v>
                </c:pt>
                <c:pt idx="1980">
                  <c:v>0.99575400000000003</c:v>
                </c:pt>
                <c:pt idx="1981">
                  <c:v>0.99575800000000003</c:v>
                </c:pt>
                <c:pt idx="1982">
                  <c:v>0.99576200000000004</c:v>
                </c:pt>
                <c:pt idx="1983">
                  <c:v>0.99576600000000004</c:v>
                </c:pt>
                <c:pt idx="1984">
                  <c:v>0.99576900000000002</c:v>
                </c:pt>
                <c:pt idx="1985">
                  <c:v>0.99577300000000002</c:v>
                </c:pt>
                <c:pt idx="1986">
                  <c:v>0.99577700000000002</c:v>
                </c:pt>
                <c:pt idx="1987">
                  <c:v>0.99578100000000003</c:v>
                </c:pt>
                <c:pt idx="1988">
                  <c:v>0.99578500000000003</c:v>
                </c:pt>
                <c:pt idx="1989">
                  <c:v>0.99578800000000001</c:v>
                </c:pt>
                <c:pt idx="1990">
                  <c:v>0.99579200000000001</c:v>
                </c:pt>
                <c:pt idx="1991">
                  <c:v>0.99579499999999999</c:v>
                </c:pt>
                <c:pt idx="1992">
                  <c:v>0.99579899999999999</c:v>
                </c:pt>
                <c:pt idx="1993">
                  <c:v>0.99580199999999996</c:v>
                </c:pt>
                <c:pt idx="1994">
                  <c:v>0.99580599999999997</c:v>
                </c:pt>
                <c:pt idx="1995">
                  <c:v>0.99580900000000006</c:v>
                </c:pt>
                <c:pt idx="1996">
                  <c:v>0.99581200000000003</c:v>
                </c:pt>
                <c:pt idx="1997">
                  <c:v>0.99581500000000001</c:v>
                </c:pt>
                <c:pt idx="1998">
                  <c:v>0.99581799999999998</c:v>
                </c:pt>
                <c:pt idx="1999">
                  <c:v>0.99582099999999996</c:v>
                </c:pt>
                <c:pt idx="2000">
                  <c:v>0.99582400000000004</c:v>
                </c:pt>
                <c:pt idx="2001">
                  <c:v>0.99582700000000002</c:v>
                </c:pt>
                <c:pt idx="2002">
                  <c:v>0.99582899999999996</c:v>
                </c:pt>
              </c:numCache>
            </c:numRef>
          </c:yVal>
          <c:smooth val="0"/>
          <c:extLst>
            <c:ext xmlns:c16="http://schemas.microsoft.com/office/drawing/2014/chart" uri="{C3380CC4-5D6E-409C-BE32-E72D297353CC}">
              <c16:uniqueId val="{00000002-A885-45AF-97DE-B39FF25EFDDA}"/>
            </c:ext>
          </c:extLst>
        </c:ser>
        <c:ser>
          <c:idx val="3"/>
          <c:order val="3"/>
          <c:tx>
            <c:strRef>
              <c:f>Sheet1!$E$1:$E$2</c:f>
              <c:strCache>
                <c:ptCount val="2"/>
                <c:pt idx="0">
                  <c:v>V8</c:v>
                </c:pt>
                <c:pt idx="1">
                  <c:v>LG(a)</c:v>
                </c:pt>
              </c:strCache>
            </c:strRef>
          </c:tx>
          <c:spPr>
            <a:ln w="12700" cap="rnd">
              <a:solidFill>
                <a:srgbClr val="FF0000"/>
              </a:solidFill>
              <a:round/>
            </a:ln>
            <a:effectLst/>
          </c:spPr>
          <c:marker>
            <c:symbol val="none"/>
          </c:marker>
          <c:xVal>
            <c:numRef>
              <c:f>Sheet1!$A$3:$A$2005</c:f>
              <c:numCache>
                <c:formatCode>General</c:formatCode>
                <c:ptCount val="2003"/>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2.0049999999999999</c:v>
                </c:pt>
                <c:pt idx="202">
                  <c:v>2.0116670000000001</c:v>
                </c:pt>
                <c:pt idx="203">
                  <c:v>2.0216669999999999</c:v>
                </c:pt>
                <c:pt idx="204">
                  <c:v>2.0316670000000001</c:v>
                </c:pt>
                <c:pt idx="205">
                  <c:v>2.0416669999999999</c:v>
                </c:pt>
                <c:pt idx="206">
                  <c:v>2.0516670000000001</c:v>
                </c:pt>
                <c:pt idx="207">
                  <c:v>2.0616669999999999</c:v>
                </c:pt>
                <c:pt idx="208">
                  <c:v>2.0716670000000001</c:v>
                </c:pt>
                <c:pt idx="209">
                  <c:v>2.0816669999999999</c:v>
                </c:pt>
                <c:pt idx="210">
                  <c:v>2.0916670000000002</c:v>
                </c:pt>
                <c:pt idx="211">
                  <c:v>2.1</c:v>
                </c:pt>
                <c:pt idx="212">
                  <c:v>2.105</c:v>
                </c:pt>
                <c:pt idx="213">
                  <c:v>2.1116670000000002</c:v>
                </c:pt>
                <c:pt idx="214">
                  <c:v>2.121667</c:v>
                </c:pt>
                <c:pt idx="215">
                  <c:v>2.1316670000000002</c:v>
                </c:pt>
                <c:pt idx="216">
                  <c:v>2.141667</c:v>
                </c:pt>
                <c:pt idx="217">
                  <c:v>2.1516670000000002</c:v>
                </c:pt>
                <c:pt idx="218">
                  <c:v>2.161667</c:v>
                </c:pt>
                <c:pt idx="219">
                  <c:v>2.1716669999999998</c:v>
                </c:pt>
                <c:pt idx="220">
                  <c:v>2.181667</c:v>
                </c:pt>
                <c:pt idx="221">
                  <c:v>2.1916669999999998</c:v>
                </c:pt>
                <c:pt idx="222">
                  <c:v>2.201667</c:v>
                </c:pt>
                <c:pt idx="223">
                  <c:v>2.2116669999999998</c:v>
                </c:pt>
                <c:pt idx="224">
                  <c:v>2.2216670000000001</c:v>
                </c:pt>
                <c:pt idx="225">
                  <c:v>2.2316669999999998</c:v>
                </c:pt>
                <c:pt idx="226">
                  <c:v>2.2416670000000001</c:v>
                </c:pt>
                <c:pt idx="227">
                  <c:v>2.2516669999999999</c:v>
                </c:pt>
                <c:pt idx="228">
                  <c:v>2.2616670000000001</c:v>
                </c:pt>
                <c:pt idx="229">
                  <c:v>2.2716669999999999</c:v>
                </c:pt>
                <c:pt idx="230">
                  <c:v>2.2816670000000001</c:v>
                </c:pt>
                <c:pt idx="231">
                  <c:v>2.2916669999999999</c:v>
                </c:pt>
                <c:pt idx="232">
                  <c:v>2.3016670000000001</c:v>
                </c:pt>
                <c:pt idx="233">
                  <c:v>2.3116669999999999</c:v>
                </c:pt>
                <c:pt idx="234">
                  <c:v>2.3216670000000001</c:v>
                </c:pt>
                <c:pt idx="235">
                  <c:v>2.3316669999999999</c:v>
                </c:pt>
                <c:pt idx="236">
                  <c:v>2.3416670000000002</c:v>
                </c:pt>
                <c:pt idx="237">
                  <c:v>2.351667</c:v>
                </c:pt>
                <c:pt idx="238">
                  <c:v>2.3616670000000002</c:v>
                </c:pt>
                <c:pt idx="239">
                  <c:v>2.371667</c:v>
                </c:pt>
                <c:pt idx="240">
                  <c:v>2.3816670000000002</c:v>
                </c:pt>
                <c:pt idx="241">
                  <c:v>2.391667</c:v>
                </c:pt>
                <c:pt idx="242">
                  <c:v>2.4016670000000002</c:v>
                </c:pt>
                <c:pt idx="243">
                  <c:v>2.411667</c:v>
                </c:pt>
                <c:pt idx="244">
                  <c:v>2.4216669999999998</c:v>
                </c:pt>
                <c:pt idx="245">
                  <c:v>2.431667</c:v>
                </c:pt>
                <c:pt idx="246">
                  <c:v>2.4416669999999998</c:v>
                </c:pt>
                <c:pt idx="247">
                  <c:v>2.451667</c:v>
                </c:pt>
                <c:pt idx="248">
                  <c:v>2.4616669999999998</c:v>
                </c:pt>
                <c:pt idx="249">
                  <c:v>2.4716670000000001</c:v>
                </c:pt>
                <c:pt idx="250">
                  <c:v>2.4816669999999998</c:v>
                </c:pt>
                <c:pt idx="251">
                  <c:v>2.4916670000000001</c:v>
                </c:pt>
                <c:pt idx="252">
                  <c:v>2.5016669999999999</c:v>
                </c:pt>
                <c:pt idx="253">
                  <c:v>2.5116670000000001</c:v>
                </c:pt>
                <c:pt idx="254">
                  <c:v>2.5216669999999999</c:v>
                </c:pt>
                <c:pt idx="255">
                  <c:v>2.5316670000000001</c:v>
                </c:pt>
                <c:pt idx="256">
                  <c:v>2.5416669999999999</c:v>
                </c:pt>
                <c:pt idx="257">
                  <c:v>2.5516670000000001</c:v>
                </c:pt>
                <c:pt idx="258">
                  <c:v>2.5616669999999999</c:v>
                </c:pt>
                <c:pt idx="259">
                  <c:v>2.5716670000000001</c:v>
                </c:pt>
                <c:pt idx="260">
                  <c:v>2.5816669999999999</c:v>
                </c:pt>
                <c:pt idx="261">
                  <c:v>2.5916670000000002</c:v>
                </c:pt>
                <c:pt idx="262">
                  <c:v>2.601667</c:v>
                </c:pt>
                <c:pt idx="263">
                  <c:v>2.6116670000000002</c:v>
                </c:pt>
                <c:pt idx="264">
                  <c:v>2.621667</c:v>
                </c:pt>
                <c:pt idx="265">
                  <c:v>2.6316670000000002</c:v>
                </c:pt>
                <c:pt idx="266">
                  <c:v>2.641667</c:v>
                </c:pt>
                <c:pt idx="267">
                  <c:v>2.6516670000000002</c:v>
                </c:pt>
                <c:pt idx="268">
                  <c:v>2.661667</c:v>
                </c:pt>
                <c:pt idx="269">
                  <c:v>2.6716669999999998</c:v>
                </c:pt>
                <c:pt idx="270">
                  <c:v>2.681667</c:v>
                </c:pt>
                <c:pt idx="271">
                  <c:v>2.6916669999999998</c:v>
                </c:pt>
                <c:pt idx="272">
                  <c:v>2.701667</c:v>
                </c:pt>
                <c:pt idx="273">
                  <c:v>2.7116669999999998</c:v>
                </c:pt>
                <c:pt idx="274">
                  <c:v>2.7216670000000001</c:v>
                </c:pt>
                <c:pt idx="275">
                  <c:v>2.7316669999999998</c:v>
                </c:pt>
                <c:pt idx="276">
                  <c:v>2.7416670000000001</c:v>
                </c:pt>
                <c:pt idx="277">
                  <c:v>2.7516669999999999</c:v>
                </c:pt>
                <c:pt idx="278">
                  <c:v>2.7616670000000001</c:v>
                </c:pt>
                <c:pt idx="279">
                  <c:v>2.7716669999999999</c:v>
                </c:pt>
                <c:pt idx="280">
                  <c:v>2.7816670000000001</c:v>
                </c:pt>
                <c:pt idx="281">
                  <c:v>2.7916669999999999</c:v>
                </c:pt>
                <c:pt idx="282">
                  <c:v>2.8016670000000001</c:v>
                </c:pt>
                <c:pt idx="283">
                  <c:v>2.8116669999999999</c:v>
                </c:pt>
                <c:pt idx="284">
                  <c:v>2.8216670000000001</c:v>
                </c:pt>
                <c:pt idx="285">
                  <c:v>2.8316669999999999</c:v>
                </c:pt>
                <c:pt idx="286">
                  <c:v>2.8416670000000002</c:v>
                </c:pt>
                <c:pt idx="287">
                  <c:v>2.851667</c:v>
                </c:pt>
                <c:pt idx="288">
                  <c:v>2.8616670000000002</c:v>
                </c:pt>
                <c:pt idx="289">
                  <c:v>2.871667</c:v>
                </c:pt>
                <c:pt idx="290">
                  <c:v>2.8816670000000002</c:v>
                </c:pt>
                <c:pt idx="291">
                  <c:v>2.891667</c:v>
                </c:pt>
                <c:pt idx="292">
                  <c:v>2.9016670000000002</c:v>
                </c:pt>
                <c:pt idx="293">
                  <c:v>2.911667</c:v>
                </c:pt>
                <c:pt idx="294">
                  <c:v>2.9216669999999998</c:v>
                </c:pt>
                <c:pt idx="295">
                  <c:v>2.931667</c:v>
                </c:pt>
                <c:pt idx="296">
                  <c:v>2.9416669999999998</c:v>
                </c:pt>
                <c:pt idx="297">
                  <c:v>2.951667</c:v>
                </c:pt>
                <c:pt idx="298">
                  <c:v>2.9616669999999998</c:v>
                </c:pt>
                <c:pt idx="299">
                  <c:v>2.9716670000000001</c:v>
                </c:pt>
                <c:pt idx="300">
                  <c:v>2.9816669999999998</c:v>
                </c:pt>
                <c:pt idx="301">
                  <c:v>2.9916670000000001</c:v>
                </c:pt>
                <c:pt idx="302">
                  <c:v>3.0016669999999999</c:v>
                </c:pt>
                <c:pt idx="303">
                  <c:v>3.0116670000000001</c:v>
                </c:pt>
                <c:pt idx="304">
                  <c:v>3.0216669999999999</c:v>
                </c:pt>
                <c:pt idx="305">
                  <c:v>3.0316670000000001</c:v>
                </c:pt>
                <c:pt idx="306">
                  <c:v>3.0416669999999999</c:v>
                </c:pt>
                <c:pt idx="307">
                  <c:v>3.0516670000000001</c:v>
                </c:pt>
                <c:pt idx="308">
                  <c:v>3.0616669999999999</c:v>
                </c:pt>
                <c:pt idx="309">
                  <c:v>3.0716670000000001</c:v>
                </c:pt>
                <c:pt idx="310">
                  <c:v>3.0816669999999999</c:v>
                </c:pt>
                <c:pt idx="311">
                  <c:v>3.0916670000000002</c:v>
                </c:pt>
                <c:pt idx="312">
                  <c:v>3.101667</c:v>
                </c:pt>
                <c:pt idx="313">
                  <c:v>3.1116670000000002</c:v>
                </c:pt>
                <c:pt idx="314">
                  <c:v>3.121667</c:v>
                </c:pt>
                <c:pt idx="315">
                  <c:v>3.1316670000000002</c:v>
                </c:pt>
                <c:pt idx="316">
                  <c:v>3.141667</c:v>
                </c:pt>
                <c:pt idx="317">
                  <c:v>3.1516670000000002</c:v>
                </c:pt>
                <c:pt idx="318">
                  <c:v>3.161667</c:v>
                </c:pt>
                <c:pt idx="319">
                  <c:v>3.1716669999999998</c:v>
                </c:pt>
                <c:pt idx="320">
                  <c:v>3.181667</c:v>
                </c:pt>
                <c:pt idx="321">
                  <c:v>3.1916669999999998</c:v>
                </c:pt>
                <c:pt idx="322">
                  <c:v>3.201667</c:v>
                </c:pt>
                <c:pt idx="323">
                  <c:v>3.2116669999999998</c:v>
                </c:pt>
                <c:pt idx="324">
                  <c:v>3.2216670000000001</c:v>
                </c:pt>
                <c:pt idx="325">
                  <c:v>3.2316669999999998</c:v>
                </c:pt>
                <c:pt idx="326">
                  <c:v>3.2416670000000001</c:v>
                </c:pt>
                <c:pt idx="327">
                  <c:v>3.2516669999999999</c:v>
                </c:pt>
                <c:pt idx="328">
                  <c:v>3.2616670000000001</c:v>
                </c:pt>
                <c:pt idx="329">
                  <c:v>3.2716669999999999</c:v>
                </c:pt>
                <c:pt idx="330">
                  <c:v>3.2816670000000001</c:v>
                </c:pt>
                <c:pt idx="331">
                  <c:v>3.2916669999999999</c:v>
                </c:pt>
                <c:pt idx="332">
                  <c:v>3.3016670000000001</c:v>
                </c:pt>
                <c:pt idx="333">
                  <c:v>3.3116669999999999</c:v>
                </c:pt>
                <c:pt idx="334">
                  <c:v>3.3216670000000001</c:v>
                </c:pt>
                <c:pt idx="335">
                  <c:v>3.3316669999999999</c:v>
                </c:pt>
                <c:pt idx="336">
                  <c:v>3.3416670000000002</c:v>
                </c:pt>
                <c:pt idx="337">
                  <c:v>3.351667</c:v>
                </c:pt>
                <c:pt idx="338">
                  <c:v>3.3616670000000002</c:v>
                </c:pt>
                <c:pt idx="339">
                  <c:v>3.371667</c:v>
                </c:pt>
                <c:pt idx="340">
                  <c:v>3.3816670000000002</c:v>
                </c:pt>
                <c:pt idx="341">
                  <c:v>3.391667</c:v>
                </c:pt>
                <c:pt idx="342">
                  <c:v>3.4016670000000002</c:v>
                </c:pt>
                <c:pt idx="343">
                  <c:v>3.411667</c:v>
                </c:pt>
                <c:pt idx="344">
                  <c:v>3.4216669999999998</c:v>
                </c:pt>
                <c:pt idx="345">
                  <c:v>3.431667</c:v>
                </c:pt>
                <c:pt idx="346">
                  <c:v>3.4416669999999998</c:v>
                </c:pt>
                <c:pt idx="347">
                  <c:v>3.451667</c:v>
                </c:pt>
                <c:pt idx="348">
                  <c:v>3.4616669999999998</c:v>
                </c:pt>
                <c:pt idx="349">
                  <c:v>3.4716670000000001</c:v>
                </c:pt>
                <c:pt idx="350">
                  <c:v>3.4816669999999998</c:v>
                </c:pt>
                <c:pt idx="351">
                  <c:v>3.4916670000000001</c:v>
                </c:pt>
                <c:pt idx="352">
                  <c:v>3.5016669999999999</c:v>
                </c:pt>
                <c:pt idx="353">
                  <c:v>3.5116670000000001</c:v>
                </c:pt>
                <c:pt idx="354">
                  <c:v>3.5216669999999999</c:v>
                </c:pt>
                <c:pt idx="355">
                  <c:v>3.5316670000000001</c:v>
                </c:pt>
                <c:pt idx="356">
                  <c:v>3.5416669999999999</c:v>
                </c:pt>
                <c:pt idx="357">
                  <c:v>3.5516670000000001</c:v>
                </c:pt>
                <c:pt idx="358">
                  <c:v>3.5616669999999999</c:v>
                </c:pt>
                <c:pt idx="359">
                  <c:v>3.5716670000000001</c:v>
                </c:pt>
                <c:pt idx="360">
                  <c:v>3.5816669999999999</c:v>
                </c:pt>
                <c:pt idx="361">
                  <c:v>3.5916670000000002</c:v>
                </c:pt>
                <c:pt idx="362">
                  <c:v>3.601667</c:v>
                </c:pt>
                <c:pt idx="363">
                  <c:v>3.6116670000000002</c:v>
                </c:pt>
                <c:pt idx="364">
                  <c:v>3.621667</c:v>
                </c:pt>
                <c:pt idx="365">
                  <c:v>3.6316670000000002</c:v>
                </c:pt>
                <c:pt idx="366">
                  <c:v>3.641667</c:v>
                </c:pt>
                <c:pt idx="367">
                  <c:v>3.6516670000000002</c:v>
                </c:pt>
                <c:pt idx="368">
                  <c:v>3.661667</c:v>
                </c:pt>
                <c:pt idx="369">
                  <c:v>3.6716669999999998</c:v>
                </c:pt>
                <c:pt idx="370">
                  <c:v>3.681667</c:v>
                </c:pt>
                <c:pt idx="371">
                  <c:v>3.6916669999999998</c:v>
                </c:pt>
                <c:pt idx="372">
                  <c:v>3.701667</c:v>
                </c:pt>
                <c:pt idx="373">
                  <c:v>3.7116669999999998</c:v>
                </c:pt>
                <c:pt idx="374">
                  <c:v>3.7216670000000001</c:v>
                </c:pt>
                <c:pt idx="375">
                  <c:v>3.7316669999999998</c:v>
                </c:pt>
                <c:pt idx="376">
                  <c:v>3.7416670000000001</c:v>
                </c:pt>
                <c:pt idx="377">
                  <c:v>3.7516669999999999</c:v>
                </c:pt>
                <c:pt idx="378">
                  <c:v>3.7616670000000001</c:v>
                </c:pt>
                <c:pt idx="379">
                  <c:v>3.7716669999999999</c:v>
                </c:pt>
                <c:pt idx="380">
                  <c:v>3.7816670000000001</c:v>
                </c:pt>
                <c:pt idx="381">
                  <c:v>3.7916669999999999</c:v>
                </c:pt>
                <c:pt idx="382">
                  <c:v>3.8016670000000001</c:v>
                </c:pt>
                <c:pt idx="383">
                  <c:v>3.8116669999999999</c:v>
                </c:pt>
                <c:pt idx="384">
                  <c:v>3.8216670000000001</c:v>
                </c:pt>
                <c:pt idx="385">
                  <c:v>3.8316669999999999</c:v>
                </c:pt>
                <c:pt idx="386">
                  <c:v>3.8416670000000002</c:v>
                </c:pt>
                <c:pt idx="387">
                  <c:v>3.851667</c:v>
                </c:pt>
                <c:pt idx="388">
                  <c:v>3.8616670000000002</c:v>
                </c:pt>
                <c:pt idx="389">
                  <c:v>3.871667</c:v>
                </c:pt>
                <c:pt idx="390">
                  <c:v>3.8816670000000002</c:v>
                </c:pt>
                <c:pt idx="391">
                  <c:v>3.891667</c:v>
                </c:pt>
                <c:pt idx="392">
                  <c:v>3.9016670000000002</c:v>
                </c:pt>
                <c:pt idx="393">
                  <c:v>3.911667</c:v>
                </c:pt>
                <c:pt idx="394">
                  <c:v>3.9216669999999998</c:v>
                </c:pt>
                <c:pt idx="395">
                  <c:v>3.931667</c:v>
                </c:pt>
                <c:pt idx="396">
                  <c:v>3.9416669999999998</c:v>
                </c:pt>
                <c:pt idx="397">
                  <c:v>3.951667</c:v>
                </c:pt>
                <c:pt idx="398">
                  <c:v>3.9616669999999998</c:v>
                </c:pt>
                <c:pt idx="399">
                  <c:v>3.9716670000000001</c:v>
                </c:pt>
                <c:pt idx="400">
                  <c:v>3.9816669999999998</c:v>
                </c:pt>
                <c:pt idx="401">
                  <c:v>3.9916670000000001</c:v>
                </c:pt>
                <c:pt idx="402">
                  <c:v>4.0016670000000003</c:v>
                </c:pt>
                <c:pt idx="403">
                  <c:v>4.0116670000000001</c:v>
                </c:pt>
                <c:pt idx="404">
                  <c:v>4.0216669999999999</c:v>
                </c:pt>
                <c:pt idx="405">
                  <c:v>4.0316669999999997</c:v>
                </c:pt>
                <c:pt idx="406">
                  <c:v>4.0416670000000003</c:v>
                </c:pt>
                <c:pt idx="407">
                  <c:v>4.0516670000000001</c:v>
                </c:pt>
                <c:pt idx="408">
                  <c:v>4.0616669999999999</c:v>
                </c:pt>
                <c:pt idx="409">
                  <c:v>4.0716669999999997</c:v>
                </c:pt>
                <c:pt idx="410">
                  <c:v>4.0816670000000004</c:v>
                </c:pt>
                <c:pt idx="411">
                  <c:v>4.0916670000000002</c:v>
                </c:pt>
                <c:pt idx="412">
                  <c:v>4.101667</c:v>
                </c:pt>
                <c:pt idx="413">
                  <c:v>4.1116669999999997</c:v>
                </c:pt>
                <c:pt idx="414">
                  <c:v>4.1216670000000004</c:v>
                </c:pt>
                <c:pt idx="415">
                  <c:v>4.1316670000000002</c:v>
                </c:pt>
                <c:pt idx="416">
                  <c:v>4.141667</c:v>
                </c:pt>
                <c:pt idx="417">
                  <c:v>4.1516669999999998</c:v>
                </c:pt>
                <c:pt idx="418">
                  <c:v>4.1616669999999996</c:v>
                </c:pt>
                <c:pt idx="419">
                  <c:v>4.1716670000000002</c:v>
                </c:pt>
                <c:pt idx="420">
                  <c:v>4.181667</c:v>
                </c:pt>
                <c:pt idx="421">
                  <c:v>4.1916669999999998</c:v>
                </c:pt>
                <c:pt idx="422">
                  <c:v>4.2016669999999996</c:v>
                </c:pt>
                <c:pt idx="423">
                  <c:v>4.2116670000000003</c:v>
                </c:pt>
                <c:pt idx="424">
                  <c:v>4.2216670000000001</c:v>
                </c:pt>
                <c:pt idx="425">
                  <c:v>4.2316669999999998</c:v>
                </c:pt>
                <c:pt idx="426">
                  <c:v>4.2416669999999996</c:v>
                </c:pt>
                <c:pt idx="427">
                  <c:v>4.2516670000000003</c:v>
                </c:pt>
                <c:pt idx="428">
                  <c:v>4.2616670000000001</c:v>
                </c:pt>
                <c:pt idx="429">
                  <c:v>4.2716669999999999</c:v>
                </c:pt>
                <c:pt idx="430">
                  <c:v>4.2816669999999997</c:v>
                </c:pt>
                <c:pt idx="431">
                  <c:v>4.2916670000000003</c:v>
                </c:pt>
                <c:pt idx="432">
                  <c:v>4.3016670000000001</c:v>
                </c:pt>
                <c:pt idx="433">
                  <c:v>4.3116669999999999</c:v>
                </c:pt>
                <c:pt idx="434">
                  <c:v>4.3216669999999997</c:v>
                </c:pt>
                <c:pt idx="435">
                  <c:v>4.3316670000000004</c:v>
                </c:pt>
                <c:pt idx="436">
                  <c:v>4.3416670000000002</c:v>
                </c:pt>
                <c:pt idx="437">
                  <c:v>4.351667</c:v>
                </c:pt>
                <c:pt idx="438">
                  <c:v>4.3616669999999997</c:v>
                </c:pt>
                <c:pt idx="439">
                  <c:v>4.3716670000000004</c:v>
                </c:pt>
                <c:pt idx="440">
                  <c:v>4.3816670000000002</c:v>
                </c:pt>
                <c:pt idx="441">
                  <c:v>4.391667</c:v>
                </c:pt>
                <c:pt idx="442">
                  <c:v>4.4016669999999998</c:v>
                </c:pt>
                <c:pt idx="443">
                  <c:v>4.4116669999999996</c:v>
                </c:pt>
                <c:pt idx="444">
                  <c:v>4.4216670000000002</c:v>
                </c:pt>
                <c:pt idx="445">
                  <c:v>4.431667</c:v>
                </c:pt>
                <c:pt idx="446">
                  <c:v>4.4416669999999998</c:v>
                </c:pt>
                <c:pt idx="447">
                  <c:v>4.4516669999999996</c:v>
                </c:pt>
                <c:pt idx="448">
                  <c:v>4.4616670000000003</c:v>
                </c:pt>
                <c:pt idx="449">
                  <c:v>4.4716670000000001</c:v>
                </c:pt>
                <c:pt idx="450">
                  <c:v>4.4816669999999998</c:v>
                </c:pt>
                <c:pt idx="451">
                  <c:v>4.4916669999999996</c:v>
                </c:pt>
                <c:pt idx="452">
                  <c:v>4.5016670000000003</c:v>
                </c:pt>
                <c:pt idx="453">
                  <c:v>4.5116670000000001</c:v>
                </c:pt>
                <c:pt idx="454">
                  <c:v>4.5216669999999999</c:v>
                </c:pt>
                <c:pt idx="455">
                  <c:v>4.5316669999999997</c:v>
                </c:pt>
                <c:pt idx="456">
                  <c:v>4.5416670000000003</c:v>
                </c:pt>
                <c:pt idx="457">
                  <c:v>4.5516670000000001</c:v>
                </c:pt>
                <c:pt idx="458">
                  <c:v>4.5616669999999999</c:v>
                </c:pt>
                <c:pt idx="459">
                  <c:v>4.5716669999999997</c:v>
                </c:pt>
                <c:pt idx="460">
                  <c:v>4.5816670000000004</c:v>
                </c:pt>
                <c:pt idx="461">
                  <c:v>4.5916670000000002</c:v>
                </c:pt>
                <c:pt idx="462">
                  <c:v>4.601667</c:v>
                </c:pt>
                <c:pt idx="463">
                  <c:v>4.6116669999999997</c:v>
                </c:pt>
                <c:pt idx="464">
                  <c:v>4.6216670000000004</c:v>
                </c:pt>
                <c:pt idx="465">
                  <c:v>4.6316670000000002</c:v>
                </c:pt>
                <c:pt idx="466">
                  <c:v>4.641667</c:v>
                </c:pt>
                <c:pt idx="467">
                  <c:v>4.6516669999999998</c:v>
                </c:pt>
                <c:pt idx="468">
                  <c:v>4.6616669999999996</c:v>
                </c:pt>
                <c:pt idx="469">
                  <c:v>4.6716670000000002</c:v>
                </c:pt>
                <c:pt idx="470">
                  <c:v>4.681667</c:v>
                </c:pt>
                <c:pt idx="471">
                  <c:v>4.6916669999999998</c:v>
                </c:pt>
                <c:pt idx="472">
                  <c:v>4.7016669999999996</c:v>
                </c:pt>
                <c:pt idx="473">
                  <c:v>4.7116670000000003</c:v>
                </c:pt>
                <c:pt idx="474">
                  <c:v>4.7216670000000001</c:v>
                </c:pt>
                <c:pt idx="475">
                  <c:v>4.7316669999999998</c:v>
                </c:pt>
                <c:pt idx="476">
                  <c:v>4.7416669999999996</c:v>
                </c:pt>
                <c:pt idx="477">
                  <c:v>4.7516670000000003</c:v>
                </c:pt>
                <c:pt idx="478">
                  <c:v>4.7616670000000001</c:v>
                </c:pt>
                <c:pt idx="479">
                  <c:v>4.7716669999999999</c:v>
                </c:pt>
                <c:pt idx="480">
                  <c:v>4.7816669999999997</c:v>
                </c:pt>
                <c:pt idx="481">
                  <c:v>4.7916670000000003</c:v>
                </c:pt>
                <c:pt idx="482">
                  <c:v>4.8016670000000001</c:v>
                </c:pt>
                <c:pt idx="483">
                  <c:v>4.8116669999999999</c:v>
                </c:pt>
                <c:pt idx="484">
                  <c:v>4.8216669999999997</c:v>
                </c:pt>
                <c:pt idx="485">
                  <c:v>4.8316670000000004</c:v>
                </c:pt>
                <c:pt idx="486">
                  <c:v>4.8416670000000002</c:v>
                </c:pt>
                <c:pt idx="487">
                  <c:v>4.851667</c:v>
                </c:pt>
                <c:pt idx="488">
                  <c:v>4.8616669999999997</c:v>
                </c:pt>
                <c:pt idx="489">
                  <c:v>4.8716670000000004</c:v>
                </c:pt>
                <c:pt idx="490">
                  <c:v>4.8816670000000002</c:v>
                </c:pt>
                <c:pt idx="491">
                  <c:v>4.891667</c:v>
                </c:pt>
                <c:pt idx="492">
                  <c:v>4.9016669999999998</c:v>
                </c:pt>
                <c:pt idx="493">
                  <c:v>4.9116669999999996</c:v>
                </c:pt>
                <c:pt idx="494">
                  <c:v>4.9216670000000002</c:v>
                </c:pt>
                <c:pt idx="495">
                  <c:v>4.931667</c:v>
                </c:pt>
                <c:pt idx="496">
                  <c:v>4.9416669999999998</c:v>
                </c:pt>
                <c:pt idx="497">
                  <c:v>4.9516669999999996</c:v>
                </c:pt>
                <c:pt idx="498">
                  <c:v>4.9616670000000003</c:v>
                </c:pt>
                <c:pt idx="499">
                  <c:v>4.9716670000000001</c:v>
                </c:pt>
                <c:pt idx="500">
                  <c:v>4.9816669999999998</c:v>
                </c:pt>
                <c:pt idx="501">
                  <c:v>4.9916669999999996</c:v>
                </c:pt>
                <c:pt idx="502">
                  <c:v>5.0016670000000003</c:v>
                </c:pt>
                <c:pt idx="503">
                  <c:v>5.0116670000000001</c:v>
                </c:pt>
                <c:pt idx="504">
                  <c:v>5.0216669999999999</c:v>
                </c:pt>
                <c:pt idx="505">
                  <c:v>5.0316669999999997</c:v>
                </c:pt>
                <c:pt idx="506">
                  <c:v>5.0416670000000003</c:v>
                </c:pt>
                <c:pt idx="507">
                  <c:v>5.0516670000000001</c:v>
                </c:pt>
                <c:pt idx="508">
                  <c:v>5.0616669999999999</c:v>
                </c:pt>
                <c:pt idx="509">
                  <c:v>5.0716669999999997</c:v>
                </c:pt>
                <c:pt idx="510">
                  <c:v>5.0816670000000004</c:v>
                </c:pt>
                <c:pt idx="511">
                  <c:v>5.0916670000000002</c:v>
                </c:pt>
                <c:pt idx="512">
                  <c:v>5.101667</c:v>
                </c:pt>
                <c:pt idx="513">
                  <c:v>5.1116669999999997</c:v>
                </c:pt>
                <c:pt idx="514">
                  <c:v>5.1216670000000004</c:v>
                </c:pt>
                <c:pt idx="515">
                  <c:v>5.1316670000000002</c:v>
                </c:pt>
                <c:pt idx="516">
                  <c:v>5.141667</c:v>
                </c:pt>
                <c:pt idx="517">
                  <c:v>5.1516669999999998</c:v>
                </c:pt>
                <c:pt idx="518">
                  <c:v>5.1616669999999996</c:v>
                </c:pt>
                <c:pt idx="519">
                  <c:v>5.1716670000000002</c:v>
                </c:pt>
                <c:pt idx="520">
                  <c:v>5.181667</c:v>
                </c:pt>
                <c:pt idx="521">
                  <c:v>5.1916669999999998</c:v>
                </c:pt>
                <c:pt idx="522">
                  <c:v>5.2016669999999996</c:v>
                </c:pt>
                <c:pt idx="523">
                  <c:v>5.2116670000000003</c:v>
                </c:pt>
                <c:pt idx="524">
                  <c:v>5.2216670000000001</c:v>
                </c:pt>
                <c:pt idx="525">
                  <c:v>5.2316669999999998</c:v>
                </c:pt>
                <c:pt idx="526">
                  <c:v>5.2416669999999996</c:v>
                </c:pt>
                <c:pt idx="527">
                  <c:v>5.2516670000000003</c:v>
                </c:pt>
                <c:pt idx="528">
                  <c:v>5.2616670000000001</c:v>
                </c:pt>
                <c:pt idx="529">
                  <c:v>5.2716669999999999</c:v>
                </c:pt>
                <c:pt idx="530">
                  <c:v>5.2816669999999997</c:v>
                </c:pt>
                <c:pt idx="531">
                  <c:v>5.2916670000000003</c:v>
                </c:pt>
                <c:pt idx="532">
                  <c:v>5.3016670000000001</c:v>
                </c:pt>
                <c:pt idx="533">
                  <c:v>5.3116669999999999</c:v>
                </c:pt>
                <c:pt idx="534">
                  <c:v>5.3216669999999997</c:v>
                </c:pt>
                <c:pt idx="535">
                  <c:v>5.3316670000000004</c:v>
                </c:pt>
                <c:pt idx="536">
                  <c:v>5.3416670000000002</c:v>
                </c:pt>
                <c:pt idx="537">
                  <c:v>5.351667</c:v>
                </c:pt>
                <c:pt idx="538">
                  <c:v>5.3616669999999997</c:v>
                </c:pt>
                <c:pt idx="539">
                  <c:v>5.3716670000000004</c:v>
                </c:pt>
                <c:pt idx="540">
                  <c:v>5.3816670000000002</c:v>
                </c:pt>
                <c:pt idx="541">
                  <c:v>5.391667</c:v>
                </c:pt>
                <c:pt idx="542">
                  <c:v>5.4016669999999998</c:v>
                </c:pt>
                <c:pt idx="543">
                  <c:v>5.4116669999999996</c:v>
                </c:pt>
                <c:pt idx="544">
                  <c:v>5.4216670000000002</c:v>
                </c:pt>
                <c:pt idx="545">
                  <c:v>5.431667</c:v>
                </c:pt>
                <c:pt idx="546">
                  <c:v>5.4416669999999998</c:v>
                </c:pt>
                <c:pt idx="547">
                  <c:v>5.4516669999999996</c:v>
                </c:pt>
                <c:pt idx="548">
                  <c:v>5.4616670000000003</c:v>
                </c:pt>
                <c:pt idx="549">
                  <c:v>5.4716670000000001</c:v>
                </c:pt>
                <c:pt idx="550">
                  <c:v>5.4816669999999998</c:v>
                </c:pt>
                <c:pt idx="551">
                  <c:v>5.4916669999999996</c:v>
                </c:pt>
                <c:pt idx="552">
                  <c:v>5.5016670000000003</c:v>
                </c:pt>
                <c:pt idx="553">
                  <c:v>5.5116670000000001</c:v>
                </c:pt>
                <c:pt idx="554">
                  <c:v>5.5216669999999999</c:v>
                </c:pt>
                <c:pt idx="555">
                  <c:v>5.5316669999999997</c:v>
                </c:pt>
                <c:pt idx="556">
                  <c:v>5.5416670000000003</c:v>
                </c:pt>
                <c:pt idx="557">
                  <c:v>5.5516670000000001</c:v>
                </c:pt>
                <c:pt idx="558">
                  <c:v>5.5616669999999999</c:v>
                </c:pt>
                <c:pt idx="559">
                  <c:v>5.5716669999999997</c:v>
                </c:pt>
                <c:pt idx="560">
                  <c:v>5.5816670000000004</c:v>
                </c:pt>
                <c:pt idx="561">
                  <c:v>5.5916670000000002</c:v>
                </c:pt>
                <c:pt idx="562">
                  <c:v>5.601667</c:v>
                </c:pt>
                <c:pt idx="563">
                  <c:v>5.6116669999999997</c:v>
                </c:pt>
                <c:pt idx="564">
                  <c:v>5.6216670000000004</c:v>
                </c:pt>
                <c:pt idx="565">
                  <c:v>5.6316670000000002</c:v>
                </c:pt>
                <c:pt idx="566">
                  <c:v>5.641667</c:v>
                </c:pt>
                <c:pt idx="567">
                  <c:v>5.6516669999999998</c:v>
                </c:pt>
                <c:pt idx="568">
                  <c:v>5.6616669999999996</c:v>
                </c:pt>
                <c:pt idx="569">
                  <c:v>5.6716670000000002</c:v>
                </c:pt>
                <c:pt idx="570">
                  <c:v>5.681667</c:v>
                </c:pt>
                <c:pt idx="571">
                  <c:v>5.6916669999999998</c:v>
                </c:pt>
                <c:pt idx="572">
                  <c:v>5.7016669999999996</c:v>
                </c:pt>
                <c:pt idx="573">
                  <c:v>5.7116670000000003</c:v>
                </c:pt>
                <c:pt idx="574">
                  <c:v>5.7216670000000001</c:v>
                </c:pt>
                <c:pt idx="575">
                  <c:v>5.7316669999999998</c:v>
                </c:pt>
                <c:pt idx="576">
                  <c:v>5.7416669999999996</c:v>
                </c:pt>
                <c:pt idx="577">
                  <c:v>5.7516670000000003</c:v>
                </c:pt>
                <c:pt idx="578">
                  <c:v>5.7616670000000001</c:v>
                </c:pt>
                <c:pt idx="579">
                  <c:v>5.7716669999999999</c:v>
                </c:pt>
                <c:pt idx="580">
                  <c:v>5.7816669999999997</c:v>
                </c:pt>
                <c:pt idx="581">
                  <c:v>5.7916670000000003</c:v>
                </c:pt>
                <c:pt idx="582">
                  <c:v>5.8016670000000001</c:v>
                </c:pt>
                <c:pt idx="583">
                  <c:v>5.8116669999999999</c:v>
                </c:pt>
                <c:pt idx="584">
                  <c:v>5.8216669999999997</c:v>
                </c:pt>
                <c:pt idx="585">
                  <c:v>5.8316670000000004</c:v>
                </c:pt>
                <c:pt idx="586">
                  <c:v>5.8416670000000002</c:v>
                </c:pt>
                <c:pt idx="587">
                  <c:v>5.851667</c:v>
                </c:pt>
                <c:pt idx="588">
                  <c:v>5.8616669999999997</c:v>
                </c:pt>
                <c:pt idx="589">
                  <c:v>5.8716670000000004</c:v>
                </c:pt>
                <c:pt idx="590">
                  <c:v>5.8816670000000002</c:v>
                </c:pt>
                <c:pt idx="591">
                  <c:v>5.891667</c:v>
                </c:pt>
                <c:pt idx="592">
                  <c:v>5.9016669999999998</c:v>
                </c:pt>
                <c:pt idx="593">
                  <c:v>5.9116669999999996</c:v>
                </c:pt>
                <c:pt idx="594">
                  <c:v>5.9216670000000002</c:v>
                </c:pt>
                <c:pt idx="595">
                  <c:v>5.931667</c:v>
                </c:pt>
                <c:pt idx="596">
                  <c:v>5.9416669999999998</c:v>
                </c:pt>
                <c:pt idx="597">
                  <c:v>5.9516669999999996</c:v>
                </c:pt>
                <c:pt idx="598">
                  <c:v>5.9616670000000003</c:v>
                </c:pt>
                <c:pt idx="599">
                  <c:v>5.9716670000000001</c:v>
                </c:pt>
                <c:pt idx="600">
                  <c:v>5.9816669999999998</c:v>
                </c:pt>
                <c:pt idx="601">
                  <c:v>5.9916669999999996</c:v>
                </c:pt>
                <c:pt idx="602">
                  <c:v>6.0016670000000003</c:v>
                </c:pt>
                <c:pt idx="603">
                  <c:v>6.0116670000000001</c:v>
                </c:pt>
                <c:pt idx="604">
                  <c:v>6.0216669999999999</c:v>
                </c:pt>
                <c:pt idx="605">
                  <c:v>6.0316669999999997</c:v>
                </c:pt>
                <c:pt idx="606">
                  <c:v>6.0416670000000003</c:v>
                </c:pt>
                <c:pt idx="607">
                  <c:v>6.0516670000000001</c:v>
                </c:pt>
                <c:pt idx="608">
                  <c:v>6.0616669999999999</c:v>
                </c:pt>
                <c:pt idx="609">
                  <c:v>6.0716669999999997</c:v>
                </c:pt>
                <c:pt idx="610">
                  <c:v>6.0816670000000004</c:v>
                </c:pt>
                <c:pt idx="611">
                  <c:v>6.0916670000000002</c:v>
                </c:pt>
                <c:pt idx="612">
                  <c:v>6.101667</c:v>
                </c:pt>
                <c:pt idx="613">
                  <c:v>6.1116669999999997</c:v>
                </c:pt>
                <c:pt idx="614">
                  <c:v>6.1216670000000004</c:v>
                </c:pt>
                <c:pt idx="615">
                  <c:v>6.1316670000000002</c:v>
                </c:pt>
                <c:pt idx="616">
                  <c:v>6.141667</c:v>
                </c:pt>
                <c:pt idx="617">
                  <c:v>6.1516669999999998</c:v>
                </c:pt>
                <c:pt idx="618">
                  <c:v>6.1616669999999996</c:v>
                </c:pt>
                <c:pt idx="619">
                  <c:v>6.1716670000000002</c:v>
                </c:pt>
                <c:pt idx="620">
                  <c:v>6.181667</c:v>
                </c:pt>
                <c:pt idx="621">
                  <c:v>6.1916669999999998</c:v>
                </c:pt>
                <c:pt idx="622">
                  <c:v>6.2016669999999996</c:v>
                </c:pt>
                <c:pt idx="623">
                  <c:v>6.2116670000000003</c:v>
                </c:pt>
                <c:pt idx="624">
                  <c:v>6.2216670000000001</c:v>
                </c:pt>
                <c:pt idx="625">
                  <c:v>6.2316669999999998</c:v>
                </c:pt>
                <c:pt idx="626">
                  <c:v>6.2416669999999996</c:v>
                </c:pt>
                <c:pt idx="627">
                  <c:v>6.2516670000000003</c:v>
                </c:pt>
                <c:pt idx="628">
                  <c:v>6.2616670000000001</c:v>
                </c:pt>
                <c:pt idx="629">
                  <c:v>6.2716669999999999</c:v>
                </c:pt>
                <c:pt idx="630">
                  <c:v>6.2816669999999997</c:v>
                </c:pt>
                <c:pt idx="631">
                  <c:v>6.2916670000000003</c:v>
                </c:pt>
                <c:pt idx="632">
                  <c:v>6.3016670000000001</c:v>
                </c:pt>
                <c:pt idx="633">
                  <c:v>6.3116669999999999</c:v>
                </c:pt>
                <c:pt idx="634">
                  <c:v>6.3216669999999997</c:v>
                </c:pt>
                <c:pt idx="635">
                  <c:v>6.3316670000000004</c:v>
                </c:pt>
                <c:pt idx="636">
                  <c:v>6.3416670000000002</c:v>
                </c:pt>
                <c:pt idx="637">
                  <c:v>6.351667</c:v>
                </c:pt>
                <c:pt idx="638">
                  <c:v>6.3616669999999997</c:v>
                </c:pt>
                <c:pt idx="639">
                  <c:v>6.3716670000000004</c:v>
                </c:pt>
                <c:pt idx="640">
                  <c:v>6.3816670000000002</c:v>
                </c:pt>
                <c:pt idx="641">
                  <c:v>6.391667</c:v>
                </c:pt>
                <c:pt idx="642">
                  <c:v>6.4016669999999998</c:v>
                </c:pt>
                <c:pt idx="643">
                  <c:v>6.4116669999999996</c:v>
                </c:pt>
                <c:pt idx="644">
                  <c:v>6.4216670000000002</c:v>
                </c:pt>
                <c:pt idx="645">
                  <c:v>6.431667</c:v>
                </c:pt>
                <c:pt idx="646">
                  <c:v>6.4416669999999998</c:v>
                </c:pt>
                <c:pt idx="647">
                  <c:v>6.4516669999999996</c:v>
                </c:pt>
                <c:pt idx="648">
                  <c:v>6.4616670000000003</c:v>
                </c:pt>
                <c:pt idx="649">
                  <c:v>6.4716670000000001</c:v>
                </c:pt>
                <c:pt idx="650">
                  <c:v>6.4816669999999998</c:v>
                </c:pt>
                <c:pt idx="651">
                  <c:v>6.4916669999999996</c:v>
                </c:pt>
                <c:pt idx="652">
                  <c:v>6.5016670000000003</c:v>
                </c:pt>
                <c:pt idx="653">
                  <c:v>6.5116670000000001</c:v>
                </c:pt>
                <c:pt idx="654">
                  <c:v>6.5216669999999999</c:v>
                </c:pt>
                <c:pt idx="655">
                  <c:v>6.5316669999999997</c:v>
                </c:pt>
                <c:pt idx="656">
                  <c:v>6.5416670000000003</c:v>
                </c:pt>
                <c:pt idx="657">
                  <c:v>6.5516670000000001</c:v>
                </c:pt>
                <c:pt idx="658">
                  <c:v>6.5616669999999999</c:v>
                </c:pt>
                <c:pt idx="659">
                  <c:v>6.5716669999999997</c:v>
                </c:pt>
                <c:pt idx="660">
                  <c:v>6.5816670000000004</c:v>
                </c:pt>
                <c:pt idx="661">
                  <c:v>6.5916670000000002</c:v>
                </c:pt>
                <c:pt idx="662">
                  <c:v>6.601667</c:v>
                </c:pt>
                <c:pt idx="663">
                  <c:v>6.6116669999999997</c:v>
                </c:pt>
                <c:pt idx="664">
                  <c:v>6.6216670000000004</c:v>
                </c:pt>
                <c:pt idx="665">
                  <c:v>6.6316670000000002</c:v>
                </c:pt>
                <c:pt idx="666">
                  <c:v>6.641667</c:v>
                </c:pt>
                <c:pt idx="667">
                  <c:v>6.6516669999999998</c:v>
                </c:pt>
                <c:pt idx="668">
                  <c:v>6.6616669999999996</c:v>
                </c:pt>
                <c:pt idx="669">
                  <c:v>6.6716670000000002</c:v>
                </c:pt>
                <c:pt idx="670">
                  <c:v>6.681667</c:v>
                </c:pt>
                <c:pt idx="671">
                  <c:v>6.6916669999999998</c:v>
                </c:pt>
                <c:pt idx="672">
                  <c:v>6.7016669999999996</c:v>
                </c:pt>
                <c:pt idx="673">
                  <c:v>6.7116670000000003</c:v>
                </c:pt>
                <c:pt idx="674">
                  <c:v>6.7216670000000001</c:v>
                </c:pt>
                <c:pt idx="675">
                  <c:v>6.7316669999999998</c:v>
                </c:pt>
                <c:pt idx="676">
                  <c:v>6.7416669999999996</c:v>
                </c:pt>
                <c:pt idx="677">
                  <c:v>6.7516670000000003</c:v>
                </c:pt>
                <c:pt idx="678">
                  <c:v>6.7616670000000001</c:v>
                </c:pt>
                <c:pt idx="679">
                  <c:v>6.7716669999999999</c:v>
                </c:pt>
                <c:pt idx="680">
                  <c:v>6.7816669999999997</c:v>
                </c:pt>
                <c:pt idx="681">
                  <c:v>6.7916670000000003</c:v>
                </c:pt>
                <c:pt idx="682">
                  <c:v>6.8016670000000001</c:v>
                </c:pt>
                <c:pt idx="683">
                  <c:v>6.8116669999999999</c:v>
                </c:pt>
                <c:pt idx="684">
                  <c:v>6.8216669999999997</c:v>
                </c:pt>
                <c:pt idx="685">
                  <c:v>6.8316670000000004</c:v>
                </c:pt>
                <c:pt idx="686">
                  <c:v>6.8416670000000002</c:v>
                </c:pt>
                <c:pt idx="687">
                  <c:v>6.851667</c:v>
                </c:pt>
                <c:pt idx="688">
                  <c:v>6.8616669999999997</c:v>
                </c:pt>
                <c:pt idx="689">
                  <c:v>6.8716670000000004</c:v>
                </c:pt>
                <c:pt idx="690">
                  <c:v>6.8816670000000002</c:v>
                </c:pt>
                <c:pt idx="691">
                  <c:v>6.891667</c:v>
                </c:pt>
                <c:pt idx="692">
                  <c:v>6.9016669999999998</c:v>
                </c:pt>
                <c:pt idx="693">
                  <c:v>6.9116669999999996</c:v>
                </c:pt>
                <c:pt idx="694">
                  <c:v>6.9216670000000002</c:v>
                </c:pt>
                <c:pt idx="695">
                  <c:v>6.931667</c:v>
                </c:pt>
                <c:pt idx="696">
                  <c:v>6.9416669999999998</c:v>
                </c:pt>
                <c:pt idx="697">
                  <c:v>6.9516669999999996</c:v>
                </c:pt>
                <c:pt idx="698">
                  <c:v>6.9616670000000003</c:v>
                </c:pt>
                <c:pt idx="699">
                  <c:v>6.9716670000000001</c:v>
                </c:pt>
                <c:pt idx="700">
                  <c:v>6.9816669999999998</c:v>
                </c:pt>
                <c:pt idx="701">
                  <c:v>6.9916669999999996</c:v>
                </c:pt>
                <c:pt idx="702">
                  <c:v>7.0016670000000003</c:v>
                </c:pt>
                <c:pt idx="703">
                  <c:v>7.0116670000000001</c:v>
                </c:pt>
                <c:pt idx="704">
                  <c:v>7.0216669999999999</c:v>
                </c:pt>
                <c:pt idx="705">
                  <c:v>7.0316669999999997</c:v>
                </c:pt>
                <c:pt idx="706">
                  <c:v>7.0416670000000003</c:v>
                </c:pt>
                <c:pt idx="707">
                  <c:v>7.0516670000000001</c:v>
                </c:pt>
                <c:pt idx="708">
                  <c:v>7.0616669999999999</c:v>
                </c:pt>
                <c:pt idx="709">
                  <c:v>7.0716669999999997</c:v>
                </c:pt>
                <c:pt idx="710">
                  <c:v>7.0816670000000004</c:v>
                </c:pt>
                <c:pt idx="711">
                  <c:v>7.0916670000000002</c:v>
                </c:pt>
                <c:pt idx="712">
                  <c:v>7.101667</c:v>
                </c:pt>
                <c:pt idx="713">
                  <c:v>7.1116669999999997</c:v>
                </c:pt>
                <c:pt idx="714">
                  <c:v>7.1216670000000004</c:v>
                </c:pt>
                <c:pt idx="715">
                  <c:v>7.1316670000000002</c:v>
                </c:pt>
                <c:pt idx="716">
                  <c:v>7.141667</c:v>
                </c:pt>
                <c:pt idx="717">
                  <c:v>7.1516669999999998</c:v>
                </c:pt>
                <c:pt idx="718">
                  <c:v>7.1616669999999996</c:v>
                </c:pt>
                <c:pt idx="719">
                  <c:v>7.1716670000000002</c:v>
                </c:pt>
                <c:pt idx="720">
                  <c:v>7.181667</c:v>
                </c:pt>
                <c:pt idx="721">
                  <c:v>7.1916669999999998</c:v>
                </c:pt>
                <c:pt idx="722">
                  <c:v>7.2016669999999996</c:v>
                </c:pt>
                <c:pt idx="723">
                  <c:v>7.2116670000000003</c:v>
                </c:pt>
                <c:pt idx="724">
                  <c:v>7.2216670000000001</c:v>
                </c:pt>
                <c:pt idx="725">
                  <c:v>7.2316669999999998</c:v>
                </c:pt>
                <c:pt idx="726">
                  <c:v>7.2416669999999996</c:v>
                </c:pt>
                <c:pt idx="727">
                  <c:v>7.2516670000000003</c:v>
                </c:pt>
                <c:pt idx="728">
                  <c:v>7.2616670000000001</c:v>
                </c:pt>
                <c:pt idx="729">
                  <c:v>7.2716669999999999</c:v>
                </c:pt>
                <c:pt idx="730">
                  <c:v>7.2816669999999997</c:v>
                </c:pt>
                <c:pt idx="731">
                  <c:v>7.2916670000000003</c:v>
                </c:pt>
                <c:pt idx="732">
                  <c:v>7.3016670000000001</c:v>
                </c:pt>
                <c:pt idx="733">
                  <c:v>7.3116669999999999</c:v>
                </c:pt>
                <c:pt idx="734">
                  <c:v>7.3216669999999997</c:v>
                </c:pt>
                <c:pt idx="735">
                  <c:v>7.3316670000000004</c:v>
                </c:pt>
                <c:pt idx="736">
                  <c:v>7.3416670000000002</c:v>
                </c:pt>
                <c:pt idx="737">
                  <c:v>7.351667</c:v>
                </c:pt>
                <c:pt idx="738">
                  <c:v>7.3616669999999997</c:v>
                </c:pt>
                <c:pt idx="739">
                  <c:v>7.3716670000000004</c:v>
                </c:pt>
                <c:pt idx="740">
                  <c:v>7.3816670000000002</c:v>
                </c:pt>
                <c:pt idx="741">
                  <c:v>7.391667</c:v>
                </c:pt>
                <c:pt idx="742">
                  <c:v>7.4016669999999998</c:v>
                </c:pt>
                <c:pt idx="743">
                  <c:v>7.4116669999999996</c:v>
                </c:pt>
                <c:pt idx="744">
                  <c:v>7.4216670000000002</c:v>
                </c:pt>
                <c:pt idx="745">
                  <c:v>7.431667</c:v>
                </c:pt>
                <c:pt idx="746">
                  <c:v>7.4416669999999998</c:v>
                </c:pt>
                <c:pt idx="747">
                  <c:v>7.4516669999999996</c:v>
                </c:pt>
                <c:pt idx="748">
                  <c:v>7.4616670000000003</c:v>
                </c:pt>
                <c:pt idx="749">
                  <c:v>7.4716670000000001</c:v>
                </c:pt>
                <c:pt idx="750">
                  <c:v>7.4816669999999998</c:v>
                </c:pt>
                <c:pt idx="751">
                  <c:v>7.4916669999999996</c:v>
                </c:pt>
                <c:pt idx="752">
                  <c:v>7.5016670000000003</c:v>
                </c:pt>
                <c:pt idx="753">
                  <c:v>7.5116670000000001</c:v>
                </c:pt>
                <c:pt idx="754">
                  <c:v>7.5216669999999999</c:v>
                </c:pt>
                <c:pt idx="755">
                  <c:v>7.5316669999999997</c:v>
                </c:pt>
                <c:pt idx="756">
                  <c:v>7.5416670000000003</c:v>
                </c:pt>
                <c:pt idx="757">
                  <c:v>7.5516670000000001</c:v>
                </c:pt>
                <c:pt idx="758">
                  <c:v>7.5616669999999999</c:v>
                </c:pt>
                <c:pt idx="759">
                  <c:v>7.5716669999999997</c:v>
                </c:pt>
                <c:pt idx="760">
                  <c:v>7.5816670000000004</c:v>
                </c:pt>
                <c:pt idx="761">
                  <c:v>7.5916670000000002</c:v>
                </c:pt>
                <c:pt idx="762">
                  <c:v>7.601667</c:v>
                </c:pt>
                <c:pt idx="763">
                  <c:v>7.6116669999999997</c:v>
                </c:pt>
                <c:pt idx="764">
                  <c:v>7.6216670000000004</c:v>
                </c:pt>
                <c:pt idx="765">
                  <c:v>7.6316670000000002</c:v>
                </c:pt>
                <c:pt idx="766">
                  <c:v>7.641667</c:v>
                </c:pt>
                <c:pt idx="767">
                  <c:v>7.6516669999999998</c:v>
                </c:pt>
                <c:pt idx="768">
                  <c:v>7.6616669999999996</c:v>
                </c:pt>
                <c:pt idx="769">
                  <c:v>7.6716670000000002</c:v>
                </c:pt>
                <c:pt idx="770">
                  <c:v>7.681667</c:v>
                </c:pt>
                <c:pt idx="771">
                  <c:v>7.6916669999999998</c:v>
                </c:pt>
                <c:pt idx="772">
                  <c:v>7.7016669999999996</c:v>
                </c:pt>
                <c:pt idx="773">
                  <c:v>7.7116670000000003</c:v>
                </c:pt>
                <c:pt idx="774">
                  <c:v>7.7216670000000001</c:v>
                </c:pt>
                <c:pt idx="775">
                  <c:v>7.7316669999999998</c:v>
                </c:pt>
                <c:pt idx="776">
                  <c:v>7.7416669999999996</c:v>
                </c:pt>
                <c:pt idx="777">
                  <c:v>7.7516670000000003</c:v>
                </c:pt>
                <c:pt idx="778">
                  <c:v>7.7616670000000001</c:v>
                </c:pt>
                <c:pt idx="779">
                  <c:v>7.7716669999999999</c:v>
                </c:pt>
                <c:pt idx="780">
                  <c:v>7.7816669999999997</c:v>
                </c:pt>
                <c:pt idx="781">
                  <c:v>7.7916670000000003</c:v>
                </c:pt>
                <c:pt idx="782">
                  <c:v>7.8016670000000001</c:v>
                </c:pt>
                <c:pt idx="783">
                  <c:v>7.8116669999999999</c:v>
                </c:pt>
                <c:pt idx="784">
                  <c:v>7.8216669999999997</c:v>
                </c:pt>
                <c:pt idx="785">
                  <c:v>7.8316670000000004</c:v>
                </c:pt>
                <c:pt idx="786">
                  <c:v>7.8416670000000002</c:v>
                </c:pt>
                <c:pt idx="787">
                  <c:v>7.851667</c:v>
                </c:pt>
                <c:pt idx="788">
                  <c:v>7.8616669999999997</c:v>
                </c:pt>
                <c:pt idx="789">
                  <c:v>7.8716670000000004</c:v>
                </c:pt>
                <c:pt idx="790">
                  <c:v>7.8816670000000002</c:v>
                </c:pt>
                <c:pt idx="791">
                  <c:v>7.891667</c:v>
                </c:pt>
                <c:pt idx="792">
                  <c:v>7.9016669999999998</c:v>
                </c:pt>
                <c:pt idx="793">
                  <c:v>7.9116669999999996</c:v>
                </c:pt>
                <c:pt idx="794">
                  <c:v>7.9216670000000002</c:v>
                </c:pt>
                <c:pt idx="795">
                  <c:v>7.931667</c:v>
                </c:pt>
                <c:pt idx="796">
                  <c:v>7.9416669999999998</c:v>
                </c:pt>
                <c:pt idx="797">
                  <c:v>7.9516669999999996</c:v>
                </c:pt>
                <c:pt idx="798">
                  <c:v>7.9616670000000003</c:v>
                </c:pt>
                <c:pt idx="799">
                  <c:v>7.9716670000000001</c:v>
                </c:pt>
                <c:pt idx="800">
                  <c:v>7.9816669999999998</c:v>
                </c:pt>
                <c:pt idx="801">
                  <c:v>7.9916669999999996</c:v>
                </c:pt>
                <c:pt idx="802">
                  <c:v>8.0016669999999994</c:v>
                </c:pt>
                <c:pt idx="803">
                  <c:v>8.0116669999999992</c:v>
                </c:pt>
                <c:pt idx="804">
                  <c:v>8.0216670000000008</c:v>
                </c:pt>
                <c:pt idx="805">
                  <c:v>8.0316670000000006</c:v>
                </c:pt>
                <c:pt idx="806">
                  <c:v>8.0416670000000003</c:v>
                </c:pt>
                <c:pt idx="807">
                  <c:v>8.0516670000000001</c:v>
                </c:pt>
                <c:pt idx="808">
                  <c:v>8.0616669999999999</c:v>
                </c:pt>
                <c:pt idx="809">
                  <c:v>8.0716669999999997</c:v>
                </c:pt>
                <c:pt idx="810">
                  <c:v>8.0816669999999995</c:v>
                </c:pt>
                <c:pt idx="811">
                  <c:v>8.0916669999999993</c:v>
                </c:pt>
                <c:pt idx="812">
                  <c:v>8.1016670000000008</c:v>
                </c:pt>
                <c:pt idx="813">
                  <c:v>8.1116670000000006</c:v>
                </c:pt>
                <c:pt idx="814">
                  <c:v>8.1216670000000004</c:v>
                </c:pt>
                <c:pt idx="815">
                  <c:v>8.1316670000000002</c:v>
                </c:pt>
                <c:pt idx="816">
                  <c:v>8.141667</c:v>
                </c:pt>
                <c:pt idx="817">
                  <c:v>8.1516669999999998</c:v>
                </c:pt>
                <c:pt idx="818">
                  <c:v>8.1616669999999996</c:v>
                </c:pt>
                <c:pt idx="819">
                  <c:v>8.1716669999999993</c:v>
                </c:pt>
                <c:pt idx="820">
                  <c:v>8.1816669999999991</c:v>
                </c:pt>
                <c:pt idx="821">
                  <c:v>8.1916670000000007</c:v>
                </c:pt>
                <c:pt idx="822">
                  <c:v>8.2016670000000005</c:v>
                </c:pt>
                <c:pt idx="823">
                  <c:v>8.2116670000000003</c:v>
                </c:pt>
                <c:pt idx="824">
                  <c:v>8.2216670000000001</c:v>
                </c:pt>
                <c:pt idx="825">
                  <c:v>8.2316669999999998</c:v>
                </c:pt>
                <c:pt idx="826">
                  <c:v>8.2416669999999996</c:v>
                </c:pt>
                <c:pt idx="827">
                  <c:v>8.2516669999999994</c:v>
                </c:pt>
                <c:pt idx="828">
                  <c:v>8.2616669999999992</c:v>
                </c:pt>
                <c:pt idx="829">
                  <c:v>8.2716670000000008</c:v>
                </c:pt>
                <c:pt idx="830">
                  <c:v>8.2816670000000006</c:v>
                </c:pt>
                <c:pt idx="831">
                  <c:v>8.2916670000000003</c:v>
                </c:pt>
                <c:pt idx="832">
                  <c:v>8.3016670000000001</c:v>
                </c:pt>
                <c:pt idx="833">
                  <c:v>8.3116669999999999</c:v>
                </c:pt>
                <c:pt idx="834">
                  <c:v>8.3216669999999997</c:v>
                </c:pt>
                <c:pt idx="835">
                  <c:v>8.3316669999999995</c:v>
                </c:pt>
                <c:pt idx="836">
                  <c:v>8.3416669999999993</c:v>
                </c:pt>
                <c:pt idx="837">
                  <c:v>8.3516670000000008</c:v>
                </c:pt>
                <c:pt idx="838">
                  <c:v>8.3616670000000006</c:v>
                </c:pt>
                <c:pt idx="839">
                  <c:v>8.3716670000000004</c:v>
                </c:pt>
                <c:pt idx="840">
                  <c:v>8.3816670000000002</c:v>
                </c:pt>
                <c:pt idx="841">
                  <c:v>8.391667</c:v>
                </c:pt>
                <c:pt idx="842">
                  <c:v>8.4016669999999998</c:v>
                </c:pt>
                <c:pt idx="843">
                  <c:v>8.4116669999999996</c:v>
                </c:pt>
                <c:pt idx="844">
                  <c:v>8.4216669999999993</c:v>
                </c:pt>
                <c:pt idx="845">
                  <c:v>8.4316669999999991</c:v>
                </c:pt>
                <c:pt idx="846">
                  <c:v>8.4416670000000007</c:v>
                </c:pt>
                <c:pt idx="847">
                  <c:v>8.4516670000000005</c:v>
                </c:pt>
                <c:pt idx="848">
                  <c:v>8.4616670000000003</c:v>
                </c:pt>
                <c:pt idx="849">
                  <c:v>8.4716670000000001</c:v>
                </c:pt>
                <c:pt idx="850">
                  <c:v>8.4816669999999998</c:v>
                </c:pt>
                <c:pt idx="851">
                  <c:v>8.4916669999999996</c:v>
                </c:pt>
                <c:pt idx="852">
                  <c:v>8.5016669999999994</c:v>
                </c:pt>
                <c:pt idx="853">
                  <c:v>8.5116669999999992</c:v>
                </c:pt>
                <c:pt idx="854">
                  <c:v>8.5216670000000008</c:v>
                </c:pt>
                <c:pt idx="855">
                  <c:v>8.5316670000000006</c:v>
                </c:pt>
                <c:pt idx="856">
                  <c:v>8.5416670000000003</c:v>
                </c:pt>
                <c:pt idx="857">
                  <c:v>8.5516670000000001</c:v>
                </c:pt>
                <c:pt idx="858">
                  <c:v>8.5616669999999999</c:v>
                </c:pt>
                <c:pt idx="859">
                  <c:v>8.5716669999999997</c:v>
                </c:pt>
                <c:pt idx="860">
                  <c:v>8.5816669999999995</c:v>
                </c:pt>
                <c:pt idx="861">
                  <c:v>8.5916669999999993</c:v>
                </c:pt>
                <c:pt idx="862">
                  <c:v>8.6016670000000008</c:v>
                </c:pt>
                <c:pt idx="863">
                  <c:v>8.6116670000000006</c:v>
                </c:pt>
                <c:pt idx="864">
                  <c:v>8.6216670000000004</c:v>
                </c:pt>
                <c:pt idx="865">
                  <c:v>8.6316670000000002</c:v>
                </c:pt>
                <c:pt idx="866">
                  <c:v>8.641667</c:v>
                </c:pt>
                <c:pt idx="867">
                  <c:v>8.6516669999999998</c:v>
                </c:pt>
                <c:pt idx="868">
                  <c:v>8.6616669999999996</c:v>
                </c:pt>
                <c:pt idx="869">
                  <c:v>8.6716669999999993</c:v>
                </c:pt>
                <c:pt idx="870">
                  <c:v>8.6816669999999991</c:v>
                </c:pt>
                <c:pt idx="871">
                  <c:v>8.6916670000000007</c:v>
                </c:pt>
                <c:pt idx="872">
                  <c:v>8.7016670000000005</c:v>
                </c:pt>
                <c:pt idx="873">
                  <c:v>8.7116670000000003</c:v>
                </c:pt>
                <c:pt idx="874">
                  <c:v>8.7216670000000001</c:v>
                </c:pt>
                <c:pt idx="875">
                  <c:v>8.7316669999999998</c:v>
                </c:pt>
                <c:pt idx="876">
                  <c:v>8.7416669999999996</c:v>
                </c:pt>
                <c:pt idx="877">
                  <c:v>8.7516669999999994</c:v>
                </c:pt>
                <c:pt idx="878">
                  <c:v>8.7616669999999992</c:v>
                </c:pt>
                <c:pt idx="879">
                  <c:v>8.7716670000000008</c:v>
                </c:pt>
                <c:pt idx="880">
                  <c:v>8.7816670000000006</c:v>
                </c:pt>
                <c:pt idx="881">
                  <c:v>8.7916670000000003</c:v>
                </c:pt>
                <c:pt idx="882">
                  <c:v>8.8016670000000001</c:v>
                </c:pt>
                <c:pt idx="883">
                  <c:v>8.8116669999999999</c:v>
                </c:pt>
                <c:pt idx="884">
                  <c:v>8.8216669999999997</c:v>
                </c:pt>
                <c:pt idx="885">
                  <c:v>8.8316669999999995</c:v>
                </c:pt>
                <c:pt idx="886">
                  <c:v>8.8416669999999993</c:v>
                </c:pt>
                <c:pt idx="887">
                  <c:v>8.8516670000000008</c:v>
                </c:pt>
                <c:pt idx="888">
                  <c:v>8.8616670000000006</c:v>
                </c:pt>
                <c:pt idx="889">
                  <c:v>8.8716670000000004</c:v>
                </c:pt>
                <c:pt idx="890">
                  <c:v>8.8816670000000002</c:v>
                </c:pt>
                <c:pt idx="891">
                  <c:v>8.891667</c:v>
                </c:pt>
                <c:pt idx="892">
                  <c:v>8.9016669999999998</c:v>
                </c:pt>
                <c:pt idx="893">
                  <c:v>8.9116669999999996</c:v>
                </c:pt>
                <c:pt idx="894">
                  <c:v>8.9216669999999993</c:v>
                </c:pt>
                <c:pt idx="895">
                  <c:v>8.9316669999999991</c:v>
                </c:pt>
                <c:pt idx="896">
                  <c:v>8.9416670000000007</c:v>
                </c:pt>
                <c:pt idx="897">
                  <c:v>8.9516670000000005</c:v>
                </c:pt>
                <c:pt idx="898">
                  <c:v>8.9616670000000003</c:v>
                </c:pt>
                <c:pt idx="899">
                  <c:v>8.9716670000000001</c:v>
                </c:pt>
                <c:pt idx="900">
                  <c:v>8.9816669999999998</c:v>
                </c:pt>
                <c:pt idx="901">
                  <c:v>8.9916669999999996</c:v>
                </c:pt>
                <c:pt idx="902">
                  <c:v>9.0016669999999994</c:v>
                </c:pt>
                <c:pt idx="903">
                  <c:v>9.0116669999999992</c:v>
                </c:pt>
                <c:pt idx="904">
                  <c:v>9.0216670000000008</c:v>
                </c:pt>
                <c:pt idx="905">
                  <c:v>9.0316670000000006</c:v>
                </c:pt>
                <c:pt idx="906">
                  <c:v>9.0416670000000003</c:v>
                </c:pt>
                <c:pt idx="907">
                  <c:v>9.0516670000000001</c:v>
                </c:pt>
                <c:pt idx="908">
                  <c:v>9.0616669999999999</c:v>
                </c:pt>
                <c:pt idx="909">
                  <c:v>9.0716669999999997</c:v>
                </c:pt>
                <c:pt idx="910">
                  <c:v>9.0816669999999995</c:v>
                </c:pt>
                <c:pt idx="911">
                  <c:v>9.0916669999999993</c:v>
                </c:pt>
                <c:pt idx="912">
                  <c:v>9.1016670000000008</c:v>
                </c:pt>
                <c:pt idx="913">
                  <c:v>9.1116670000000006</c:v>
                </c:pt>
                <c:pt idx="914">
                  <c:v>9.1216670000000004</c:v>
                </c:pt>
                <c:pt idx="915">
                  <c:v>9.1316670000000002</c:v>
                </c:pt>
                <c:pt idx="916">
                  <c:v>9.141667</c:v>
                </c:pt>
                <c:pt idx="917">
                  <c:v>9.1516669999999998</c:v>
                </c:pt>
                <c:pt idx="918">
                  <c:v>9.1616669999999996</c:v>
                </c:pt>
                <c:pt idx="919">
                  <c:v>9.1716669999999993</c:v>
                </c:pt>
                <c:pt idx="920">
                  <c:v>9.1816669999999991</c:v>
                </c:pt>
                <c:pt idx="921">
                  <c:v>9.1916670000000007</c:v>
                </c:pt>
                <c:pt idx="922">
                  <c:v>9.2016670000000005</c:v>
                </c:pt>
                <c:pt idx="923">
                  <c:v>9.2116670000000003</c:v>
                </c:pt>
                <c:pt idx="924">
                  <c:v>9.2216670000000001</c:v>
                </c:pt>
                <c:pt idx="925">
                  <c:v>9.2316669999999998</c:v>
                </c:pt>
                <c:pt idx="926">
                  <c:v>9.2416669999999996</c:v>
                </c:pt>
                <c:pt idx="927">
                  <c:v>9.2516669999999994</c:v>
                </c:pt>
                <c:pt idx="928">
                  <c:v>9.2616669999999992</c:v>
                </c:pt>
                <c:pt idx="929">
                  <c:v>9.2716670000000008</c:v>
                </c:pt>
                <c:pt idx="930">
                  <c:v>9.2816670000000006</c:v>
                </c:pt>
                <c:pt idx="931">
                  <c:v>9.2916670000000003</c:v>
                </c:pt>
                <c:pt idx="932">
                  <c:v>9.3016670000000001</c:v>
                </c:pt>
                <c:pt idx="933">
                  <c:v>9.3116669999999999</c:v>
                </c:pt>
                <c:pt idx="934">
                  <c:v>9.3216669999999997</c:v>
                </c:pt>
                <c:pt idx="935">
                  <c:v>9.3316669999999995</c:v>
                </c:pt>
                <c:pt idx="936">
                  <c:v>9.3416669999999993</c:v>
                </c:pt>
                <c:pt idx="937">
                  <c:v>9.3516670000000008</c:v>
                </c:pt>
                <c:pt idx="938">
                  <c:v>9.3616670000000006</c:v>
                </c:pt>
                <c:pt idx="939">
                  <c:v>9.3716670000000004</c:v>
                </c:pt>
                <c:pt idx="940">
                  <c:v>9.3816670000000002</c:v>
                </c:pt>
                <c:pt idx="941">
                  <c:v>9.391667</c:v>
                </c:pt>
                <c:pt idx="942">
                  <c:v>9.4016669999999998</c:v>
                </c:pt>
                <c:pt idx="943">
                  <c:v>9.4116669999999996</c:v>
                </c:pt>
                <c:pt idx="944">
                  <c:v>9.4216669999999993</c:v>
                </c:pt>
                <c:pt idx="945">
                  <c:v>9.4316669999999991</c:v>
                </c:pt>
                <c:pt idx="946">
                  <c:v>9.4416670000000007</c:v>
                </c:pt>
                <c:pt idx="947">
                  <c:v>9.4516670000000005</c:v>
                </c:pt>
                <c:pt idx="948">
                  <c:v>9.4616670000000003</c:v>
                </c:pt>
                <c:pt idx="949">
                  <c:v>9.4716670000000001</c:v>
                </c:pt>
                <c:pt idx="950">
                  <c:v>9.4816669999999998</c:v>
                </c:pt>
                <c:pt idx="951">
                  <c:v>9.4916669999999996</c:v>
                </c:pt>
                <c:pt idx="952">
                  <c:v>9.5016669999999994</c:v>
                </c:pt>
                <c:pt idx="953">
                  <c:v>9.5116669999999992</c:v>
                </c:pt>
                <c:pt idx="954">
                  <c:v>9.5216670000000008</c:v>
                </c:pt>
                <c:pt idx="955">
                  <c:v>9.5316670000000006</c:v>
                </c:pt>
                <c:pt idx="956">
                  <c:v>9.5416670000000003</c:v>
                </c:pt>
                <c:pt idx="957">
                  <c:v>9.5516670000000001</c:v>
                </c:pt>
                <c:pt idx="958">
                  <c:v>9.5616669999999999</c:v>
                </c:pt>
                <c:pt idx="959">
                  <c:v>9.5716669999999997</c:v>
                </c:pt>
                <c:pt idx="960">
                  <c:v>9.5816669999999995</c:v>
                </c:pt>
                <c:pt idx="961">
                  <c:v>9.5916669999999993</c:v>
                </c:pt>
                <c:pt idx="962">
                  <c:v>9.6016670000000008</c:v>
                </c:pt>
                <c:pt idx="963">
                  <c:v>9.6116670000000006</c:v>
                </c:pt>
                <c:pt idx="964">
                  <c:v>9.6216670000000004</c:v>
                </c:pt>
                <c:pt idx="965">
                  <c:v>9.6316670000000002</c:v>
                </c:pt>
                <c:pt idx="966">
                  <c:v>9.641667</c:v>
                </c:pt>
                <c:pt idx="967">
                  <c:v>9.6516669999999998</c:v>
                </c:pt>
                <c:pt idx="968">
                  <c:v>9.6616669999999996</c:v>
                </c:pt>
                <c:pt idx="969">
                  <c:v>9.6716669999999993</c:v>
                </c:pt>
                <c:pt idx="970">
                  <c:v>9.6816669999999991</c:v>
                </c:pt>
                <c:pt idx="971">
                  <c:v>9.6916670000000007</c:v>
                </c:pt>
                <c:pt idx="972">
                  <c:v>9.7016670000000005</c:v>
                </c:pt>
                <c:pt idx="973">
                  <c:v>9.7116670000000003</c:v>
                </c:pt>
                <c:pt idx="974">
                  <c:v>9.7216670000000001</c:v>
                </c:pt>
                <c:pt idx="975">
                  <c:v>9.7316669999999998</c:v>
                </c:pt>
                <c:pt idx="976">
                  <c:v>9.7416669999999996</c:v>
                </c:pt>
                <c:pt idx="977">
                  <c:v>9.7516669999999994</c:v>
                </c:pt>
                <c:pt idx="978">
                  <c:v>9.7616669999999992</c:v>
                </c:pt>
                <c:pt idx="979">
                  <c:v>9.7716670000000008</c:v>
                </c:pt>
                <c:pt idx="980">
                  <c:v>9.7816670000000006</c:v>
                </c:pt>
                <c:pt idx="981">
                  <c:v>9.7916670000000003</c:v>
                </c:pt>
                <c:pt idx="982">
                  <c:v>9.8016670000000001</c:v>
                </c:pt>
                <c:pt idx="983">
                  <c:v>9.8116669999999999</c:v>
                </c:pt>
                <c:pt idx="984">
                  <c:v>9.8216669999999997</c:v>
                </c:pt>
                <c:pt idx="985">
                  <c:v>9.8316669999999995</c:v>
                </c:pt>
                <c:pt idx="986">
                  <c:v>9.8416669999999993</c:v>
                </c:pt>
                <c:pt idx="987">
                  <c:v>9.8516670000000008</c:v>
                </c:pt>
                <c:pt idx="988">
                  <c:v>9.8616670000000006</c:v>
                </c:pt>
                <c:pt idx="989">
                  <c:v>9.8716670000000004</c:v>
                </c:pt>
                <c:pt idx="990">
                  <c:v>9.8816670000000002</c:v>
                </c:pt>
                <c:pt idx="991">
                  <c:v>9.891667</c:v>
                </c:pt>
                <c:pt idx="992">
                  <c:v>9.9016669999999998</c:v>
                </c:pt>
                <c:pt idx="993">
                  <c:v>9.9116669999999996</c:v>
                </c:pt>
                <c:pt idx="994">
                  <c:v>9.9216669999999993</c:v>
                </c:pt>
                <c:pt idx="995">
                  <c:v>9.9316669999999991</c:v>
                </c:pt>
                <c:pt idx="996">
                  <c:v>9.9416670000000007</c:v>
                </c:pt>
                <c:pt idx="997">
                  <c:v>9.9516670000000005</c:v>
                </c:pt>
                <c:pt idx="998">
                  <c:v>9.9616670000000003</c:v>
                </c:pt>
                <c:pt idx="999">
                  <c:v>9.9716670000000001</c:v>
                </c:pt>
                <c:pt idx="1000">
                  <c:v>9.9816669999999998</c:v>
                </c:pt>
                <c:pt idx="1001">
                  <c:v>9.9916669999999996</c:v>
                </c:pt>
                <c:pt idx="1002">
                  <c:v>10.001666999999999</c:v>
                </c:pt>
                <c:pt idx="1003">
                  <c:v>10.011666999999999</c:v>
                </c:pt>
                <c:pt idx="1004">
                  <c:v>10.021667000000001</c:v>
                </c:pt>
                <c:pt idx="1005">
                  <c:v>10.031667000000001</c:v>
                </c:pt>
                <c:pt idx="1006">
                  <c:v>10.041667</c:v>
                </c:pt>
                <c:pt idx="1007">
                  <c:v>10.051667</c:v>
                </c:pt>
                <c:pt idx="1008">
                  <c:v>10.061667</c:v>
                </c:pt>
                <c:pt idx="1009">
                  <c:v>10.071667</c:v>
                </c:pt>
                <c:pt idx="1010">
                  <c:v>10.081666999999999</c:v>
                </c:pt>
                <c:pt idx="1011">
                  <c:v>10.091666999999999</c:v>
                </c:pt>
                <c:pt idx="1012">
                  <c:v>10.101667000000001</c:v>
                </c:pt>
                <c:pt idx="1013">
                  <c:v>10.111667000000001</c:v>
                </c:pt>
                <c:pt idx="1014">
                  <c:v>10.121667</c:v>
                </c:pt>
                <c:pt idx="1015">
                  <c:v>10.131667</c:v>
                </c:pt>
                <c:pt idx="1016">
                  <c:v>10.141667</c:v>
                </c:pt>
                <c:pt idx="1017">
                  <c:v>10.151667</c:v>
                </c:pt>
                <c:pt idx="1018">
                  <c:v>10.161667</c:v>
                </c:pt>
                <c:pt idx="1019">
                  <c:v>10.171666999999999</c:v>
                </c:pt>
                <c:pt idx="1020">
                  <c:v>10.181666999999999</c:v>
                </c:pt>
                <c:pt idx="1021">
                  <c:v>10.191667000000001</c:v>
                </c:pt>
                <c:pt idx="1022">
                  <c:v>10.201667</c:v>
                </c:pt>
                <c:pt idx="1023">
                  <c:v>10.211667</c:v>
                </c:pt>
                <c:pt idx="1024">
                  <c:v>10.221667</c:v>
                </c:pt>
                <c:pt idx="1025">
                  <c:v>10.231667</c:v>
                </c:pt>
                <c:pt idx="1026">
                  <c:v>10.241667</c:v>
                </c:pt>
                <c:pt idx="1027">
                  <c:v>10.251666999999999</c:v>
                </c:pt>
                <c:pt idx="1028">
                  <c:v>10.261666999999999</c:v>
                </c:pt>
                <c:pt idx="1029">
                  <c:v>10.271667000000001</c:v>
                </c:pt>
                <c:pt idx="1030">
                  <c:v>10.281667000000001</c:v>
                </c:pt>
                <c:pt idx="1031">
                  <c:v>10.291667</c:v>
                </c:pt>
                <c:pt idx="1032">
                  <c:v>10.301667</c:v>
                </c:pt>
                <c:pt idx="1033">
                  <c:v>10.311667</c:v>
                </c:pt>
                <c:pt idx="1034">
                  <c:v>10.321667</c:v>
                </c:pt>
                <c:pt idx="1035">
                  <c:v>10.331666999999999</c:v>
                </c:pt>
                <c:pt idx="1036">
                  <c:v>10.341666999999999</c:v>
                </c:pt>
                <c:pt idx="1037">
                  <c:v>10.351667000000001</c:v>
                </c:pt>
                <c:pt idx="1038">
                  <c:v>10.361667000000001</c:v>
                </c:pt>
                <c:pt idx="1039">
                  <c:v>10.371667</c:v>
                </c:pt>
                <c:pt idx="1040">
                  <c:v>10.381667</c:v>
                </c:pt>
                <c:pt idx="1041">
                  <c:v>10.391667</c:v>
                </c:pt>
                <c:pt idx="1042">
                  <c:v>10.401667</c:v>
                </c:pt>
                <c:pt idx="1043">
                  <c:v>10.411667</c:v>
                </c:pt>
                <c:pt idx="1044">
                  <c:v>10.421666999999999</c:v>
                </c:pt>
                <c:pt idx="1045">
                  <c:v>10.431666999999999</c:v>
                </c:pt>
                <c:pt idx="1046">
                  <c:v>10.441667000000001</c:v>
                </c:pt>
                <c:pt idx="1047">
                  <c:v>10.451667</c:v>
                </c:pt>
                <c:pt idx="1048">
                  <c:v>10.461667</c:v>
                </c:pt>
                <c:pt idx="1049">
                  <c:v>10.471667</c:v>
                </c:pt>
                <c:pt idx="1050">
                  <c:v>10.481667</c:v>
                </c:pt>
                <c:pt idx="1051">
                  <c:v>10.491667</c:v>
                </c:pt>
                <c:pt idx="1052">
                  <c:v>10.501666999999999</c:v>
                </c:pt>
                <c:pt idx="1053">
                  <c:v>10.511666999999999</c:v>
                </c:pt>
                <c:pt idx="1054">
                  <c:v>10.521667000000001</c:v>
                </c:pt>
                <c:pt idx="1055">
                  <c:v>10.531667000000001</c:v>
                </c:pt>
                <c:pt idx="1056">
                  <c:v>10.541667</c:v>
                </c:pt>
                <c:pt idx="1057">
                  <c:v>10.551667</c:v>
                </c:pt>
                <c:pt idx="1058">
                  <c:v>10.561667</c:v>
                </c:pt>
                <c:pt idx="1059">
                  <c:v>10.571667</c:v>
                </c:pt>
                <c:pt idx="1060">
                  <c:v>10.581666999999999</c:v>
                </c:pt>
                <c:pt idx="1061">
                  <c:v>10.591666999999999</c:v>
                </c:pt>
                <c:pt idx="1062">
                  <c:v>10.601667000000001</c:v>
                </c:pt>
                <c:pt idx="1063">
                  <c:v>10.611667000000001</c:v>
                </c:pt>
                <c:pt idx="1064">
                  <c:v>10.621667</c:v>
                </c:pt>
                <c:pt idx="1065">
                  <c:v>10.631667</c:v>
                </c:pt>
                <c:pt idx="1066">
                  <c:v>10.641667</c:v>
                </c:pt>
                <c:pt idx="1067">
                  <c:v>10.651667</c:v>
                </c:pt>
                <c:pt idx="1068">
                  <c:v>10.661667</c:v>
                </c:pt>
                <c:pt idx="1069">
                  <c:v>10.671666999999999</c:v>
                </c:pt>
                <c:pt idx="1070">
                  <c:v>10.681666999999999</c:v>
                </c:pt>
                <c:pt idx="1071">
                  <c:v>10.691667000000001</c:v>
                </c:pt>
                <c:pt idx="1072">
                  <c:v>10.701667</c:v>
                </c:pt>
                <c:pt idx="1073">
                  <c:v>10.711667</c:v>
                </c:pt>
                <c:pt idx="1074">
                  <c:v>10.721667</c:v>
                </c:pt>
                <c:pt idx="1075">
                  <c:v>10.731667</c:v>
                </c:pt>
                <c:pt idx="1076">
                  <c:v>10.741667</c:v>
                </c:pt>
                <c:pt idx="1077">
                  <c:v>10.751666999999999</c:v>
                </c:pt>
                <c:pt idx="1078">
                  <c:v>10.761666999999999</c:v>
                </c:pt>
                <c:pt idx="1079">
                  <c:v>10.771667000000001</c:v>
                </c:pt>
                <c:pt idx="1080">
                  <c:v>10.781667000000001</c:v>
                </c:pt>
                <c:pt idx="1081">
                  <c:v>10.791667</c:v>
                </c:pt>
                <c:pt idx="1082">
                  <c:v>10.801667</c:v>
                </c:pt>
                <c:pt idx="1083">
                  <c:v>10.811667</c:v>
                </c:pt>
                <c:pt idx="1084">
                  <c:v>10.821667</c:v>
                </c:pt>
                <c:pt idx="1085">
                  <c:v>10.831666999999999</c:v>
                </c:pt>
                <c:pt idx="1086">
                  <c:v>10.841666999999999</c:v>
                </c:pt>
                <c:pt idx="1087">
                  <c:v>10.851667000000001</c:v>
                </c:pt>
                <c:pt idx="1088">
                  <c:v>10.861667000000001</c:v>
                </c:pt>
                <c:pt idx="1089">
                  <c:v>10.871667</c:v>
                </c:pt>
                <c:pt idx="1090">
                  <c:v>10.881667</c:v>
                </c:pt>
                <c:pt idx="1091">
                  <c:v>10.891667</c:v>
                </c:pt>
                <c:pt idx="1092">
                  <c:v>10.901667</c:v>
                </c:pt>
                <c:pt idx="1093">
                  <c:v>10.911667</c:v>
                </c:pt>
                <c:pt idx="1094">
                  <c:v>10.921666999999999</c:v>
                </c:pt>
                <c:pt idx="1095">
                  <c:v>10.931666999999999</c:v>
                </c:pt>
                <c:pt idx="1096">
                  <c:v>10.941667000000001</c:v>
                </c:pt>
                <c:pt idx="1097">
                  <c:v>10.951667</c:v>
                </c:pt>
                <c:pt idx="1098">
                  <c:v>10.961667</c:v>
                </c:pt>
                <c:pt idx="1099">
                  <c:v>10.971667</c:v>
                </c:pt>
                <c:pt idx="1100">
                  <c:v>10.981667</c:v>
                </c:pt>
                <c:pt idx="1101">
                  <c:v>10.991667</c:v>
                </c:pt>
                <c:pt idx="1102">
                  <c:v>11.001666999999999</c:v>
                </c:pt>
                <c:pt idx="1103">
                  <c:v>11.011666999999999</c:v>
                </c:pt>
                <c:pt idx="1104">
                  <c:v>11.021667000000001</c:v>
                </c:pt>
                <c:pt idx="1105">
                  <c:v>11.031667000000001</c:v>
                </c:pt>
                <c:pt idx="1106">
                  <c:v>11.041667</c:v>
                </c:pt>
                <c:pt idx="1107">
                  <c:v>11.051667</c:v>
                </c:pt>
                <c:pt idx="1108">
                  <c:v>11.061667</c:v>
                </c:pt>
                <c:pt idx="1109">
                  <c:v>11.071667</c:v>
                </c:pt>
                <c:pt idx="1110">
                  <c:v>11.081666999999999</c:v>
                </c:pt>
                <c:pt idx="1111">
                  <c:v>11.091666999999999</c:v>
                </c:pt>
                <c:pt idx="1112">
                  <c:v>11.101667000000001</c:v>
                </c:pt>
                <c:pt idx="1113">
                  <c:v>11.111667000000001</c:v>
                </c:pt>
                <c:pt idx="1114">
                  <c:v>11.121667</c:v>
                </c:pt>
                <c:pt idx="1115">
                  <c:v>11.131667</c:v>
                </c:pt>
                <c:pt idx="1116">
                  <c:v>11.141667</c:v>
                </c:pt>
                <c:pt idx="1117">
                  <c:v>11.151667</c:v>
                </c:pt>
                <c:pt idx="1118">
                  <c:v>11.161667</c:v>
                </c:pt>
                <c:pt idx="1119">
                  <c:v>11.171666999999999</c:v>
                </c:pt>
                <c:pt idx="1120">
                  <c:v>11.181666999999999</c:v>
                </c:pt>
                <c:pt idx="1121">
                  <c:v>11.191667000000001</c:v>
                </c:pt>
                <c:pt idx="1122">
                  <c:v>11.201667</c:v>
                </c:pt>
                <c:pt idx="1123">
                  <c:v>11.211667</c:v>
                </c:pt>
                <c:pt idx="1124">
                  <c:v>11.221667</c:v>
                </c:pt>
                <c:pt idx="1125">
                  <c:v>11.231667</c:v>
                </c:pt>
                <c:pt idx="1126">
                  <c:v>11.241667</c:v>
                </c:pt>
                <c:pt idx="1127">
                  <c:v>11.251666999999999</c:v>
                </c:pt>
                <c:pt idx="1128">
                  <c:v>11.261666999999999</c:v>
                </c:pt>
                <c:pt idx="1129">
                  <c:v>11.271667000000001</c:v>
                </c:pt>
                <c:pt idx="1130">
                  <c:v>11.281667000000001</c:v>
                </c:pt>
                <c:pt idx="1131">
                  <c:v>11.291667</c:v>
                </c:pt>
                <c:pt idx="1132">
                  <c:v>11.301667</c:v>
                </c:pt>
                <c:pt idx="1133">
                  <c:v>11.311667</c:v>
                </c:pt>
                <c:pt idx="1134">
                  <c:v>11.321667</c:v>
                </c:pt>
                <c:pt idx="1135">
                  <c:v>11.331666999999999</c:v>
                </c:pt>
                <c:pt idx="1136">
                  <c:v>11.341666999999999</c:v>
                </c:pt>
                <c:pt idx="1137">
                  <c:v>11.351667000000001</c:v>
                </c:pt>
                <c:pt idx="1138">
                  <c:v>11.361667000000001</c:v>
                </c:pt>
                <c:pt idx="1139">
                  <c:v>11.371667</c:v>
                </c:pt>
                <c:pt idx="1140">
                  <c:v>11.381667</c:v>
                </c:pt>
                <c:pt idx="1141">
                  <c:v>11.391667</c:v>
                </c:pt>
                <c:pt idx="1142">
                  <c:v>11.401667</c:v>
                </c:pt>
                <c:pt idx="1143">
                  <c:v>11.411667</c:v>
                </c:pt>
                <c:pt idx="1144">
                  <c:v>11.421666999999999</c:v>
                </c:pt>
                <c:pt idx="1145">
                  <c:v>11.431666999999999</c:v>
                </c:pt>
                <c:pt idx="1146">
                  <c:v>11.441667000000001</c:v>
                </c:pt>
                <c:pt idx="1147">
                  <c:v>11.451667</c:v>
                </c:pt>
                <c:pt idx="1148">
                  <c:v>11.461667</c:v>
                </c:pt>
                <c:pt idx="1149">
                  <c:v>11.471667</c:v>
                </c:pt>
                <c:pt idx="1150">
                  <c:v>11.481667</c:v>
                </c:pt>
                <c:pt idx="1151">
                  <c:v>11.491667</c:v>
                </c:pt>
                <c:pt idx="1152">
                  <c:v>11.501666999999999</c:v>
                </c:pt>
                <c:pt idx="1153">
                  <c:v>11.511666999999999</c:v>
                </c:pt>
                <c:pt idx="1154">
                  <c:v>11.521667000000001</c:v>
                </c:pt>
                <c:pt idx="1155">
                  <c:v>11.531667000000001</c:v>
                </c:pt>
                <c:pt idx="1156">
                  <c:v>11.541667</c:v>
                </c:pt>
                <c:pt idx="1157">
                  <c:v>11.551667</c:v>
                </c:pt>
                <c:pt idx="1158">
                  <c:v>11.561667</c:v>
                </c:pt>
                <c:pt idx="1159">
                  <c:v>11.571667</c:v>
                </c:pt>
                <c:pt idx="1160">
                  <c:v>11.581666999999999</c:v>
                </c:pt>
                <c:pt idx="1161">
                  <c:v>11.591666999999999</c:v>
                </c:pt>
                <c:pt idx="1162">
                  <c:v>11.601667000000001</c:v>
                </c:pt>
                <c:pt idx="1163">
                  <c:v>11.611667000000001</c:v>
                </c:pt>
                <c:pt idx="1164">
                  <c:v>11.621667</c:v>
                </c:pt>
                <c:pt idx="1165">
                  <c:v>11.631667</c:v>
                </c:pt>
                <c:pt idx="1166">
                  <c:v>11.641667</c:v>
                </c:pt>
                <c:pt idx="1167">
                  <c:v>11.651667</c:v>
                </c:pt>
                <c:pt idx="1168">
                  <c:v>11.661667</c:v>
                </c:pt>
                <c:pt idx="1169">
                  <c:v>11.671666999999999</c:v>
                </c:pt>
                <c:pt idx="1170">
                  <c:v>11.681666999999999</c:v>
                </c:pt>
                <c:pt idx="1171">
                  <c:v>11.691667000000001</c:v>
                </c:pt>
                <c:pt idx="1172">
                  <c:v>11.701667</c:v>
                </c:pt>
                <c:pt idx="1173">
                  <c:v>11.711667</c:v>
                </c:pt>
                <c:pt idx="1174">
                  <c:v>11.721667</c:v>
                </c:pt>
                <c:pt idx="1175">
                  <c:v>11.731667</c:v>
                </c:pt>
                <c:pt idx="1176">
                  <c:v>11.741667</c:v>
                </c:pt>
                <c:pt idx="1177">
                  <c:v>11.751666999999999</c:v>
                </c:pt>
                <c:pt idx="1178">
                  <c:v>11.761666999999999</c:v>
                </c:pt>
                <c:pt idx="1179">
                  <c:v>11.771667000000001</c:v>
                </c:pt>
                <c:pt idx="1180">
                  <c:v>11.781667000000001</c:v>
                </c:pt>
                <c:pt idx="1181">
                  <c:v>11.791667</c:v>
                </c:pt>
                <c:pt idx="1182">
                  <c:v>11.801667</c:v>
                </c:pt>
                <c:pt idx="1183">
                  <c:v>11.811667</c:v>
                </c:pt>
                <c:pt idx="1184">
                  <c:v>11.821667</c:v>
                </c:pt>
                <c:pt idx="1185">
                  <c:v>11.831666999999999</c:v>
                </c:pt>
                <c:pt idx="1186">
                  <c:v>11.841666999999999</c:v>
                </c:pt>
                <c:pt idx="1187">
                  <c:v>11.851667000000001</c:v>
                </c:pt>
                <c:pt idx="1188">
                  <c:v>11.861667000000001</c:v>
                </c:pt>
                <c:pt idx="1189">
                  <c:v>11.871667</c:v>
                </c:pt>
                <c:pt idx="1190">
                  <c:v>11.881667</c:v>
                </c:pt>
                <c:pt idx="1191">
                  <c:v>11.891667</c:v>
                </c:pt>
                <c:pt idx="1192">
                  <c:v>11.901667</c:v>
                </c:pt>
                <c:pt idx="1193">
                  <c:v>11.911667</c:v>
                </c:pt>
                <c:pt idx="1194">
                  <c:v>11.921666999999999</c:v>
                </c:pt>
                <c:pt idx="1195">
                  <c:v>11.931666999999999</c:v>
                </c:pt>
                <c:pt idx="1196">
                  <c:v>11.941667000000001</c:v>
                </c:pt>
                <c:pt idx="1197">
                  <c:v>11.951667</c:v>
                </c:pt>
                <c:pt idx="1198">
                  <c:v>11.961667</c:v>
                </c:pt>
                <c:pt idx="1199">
                  <c:v>11.971667</c:v>
                </c:pt>
                <c:pt idx="1200">
                  <c:v>11.981667</c:v>
                </c:pt>
                <c:pt idx="1201">
                  <c:v>11.991667</c:v>
                </c:pt>
                <c:pt idx="1202">
                  <c:v>12.001666999999999</c:v>
                </c:pt>
                <c:pt idx="1203">
                  <c:v>12.011666999999999</c:v>
                </c:pt>
                <c:pt idx="1204">
                  <c:v>12.021667000000001</c:v>
                </c:pt>
                <c:pt idx="1205">
                  <c:v>12.031667000000001</c:v>
                </c:pt>
                <c:pt idx="1206">
                  <c:v>12.041667</c:v>
                </c:pt>
                <c:pt idx="1207">
                  <c:v>12.051667</c:v>
                </c:pt>
                <c:pt idx="1208">
                  <c:v>12.061667</c:v>
                </c:pt>
                <c:pt idx="1209">
                  <c:v>12.071667</c:v>
                </c:pt>
                <c:pt idx="1210">
                  <c:v>12.081666999999999</c:v>
                </c:pt>
                <c:pt idx="1211">
                  <c:v>12.091666999999999</c:v>
                </c:pt>
                <c:pt idx="1212">
                  <c:v>12.101667000000001</c:v>
                </c:pt>
                <c:pt idx="1213">
                  <c:v>12.111667000000001</c:v>
                </c:pt>
                <c:pt idx="1214">
                  <c:v>12.121667</c:v>
                </c:pt>
                <c:pt idx="1215">
                  <c:v>12.131667</c:v>
                </c:pt>
                <c:pt idx="1216">
                  <c:v>12.141667</c:v>
                </c:pt>
                <c:pt idx="1217">
                  <c:v>12.151667</c:v>
                </c:pt>
                <c:pt idx="1218">
                  <c:v>12.161667</c:v>
                </c:pt>
                <c:pt idx="1219">
                  <c:v>12.171666999999999</c:v>
                </c:pt>
                <c:pt idx="1220">
                  <c:v>12.181666999999999</c:v>
                </c:pt>
                <c:pt idx="1221">
                  <c:v>12.191667000000001</c:v>
                </c:pt>
                <c:pt idx="1222">
                  <c:v>12.201667</c:v>
                </c:pt>
                <c:pt idx="1223">
                  <c:v>12.211667</c:v>
                </c:pt>
                <c:pt idx="1224">
                  <c:v>12.221667</c:v>
                </c:pt>
                <c:pt idx="1225">
                  <c:v>12.231667</c:v>
                </c:pt>
                <c:pt idx="1226">
                  <c:v>12.241667</c:v>
                </c:pt>
                <c:pt idx="1227">
                  <c:v>12.251666999999999</c:v>
                </c:pt>
                <c:pt idx="1228">
                  <c:v>12.261666999999999</c:v>
                </c:pt>
                <c:pt idx="1229">
                  <c:v>12.271667000000001</c:v>
                </c:pt>
                <c:pt idx="1230">
                  <c:v>12.281667000000001</c:v>
                </c:pt>
                <c:pt idx="1231">
                  <c:v>12.291667</c:v>
                </c:pt>
                <c:pt idx="1232">
                  <c:v>12.301667</c:v>
                </c:pt>
                <c:pt idx="1233">
                  <c:v>12.311667</c:v>
                </c:pt>
                <c:pt idx="1234">
                  <c:v>12.321667</c:v>
                </c:pt>
                <c:pt idx="1235">
                  <c:v>12.331666999999999</c:v>
                </c:pt>
                <c:pt idx="1236">
                  <c:v>12.341666999999999</c:v>
                </c:pt>
                <c:pt idx="1237">
                  <c:v>12.351667000000001</c:v>
                </c:pt>
                <c:pt idx="1238">
                  <c:v>12.361667000000001</c:v>
                </c:pt>
                <c:pt idx="1239">
                  <c:v>12.371667</c:v>
                </c:pt>
                <c:pt idx="1240">
                  <c:v>12.381667</c:v>
                </c:pt>
                <c:pt idx="1241">
                  <c:v>12.391667</c:v>
                </c:pt>
                <c:pt idx="1242">
                  <c:v>12.401667</c:v>
                </c:pt>
                <c:pt idx="1243">
                  <c:v>12.411667</c:v>
                </c:pt>
                <c:pt idx="1244">
                  <c:v>12.421666999999999</c:v>
                </c:pt>
                <c:pt idx="1245">
                  <c:v>12.431666999999999</c:v>
                </c:pt>
                <c:pt idx="1246">
                  <c:v>12.441667000000001</c:v>
                </c:pt>
                <c:pt idx="1247">
                  <c:v>12.451667</c:v>
                </c:pt>
                <c:pt idx="1248">
                  <c:v>12.461667</c:v>
                </c:pt>
                <c:pt idx="1249">
                  <c:v>12.471667</c:v>
                </c:pt>
                <c:pt idx="1250">
                  <c:v>12.481667</c:v>
                </c:pt>
                <c:pt idx="1251">
                  <c:v>12.491667</c:v>
                </c:pt>
                <c:pt idx="1252">
                  <c:v>12.501666999999999</c:v>
                </c:pt>
                <c:pt idx="1253">
                  <c:v>12.511666999999999</c:v>
                </c:pt>
                <c:pt idx="1254">
                  <c:v>12.521667000000001</c:v>
                </c:pt>
                <c:pt idx="1255">
                  <c:v>12.531667000000001</c:v>
                </c:pt>
                <c:pt idx="1256">
                  <c:v>12.541667</c:v>
                </c:pt>
                <c:pt idx="1257">
                  <c:v>12.551667</c:v>
                </c:pt>
                <c:pt idx="1258">
                  <c:v>12.561667</c:v>
                </c:pt>
                <c:pt idx="1259">
                  <c:v>12.571667</c:v>
                </c:pt>
                <c:pt idx="1260">
                  <c:v>12.581666999999999</c:v>
                </c:pt>
                <c:pt idx="1261">
                  <c:v>12.591666999999999</c:v>
                </c:pt>
                <c:pt idx="1262">
                  <c:v>12.601667000000001</c:v>
                </c:pt>
                <c:pt idx="1263">
                  <c:v>12.611667000000001</c:v>
                </c:pt>
                <c:pt idx="1264">
                  <c:v>12.621667</c:v>
                </c:pt>
                <c:pt idx="1265">
                  <c:v>12.631667</c:v>
                </c:pt>
                <c:pt idx="1266">
                  <c:v>12.641667</c:v>
                </c:pt>
                <c:pt idx="1267">
                  <c:v>12.651667</c:v>
                </c:pt>
                <c:pt idx="1268">
                  <c:v>12.661667</c:v>
                </c:pt>
                <c:pt idx="1269">
                  <c:v>12.671666999999999</c:v>
                </c:pt>
                <c:pt idx="1270">
                  <c:v>12.681666999999999</c:v>
                </c:pt>
                <c:pt idx="1271">
                  <c:v>12.691667000000001</c:v>
                </c:pt>
                <c:pt idx="1272">
                  <c:v>12.701667</c:v>
                </c:pt>
                <c:pt idx="1273">
                  <c:v>12.711667</c:v>
                </c:pt>
                <c:pt idx="1274">
                  <c:v>12.721667</c:v>
                </c:pt>
                <c:pt idx="1275">
                  <c:v>12.731667</c:v>
                </c:pt>
                <c:pt idx="1276">
                  <c:v>12.741667</c:v>
                </c:pt>
                <c:pt idx="1277">
                  <c:v>12.751666999999999</c:v>
                </c:pt>
                <c:pt idx="1278">
                  <c:v>12.761666999999999</c:v>
                </c:pt>
                <c:pt idx="1279">
                  <c:v>12.771667000000001</c:v>
                </c:pt>
                <c:pt idx="1280">
                  <c:v>12.781667000000001</c:v>
                </c:pt>
                <c:pt idx="1281">
                  <c:v>12.791667</c:v>
                </c:pt>
                <c:pt idx="1282">
                  <c:v>12.801667</c:v>
                </c:pt>
                <c:pt idx="1283">
                  <c:v>12.811667</c:v>
                </c:pt>
                <c:pt idx="1284">
                  <c:v>12.821667</c:v>
                </c:pt>
                <c:pt idx="1285">
                  <c:v>12.831666999999999</c:v>
                </c:pt>
                <c:pt idx="1286">
                  <c:v>12.841666999999999</c:v>
                </c:pt>
                <c:pt idx="1287">
                  <c:v>12.851667000000001</c:v>
                </c:pt>
                <c:pt idx="1288">
                  <c:v>12.861667000000001</c:v>
                </c:pt>
                <c:pt idx="1289">
                  <c:v>12.871667</c:v>
                </c:pt>
                <c:pt idx="1290">
                  <c:v>12.881667</c:v>
                </c:pt>
                <c:pt idx="1291">
                  <c:v>12.891667</c:v>
                </c:pt>
                <c:pt idx="1292">
                  <c:v>12.901667</c:v>
                </c:pt>
                <c:pt idx="1293">
                  <c:v>12.911667</c:v>
                </c:pt>
                <c:pt idx="1294">
                  <c:v>12.921666999999999</c:v>
                </c:pt>
                <c:pt idx="1295">
                  <c:v>12.931666999999999</c:v>
                </c:pt>
                <c:pt idx="1296">
                  <c:v>12.941667000000001</c:v>
                </c:pt>
                <c:pt idx="1297">
                  <c:v>12.951667</c:v>
                </c:pt>
                <c:pt idx="1298">
                  <c:v>12.961667</c:v>
                </c:pt>
                <c:pt idx="1299">
                  <c:v>12.971667</c:v>
                </c:pt>
                <c:pt idx="1300">
                  <c:v>12.981667</c:v>
                </c:pt>
                <c:pt idx="1301">
                  <c:v>12.991667</c:v>
                </c:pt>
                <c:pt idx="1302">
                  <c:v>13.001666999999999</c:v>
                </c:pt>
                <c:pt idx="1303">
                  <c:v>13.011666999999999</c:v>
                </c:pt>
                <c:pt idx="1304">
                  <c:v>13.021667000000001</c:v>
                </c:pt>
                <c:pt idx="1305">
                  <c:v>13.031667000000001</c:v>
                </c:pt>
                <c:pt idx="1306">
                  <c:v>13.041667</c:v>
                </c:pt>
                <c:pt idx="1307">
                  <c:v>13.051667</c:v>
                </c:pt>
                <c:pt idx="1308">
                  <c:v>13.061667</c:v>
                </c:pt>
                <c:pt idx="1309">
                  <c:v>13.071667</c:v>
                </c:pt>
                <c:pt idx="1310">
                  <c:v>13.081666999999999</c:v>
                </c:pt>
                <c:pt idx="1311">
                  <c:v>13.091666999999999</c:v>
                </c:pt>
                <c:pt idx="1312">
                  <c:v>13.101667000000001</c:v>
                </c:pt>
                <c:pt idx="1313">
                  <c:v>13.111667000000001</c:v>
                </c:pt>
                <c:pt idx="1314">
                  <c:v>13.121667</c:v>
                </c:pt>
                <c:pt idx="1315">
                  <c:v>13.131667</c:v>
                </c:pt>
                <c:pt idx="1316">
                  <c:v>13.141667</c:v>
                </c:pt>
                <c:pt idx="1317">
                  <c:v>13.151667</c:v>
                </c:pt>
                <c:pt idx="1318">
                  <c:v>13.161667</c:v>
                </c:pt>
                <c:pt idx="1319">
                  <c:v>13.171666999999999</c:v>
                </c:pt>
                <c:pt idx="1320">
                  <c:v>13.181666999999999</c:v>
                </c:pt>
                <c:pt idx="1321">
                  <c:v>13.191667000000001</c:v>
                </c:pt>
                <c:pt idx="1322">
                  <c:v>13.201667</c:v>
                </c:pt>
                <c:pt idx="1323">
                  <c:v>13.211667</c:v>
                </c:pt>
                <c:pt idx="1324">
                  <c:v>13.221667</c:v>
                </c:pt>
                <c:pt idx="1325">
                  <c:v>13.231667</c:v>
                </c:pt>
                <c:pt idx="1326">
                  <c:v>13.241667</c:v>
                </c:pt>
                <c:pt idx="1327">
                  <c:v>13.251666999999999</c:v>
                </c:pt>
                <c:pt idx="1328">
                  <c:v>13.261666999999999</c:v>
                </c:pt>
                <c:pt idx="1329">
                  <c:v>13.271667000000001</c:v>
                </c:pt>
                <c:pt idx="1330">
                  <c:v>13.281667000000001</c:v>
                </c:pt>
                <c:pt idx="1331">
                  <c:v>13.291667</c:v>
                </c:pt>
                <c:pt idx="1332">
                  <c:v>13.301667</c:v>
                </c:pt>
                <c:pt idx="1333">
                  <c:v>13.311667</c:v>
                </c:pt>
                <c:pt idx="1334">
                  <c:v>13.321667</c:v>
                </c:pt>
                <c:pt idx="1335">
                  <c:v>13.331666999999999</c:v>
                </c:pt>
                <c:pt idx="1336">
                  <c:v>13.341666999999999</c:v>
                </c:pt>
                <c:pt idx="1337">
                  <c:v>13.351667000000001</c:v>
                </c:pt>
                <c:pt idx="1338">
                  <c:v>13.361667000000001</c:v>
                </c:pt>
                <c:pt idx="1339">
                  <c:v>13.371667</c:v>
                </c:pt>
                <c:pt idx="1340">
                  <c:v>13.381667</c:v>
                </c:pt>
                <c:pt idx="1341">
                  <c:v>13.391667</c:v>
                </c:pt>
                <c:pt idx="1342">
                  <c:v>13.401667</c:v>
                </c:pt>
                <c:pt idx="1343">
                  <c:v>13.411667</c:v>
                </c:pt>
                <c:pt idx="1344">
                  <c:v>13.421666999999999</c:v>
                </c:pt>
                <c:pt idx="1345">
                  <c:v>13.431666999999999</c:v>
                </c:pt>
                <c:pt idx="1346">
                  <c:v>13.441667000000001</c:v>
                </c:pt>
                <c:pt idx="1347">
                  <c:v>13.451667</c:v>
                </c:pt>
                <c:pt idx="1348">
                  <c:v>13.461667</c:v>
                </c:pt>
                <c:pt idx="1349">
                  <c:v>13.471667</c:v>
                </c:pt>
                <c:pt idx="1350">
                  <c:v>13.481667</c:v>
                </c:pt>
                <c:pt idx="1351">
                  <c:v>13.491667</c:v>
                </c:pt>
                <c:pt idx="1352">
                  <c:v>13.501666999999999</c:v>
                </c:pt>
                <c:pt idx="1353">
                  <c:v>13.511666999999999</c:v>
                </c:pt>
                <c:pt idx="1354">
                  <c:v>13.521667000000001</c:v>
                </c:pt>
                <c:pt idx="1355">
                  <c:v>13.531667000000001</c:v>
                </c:pt>
                <c:pt idx="1356">
                  <c:v>13.541667</c:v>
                </c:pt>
                <c:pt idx="1357">
                  <c:v>13.551667</c:v>
                </c:pt>
                <c:pt idx="1358">
                  <c:v>13.561667</c:v>
                </c:pt>
                <c:pt idx="1359">
                  <c:v>13.571667</c:v>
                </c:pt>
                <c:pt idx="1360">
                  <c:v>13.581666999999999</c:v>
                </c:pt>
                <c:pt idx="1361">
                  <c:v>13.591666999999999</c:v>
                </c:pt>
                <c:pt idx="1362">
                  <c:v>13.601667000000001</c:v>
                </c:pt>
                <c:pt idx="1363">
                  <c:v>13.611667000000001</c:v>
                </c:pt>
                <c:pt idx="1364">
                  <c:v>13.621667</c:v>
                </c:pt>
                <c:pt idx="1365">
                  <c:v>13.631667</c:v>
                </c:pt>
                <c:pt idx="1366">
                  <c:v>13.641667</c:v>
                </c:pt>
                <c:pt idx="1367">
                  <c:v>13.651667</c:v>
                </c:pt>
                <c:pt idx="1368">
                  <c:v>13.661667</c:v>
                </c:pt>
                <c:pt idx="1369">
                  <c:v>13.671666999999999</c:v>
                </c:pt>
                <c:pt idx="1370">
                  <c:v>13.681666999999999</c:v>
                </c:pt>
                <c:pt idx="1371">
                  <c:v>13.691667000000001</c:v>
                </c:pt>
                <c:pt idx="1372">
                  <c:v>13.701667</c:v>
                </c:pt>
                <c:pt idx="1373">
                  <c:v>13.711667</c:v>
                </c:pt>
                <c:pt idx="1374">
                  <c:v>13.721667</c:v>
                </c:pt>
                <c:pt idx="1375">
                  <c:v>13.731667</c:v>
                </c:pt>
                <c:pt idx="1376">
                  <c:v>13.741667</c:v>
                </c:pt>
                <c:pt idx="1377">
                  <c:v>13.751666999999999</c:v>
                </c:pt>
                <c:pt idx="1378">
                  <c:v>13.761666999999999</c:v>
                </c:pt>
                <c:pt idx="1379">
                  <c:v>13.771667000000001</c:v>
                </c:pt>
                <c:pt idx="1380">
                  <c:v>13.781667000000001</c:v>
                </c:pt>
                <c:pt idx="1381">
                  <c:v>13.791667</c:v>
                </c:pt>
                <c:pt idx="1382">
                  <c:v>13.801667</c:v>
                </c:pt>
                <c:pt idx="1383">
                  <c:v>13.811667</c:v>
                </c:pt>
                <c:pt idx="1384">
                  <c:v>13.821667</c:v>
                </c:pt>
                <c:pt idx="1385">
                  <c:v>13.831666999999999</c:v>
                </c:pt>
                <c:pt idx="1386">
                  <c:v>13.841666999999999</c:v>
                </c:pt>
                <c:pt idx="1387">
                  <c:v>13.851667000000001</c:v>
                </c:pt>
                <c:pt idx="1388">
                  <c:v>13.861667000000001</c:v>
                </c:pt>
                <c:pt idx="1389">
                  <c:v>13.871667</c:v>
                </c:pt>
                <c:pt idx="1390">
                  <c:v>13.881667</c:v>
                </c:pt>
                <c:pt idx="1391">
                  <c:v>13.891667</c:v>
                </c:pt>
                <c:pt idx="1392">
                  <c:v>13.901667</c:v>
                </c:pt>
                <c:pt idx="1393">
                  <c:v>13.911667</c:v>
                </c:pt>
                <c:pt idx="1394">
                  <c:v>13.921666999999999</c:v>
                </c:pt>
                <c:pt idx="1395">
                  <c:v>13.931666999999999</c:v>
                </c:pt>
                <c:pt idx="1396">
                  <c:v>13.941667000000001</c:v>
                </c:pt>
                <c:pt idx="1397">
                  <c:v>13.951667</c:v>
                </c:pt>
                <c:pt idx="1398">
                  <c:v>13.961667</c:v>
                </c:pt>
                <c:pt idx="1399">
                  <c:v>13.971667</c:v>
                </c:pt>
                <c:pt idx="1400">
                  <c:v>13.981667</c:v>
                </c:pt>
                <c:pt idx="1401">
                  <c:v>13.991667</c:v>
                </c:pt>
                <c:pt idx="1402">
                  <c:v>14.001666999999999</c:v>
                </c:pt>
                <c:pt idx="1403">
                  <c:v>14.011666999999999</c:v>
                </c:pt>
                <c:pt idx="1404">
                  <c:v>14.021667000000001</c:v>
                </c:pt>
                <c:pt idx="1405">
                  <c:v>14.031667000000001</c:v>
                </c:pt>
                <c:pt idx="1406">
                  <c:v>14.041667</c:v>
                </c:pt>
                <c:pt idx="1407">
                  <c:v>14.051667</c:v>
                </c:pt>
                <c:pt idx="1408">
                  <c:v>14.061667</c:v>
                </c:pt>
                <c:pt idx="1409">
                  <c:v>14.071667</c:v>
                </c:pt>
                <c:pt idx="1410">
                  <c:v>14.081666999999999</c:v>
                </c:pt>
                <c:pt idx="1411">
                  <c:v>14.091666999999999</c:v>
                </c:pt>
                <c:pt idx="1412">
                  <c:v>14.101667000000001</c:v>
                </c:pt>
                <c:pt idx="1413">
                  <c:v>14.111667000000001</c:v>
                </c:pt>
                <c:pt idx="1414">
                  <c:v>14.121667</c:v>
                </c:pt>
                <c:pt idx="1415">
                  <c:v>14.131667</c:v>
                </c:pt>
                <c:pt idx="1416">
                  <c:v>14.141667</c:v>
                </c:pt>
                <c:pt idx="1417">
                  <c:v>14.151667</c:v>
                </c:pt>
                <c:pt idx="1418">
                  <c:v>14.161667</c:v>
                </c:pt>
                <c:pt idx="1419">
                  <c:v>14.171666999999999</c:v>
                </c:pt>
                <c:pt idx="1420">
                  <c:v>14.181666999999999</c:v>
                </c:pt>
                <c:pt idx="1421">
                  <c:v>14.191667000000001</c:v>
                </c:pt>
                <c:pt idx="1422">
                  <c:v>14.201667</c:v>
                </c:pt>
                <c:pt idx="1423">
                  <c:v>14.211667</c:v>
                </c:pt>
                <c:pt idx="1424">
                  <c:v>14.221667</c:v>
                </c:pt>
                <c:pt idx="1425">
                  <c:v>14.231667</c:v>
                </c:pt>
                <c:pt idx="1426">
                  <c:v>14.241667</c:v>
                </c:pt>
                <c:pt idx="1427">
                  <c:v>14.251666999999999</c:v>
                </c:pt>
                <c:pt idx="1428">
                  <c:v>14.261666999999999</c:v>
                </c:pt>
                <c:pt idx="1429">
                  <c:v>14.271667000000001</c:v>
                </c:pt>
                <c:pt idx="1430">
                  <c:v>14.281667000000001</c:v>
                </c:pt>
                <c:pt idx="1431">
                  <c:v>14.291667</c:v>
                </c:pt>
                <c:pt idx="1432">
                  <c:v>14.301667</c:v>
                </c:pt>
                <c:pt idx="1433">
                  <c:v>14.311667</c:v>
                </c:pt>
                <c:pt idx="1434">
                  <c:v>14.321667</c:v>
                </c:pt>
                <c:pt idx="1435">
                  <c:v>14.331666999999999</c:v>
                </c:pt>
                <c:pt idx="1436">
                  <c:v>14.341666999999999</c:v>
                </c:pt>
                <c:pt idx="1437">
                  <c:v>14.351667000000001</c:v>
                </c:pt>
                <c:pt idx="1438">
                  <c:v>14.361667000000001</c:v>
                </c:pt>
                <c:pt idx="1439">
                  <c:v>14.371667</c:v>
                </c:pt>
                <c:pt idx="1440">
                  <c:v>14.381667</c:v>
                </c:pt>
                <c:pt idx="1441">
                  <c:v>14.391667</c:v>
                </c:pt>
                <c:pt idx="1442">
                  <c:v>14.401667</c:v>
                </c:pt>
                <c:pt idx="1443">
                  <c:v>14.411667</c:v>
                </c:pt>
                <c:pt idx="1444">
                  <c:v>14.421666999999999</c:v>
                </c:pt>
                <c:pt idx="1445">
                  <c:v>14.431666999999999</c:v>
                </c:pt>
                <c:pt idx="1446">
                  <c:v>14.441667000000001</c:v>
                </c:pt>
                <c:pt idx="1447">
                  <c:v>14.451667</c:v>
                </c:pt>
                <c:pt idx="1448">
                  <c:v>14.461667</c:v>
                </c:pt>
                <c:pt idx="1449">
                  <c:v>14.471667</c:v>
                </c:pt>
                <c:pt idx="1450">
                  <c:v>14.481667</c:v>
                </c:pt>
                <c:pt idx="1451">
                  <c:v>14.491667</c:v>
                </c:pt>
                <c:pt idx="1452">
                  <c:v>14.501666999999999</c:v>
                </c:pt>
                <c:pt idx="1453">
                  <c:v>14.511666999999999</c:v>
                </c:pt>
                <c:pt idx="1454">
                  <c:v>14.521667000000001</c:v>
                </c:pt>
                <c:pt idx="1455">
                  <c:v>14.531667000000001</c:v>
                </c:pt>
                <c:pt idx="1456">
                  <c:v>14.541667</c:v>
                </c:pt>
                <c:pt idx="1457">
                  <c:v>14.551667</c:v>
                </c:pt>
                <c:pt idx="1458">
                  <c:v>14.561667</c:v>
                </c:pt>
                <c:pt idx="1459">
                  <c:v>14.571667</c:v>
                </c:pt>
                <c:pt idx="1460">
                  <c:v>14.581666999999999</c:v>
                </c:pt>
                <c:pt idx="1461">
                  <c:v>14.591666999999999</c:v>
                </c:pt>
                <c:pt idx="1462">
                  <c:v>14.601667000000001</c:v>
                </c:pt>
                <c:pt idx="1463">
                  <c:v>14.611667000000001</c:v>
                </c:pt>
                <c:pt idx="1464">
                  <c:v>14.621667</c:v>
                </c:pt>
                <c:pt idx="1465">
                  <c:v>14.631667</c:v>
                </c:pt>
                <c:pt idx="1466">
                  <c:v>14.641667</c:v>
                </c:pt>
                <c:pt idx="1467">
                  <c:v>14.651667</c:v>
                </c:pt>
                <c:pt idx="1468">
                  <c:v>14.661667</c:v>
                </c:pt>
                <c:pt idx="1469">
                  <c:v>14.671666999999999</c:v>
                </c:pt>
                <c:pt idx="1470">
                  <c:v>14.681666999999999</c:v>
                </c:pt>
                <c:pt idx="1471">
                  <c:v>14.691667000000001</c:v>
                </c:pt>
                <c:pt idx="1472">
                  <c:v>14.701667</c:v>
                </c:pt>
                <c:pt idx="1473">
                  <c:v>14.711667</c:v>
                </c:pt>
                <c:pt idx="1474">
                  <c:v>14.721667</c:v>
                </c:pt>
                <c:pt idx="1475">
                  <c:v>14.731667</c:v>
                </c:pt>
                <c:pt idx="1476">
                  <c:v>14.741667</c:v>
                </c:pt>
                <c:pt idx="1477">
                  <c:v>14.751666999999999</c:v>
                </c:pt>
                <c:pt idx="1478">
                  <c:v>14.761666999999999</c:v>
                </c:pt>
                <c:pt idx="1479">
                  <c:v>14.771667000000001</c:v>
                </c:pt>
                <c:pt idx="1480">
                  <c:v>14.781667000000001</c:v>
                </c:pt>
                <c:pt idx="1481">
                  <c:v>14.791667</c:v>
                </c:pt>
                <c:pt idx="1482">
                  <c:v>14.801667</c:v>
                </c:pt>
                <c:pt idx="1483">
                  <c:v>14.811667</c:v>
                </c:pt>
                <c:pt idx="1484">
                  <c:v>14.821667</c:v>
                </c:pt>
                <c:pt idx="1485">
                  <c:v>14.831666999999999</c:v>
                </c:pt>
                <c:pt idx="1486">
                  <c:v>14.841666999999999</c:v>
                </c:pt>
                <c:pt idx="1487">
                  <c:v>14.851667000000001</c:v>
                </c:pt>
                <c:pt idx="1488">
                  <c:v>14.861667000000001</c:v>
                </c:pt>
                <c:pt idx="1489">
                  <c:v>14.871667</c:v>
                </c:pt>
                <c:pt idx="1490">
                  <c:v>14.881667</c:v>
                </c:pt>
                <c:pt idx="1491">
                  <c:v>14.891667</c:v>
                </c:pt>
                <c:pt idx="1492">
                  <c:v>14.901667</c:v>
                </c:pt>
                <c:pt idx="1493">
                  <c:v>14.911667</c:v>
                </c:pt>
                <c:pt idx="1494">
                  <c:v>14.921666999999999</c:v>
                </c:pt>
                <c:pt idx="1495">
                  <c:v>14.931666999999999</c:v>
                </c:pt>
                <c:pt idx="1496">
                  <c:v>14.941667000000001</c:v>
                </c:pt>
                <c:pt idx="1497">
                  <c:v>14.951667</c:v>
                </c:pt>
                <c:pt idx="1498">
                  <c:v>14.961667</c:v>
                </c:pt>
                <c:pt idx="1499">
                  <c:v>14.971667</c:v>
                </c:pt>
                <c:pt idx="1500">
                  <c:v>14.981667</c:v>
                </c:pt>
                <c:pt idx="1501">
                  <c:v>14.991667</c:v>
                </c:pt>
                <c:pt idx="1502">
                  <c:v>15.001666999999999</c:v>
                </c:pt>
                <c:pt idx="1503">
                  <c:v>15.011666999999999</c:v>
                </c:pt>
                <c:pt idx="1504">
                  <c:v>15.021667000000001</c:v>
                </c:pt>
                <c:pt idx="1505">
                  <c:v>15.031667000000001</c:v>
                </c:pt>
                <c:pt idx="1506">
                  <c:v>15.041667</c:v>
                </c:pt>
                <c:pt idx="1507">
                  <c:v>15.051667</c:v>
                </c:pt>
                <c:pt idx="1508">
                  <c:v>15.061667</c:v>
                </c:pt>
                <c:pt idx="1509">
                  <c:v>15.071667</c:v>
                </c:pt>
                <c:pt idx="1510">
                  <c:v>15.081666999999999</c:v>
                </c:pt>
                <c:pt idx="1511">
                  <c:v>15.091666999999999</c:v>
                </c:pt>
                <c:pt idx="1512">
                  <c:v>15.101667000000001</c:v>
                </c:pt>
                <c:pt idx="1513">
                  <c:v>15.111667000000001</c:v>
                </c:pt>
                <c:pt idx="1514">
                  <c:v>15.121667</c:v>
                </c:pt>
                <c:pt idx="1515">
                  <c:v>15.131667</c:v>
                </c:pt>
                <c:pt idx="1516">
                  <c:v>15.141667</c:v>
                </c:pt>
                <c:pt idx="1517">
                  <c:v>15.151667</c:v>
                </c:pt>
                <c:pt idx="1518">
                  <c:v>15.161667</c:v>
                </c:pt>
                <c:pt idx="1519">
                  <c:v>15.171666999999999</c:v>
                </c:pt>
                <c:pt idx="1520">
                  <c:v>15.181666999999999</c:v>
                </c:pt>
                <c:pt idx="1521">
                  <c:v>15.191667000000001</c:v>
                </c:pt>
                <c:pt idx="1522">
                  <c:v>15.201667</c:v>
                </c:pt>
                <c:pt idx="1523">
                  <c:v>15.211667</c:v>
                </c:pt>
                <c:pt idx="1524">
                  <c:v>15.221667</c:v>
                </c:pt>
                <c:pt idx="1525">
                  <c:v>15.231667</c:v>
                </c:pt>
                <c:pt idx="1526">
                  <c:v>15.241667</c:v>
                </c:pt>
                <c:pt idx="1527">
                  <c:v>15.251666999999999</c:v>
                </c:pt>
                <c:pt idx="1528">
                  <c:v>15.261666999999999</c:v>
                </c:pt>
                <c:pt idx="1529">
                  <c:v>15.271667000000001</c:v>
                </c:pt>
                <c:pt idx="1530">
                  <c:v>15.281667000000001</c:v>
                </c:pt>
                <c:pt idx="1531">
                  <c:v>15.291667</c:v>
                </c:pt>
                <c:pt idx="1532">
                  <c:v>15.301667</c:v>
                </c:pt>
                <c:pt idx="1533">
                  <c:v>15.311667</c:v>
                </c:pt>
                <c:pt idx="1534">
                  <c:v>15.321667</c:v>
                </c:pt>
                <c:pt idx="1535">
                  <c:v>15.331666999999999</c:v>
                </c:pt>
                <c:pt idx="1536">
                  <c:v>15.341666999999999</c:v>
                </c:pt>
                <c:pt idx="1537">
                  <c:v>15.351667000000001</c:v>
                </c:pt>
                <c:pt idx="1538">
                  <c:v>15.361667000000001</c:v>
                </c:pt>
                <c:pt idx="1539">
                  <c:v>15.371667</c:v>
                </c:pt>
                <c:pt idx="1540">
                  <c:v>15.381667</c:v>
                </c:pt>
                <c:pt idx="1541">
                  <c:v>15.391667</c:v>
                </c:pt>
                <c:pt idx="1542">
                  <c:v>15.401667</c:v>
                </c:pt>
                <c:pt idx="1543">
                  <c:v>15.411667</c:v>
                </c:pt>
                <c:pt idx="1544">
                  <c:v>15.421666999999999</c:v>
                </c:pt>
                <c:pt idx="1545">
                  <c:v>15.431666999999999</c:v>
                </c:pt>
                <c:pt idx="1546">
                  <c:v>15.441667000000001</c:v>
                </c:pt>
                <c:pt idx="1547">
                  <c:v>15.451667</c:v>
                </c:pt>
                <c:pt idx="1548">
                  <c:v>15.461667</c:v>
                </c:pt>
                <c:pt idx="1549">
                  <c:v>15.471667</c:v>
                </c:pt>
                <c:pt idx="1550">
                  <c:v>15.481667</c:v>
                </c:pt>
                <c:pt idx="1551">
                  <c:v>15.491667</c:v>
                </c:pt>
                <c:pt idx="1552">
                  <c:v>15.501666999999999</c:v>
                </c:pt>
                <c:pt idx="1553">
                  <c:v>15.511666999999999</c:v>
                </c:pt>
                <c:pt idx="1554">
                  <c:v>15.521667000000001</c:v>
                </c:pt>
                <c:pt idx="1555">
                  <c:v>15.531667000000001</c:v>
                </c:pt>
                <c:pt idx="1556">
                  <c:v>15.541667</c:v>
                </c:pt>
                <c:pt idx="1557">
                  <c:v>15.551667</c:v>
                </c:pt>
                <c:pt idx="1558">
                  <c:v>15.561667</c:v>
                </c:pt>
                <c:pt idx="1559">
                  <c:v>15.571667</c:v>
                </c:pt>
                <c:pt idx="1560">
                  <c:v>15.581666999999999</c:v>
                </c:pt>
                <c:pt idx="1561">
                  <c:v>15.591666999999999</c:v>
                </c:pt>
                <c:pt idx="1562">
                  <c:v>15.601667000000001</c:v>
                </c:pt>
                <c:pt idx="1563">
                  <c:v>15.611667000000001</c:v>
                </c:pt>
                <c:pt idx="1564">
                  <c:v>15.621667</c:v>
                </c:pt>
                <c:pt idx="1565">
                  <c:v>15.631667</c:v>
                </c:pt>
                <c:pt idx="1566">
                  <c:v>15.641667</c:v>
                </c:pt>
                <c:pt idx="1567">
                  <c:v>15.651667</c:v>
                </c:pt>
                <c:pt idx="1568">
                  <c:v>15.661667</c:v>
                </c:pt>
                <c:pt idx="1569">
                  <c:v>15.671666999999999</c:v>
                </c:pt>
                <c:pt idx="1570">
                  <c:v>15.681666999999999</c:v>
                </c:pt>
                <c:pt idx="1571">
                  <c:v>15.691667000000001</c:v>
                </c:pt>
                <c:pt idx="1572">
                  <c:v>15.701667</c:v>
                </c:pt>
                <c:pt idx="1573">
                  <c:v>15.711667</c:v>
                </c:pt>
                <c:pt idx="1574">
                  <c:v>15.721667</c:v>
                </c:pt>
                <c:pt idx="1575">
                  <c:v>15.731667</c:v>
                </c:pt>
                <c:pt idx="1576">
                  <c:v>15.741667</c:v>
                </c:pt>
                <c:pt idx="1577">
                  <c:v>15.751666999999999</c:v>
                </c:pt>
                <c:pt idx="1578">
                  <c:v>15.761666999999999</c:v>
                </c:pt>
                <c:pt idx="1579">
                  <c:v>15.771667000000001</c:v>
                </c:pt>
                <c:pt idx="1580">
                  <c:v>15.781667000000001</c:v>
                </c:pt>
                <c:pt idx="1581">
                  <c:v>15.791667</c:v>
                </c:pt>
                <c:pt idx="1582">
                  <c:v>15.801667</c:v>
                </c:pt>
                <c:pt idx="1583">
                  <c:v>15.811667</c:v>
                </c:pt>
                <c:pt idx="1584">
                  <c:v>15.821667</c:v>
                </c:pt>
                <c:pt idx="1585">
                  <c:v>15.831666999999999</c:v>
                </c:pt>
                <c:pt idx="1586">
                  <c:v>15.841666999999999</c:v>
                </c:pt>
                <c:pt idx="1587">
                  <c:v>15.851667000000001</c:v>
                </c:pt>
                <c:pt idx="1588">
                  <c:v>15.861667000000001</c:v>
                </c:pt>
                <c:pt idx="1589">
                  <c:v>15.871667</c:v>
                </c:pt>
                <c:pt idx="1590">
                  <c:v>15.881667</c:v>
                </c:pt>
                <c:pt idx="1591">
                  <c:v>15.891667</c:v>
                </c:pt>
                <c:pt idx="1592">
                  <c:v>15.901667</c:v>
                </c:pt>
                <c:pt idx="1593">
                  <c:v>15.911667</c:v>
                </c:pt>
                <c:pt idx="1594">
                  <c:v>15.921666999999999</c:v>
                </c:pt>
                <c:pt idx="1595">
                  <c:v>15.931666999999999</c:v>
                </c:pt>
                <c:pt idx="1596">
                  <c:v>15.941667000000001</c:v>
                </c:pt>
                <c:pt idx="1597">
                  <c:v>15.951667</c:v>
                </c:pt>
                <c:pt idx="1598">
                  <c:v>15.961667</c:v>
                </c:pt>
                <c:pt idx="1599">
                  <c:v>15.971667</c:v>
                </c:pt>
                <c:pt idx="1600">
                  <c:v>15.981667</c:v>
                </c:pt>
                <c:pt idx="1601">
                  <c:v>15.991667</c:v>
                </c:pt>
                <c:pt idx="1602">
                  <c:v>16.001667000000001</c:v>
                </c:pt>
                <c:pt idx="1603">
                  <c:v>16.011666999999999</c:v>
                </c:pt>
                <c:pt idx="1604">
                  <c:v>16.021667000000001</c:v>
                </c:pt>
                <c:pt idx="1605">
                  <c:v>16.031666999999999</c:v>
                </c:pt>
                <c:pt idx="1606">
                  <c:v>16.041667</c:v>
                </c:pt>
                <c:pt idx="1607">
                  <c:v>16.051666999999998</c:v>
                </c:pt>
                <c:pt idx="1608">
                  <c:v>16.061667</c:v>
                </c:pt>
                <c:pt idx="1609">
                  <c:v>16.071667000000001</c:v>
                </c:pt>
                <c:pt idx="1610">
                  <c:v>16.081666999999999</c:v>
                </c:pt>
                <c:pt idx="1611">
                  <c:v>16.091667000000001</c:v>
                </c:pt>
                <c:pt idx="1612">
                  <c:v>16.101666999999999</c:v>
                </c:pt>
                <c:pt idx="1613">
                  <c:v>16.111667000000001</c:v>
                </c:pt>
                <c:pt idx="1614">
                  <c:v>16.121666999999999</c:v>
                </c:pt>
                <c:pt idx="1615">
                  <c:v>16.131667</c:v>
                </c:pt>
                <c:pt idx="1616">
                  <c:v>16.141667000000002</c:v>
                </c:pt>
                <c:pt idx="1617">
                  <c:v>16.151667</c:v>
                </c:pt>
                <c:pt idx="1618">
                  <c:v>16.161667000000001</c:v>
                </c:pt>
                <c:pt idx="1619">
                  <c:v>16.171666999999999</c:v>
                </c:pt>
                <c:pt idx="1620">
                  <c:v>16.181667000000001</c:v>
                </c:pt>
                <c:pt idx="1621">
                  <c:v>16.191666999999999</c:v>
                </c:pt>
                <c:pt idx="1622">
                  <c:v>16.201667</c:v>
                </c:pt>
                <c:pt idx="1623">
                  <c:v>16.211666999999998</c:v>
                </c:pt>
                <c:pt idx="1624">
                  <c:v>16.221667</c:v>
                </c:pt>
                <c:pt idx="1625">
                  <c:v>16.231667000000002</c:v>
                </c:pt>
                <c:pt idx="1626">
                  <c:v>16.241667</c:v>
                </c:pt>
                <c:pt idx="1627">
                  <c:v>16.251667000000001</c:v>
                </c:pt>
                <c:pt idx="1628">
                  <c:v>16.261666999999999</c:v>
                </c:pt>
                <c:pt idx="1629">
                  <c:v>16.271667000000001</c:v>
                </c:pt>
                <c:pt idx="1630">
                  <c:v>16.281666999999999</c:v>
                </c:pt>
                <c:pt idx="1631">
                  <c:v>16.291667</c:v>
                </c:pt>
                <c:pt idx="1632">
                  <c:v>16.301666999999998</c:v>
                </c:pt>
                <c:pt idx="1633">
                  <c:v>16.311667</c:v>
                </c:pt>
                <c:pt idx="1634">
                  <c:v>16.321667000000001</c:v>
                </c:pt>
                <c:pt idx="1635">
                  <c:v>16.331666999999999</c:v>
                </c:pt>
                <c:pt idx="1636">
                  <c:v>16.341667000000001</c:v>
                </c:pt>
                <c:pt idx="1637">
                  <c:v>16.351666999999999</c:v>
                </c:pt>
                <c:pt idx="1638">
                  <c:v>16.361667000000001</c:v>
                </c:pt>
                <c:pt idx="1639">
                  <c:v>16.371666999999999</c:v>
                </c:pt>
                <c:pt idx="1640">
                  <c:v>16.381667</c:v>
                </c:pt>
                <c:pt idx="1641">
                  <c:v>16.391667000000002</c:v>
                </c:pt>
                <c:pt idx="1642">
                  <c:v>16.401667</c:v>
                </c:pt>
                <c:pt idx="1643">
                  <c:v>16.411667000000001</c:v>
                </c:pt>
                <c:pt idx="1644">
                  <c:v>16.421666999999999</c:v>
                </c:pt>
                <c:pt idx="1645">
                  <c:v>16.431667000000001</c:v>
                </c:pt>
                <c:pt idx="1646">
                  <c:v>16.441666999999999</c:v>
                </c:pt>
                <c:pt idx="1647">
                  <c:v>16.451667</c:v>
                </c:pt>
                <c:pt idx="1648">
                  <c:v>16.461666999999998</c:v>
                </c:pt>
                <c:pt idx="1649">
                  <c:v>16.471667</c:v>
                </c:pt>
                <c:pt idx="1650">
                  <c:v>16.481667000000002</c:v>
                </c:pt>
                <c:pt idx="1651">
                  <c:v>16.491667</c:v>
                </c:pt>
                <c:pt idx="1652">
                  <c:v>16.501667000000001</c:v>
                </c:pt>
                <c:pt idx="1653">
                  <c:v>16.511666999999999</c:v>
                </c:pt>
                <c:pt idx="1654">
                  <c:v>16.521667000000001</c:v>
                </c:pt>
                <c:pt idx="1655">
                  <c:v>16.531666999999999</c:v>
                </c:pt>
                <c:pt idx="1656">
                  <c:v>16.541667</c:v>
                </c:pt>
                <c:pt idx="1657">
                  <c:v>16.551666999999998</c:v>
                </c:pt>
                <c:pt idx="1658">
                  <c:v>16.561667</c:v>
                </c:pt>
                <c:pt idx="1659">
                  <c:v>16.571667000000001</c:v>
                </c:pt>
                <c:pt idx="1660">
                  <c:v>16.581666999999999</c:v>
                </c:pt>
                <c:pt idx="1661">
                  <c:v>16.591667000000001</c:v>
                </c:pt>
                <c:pt idx="1662">
                  <c:v>16.601666999999999</c:v>
                </c:pt>
                <c:pt idx="1663">
                  <c:v>16.611667000000001</c:v>
                </c:pt>
                <c:pt idx="1664">
                  <c:v>16.621666999999999</c:v>
                </c:pt>
                <c:pt idx="1665">
                  <c:v>16.631667</c:v>
                </c:pt>
                <c:pt idx="1666">
                  <c:v>16.641667000000002</c:v>
                </c:pt>
                <c:pt idx="1667">
                  <c:v>16.651667</c:v>
                </c:pt>
                <c:pt idx="1668">
                  <c:v>16.661667000000001</c:v>
                </c:pt>
                <c:pt idx="1669">
                  <c:v>16.671666999999999</c:v>
                </c:pt>
                <c:pt idx="1670">
                  <c:v>16.681667000000001</c:v>
                </c:pt>
                <c:pt idx="1671">
                  <c:v>16.691666999999999</c:v>
                </c:pt>
                <c:pt idx="1672">
                  <c:v>16.701667</c:v>
                </c:pt>
                <c:pt idx="1673">
                  <c:v>16.711666999999998</c:v>
                </c:pt>
                <c:pt idx="1674">
                  <c:v>16.721667</c:v>
                </c:pt>
                <c:pt idx="1675">
                  <c:v>16.731667000000002</c:v>
                </c:pt>
                <c:pt idx="1676">
                  <c:v>16.741667</c:v>
                </c:pt>
                <c:pt idx="1677">
                  <c:v>16.751667000000001</c:v>
                </c:pt>
                <c:pt idx="1678">
                  <c:v>16.761666999999999</c:v>
                </c:pt>
                <c:pt idx="1679">
                  <c:v>16.771667000000001</c:v>
                </c:pt>
                <c:pt idx="1680">
                  <c:v>16.781666999999999</c:v>
                </c:pt>
                <c:pt idx="1681">
                  <c:v>16.791667</c:v>
                </c:pt>
                <c:pt idx="1682">
                  <c:v>16.801666999999998</c:v>
                </c:pt>
                <c:pt idx="1683">
                  <c:v>16.811667</c:v>
                </c:pt>
                <c:pt idx="1684">
                  <c:v>16.821667000000001</c:v>
                </c:pt>
                <c:pt idx="1685">
                  <c:v>16.831666999999999</c:v>
                </c:pt>
                <c:pt idx="1686">
                  <c:v>16.841667000000001</c:v>
                </c:pt>
                <c:pt idx="1687">
                  <c:v>16.851666999999999</c:v>
                </c:pt>
                <c:pt idx="1688">
                  <c:v>16.861667000000001</c:v>
                </c:pt>
                <c:pt idx="1689">
                  <c:v>16.871666999999999</c:v>
                </c:pt>
                <c:pt idx="1690">
                  <c:v>16.881667</c:v>
                </c:pt>
                <c:pt idx="1691">
                  <c:v>16.891667000000002</c:v>
                </c:pt>
                <c:pt idx="1692">
                  <c:v>16.901667</c:v>
                </c:pt>
                <c:pt idx="1693">
                  <c:v>16.911667000000001</c:v>
                </c:pt>
                <c:pt idx="1694">
                  <c:v>16.921666999999999</c:v>
                </c:pt>
                <c:pt idx="1695">
                  <c:v>16.931667000000001</c:v>
                </c:pt>
                <c:pt idx="1696">
                  <c:v>16.941666999999999</c:v>
                </c:pt>
                <c:pt idx="1697">
                  <c:v>16.951667</c:v>
                </c:pt>
                <c:pt idx="1698">
                  <c:v>16.961666999999998</c:v>
                </c:pt>
                <c:pt idx="1699">
                  <c:v>16.971667</c:v>
                </c:pt>
                <c:pt idx="1700">
                  <c:v>16.981667000000002</c:v>
                </c:pt>
                <c:pt idx="1701">
                  <c:v>16.991667</c:v>
                </c:pt>
                <c:pt idx="1702">
                  <c:v>17.001667000000001</c:v>
                </c:pt>
                <c:pt idx="1703">
                  <c:v>17.011666999999999</c:v>
                </c:pt>
                <c:pt idx="1704">
                  <c:v>17.021667000000001</c:v>
                </c:pt>
                <c:pt idx="1705">
                  <c:v>17.031666999999999</c:v>
                </c:pt>
                <c:pt idx="1706">
                  <c:v>17.041667</c:v>
                </c:pt>
                <c:pt idx="1707">
                  <c:v>17.051666999999998</c:v>
                </c:pt>
                <c:pt idx="1708">
                  <c:v>17.061667</c:v>
                </c:pt>
                <c:pt idx="1709">
                  <c:v>17.071667000000001</c:v>
                </c:pt>
                <c:pt idx="1710">
                  <c:v>17.081666999999999</c:v>
                </c:pt>
                <c:pt idx="1711">
                  <c:v>17.091667000000001</c:v>
                </c:pt>
                <c:pt idx="1712">
                  <c:v>17.101666999999999</c:v>
                </c:pt>
                <c:pt idx="1713">
                  <c:v>17.111667000000001</c:v>
                </c:pt>
                <c:pt idx="1714">
                  <c:v>17.121666999999999</c:v>
                </c:pt>
                <c:pt idx="1715">
                  <c:v>17.131667</c:v>
                </c:pt>
                <c:pt idx="1716">
                  <c:v>17.141667000000002</c:v>
                </c:pt>
                <c:pt idx="1717">
                  <c:v>17.151667</c:v>
                </c:pt>
                <c:pt idx="1718">
                  <c:v>17.161667000000001</c:v>
                </c:pt>
                <c:pt idx="1719">
                  <c:v>17.171666999999999</c:v>
                </c:pt>
                <c:pt idx="1720">
                  <c:v>17.181667000000001</c:v>
                </c:pt>
                <c:pt idx="1721">
                  <c:v>17.191666999999999</c:v>
                </c:pt>
                <c:pt idx="1722">
                  <c:v>17.201667</c:v>
                </c:pt>
                <c:pt idx="1723">
                  <c:v>17.211666999999998</c:v>
                </c:pt>
                <c:pt idx="1724">
                  <c:v>17.221667</c:v>
                </c:pt>
                <c:pt idx="1725">
                  <c:v>17.231667000000002</c:v>
                </c:pt>
                <c:pt idx="1726">
                  <c:v>17.241667</c:v>
                </c:pt>
                <c:pt idx="1727">
                  <c:v>17.251667000000001</c:v>
                </c:pt>
                <c:pt idx="1728">
                  <c:v>17.261666999999999</c:v>
                </c:pt>
                <c:pt idx="1729">
                  <c:v>17.271667000000001</c:v>
                </c:pt>
                <c:pt idx="1730">
                  <c:v>17.281666999999999</c:v>
                </c:pt>
                <c:pt idx="1731">
                  <c:v>17.291667</c:v>
                </c:pt>
                <c:pt idx="1732">
                  <c:v>17.301666999999998</c:v>
                </c:pt>
                <c:pt idx="1733">
                  <c:v>17.311667</c:v>
                </c:pt>
                <c:pt idx="1734">
                  <c:v>17.321667000000001</c:v>
                </c:pt>
                <c:pt idx="1735">
                  <c:v>17.331666999999999</c:v>
                </c:pt>
                <c:pt idx="1736">
                  <c:v>17.341667000000001</c:v>
                </c:pt>
                <c:pt idx="1737">
                  <c:v>17.351666999999999</c:v>
                </c:pt>
                <c:pt idx="1738">
                  <c:v>17.361667000000001</c:v>
                </c:pt>
                <c:pt idx="1739">
                  <c:v>17.371666999999999</c:v>
                </c:pt>
                <c:pt idx="1740">
                  <c:v>17.381667</c:v>
                </c:pt>
                <c:pt idx="1741">
                  <c:v>17.391667000000002</c:v>
                </c:pt>
                <c:pt idx="1742">
                  <c:v>17.401667</c:v>
                </c:pt>
                <c:pt idx="1743">
                  <c:v>17.411667000000001</c:v>
                </c:pt>
                <c:pt idx="1744">
                  <c:v>17.421666999999999</c:v>
                </c:pt>
                <c:pt idx="1745">
                  <c:v>17.431667000000001</c:v>
                </c:pt>
                <c:pt idx="1746">
                  <c:v>17.441666999999999</c:v>
                </c:pt>
                <c:pt idx="1747">
                  <c:v>17.451667</c:v>
                </c:pt>
                <c:pt idx="1748">
                  <c:v>17.461666999999998</c:v>
                </c:pt>
                <c:pt idx="1749">
                  <c:v>17.471667</c:v>
                </c:pt>
                <c:pt idx="1750">
                  <c:v>17.481667000000002</c:v>
                </c:pt>
                <c:pt idx="1751">
                  <c:v>17.491667</c:v>
                </c:pt>
                <c:pt idx="1752">
                  <c:v>17.501667000000001</c:v>
                </c:pt>
                <c:pt idx="1753">
                  <c:v>17.511666999999999</c:v>
                </c:pt>
                <c:pt idx="1754">
                  <c:v>17.521667000000001</c:v>
                </c:pt>
                <c:pt idx="1755">
                  <c:v>17.531666999999999</c:v>
                </c:pt>
                <c:pt idx="1756">
                  <c:v>17.541667</c:v>
                </c:pt>
                <c:pt idx="1757">
                  <c:v>17.551666999999998</c:v>
                </c:pt>
                <c:pt idx="1758">
                  <c:v>17.561667</c:v>
                </c:pt>
                <c:pt idx="1759">
                  <c:v>17.571667000000001</c:v>
                </c:pt>
                <c:pt idx="1760">
                  <c:v>17.581666999999999</c:v>
                </c:pt>
                <c:pt idx="1761">
                  <c:v>17.591667000000001</c:v>
                </c:pt>
                <c:pt idx="1762">
                  <c:v>17.601666999999999</c:v>
                </c:pt>
                <c:pt idx="1763">
                  <c:v>17.611667000000001</c:v>
                </c:pt>
                <c:pt idx="1764">
                  <c:v>17.621666999999999</c:v>
                </c:pt>
                <c:pt idx="1765">
                  <c:v>17.631667</c:v>
                </c:pt>
                <c:pt idx="1766">
                  <c:v>17.641667000000002</c:v>
                </c:pt>
                <c:pt idx="1767">
                  <c:v>17.651667</c:v>
                </c:pt>
                <c:pt idx="1768">
                  <c:v>17.661667000000001</c:v>
                </c:pt>
                <c:pt idx="1769">
                  <c:v>17.671666999999999</c:v>
                </c:pt>
                <c:pt idx="1770">
                  <c:v>17.681667000000001</c:v>
                </c:pt>
                <c:pt idx="1771">
                  <c:v>17.691666999999999</c:v>
                </c:pt>
                <c:pt idx="1772">
                  <c:v>17.701667</c:v>
                </c:pt>
                <c:pt idx="1773">
                  <c:v>17.711666999999998</c:v>
                </c:pt>
                <c:pt idx="1774">
                  <c:v>17.721667</c:v>
                </c:pt>
                <c:pt idx="1775">
                  <c:v>17.731667000000002</c:v>
                </c:pt>
                <c:pt idx="1776">
                  <c:v>17.741667</c:v>
                </c:pt>
                <c:pt idx="1777">
                  <c:v>17.751667000000001</c:v>
                </c:pt>
                <c:pt idx="1778">
                  <c:v>17.761666999999999</c:v>
                </c:pt>
                <c:pt idx="1779">
                  <c:v>17.771667000000001</c:v>
                </c:pt>
                <c:pt idx="1780">
                  <c:v>17.781666999999999</c:v>
                </c:pt>
                <c:pt idx="1781">
                  <c:v>17.791667</c:v>
                </c:pt>
                <c:pt idx="1782">
                  <c:v>17.801666999999998</c:v>
                </c:pt>
                <c:pt idx="1783">
                  <c:v>17.811667</c:v>
                </c:pt>
                <c:pt idx="1784">
                  <c:v>17.821667000000001</c:v>
                </c:pt>
                <c:pt idx="1785">
                  <c:v>17.831666999999999</c:v>
                </c:pt>
                <c:pt idx="1786">
                  <c:v>17.841667000000001</c:v>
                </c:pt>
                <c:pt idx="1787">
                  <c:v>17.851666999999999</c:v>
                </c:pt>
                <c:pt idx="1788">
                  <c:v>17.861667000000001</c:v>
                </c:pt>
                <c:pt idx="1789">
                  <c:v>17.871666999999999</c:v>
                </c:pt>
                <c:pt idx="1790">
                  <c:v>17.881667</c:v>
                </c:pt>
                <c:pt idx="1791">
                  <c:v>17.891667000000002</c:v>
                </c:pt>
                <c:pt idx="1792">
                  <c:v>17.901667</c:v>
                </c:pt>
                <c:pt idx="1793">
                  <c:v>17.911667000000001</c:v>
                </c:pt>
                <c:pt idx="1794">
                  <c:v>17.921666999999999</c:v>
                </c:pt>
                <c:pt idx="1795">
                  <c:v>17.931667000000001</c:v>
                </c:pt>
                <c:pt idx="1796">
                  <c:v>17.941666999999999</c:v>
                </c:pt>
                <c:pt idx="1797">
                  <c:v>17.951667</c:v>
                </c:pt>
                <c:pt idx="1798">
                  <c:v>17.961666999999998</c:v>
                </c:pt>
                <c:pt idx="1799">
                  <c:v>17.971667</c:v>
                </c:pt>
                <c:pt idx="1800">
                  <c:v>17.981667000000002</c:v>
                </c:pt>
                <c:pt idx="1801">
                  <c:v>17.991667</c:v>
                </c:pt>
                <c:pt idx="1802">
                  <c:v>18.001667000000001</c:v>
                </c:pt>
                <c:pt idx="1803">
                  <c:v>18.011666999999999</c:v>
                </c:pt>
                <c:pt idx="1804">
                  <c:v>18.021667000000001</c:v>
                </c:pt>
                <c:pt idx="1805">
                  <c:v>18.031666999999999</c:v>
                </c:pt>
                <c:pt idx="1806">
                  <c:v>18.041667</c:v>
                </c:pt>
                <c:pt idx="1807">
                  <c:v>18.051666999999998</c:v>
                </c:pt>
                <c:pt idx="1808">
                  <c:v>18.061667</c:v>
                </c:pt>
                <c:pt idx="1809">
                  <c:v>18.071667000000001</c:v>
                </c:pt>
                <c:pt idx="1810">
                  <c:v>18.081666999999999</c:v>
                </c:pt>
                <c:pt idx="1811">
                  <c:v>18.091667000000001</c:v>
                </c:pt>
                <c:pt idx="1812">
                  <c:v>18.101666999999999</c:v>
                </c:pt>
                <c:pt idx="1813">
                  <c:v>18.111667000000001</c:v>
                </c:pt>
                <c:pt idx="1814">
                  <c:v>18.121666999999999</c:v>
                </c:pt>
                <c:pt idx="1815">
                  <c:v>18.131667</c:v>
                </c:pt>
                <c:pt idx="1816">
                  <c:v>18.141667000000002</c:v>
                </c:pt>
                <c:pt idx="1817">
                  <c:v>18.151667</c:v>
                </c:pt>
                <c:pt idx="1818">
                  <c:v>18.161667000000001</c:v>
                </c:pt>
                <c:pt idx="1819">
                  <c:v>18.171666999999999</c:v>
                </c:pt>
                <c:pt idx="1820">
                  <c:v>18.181667000000001</c:v>
                </c:pt>
                <c:pt idx="1821">
                  <c:v>18.191666999999999</c:v>
                </c:pt>
                <c:pt idx="1822">
                  <c:v>18.201667</c:v>
                </c:pt>
                <c:pt idx="1823">
                  <c:v>18.211666999999998</c:v>
                </c:pt>
                <c:pt idx="1824">
                  <c:v>18.221667</c:v>
                </c:pt>
                <c:pt idx="1825">
                  <c:v>18.231667000000002</c:v>
                </c:pt>
                <c:pt idx="1826">
                  <c:v>18.241667</c:v>
                </c:pt>
                <c:pt idx="1827">
                  <c:v>18.251667000000001</c:v>
                </c:pt>
                <c:pt idx="1828">
                  <c:v>18.261666999999999</c:v>
                </c:pt>
                <c:pt idx="1829">
                  <c:v>18.271667000000001</c:v>
                </c:pt>
                <c:pt idx="1830">
                  <c:v>18.281666999999999</c:v>
                </c:pt>
                <c:pt idx="1831">
                  <c:v>18.291667</c:v>
                </c:pt>
                <c:pt idx="1832">
                  <c:v>18.301666999999998</c:v>
                </c:pt>
                <c:pt idx="1833">
                  <c:v>18.311667</c:v>
                </c:pt>
                <c:pt idx="1834">
                  <c:v>18.321667000000001</c:v>
                </c:pt>
                <c:pt idx="1835">
                  <c:v>18.331666999999999</c:v>
                </c:pt>
                <c:pt idx="1836">
                  <c:v>18.341667000000001</c:v>
                </c:pt>
                <c:pt idx="1837">
                  <c:v>18.351666999999999</c:v>
                </c:pt>
                <c:pt idx="1838">
                  <c:v>18.361667000000001</c:v>
                </c:pt>
                <c:pt idx="1839">
                  <c:v>18.371666999999999</c:v>
                </c:pt>
                <c:pt idx="1840">
                  <c:v>18.381667</c:v>
                </c:pt>
                <c:pt idx="1841">
                  <c:v>18.391667000000002</c:v>
                </c:pt>
                <c:pt idx="1842">
                  <c:v>18.401667</c:v>
                </c:pt>
                <c:pt idx="1843">
                  <c:v>18.411667000000001</c:v>
                </c:pt>
                <c:pt idx="1844">
                  <c:v>18.421666999999999</c:v>
                </c:pt>
                <c:pt idx="1845">
                  <c:v>18.431667000000001</c:v>
                </c:pt>
                <c:pt idx="1846">
                  <c:v>18.441666999999999</c:v>
                </c:pt>
                <c:pt idx="1847">
                  <c:v>18.451667</c:v>
                </c:pt>
                <c:pt idx="1848">
                  <c:v>18.461666999999998</c:v>
                </c:pt>
                <c:pt idx="1849">
                  <c:v>18.471667</c:v>
                </c:pt>
                <c:pt idx="1850">
                  <c:v>18.481667000000002</c:v>
                </c:pt>
                <c:pt idx="1851">
                  <c:v>18.491667</c:v>
                </c:pt>
                <c:pt idx="1852">
                  <c:v>18.501667000000001</c:v>
                </c:pt>
                <c:pt idx="1853">
                  <c:v>18.511666999999999</c:v>
                </c:pt>
                <c:pt idx="1854">
                  <c:v>18.521667000000001</c:v>
                </c:pt>
                <c:pt idx="1855">
                  <c:v>18.531666999999999</c:v>
                </c:pt>
                <c:pt idx="1856">
                  <c:v>18.541667</c:v>
                </c:pt>
                <c:pt idx="1857">
                  <c:v>18.551666999999998</c:v>
                </c:pt>
                <c:pt idx="1858">
                  <c:v>18.561667</c:v>
                </c:pt>
                <c:pt idx="1859">
                  <c:v>18.571667000000001</c:v>
                </c:pt>
                <c:pt idx="1860">
                  <c:v>18.581666999999999</c:v>
                </c:pt>
                <c:pt idx="1861">
                  <c:v>18.591667000000001</c:v>
                </c:pt>
                <c:pt idx="1862">
                  <c:v>18.601666999999999</c:v>
                </c:pt>
                <c:pt idx="1863">
                  <c:v>18.611667000000001</c:v>
                </c:pt>
                <c:pt idx="1864">
                  <c:v>18.621666999999999</c:v>
                </c:pt>
                <c:pt idx="1865">
                  <c:v>18.631667</c:v>
                </c:pt>
                <c:pt idx="1866">
                  <c:v>18.641667000000002</c:v>
                </c:pt>
                <c:pt idx="1867">
                  <c:v>18.651667</c:v>
                </c:pt>
                <c:pt idx="1868">
                  <c:v>18.661667000000001</c:v>
                </c:pt>
                <c:pt idx="1869">
                  <c:v>18.671666999999999</c:v>
                </c:pt>
                <c:pt idx="1870">
                  <c:v>18.681667000000001</c:v>
                </c:pt>
                <c:pt idx="1871">
                  <c:v>18.691666999999999</c:v>
                </c:pt>
                <c:pt idx="1872">
                  <c:v>18.701667</c:v>
                </c:pt>
                <c:pt idx="1873">
                  <c:v>18.711666999999998</c:v>
                </c:pt>
                <c:pt idx="1874">
                  <c:v>18.721667</c:v>
                </c:pt>
                <c:pt idx="1875">
                  <c:v>18.731667000000002</c:v>
                </c:pt>
                <c:pt idx="1876">
                  <c:v>18.741667</c:v>
                </c:pt>
                <c:pt idx="1877">
                  <c:v>18.751667000000001</c:v>
                </c:pt>
                <c:pt idx="1878">
                  <c:v>18.761666999999999</c:v>
                </c:pt>
                <c:pt idx="1879">
                  <c:v>18.771667000000001</c:v>
                </c:pt>
                <c:pt idx="1880">
                  <c:v>18.781666999999999</c:v>
                </c:pt>
                <c:pt idx="1881">
                  <c:v>18.791667</c:v>
                </c:pt>
                <c:pt idx="1882">
                  <c:v>18.801666999999998</c:v>
                </c:pt>
                <c:pt idx="1883">
                  <c:v>18.811667</c:v>
                </c:pt>
                <c:pt idx="1884">
                  <c:v>18.821667000000001</c:v>
                </c:pt>
                <c:pt idx="1885">
                  <c:v>18.831666999999999</c:v>
                </c:pt>
                <c:pt idx="1886">
                  <c:v>18.841667000000001</c:v>
                </c:pt>
                <c:pt idx="1887">
                  <c:v>18.851666999999999</c:v>
                </c:pt>
                <c:pt idx="1888">
                  <c:v>18.861667000000001</c:v>
                </c:pt>
                <c:pt idx="1889">
                  <c:v>18.871666999999999</c:v>
                </c:pt>
                <c:pt idx="1890">
                  <c:v>18.881667</c:v>
                </c:pt>
                <c:pt idx="1891">
                  <c:v>18.891667000000002</c:v>
                </c:pt>
                <c:pt idx="1892">
                  <c:v>18.901667</c:v>
                </c:pt>
                <c:pt idx="1893">
                  <c:v>18.911667000000001</c:v>
                </c:pt>
                <c:pt idx="1894">
                  <c:v>18.921666999999999</c:v>
                </c:pt>
                <c:pt idx="1895">
                  <c:v>18.931667000000001</c:v>
                </c:pt>
                <c:pt idx="1896">
                  <c:v>18.941666999999999</c:v>
                </c:pt>
                <c:pt idx="1897">
                  <c:v>18.951667</c:v>
                </c:pt>
                <c:pt idx="1898">
                  <c:v>18.961666999999998</c:v>
                </c:pt>
                <c:pt idx="1899">
                  <c:v>18.971667</c:v>
                </c:pt>
                <c:pt idx="1900">
                  <c:v>18.981667000000002</c:v>
                </c:pt>
                <c:pt idx="1901">
                  <c:v>18.991667</c:v>
                </c:pt>
                <c:pt idx="1902">
                  <c:v>19.001667000000001</c:v>
                </c:pt>
                <c:pt idx="1903">
                  <c:v>19.011666999999999</c:v>
                </c:pt>
                <c:pt idx="1904">
                  <c:v>19.021667000000001</c:v>
                </c:pt>
                <c:pt idx="1905">
                  <c:v>19.031666999999999</c:v>
                </c:pt>
                <c:pt idx="1906">
                  <c:v>19.041667</c:v>
                </c:pt>
                <c:pt idx="1907">
                  <c:v>19.051666999999998</c:v>
                </c:pt>
                <c:pt idx="1908">
                  <c:v>19.061667</c:v>
                </c:pt>
                <c:pt idx="1909">
                  <c:v>19.071667000000001</c:v>
                </c:pt>
                <c:pt idx="1910">
                  <c:v>19.081666999999999</c:v>
                </c:pt>
                <c:pt idx="1911">
                  <c:v>19.091667000000001</c:v>
                </c:pt>
                <c:pt idx="1912">
                  <c:v>19.101666999999999</c:v>
                </c:pt>
                <c:pt idx="1913">
                  <c:v>19.111667000000001</c:v>
                </c:pt>
                <c:pt idx="1914">
                  <c:v>19.121666999999999</c:v>
                </c:pt>
                <c:pt idx="1915">
                  <c:v>19.131667</c:v>
                </c:pt>
                <c:pt idx="1916">
                  <c:v>19.141667000000002</c:v>
                </c:pt>
                <c:pt idx="1917">
                  <c:v>19.151667</c:v>
                </c:pt>
                <c:pt idx="1918">
                  <c:v>19.161667000000001</c:v>
                </c:pt>
                <c:pt idx="1919">
                  <c:v>19.171666999999999</c:v>
                </c:pt>
                <c:pt idx="1920">
                  <c:v>19.181667000000001</c:v>
                </c:pt>
                <c:pt idx="1921">
                  <c:v>19.191666999999999</c:v>
                </c:pt>
                <c:pt idx="1922">
                  <c:v>19.201667</c:v>
                </c:pt>
                <c:pt idx="1923">
                  <c:v>19.211666999999998</c:v>
                </c:pt>
                <c:pt idx="1924">
                  <c:v>19.221667</c:v>
                </c:pt>
                <c:pt idx="1925">
                  <c:v>19.231667000000002</c:v>
                </c:pt>
                <c:pt idx="1926">
                  <c:v>19.241667</c:v>
                </c:pt>
                <c:pt idx="1927">
                  <c:v>19.251667000000001</c:v>
                </c:pt>
                <c:pt idx="1928">
                  <c:v>19.261666999999999</c:v>
                </c:pt>
                <c:pt idx="1929">
                  <c:v>19.271667000000001</c:v>
                </c:pt>
                <c:pt idx="1930">
                  <c:v>19.281666999999999</c:v>
                </c:pt>
                <c:pt idx="1931">
                  <c:v>19.291667</c:v>
                </c:pt>
                <c:pt idx="1932">
                  <c:v>19.301666999999998</c:v>
                </c:pt>
                <c:pt idx="1933">
                  <c:v>19.311667</c:v>
                </c:pt>
                <c:pt idx="1934">
                  <c:v>19.321667000000001</c:v>
                </c:pt>
                <c:pt idx="1935">
                  <c:v>19.331666999999999</c:v>
                </c:pt>
                <c:pt idx="1936">
                  <c:v>19.341667000000001</c:v>
                </c:pt>
                <c:pt idx="1937">
                  <c:v>19.351666999999999</c:v>
                </c:pt>
                <c:pt idx="1938">
                  <c:v>19.361667000000001</c:v>
                </c:pt>
                <c:pt idx="1939">
                  <c:v>19.371666999999999</c:v>
                </c:pt>
                <c:pt idx="1940">
                  <c:v>19.381667</c:v>
                </c:pt>
                <c:pt idx="1941">
                  <c:v>19.391667000000002</c:v>
                </c:pt>
                <c:pt idx="1942">
                  <c:v>19.401667</c:v>
                </c:pt>
                <c:pt idx="1943">
                  <c:v>19.411667000000001</c:v>
                </c:pt>
                <c:pt idx="1944">
                  <c:v>19.421666999999999</c:v>
                </c:pt>
                <c:pt idx="1945">
                  <c:v>19.431667000000001</c:v>
                </c:pt>
                <c:pt idx="1946">
                  <c:v>19.441666999999999</c:v>
                </c:pt>
                <c:pt idx="1947">
                  <c:v>19.451667</c:v>
                </c:pt>
                <c:pt idx="1948">
                  <c:v>19.461666999999998</c:v>
                </c:pt>
                <c:pt idx="1949">
                  <c:v>19.471667</c:v>
                </c:pt>
                <c:pt idx="1950">
                  <c:v>19.481667000000002</c:v>
                </c:pt>
                <c:pt idx="1951">
                  <c:v>19.491667</c:v>
                </c:pt>
                <c:pt idx="1952">
                  <c:v>19.501667000000001</c:v>
                </c:pt>
                <c:pt idx="1953">
                  <c:v>19.511666999999999</c:v>
                </c:pt>
                <c:pt idx="1954">
                  <c:v>19.521667000000001</c:v>
                </c:pt>
                <c:pt idx="1955">
                  <c:v>19.531666999999999</c:v>
                </c:pt>
                <c:pt idx="1956">
                  <c:v>19.541667</c:v>
                </c:pt>
                <c:pt idx="1957">
                  <c:v>19.551666999999998</c:v>
                </c:pt>
                <c:pt idx="1958">
                  <c:v>19.561667</c:v>
                </c:pt>
                <c:pt idx="1959">
                  <c:v>19.571667000000001</c:v>
                </c:pt>
                <c:pt idx="1960">
                  <c:v>19.581666999999999</c:v>
                </c:pt>
                <c:pt idx="1961">
                  <c:v>19.591667000000001</c:v>
                </c:pt>
                <c:pt idx="1962">
                  <c:v>19.601666999999999</c:v>
                </c:pt>
                <c:pt idx="1963">
                  <c:v>19.611667000000001</c:v>
                </c:pt>
                <c:pt idx="1964">
                  <c:v>19.621666999999999</c:v>
                </c:pt>
                <c:pt idx="1965">
                  <c:v>19.631667</c:v>
                </c:pt>
                <c:pt idx="1966">
                  <c:v>19.641667000000002</c:v>
                </c:pt>
                <c:pt idx="1967">
                  <c:v>19.651667</c:v>
                </c:pt>
                <c:pt idx="1968">
                  <c:v>19.661667000000001</c:v>
                </c:pt>
                <c:pt idx="1969">
                  <c:v>19.671666999999999</c:v>
                </c:pt>
                <c:pt idx="1970">
                  <c:v>19.681667000000001</c:v>
                </c:pt>
                <c:pt idx="1971">
                  <c:v>19.691666999999999</c:v>
                </c:pt>
                <c:pt idx="1972">
                  <c:v>19.701667</c:v>
                </c:pt>
                <c:pt idx="1973">
                  <c:v>19.711666999999998</c:v>
                </c:pt>
                <c:pt idx="1974">
                  <c:v>19.721667</c:v>
                </c:pt>
                <c:pt idx="1975">
                  <c:v>19.731667000000002</c:v>
                </c:pt>
                <c:pt idx="1976">
                  <c:v>19.741667</c:v>
                </c:pt>
                <c:pt idx="1977">
                  <c:v>19.751667000000001</c:v>
                </c:pt>
                <c:pt idx="1978">
                  <c:v>19.761666999999999</c:v>
                </c:pt>
                <c:pt idx="1979">
                  <c:v>19.771667000000001</c:v>
                </c:pt>
                <c:pt idx="1980">
                  <c:v>19.781666999999999</c:v>
                </c:pt>
                <c:pt idx="1981">
                  <c:v>19.791667</c:v>
                </c:pt>
                <c:pt idx="1982">
                  <c:v>19.801666999999998</c:v>
                </c:pt>
                <c:pt idx="1983">
                  <c:v>19.811667</c:v>
                </c:pt>
                <c:pt idx="1984">
                  <c:v>19.821667000000001</c:v>
                </c:pt>
                <c:pt idx="1985">
                  <c:v>19.831666999999999</c:v>
                </c:pt>
                <c:pt idx="1986">
                  <c:v>19.841667000000001</c:v>
                </c:pt>
                <c:pt idx="1987">
                  <c:v>19.851666999999999</c:v>
                </c:pt>
                <c:pt idx="1988">
                  <c:v>19.861667000000001</c:v>
                </c:pt>
                <c:pt idx="1989">
                  <c:v>19.871666999999999</c:v>
                </c:pt>
                <c:pt idx="1990">
                  <c:v>19.881667</c:v>
                </c:pt>
                <c:pt idx="1991">
                  <c:v>19.891667000000002</c:v>
                </c:pt>
                <c:pt idx="1992">
                  <c:v>19.901667</c:v>
                </c:pt>
                <c:pt idx="1993">
                  <c:v>19.911667000000001</c:v>
                </c:pt>
                <c:pt idx="1994">
                  <c:v>19.921666999999999</c:v>
                </c:pt>
                <c:pt idx="1995">
                  <c:v>19.931667000000001</c:v>
                </c:pt>
                <c:pt idx="1996">
                  <c:v>19.941666999999999</c:v>
                </c:pt>
                <c:pt idx="1997">
                  <c:v>19.951667</c:v>
                </c:pt>
                <c:pt idx="1998">
                  <c:v>19.961666999999998</c:v>
                </c:pt>
                <c:pt idx="1999">
                  <c:v>19.971667</c:v>
                </c:pt>
                <c:pt idx="2000">
                  <c:v>19.981667000000002</c:v>
                </c:pt>
                <c:pt idx="2001">
                  <c:v>19.991667</c:v>
                </c:pt>
                <c:pt idx="2002">
                  <c:v>20</c:v>
                </c:pt>
              </c:numCache>
            </c:numRef>
          </c:xVal>
          <c:yVal>
            <c:numRef>
              <c:f>Sheet1!$E$3:$E$2005</c:f>
              <c:numCache>
                <c:formatCode>General</c:formatCode>
                <c:ptCount val="2003"/>
                <c:pt idx="0">
                  <c:v>0.99602199999999996</c:v>
                </c:pt>
                <c:pt idx="1">
                  <c:v>0.99602199999999996</c:v>
                </c:pt>
                <c:pt idx="2">
                  <c:v>0.99602199999999996</c:v>
                </c:pt>
                <c:pt idx="3">
                  <c:v>0.99602199999999996</c:v>
                </c:pt>
                <c:pt idx="4">
                  <c:v>0.99602199999999996</c:v>
                </c:pt>
                <c:pt idx="5">
                  <c:v>0.99602199999999996</c:v>
                </c:pt>
                <c:pt idx="6">
                  <c:v>0.99602199999999996</c:v>
                </c:pt>
                <c:pt idx="7">
                  <c:v>0.99602199999999996</c:v>
                </c:pt>
                <c:pt idx="8">
                  <c:v>0.99602199999999996</c:v>
                </c:pt>
                <c:pt idx="9">
                  <c:v>0.99602199999999996</c:v>
                </c:pt>
                <c:pt idx="10">
                  <c:v>0.99602199999999996</c:v>
                </c:pt>
                <c:pt idx="11">
                  <c:v>0.99602199999999996</c:v>
                </c:pt>
                <c:pt idx="12">
                  <c:v>0.99602199999999996</c:v>
                </c:pt>
                <c:pt idx="13">
                  <c:v>0.99602199999999996</c:v>
                </c:pt>
                <c:pt idx="14">
                  <c:v>0.99602199999999996</c:v>
                </c:pt>
                <c:pt idx="15">
                  <c:v>0.99602199999999996</c:v>
                </c:pt>
                <c:pt idx="16">
                  <c:v>0.99602199999999996</c:v>
                </c:pt>
                <c:pt idx="17">
                  <c:v>0.99602199999999996</c:v>
                </c:pt>
                <c:pt idx="18">
                  <c:v>0.99602199999999996</c:v>
                </c:pt>
                <c:pt idx="19">
                  <c:v>0.99602199999999996</c:v>
                </c:pt>
                <c:pt idx="20">
                  <c:v>0.99602199999999996</c:v>
                </c:pt>
                <c:pt idx="21">
                  <c:v>0.99602199999999996</c:v>
                </c:pt>
                <c:pt idx="22">
                  <c:v>0.99602199999999996</c:v>
                </c:pt>
                <c:pt idx="23">
                  <c:v>0.99602199999999996</c:v>
                </c:pt>
                <c:pt idx="24">
                  <c:v>0.99602199999999996</c:v>
                </c:pt>
                <c:pt idx="25">
                  <c:v>0.99602199999999996</c:v>
                </c:pt>
                <c:pt idx="26">
                  <c:v>0.99602199999999996</c:v>
                </c:pt>
                <c:pt idx="27">
                  <c:v>0.99602199999999996</c:v>
                </c:pt>
                <c:pt idx="28">
                  <c:v>0.99602199999999996</c:v>
                </c:pt>
                <c:pt idx="29">
                  <c:v>0.99602199999999996</c:v>
                </c:pt>
                <c:pt idx="30">
                  <c:v>0.99602199999999996</c:v>
                </c:pt>
                <c:pt idx="31">
                  <c:v>0.99602199999999996</c:v>
                </c:pt>
                <c:pt idx="32">
                  <c:v>0.99602199999999996</c:v>
                </c:pt>
                <c:pt idx="33">
                  <c:v>0.99602199999999996</c:v>
                </c:pt>
                <c:pt idx="34">
                  <c:v>0.99602199999999996</c:v>
                </c:pt>
                <c:pt idx="35">
                  <c:v>0.99602199999999996</c:v>
                </c:pt>
                <c:pt idx="36">
                  <c:v>0.99602199999999996</c:v>
                </c:pt>
                <c:pt idx="37">
                  <c:v>0.99602199999999996</c:v>
                </c:pt>
                <c:pt idx="38">
                  <c:v>0.99602199999999996</c:v>
                </c:pt>
                <c:pt idx="39">
                  <c:v>0.99602199999999996</c:v>
                </c:pt>
                <c:pt idx="40">
                  <c:v>0.99602199999999996</c:v>
                </c:pt>
                <c:pt idx="41">
                  <c:v>0.99602199999999996</c:v>
                </c:pt>
                <c:pt idx="42">
                  <c:v>0.99602199999999996</c:v>
                </c:pt>
                <c:pt idx="43">
                  <c:v>0.99602199999999996</c:v>
                </c:pt>
                <c:pt idx="44">
                  <c:v>0.99602199999999996</c:v>
                </c:pt>
                <c:pt idx="45">
                  <c:v>0.99602199999999996</c:v>
                </c:pt>
                <c:pt idx="46">
                  <c:v>0.99602199999999996</c:v>
                </c:pt>
                <c:pt idx="47">
                  <c:v>0.99602199999999996</c:v>
                </c:pt>
                <c:pt idx="48">
                  <c:v>0.99602199999999996</c:v>
                </c:pt>
                <c:pt idx="49">
                  <c:v>0.99602199999999996</c:v>
                </c:pt>
                <c:pt idx="50">
                  <c:v>0.99602199999999996</c:v>
                </c:pt>
                <c:pt idx="51">
                  <c:v>0.99602199999999996</c:v>
                </c:pt>
                <c:pt idx="52">
                  <c:v>0.99602199999999996</c:v>
                </c:pt>
                <c:pt idx="53">
                  <c:v>0.99602199999999996</c:v>
                </c:pt>
                <c:pt idx="54">
                  <c:v>0.99602199999999996</c:v>
                </c:pt>
                <c:pt idx="55">
                  <c:v>0.99602199999999996</c:v>
                </c:pt>
                <c:pt idx="56">
                  <c:v>0.99602199999999996</c:v>
                </c:pt>
                <c:pt idx="57">
                  <c:v>0.99602199999999996</c:v>
                </c:pt>
                <c:pt idx="58">
                  <c:v>0.99602199999999996</c:v>
                </c:pt>
                <c:pt idx="59">
                  <c:v>0.99602199999999996</c:v>
                </c:pt>
                <c:pt idx="60">
                  <c:v>0.99602199999999996</c:v>
                </c:pt>
                <c:pt idx="61">
                  <c:v>0.99602199999999996</c:v>
                </c:pt>
                <c:pt idx="62">
                  <c:v>0.99602199999999996</c:v>
                </c:pt>
                <c:pt idx="63">
                  <c:v>0.99602199999999996</c:v>
                </c:pt>
                <c:pt idx="64">
                  <c:v>0.99602199999999996</c:v>
                </c:pt>
                <c:pt idx="65">
                  <c:v>0.99602199999999996</c:v>
                </c:pt>
                <c:pt idx="66">
                  <c:v>0.99602199999999996</c:v>
                </c:pt>
                <c:pt idx="67">
                  <c:v>0.99602199999999996</c:v>
                </c:pt>
                <c:pt idx="68">
                  <c:v>0.99602199999999996</c:v>
                </c:pt>
                <c:pt idx="69">
                  <c:v>0.99602199999999996</c:v>
                </c:pt>
                <c:pt idx="70">
                  <c:v>0.99602199999999996</c:v>
                </c:pt>
                <c:pt idx="71">
                  <c:v>0.99602199999999996</c:v>
                </c:pt>
                <c:pt idx="72">
                  <c:v>0.99602199999999996</c:v>
                </c:pt>
                <c:pt idx="73">
                  <c:v>0.99602199999999996</c:v>
                </c:pt>
                <c:pt idx="74">
                  <c:v>0.99602199999999996</c:v>
                </c:pt>
                <c:pt idx="75">
                  <c:v>0.99602199999999996</c:v>
                </c:pt>
                <c:pt idx="76">
                  <c:v>0.99602199999999996</c:v>
                </c:pt>
                <c:pt idx="77">
                  <c:v>0.99602199999999996</c:v>
                </c:pt>
                <c:pt idx="78">
                  <c:v>0.99602199999999996</c:v>
                </c:pt>
                <c:pt idx="79">
                  <c:v>0.99602199999999996</c:v>
                </c:pt>
                <c:pt idx="80">
                  <c:v>0.99602199999999996</c:v>
                </c:pt>
                <c:pt idx="81">
                  <c:v>0.99602199999999996</c:v>
                </c:pt>
                <c:pt idx="82">
                  <c:v>0.99602199999999996</c:v>
                </c:pt>
                <c:pt idx="83">
                  <c:v>0.99602199999999996</c:v>
                </c:pt>
                <c:pt idx="84">
                  <c:v>0.99602199999999996</c:v>
                </c:pt>
                <c:pt idx="85">
                  <c:v>0.99602199999999996</c:v>
                </c:pt>
                <c:pt idx="86">
                  <c:v>0.99602199999999996</c:v>
                </c:pt>
                <c:pt idx="87">
                  <c:v>0.99602199999999996</c:v>
                </c:pt>
                <c:pt idx="88">
                  <c:v>0.99602199999999996</c:v>
                </c:pt>
                <c:pt idx="89">
                  <c:v>0.99602199999999996</c:v>
                </c:pt>
                <c:pt idx="90">
                  <c:v>0.99602199999999996</c:v>
                </c:pt>
                <c:pt idx="91">
                  <c:v>0.99602199999999996</c:v>
                </c:pt>
                <c:pt idx="92">
                  <c:v>0.99602199999999996</c:v>
                </c:pt>
                <c:pt idx="93">
                  <c:v>0.99602199999999996</c:v>
                </c:pt>
                <c:pt idx="94">
                  <c:v>0.99602199999999996</c:v>
                </c:pt>
                <c:pt idx="95">
                  <c:v>0.99602199999999996</c:v>
                </c:pt>
                <c:pt idx="96">
                  <c:v>0.99602199999999996</c:v>
                </c:pt>
                <c:pt idx="97">
                  <c:v>0.99602199999999996</c:v>
                </c:pt>
                <c:pt idx="98">
                  <c:v>0.99602199999999996</c:v>
                </c:pt>
                <c:pt idx="99">
                  <c:v>0.99602199999999996</c:v>
                </c:pt>
                <c:pt idx="100">
                  <c:v>0.99602199999999996</c:v>
                </c:pt>
                <c:pt idx="101">
                  <c:v>0.99602199999999996</c:v>
                </c:pt>
                <c:pt idx="102">
                  <c:v>0.99602199999999996</c:v>
                </c:pt>
                <c:pt idx="103">
                  <c:v>0.99602199999999996</c:v>
                </c:pt>
                <c:pt idx="104">
                  <c:v>0.99602199999999996</c:v>
                </c:pt>
                <c:pt idx="105">
                  <c:v>0.99602199999999996</c:v>
                </c:pt>
                <c:pt idx="106">
                  <c:v>0.99602199999999996</c:v>
                </c:pt>
                <c:pt idx="107">
                  <c:v>0.99602199999999996</c:v>
                </c:pt>
                <c:pt idx="108">
                  <c:v>0.99602199999999996</c:v>
                </c:pt>
                <c:pt idx="109">
                  <c:v>0.99602199999999996</c:v>
                </c:pt>
                <c:pt idx="110">
                  <c:v>0.99602199999999996</c:v>
                </c:pt>
                <c:pt idx="111">
                  <c:v>0.99602199999999996</c:v>
                </c:pt>
                <c:pt idx="112">
                  <c:v>0.99602199999999996</c:v>
                </c:pt>
                <c:pt idx="113">
                  <c:v>0.99602199999999996</c:v>
                </c:pt>
                <c:pt idx="114">
                  <c:v>0.99602199999999996</c:v>
                </c:pt>
                <c:pt idx="115">
                  <c:v>0.99602199999999996</c:v>
                </c:pt>
                <c:pt idx="116">
                  <c:v>0.99602199999999996</c:v>
                </c:pt>
                <c:pt idx="117">
                  <c:v>0.99602199999999996</c:v>
                </c:pt>
                <c:pt idx="118">
                  <c:v>0.99602199999999996</c:v>
                </c:pt>
                <c:pt idx="119">
                  <c:v>0.99602199999999996</c:v>
                </c:pt>
                <c:pt idx="120">
                  <c:v>0.99602199999999996</c:v>
                </c:pt>
                <c:pt idx="121">
                  <c:v>0.99602199999999996</c:v>
                </c:pt>
                <c:pt idx="122">
                  <c:v>0.99602199999999996</c:v>
                </c:pt>
                <c:pt idx="123">
                  <c:v>0.99602199999999996</c:v>
                </c:pt>
                <c:pt idx="124">
                  <c:v>0.99602199999999996</c:v>
                </c:pt>
                <c:pt idx="125">
                  <c:v>0.99602199999999996</c:v>
                </c:pt>
                <c:pt idx="126">
                  <c:v>0.99602199999999996</c:v>
                </c:pt>
                <c:pt idx="127">
                  <c:v>0.99602199999999996</c:v>
                </c:pt>
                <c:pt idx="128">
                  <c:v>0.99602199999999996</c:v>
                </c:pt>
                <c:pt idx="129">
                  <c:v>0.99602199999999996</c:v>
                </c:pt>
                <c:pt idx="130">
                  <c:v>0.99602199999999996</c:v>
                </c:pt>
                <c:pt idx="131">
                  <c:v>0.99602199999999996</c:v>
                </c:pt>
                <c:pt idx="132">
                  <c:v>0.99602199999999996</c:v>
                </c:pt>
                <c:pt idx="133">
                  <c:v>0.99602199999999996</c:v>
                </c:pt>
                <c:pt idx="134">
                  <c:v>0.99602199999999996</c:v>
                </c:pt>
                <c:pt idx="135">
                  <c:v>0.99602199999999996</c:v>
                </c:pt>
                <c:pt idx="136">
                  <c:v>0.99602199999999996</c:v>
                </c:pt>
                <c:pt idx="137">
                  <c:v>0.99602199999999996</c:v>
                </c:pt>
                <c:pt idx="138">
                  <c:v>0.99602199999999996</c:v>
                </c:pt>
                <c:pt idx="139">
                  <c:v>0.99602199999999996</c:v>
                </c:pt>
                <c:pt idx="140">
                  <c:v>0.99602199999999996</c:v>
                </c:pt>
                <c:pt idx="141">
                  <c:v>0.99602199999999996</c:v>
                </c:pt>
                <c:pt idx="142">
                  <c:v>0.99602199999999996</c:v>
                </c:pt>
                <c:pt idx="143">
                  <c:v>0.99602199999999996</c:v>
                </c:pt>
                <c:pt idx="144">
                  <c:v>0.99602199999999996</c:v>
                </c:pt>
                <c:pt idx="145">
                  <c:v>0.99602199999999996</c:v>
                </c:pt>
                <c:pt idx="146">
                  <c:v>0.99602199999999996</c:v>
                </c:pt>
                <c:pt idx="147">
                  <c:v>0.99602199999999996</c:v>
                </c:pt>
                <c:pt idx="148">
                  <c:v>0.99602199999999996</c:v>
                </c:pt>
                <c:pt idx="149">
                  <c:v>0.99602199999999996</c:v>
                </c:pt>
                <c:pt idx="150">
                  <c:v>0.99602199999999996</c:v>
                </c:pt>
                <c:pt idx="151">
                  <c:v>0.99602199999999996</c:v>
                </c:pt>
                <c:pt idx="152">
                  <c:v>0.99602199999999996</c:v>
                </c:pt>
                <c:pt idx="153">
                  <c:v>0.99602199999999996</c:v>
                </c:pt>
                <c:pt idx="154">
                  <c:v>0.99602199999999996</c:v>
                </c:pt>
                <c:pt idx="155">
                  <c:v>0.99602199999999996</c:v>
                </c:pt>
                <c:pt idx="156">
                  <c:v>0.99602199999999996</c:v>
                </c:pt>
                <c:pt idx="157">
                  <c:v>0.99602199999999996</c:v>
                </c:pt>
                <c:pt idx="158">
                  <c:v>0.99602199999999996</c:v>
                </c:pt>
                <c:pt idx="159">
                  <c:v>0.99602199999999996</c:v>
                </c:pt>
                <c:pt idx="160">
                  <c:v>0.99602199999999996</c:v>
                </c:pt>
                <c:pt idx="161">
                  <c:v>0.99602199999999996</c:v>
                </c:pt>
                <c:pt idx="162">
                  <c:v>0.99602199999999996</c:v>
                </c:pt>
                <c:pt idx="163">
                  <c:v>0.99602199999999996</c:v>
                </c:pt>
                <c:pt idx="164">
                  <c:v>0.99602199999999996</c:v>
                </c:pt>
                <c:pt idx="165">
                  <c:v>0.99602199999999996</c:v>
                </c:pt>
                <c:pt idx="166">
                  <c:v>0.99602199999999996</c:v>
                </c:pt>
                <c:pt idx="167">
                  <c:v>0.99602199999999996</c:v>
                </c:pt>
                <c:pt idx="168">
                  <c:v>0.99602199999999996</c:v>
                </c:pt>
                <c:pt idx="169">
                  <c:v>0.99602199999999996</c:v>
                </c:pt>
                <c:pt idx="170">
                  <c:v>0.99602199999999996</c:v>
                </c:pt>
                <c:pt idx="171">
                  <c:v>0.99602199999999996</c:v>
                </c:pt>
                <c:pt idx="172">
                  <c:v>0.99602199999999996</c:v>
                </c:pt>
                <c:pt idx="173">
                  <c:v>0.99602199999999996</c:v>
                </c:pt>
                <c:pt idx="174">
                  <c:v>0.99602199999999996</c:v>
                </c:pt>
                <c:pt idx="175">
                  <c:v>0.99602199999999996</c:v>
                </c:pt>
                <c:pt idx="176">
                  <c:v>0.99602199999999996</c:v>
                </c:pt>
                <c:pt idx="177">
                  <c:v>0.99602199999999996</c:v>
                </c:pt>
                <c:pt idx="178">
                  <c:v>0.99602199999999996</c:v>
                </c:pt>
                <c:pt idx="179">
                  <c:v>0.99602199999999996</c:v>
                </c:pt>
                <c:pt idx="180">
                  <c:v>0.99602199999999996</c:v>
                </c:pt>
                <c:pt idx="181">
                  <c:v>0.99602199999999996</c:v>
                </c:pt>
                <c:pt idx="182">
                  <c:v>0.99602199999999996</c:v>
                </c:pt>
                <c:pt idx="183">
                  <c:v>0.99602199999999996</c:v>
                </c:pt>
                <c:pt idx="184">
                  <c:v>0.99602199999999996</c:v>
                </c:pt>
                <c:pt idx="185">
                  <c:v>0.99602199999999996</c:v>
                </c:pt>
                <c:pt idx="186">
                  <c:v>0.99602199999999996</c:v>
                </c:pt>
                <c:pt idx="187">
                  <c:v>0.99602199999999996</c:v>
                </c:pt>
                <c:pt idx="188">
                  <c:v>0.99602199999999996</c:v>
                </c:pt>
                <c:pt idx="189">
                  <c:v>0.99602199999999996</c:v>
                </c:pt>
                <c:pt idx="190">
                  <c:v>0.99602199999999996</c:v>
                </c:pt>
                <c:pt idx="191">
                  <c:v>0.99602199999999996</c:v>
                </c:pt>
                <c:pt idx="192">
                  <c:v>0.99602199999999996</c:v>
                </c:pt>
                <c:pt idx="193">
                  <c:v>0.99602199999999996</c:v>
                </c:pt>
                <c:pt idx="194">
                  <c:v>0.99602199999999996</c:v>
                </c:pt>
                <c:pt idx="195">
                  <c:v>0.99602199999999996</c:v>
                </c:pt>
                <c:pt idx="196">
                  <c:v>0.99602199999999996</c:v>
                </c:pt>
                <c:pt idx="197">
                  <c:v>0.99602199999999996</c:v>
                </c:pt>
                <c:pt idx="198">
                  <c:v>0.99602199999999996</c:v>
                </c:pt>
                <c:pt idx="199">
                  <c:v>0.99602199999999996</c:v>
                </c:pt>
                <c:pt idx="200">
                  <c:v>0.99602199999999996</c:v>
                </c:pt>
                <c:pt idx="201">
                  <c:v>0.51977300000000004</c:v>
                </c:pt>
                <c:pt idx="202">
                  <c:v>0.52791699999999997</c:v>
                </c:pt>
                <c:pt idx="203">
                  <c:v>0.53676000000000001</c:v>
                </c:pt>
                <c:pt idx="204">
                  <c:v>0.54208100000000004</c:v>
                </c:pt>
                <c:pt idx="205">
                  <c:v>0.54550100000000001</c:v>
                </c:pt>
                <c:pt idx="206">
                  <c:v>0.54777399999999998</c:v>
                </c:pt>
                <c:pt idx="207">
                  <c:v>0.54937400000000003</c:v>
                </c:pt>
                <c:pt idx="208">
                  <c:v>0.55052199999999996</c:v>
                </c:pt>
                <c:pt idx="209">
                  <c:v>0.55135599999999996</c:v>
                </c:pt>
                <c:pt idx="210">
                  <c:v>0.55196299999999998</c:v>
                </c:pt>
                <c:pt idx="211">
                  <c:v>0.55233699999999997</c:v>
                </c:pt>
                <c:pt idx="212">
                  <c:v>1.004923</c:v>
                </c:pt>
                <c:pt idx="213">
                  <c:v>1.0004169999999999</c:v>
                </c:pt>
                <c:pt idx="214">
                  <c:v>0.99566200000000005</c:v>
                </c:pt>
                <c:pt idx="215">
                  <c:v>0.99307599999999996</c:v>
                </c:pt>
                <c:pt idx="216">
                  <c:v>0.99176399999999998</c:v>
                </c:pt>
                <c:pt idx="217">
                  <c:v>0.99123300000000003</c:v>
                </c:pt>
                <c:pt idx="218">
                  <c:v>0.99116499999999996</c:v>
                </c:pt>
                <c:pt idx="219">
                  <c:v>0.99137600000000003</c:v>
                </c:pt>
                <c:pt idx="220">
                  <c:v>0.99174899999999999</c:v>
                </c:pt>
                <c:pt idx="221">
                  <c:v>0.99220900000000001</c:v>
                </c:pt>
                <c:pt idx="222">
                  <c:v>0.99270700000000001</c:v>
                </c:pt>
                <c:pt idx="223">
                  <c:v>0.99321199999999998</c:v>
                </c:pt>
                <c:pt idx="224">
                  <c:v>0.993703</c:v>
                </c:pt>
                <c:pt idx="225">
                  <c:v>0.99416800000000005</c:v>
                </c:pt>
                <c:pt idx="226">
                  <c:v>0.99459900000000001</c:v>
                </c:pt>
                <c:pt idx="227">
                  <c:v>0.99499300000000002</c:v>
                </c:pt>
                <c:pt idx="228">
                  <c:v>0.99537100000000001</c:v>
                </c:pt>
                <c:pt idx="229">
                  <c:v>0.99567799999999995</c:v>
                </c:pt>
                <c:pt idx="230">
                  <c:v>0.99595400000000001</c:v>
                </c:pt>
                <c:pt idx="231">
                  <c:v>0.99619400000000002</c:v>
                </c:pt>
                <c:pt idx="232">
                  <c:v>0.99640300000000004</c:v>
                </c:pt>
                <c:pt idx="233">
                  <c:v>0.99658199999999997</c:v>
                </c:pt>
                <c:pt idx="234">
                  <c:v>0.99673599999999996</c:v>
                </c:pt>
                <c:pt idx="235">
                  <c:v>0.996865</c:v>
                </c:pt>
                <c:pt idx="236">
                  <c:v>0.996973</c:v>
                </c:pt>
                <c:pt idx="237">
                  <c:v>0.99706300000000003</c:v>
                </c:pt>
                <c:pt idx="238">
                  <c:v>0.99713499999999999</c:v>
                </c:pt>
                <c:pt idx="239">
                  <c:v>0.997193</c:v>
                </c:pt>
                <c:pt idx="240">
                  <c:v>0.99723799999999996</c:v>
                </c:pt>
                <c:pt idx="241">
                  <c:v>0.99726999999999999</c:v>
                </c:pt>
                <c:pt idx="242">
                  <c:v>0.99729299999999999</c:v>
                </c:pt>
                <c:pt idx="243">
                  <c:v>0.99730600000000003</c:v>
                </c:pt>
                <c:pt idx="244">
                  <c:v>0.99731000000000003</c:v>
                </c:pt>
                <c:pt idx="245">
                  <c:v>0.99730700000000005</c:v>
                </c:pt>
                <c:pt idx="246">
                  <c:v>0.99729699999999999</c:v>
                </c:pt>
                <c:pt idx="247">
                  <c:v>0.99728099999999997</c:v>
                </c:pt>
                <c:pt idx="248">
                  <c:v>0.99725799999999998</c:v>
                </c:pt>
                <c:pt idx="249">
                  <c:v>0.99722999999999995</c:v>
                </c:pt>
                <c:pt idx="250">
                  <c:v>0.99719599999999997</c:v>
                </c:pt>
                <c:pt idx="251">
                  <c:v>0.99715699999999996</c:v>
                </c:pt>
                <c:pt idx="252">
                  <c:v>0.99711300000000003</c:v>
                </c:pt>
                <c:pt idx="253">
                  <c:v>0.99706300000000003</c:v>
                </c:pt>
                <c:pt idx="254">
                  <c:v>0.99700800000000001</c:v>
                </c:pt>
                <c:pt idx="255">
                  <c:v>0.99694700000000003</c:v>
                </c:pt>
                <c:pt idx="256">
                  <c:v>0.99688100000000002</c:v>
                </c:pt>
                <c:pt idx="257">
                  <c:v>0.99680899999999995</c:v>
                </c:pt>
                <c:pt idx="258">
                  <c:v>0.99673199999999995</c:v>
                </c:pt>
                <c:pt idx="259">
                  <c:v>0.99664799999999998</c:v>
                </c:pt>
                <c:pt idx="260">
                  <c:v>0.99655800000000005</c:v>
                </c:pt>
                <c:pt idx="261">
                  <c:v>0.99646199999999996</c:v>
                </c:pt>
                <c:pt idx="262">
                  <c:v>0.99636000000000002</c:v>
                </c:pt>
                <c:pt idx="263">
                  <c:v>0.996251</c:v>
                </c:pt>
                <c:pt idx="264">
                  <c:v>0.99613499999999999</c:v>
                </c:pt>
                <c:pt idx="265">
                  <c:v>0.99601300000000004</c:v>
                </c:pt>
                <c:pt idx="266">
                  <c:v>0.99588299999999996</c:v>
                </c:pt>
                <c:pt idx="267">
                  <c:v>0.99574700000000005</c:v>
                </c:pt>
                <c:pt idx="268">
                  <c:v>0.99560300000000002</c:v>
                </c:pt>
                <c:pt idx="269">
                  <c:v>0.99545300000000003</c:v>
                </c:pt>
                <c:pt idx="270">
                  <c:v>0.99529500000000004</c:v>
                </c:pt>
                <c:pt idx="271">
                  <c:v>0.99512999999999996</c:v>
                </c:pt>
                <c:pt idx="272">
                  <c:v>0.99495800000000001</c:v>
                </c:pt>
                <c:pt idx="273">
                  <c:v>0.99477899999999997</c:v>
                </c:pt>
                <c:pt idx="274">
                  <c:v>0.99459299999999995</c:v>
                </c:pt>
                <c:pt idx="275">
                  <c:v>0.99439999999999995</c:v>
                </c:pt>
                <c:pt idx="276">
                  <c:v>0.994201</c:v>
                </c:pt>
                <c:pt idx="277">
                  <c:v>0.99399400000000004</c:v>
                </c:pt>
                <c:pt idx="278">
                  <c:v>0.99378100000000003</c:v>
                </c:pt>
                <c:pt idx="279">
                  <c:v>0.99356100000000003</c:v>
                </c:pt>
                <c:pt idx="280">
                  <c:v>0.99333499999999997</c:v>
                </c:pt>
                <c:pt idx="281">
                  <c:v>0.99310299999999996</c:v>
                </c:pt>
                <c:pt idx="282">
                  <c:v>0.992865</c:v>
                </c:pt>
                <c:pt idx="283">
                  <c:v>0.99262099999999998</c:v>
                </c:pt>
                <c:pt idx="284">
                  <c:v>0.992371</c:v>
                </c:pt>
                <c:pt idx="285">
                  <c:v>0.992116</c:v>
                </c:pt>
                <c:pt idx="286">
                  <c:v>0.99185599999999996</c:v>
                </c:pt>
                <c:pt idx="287">
                  <c:v>0.991591</c:v>
                </c:pt>
                <c:pt idx="288">
                  <c:v>0.99132200000000004</c:v>
                </c:pt>
                <c:pt idx="289">
                  <c:v>0.99104899999999996</c:v>
                </c:pt>
                <c:pt idx="290">
                  <c:v>0.99077099999999996</c:v>
                </c:pt>
                <c:pt idx="291">
                  <c:v>0.99048999999999998</c:v>
                </c:pt>
                <c:pt idx="292">
                  <c:v>0.99020600000000003</c:v>
                </c:pt>
                <c:pt idx="293">
                  <c:v>0.98992000000000002</c:v>
                </c:pt>
                <c:pt idx="294">
                  <c:v>0.98963100000000004</c:v>
                </c:pt>
                <c:pt idx="295">
                  <c:v>0.98934</c:v>
                </c:pt>
                <c:pt idx="296">
                  <c:v>0.98904800000000004</c:v>
                </c:pt>
                <c:pt idx="297">
                  <c:v>0.98875599999999997</c:v>
                </c:pt>
                <c:pt idx="298">
                  <c:v>0.98846299999999998</c:v>
                </c:pt>
                <c:pt idx="299">
                  <c:v>0.98816999999999999</c:v>
                </c:pt>
                <c:pt idx="300">
                  <c:v>0.98787899999999995</c:v>
                </c:pt>
                <c:pt idx="301">
                  <c:v>0.98758900000000005</c:v>
                </c:pt>
                <c:pt idx="302">
                  <c:v>0.98730099999999998</c:v>
                </c:pt>
                <c:pt idx="303">
                  <c:v>0.987016</c:v>
                </c:pt>
                <c:pt idx="304">
                  <c:v>0.986734</c:v>
                </c:pt>
                <c:pt idx="305">
                  <c:v>0.986456</c:v>
                </c:pt>
                <c:pt idx="306">
                  <c:v>0.98618300000000003</c:v>
                </c:pt>
                <c:pt idx="307">
                  <c:v>0.98591600000000001</c:v>
                </c:pt>
                <c:pt idx="308">
                  <c:v>0.98565499999999995</c:v>
                </c:pt>
                <c:pt idx="309">
                  <c:v>0.98540000000000005</c:v>
                </c:pt>
                <c:pt idx="310">
                  <c:v>0.98515299999999995</c:v>
                </c:pt>
                <c:pt idx="311">
                  <c:v>0.98491399999999996</c:v>
                </c:pt>
                <c:pt idx="312">
                  <c:v>0.98468299999999997</c:v>
                </c:pt>
                <c:pt idx="313">
                  <c:v>0.98446199999999995</c:v>
                </c:pt>
                <c:pt idx="314">
                  <c:v>0.98424999999999996</c:v>
                </c:pt>
                <c:pt idx="315">
                  <c:v>0.98404899999999995</c:v>
                </c:pt>
                <c:pt idx="316">
                  <c:v>0.98385900000000004</c:v>
                </c:pt>
                <c:pt idx="317">
                  <c:v>0.98368100000000003</c:v>
                </c:pt>
                <c:pt idx="318">
                  <c:v>0.983514</c:v>
                </c:pt>
                <c:pt idx="319">
                  <c:v>0.98336000000000001</c:v>
                </c:pt>
                <c:pt idx="320">
                  <c:v>0.98321800000000004</c:v>
                </c:pt>
                <c:pt idx="321">
                  <c:v>0.98309000000000002</c:v>
                </c:pt>
                <c:pt idx="322">
                  <c:v>0.98297500000000004</c:v>
                </c:pt>
                <c:pt idx="323">
                  <c:v>0.98287500000000005</c:v>
                </c:pt>
                <c:pt idx="324">
                  <c:v>0.98278799999999999</c:v>
                </c:pt>
                <c:pt idx="325">
                  <c:v>0.98271600000000003</c:v>
                </c:pt>
                <c:pt idx="326">
                  <c:v>0.98265800000000003</c:v>
                </c:pt>
                <c:pt idx="327">
                  <c:v>0.98261500000000002</c:v>
                </c:pt>
                <c:pt idx="328">
                  <c:v>0.98258699999999999</c:v>
                </c:pt>
                <c:pt idx="329">
                  <c:v>0.98257399999999995</c:v>
                </c:pt>
                <c:pt idx="330">
                  <c:v>0.982576</c:v>
                </c:pt>
                <c:pt idx="331">
                  <c:v>0.98259300000000005</c:v>
                </c:pt>
                <c:pt idx="332">
                  <c:v>0.98262499999999997</c:v>
                </c:pt>
                <c:pt idx="333">
                  <c:v>0.98267199999999999</c:v>
                </c:pt>
                <c:pt idx="334">
                  <c:v>0.982734</c:v>
                </c:pt>
                <c:pt idx="335">
                  <c:v>0.98281099999999999</c:v>
                </c:pt>
                <c:pt idx="336">
                  <c:v>0.98290200000000005</c:v>
                </c:pt>
                <c:pt idx="337">
                  <c:v>0.98300799999999999</c:v>
                </c:pt>
                <c:pt idx="338">
                  <c:v>0.983128</c:v>
                </c:pt>
                <c:pt idx="339">
                  <c:v>0.98326199999999997</c:v>
                </c:pt>
                <c:pt idx="340">
                  <c:v>0.98341000000000001</c:v>
                </c:pt>
                <c:pt idx="341">
                  <c:v>0.983572</c:v>
                </c:pt>
                <c:pt idx="342">
                  <c:v>0.98374600000000001</c:v>
                </c:pt>
                <c:pt idx="343">
                  <c:v>0.98393399999999998</c:v>
                </c:pt>
                <c:pt idx="344">
                  <c:v>0.98413399999999995</c:v>
                </c:pt>
                <c:pt idx="345">
                  <c:v>0.98434600000000005</c:v>
                </c:pt>
                <c:pt idx="346">
                  <c:v>0.98456999999999995</c:v>
                </c:pt>
                <c:pt idx="347">
                  <c:v>0.98480500000000004</c:v>
                </c:pt>
                <c:pt idx="348">
                  <c:v>0.98505100000000001</c:v>
                </c:pt>
                <c:pt idx="349">
                  <c:v>0.98530700000000004</c:v>
                </c:pt>
                <c:pt idx="350">
                  <c:v>0.98557300000000003</c:v>
                </c:pt>
                <c:pt idx="351">
                  <c:v>0.98584899999999998</c:v>
                </c:pt>
                <c:pt idx="352">
                  <c:v>0.98613399999999996</c:v>
                </c:pt>
                <c:pt idx="353">
                  <c:v>0.98642700000000005</c:v>
                </c:pt>
                <c:pt idx="354">
                  <c:v>0.98672800000000005</c:v>
                </c:pt>
                <c:pt idx="355">
                  <c:v>0.98703600000000002</c:v>
                </c:pt>
                <c:pt idx="356">
                  <c:v>0.98735099999999998</c:v>
                </c:pt>
                <c:pt idx="357">
                  <c:v>0.98767199999999999</c:v>
                </c:pt>
                <c:pt idx="358">
                  <c:v>0.98799899999999996</c:v>
                </c:pt>
                <c:pt idx="359">
                  <c:v>0.98833099999999996</c:v>
                </c:pt>
                <c:pt idx="360">
                  <c:v>0.98866699999999996</c:v>
                </c:pt>
                <c:pt idx="361">
                  <c:v>0.98900699999999997</c:v>
                </c:pt>
                <c:pt idx="362">
                  <c:v>0.98934999999999995</c:v>
                </c:pt>
                <c:pt idx="363">
                  <c:v>0.98969499999999999</c:v>
                </c:pt>
                <c:pt idx="364">
                  <c:v>0.99004300000000001</c:v>
                </c:pt>
                <c:pt idx="365">
                  <c:v>0.99039200000000005</c:v>
                </c:pt>
                <c:pt idx="366">
                  <c:v>0.99074099999999998</c:v>
                </c:pt>
                <c:pt idx="367">
                  <c:v>0.99109100000000006</c:v>
                </c:pt>
                <c:pt idx="368">
                  <c:v>0.99143999999999999</c:v>
                </c:pt>
                <c:pt idx="369">
                  <c:v>0.991788</c:v>
                </c:pt>
                <c:pt idx="370">
                  <c:v>0.99213499999999999</c:v>
                </c:pt>
                <c:pt idx="371">
                  <c:v>0.992479</c:v>
                </c:pt>
                <c:pt idx="372">
                  <c:v>0.99282099999999995</c:v>
                </c:pt>
                <c:pt idx="373">
                  <c:v>0.99315900000000001</c:v>
                </c:pt>
                <c:pt idx="374">
                  <c:v>0.99349299999999996</c:v>
                </c:pt>
                <c:pt idx="375">
                  <c:v>0.99382300000000001</c:v>
                </c:pt>
                <c:pt idx="376">
                  <c:v>0.99414899999999995</c:v>
                </c:pt>
                <c:pt idx="377">
                  <c:v>0.99446800000000002</c:v>
                </c:pt>
                <c:pt idx="378">
                  <c:v>0.99478200000000006</c:v>
                </c:pt>
                <c:pt idx="379">
                  <c:v>0.99509000000000003</c:v>
                </c:pt>
                <c:pt idx="380">
                  <c:v>0.99539100000000003</c:v>
                </c:pt>
                <c:pt idx="381">
                  <c:v>0.99568500000000004</c:v>
                </c:pt>
                <c:pt idx="382">
                  <c:v>0.99597100000000005</c:v>
                </c:pt>
                <c:pt idx="383">
                  <c:v>0.99624999999999997</c:v>
                </c:pt>
                <c:pt idx="384">
                  <c:v>0.99651999999999996</c:v>
                </c:pt>
                <c:pt idx="385">
                  <c:v>0.99678199999999995</c:v>
                </c:pt>
                <c:pt idx="386">
                  <c:v>0.997035</c:v>
                </c:pt>
                <c:pt idx="387">
                  <c:v>0.99727900000000003</c:v>
                </c:pt>
                <c:pt idx="388">
                  <c:v>0.99751299999999998</c:v>
                </c:pt>
                <c:pt idx="389">
                  <c:v>0.99773900000000004</c:v>
                </c:pt>
                <c:pt idx="390">
                  <c:v>0.99795400000000001</c:v>
                </c:pt>
                <c:pt idx="391">
                  <c:v>0.99816000000000005</c:v>
                </c:pt>
                <c:pt idx="392">
                  <c:v>0.99835499999999999</c:v>
                </c:pt>
                <c:pt idx="393">
                  <c:v>0.99854100000000001</c:v>
                </c:pt>
                <c:pt idx="394">
                  <c:v>0.99871600000000005</c:v>
                </c:pt>
                <c:pt idx="395">
                  <c:v>0.99888100000000002</c:v>
                </c:pt>
                <c:pt idx="396">
                  <c:v>0.99903600000000004</c:v>
                </c:pt>
                <c:pt idx="397">
                  <c:v>0.99917999999999996</c:v>
                </c:pt>
                <c:pt idx="398">
                  <c:v>0.99931499999999995</c:v>
                </c:pt>
                <c:pt idx="399">
                  <c:v>0.99943800000000005</c:v>
                </c:pt>
                <c:pt idx="400">
                  <c:v>0.999552</c:v>
                </c:pt>
                <c:pt idx="401">
                  <c:v>0.99965499999999996</c:v>
                </c:pt>
                <c:pt idx="402">
                  <c:v>0.99974799999999997</c:v>
                </c:pt>
                <c:pt idx="403">
                  <c:v>0.99983200000000005</c:v>
                </c:pt>
                <c:pt idx="404">
                  <c:v>0.99990500000000004</c:v>
                </c:pt>
                <c:pt idx="405">
                  <c:v>0.99996799999999997</c:v>
                </c:pt>
                <c:pt idx="406">
                  <c:v>1.000022</c:v>
                </c:pt>
                <c:pt idx="407">
                  <c:v>1.000067</c:v>
                </c:pt>
                <c:pt idx="408">
                  <c:v>1.000102</c:v>
                </c:pt>
                <c:pt idx="409">
                  <c:v>1.000129</c:v>
                </c:pt>
                <c:pt idx="410">
                  <c:v>1.000146</c:v>
                </c:pt>
                <c:pt idx="411">
                  <c:v>1.0001549999999999</c:v>
                </c:pt>
                <c:pt idx="412">
                  <c:v>1.000156</c:v>
                </c:pt>
                <c:pt idx="413">
                  <c:v>1.000148</c:v>
                </c:pt>
                <c:pt idx="414">
                  <c:v>1.0001329999999999</c:v>
                </c:pt>
                <c:pt idx="415">
                  <c:v>1.0001100000000001</c:v>
                </c:pt>
                <c:pt idx="416">
                  <c:v>1.0000789999999999</c:v>
                </c:pt>
                <c:pt idx="417">
                  <c:v>1.0000420000000001</c:v>
                </c:pt>
                <c:pt idx="418">
                  <c:v>0.99999800000000005</c:v>
                </c:pt>
                <c:pt idx="419">
                  <c:v>0.99994700000000003</c:v>
                </c:pt>
                <c:pt idx="420">
                  <c:v>0.99988999999999995</c:v>
                </c:pt>
                <c:pt idx="421">
                  <c:v>0.99982700000000002</c:v>
                </c:pt>
                <c:pt idx="422">
                  <c:v>0.99975800000000004</c:v>
                </c:pt>
                <c:pt idx="423">
                  <c:v>0.99968400000000002</c:v>
                </c:pt>
                <c:pt idx="424">
                  <c:v>0.99960499999999997</c:v>
                </c:pt>
                <c:pt idx="425">
                  <c:v>0.99952099999999999</c:v>
                </c:pt>
                <c:pt idx="426">
                  <c:v>0.99943199999999999</c:v>
                </c:pt>
                <c:pt idx="427">
                  <c:v>0.99933899999999998</c:v>
                </c:pt>
                <c:pt idx="428">
                  <c:v>0.99924299999999999</c:v>
                </c:pt>
                <c:pt idx="429">
                  <c:v>0.999143</c:v>
                </c:pt>
                <c:pt idx="430">
                  <c:v>0.99903900000000001</c:v>
                </c:pt>
                <c:pt idx="431">
                  <c:v>0.99893299999999996</c:v>
                </c:pt>
                <c:pt idx="432">
                  <c:v>0.99882400000000005</c:v>
                </c:pt>
                <c:pt idx="433">
                  <c:v>0.99871200000000004</c:v>
                </c:pt>
                <c:pt idx="434">
                  <c:v>0.99859799999999999</c:v>
                </c:pt>
                <c:pt idx="435">
                  <c:v>0.99848199999999998</c:v>
                </c:pt>
                <c:pt idx="436">
                  <c:v>0.99836499999999995</c:v>
                </c:pt>
                <c:pt idx="437">
                  <c:v>0.998247</c:v>
                </c:pt>
                <c:pt idx="438">
                  <c:v>0.99812699999999999</c:v>
                </c:pt>
                <c:pt idx="439">
                  <c:v>0.99800699999999998</c:v>
                </c:pt>
                <c:pt idx="440">
                  <c:v>0.99788600000000005</c:v>
                </c:pt>
                <c:pt idx="441">
                  <c:v>0.99776500000000001</c:v>
                </c:pt>
                <c:pt idx="442">
                  <c:v>0.99764399999999998</c:v>
                </c:pt>
                <c:pt idx="443">
                  <c:v>0.99752300000000005</c:v>
                </c:pt>
                <c:pt idx="444">
                  <c:v>0.99740300000000004</c:v>
                </c:pt>
                <c:pt idx="445">
                  <c:v>0.99728300000000003</c:v>
                </c:pt>
                <c:pt idx="446">
                  <c:v>0.99716499999999997</c:v>
                </c:pt>
                <c:pt idx="447">
                  <c:v>0.99704700000000002</c:v>
                </c:pt>
                <c:pt idx="448">
                  <c:v>0.99693100000000001</c:v>
                </c:pt>
                <c:pt idx="449">
                  <c:v>0.99681600000000004</c:v>
                </c:pt>
                <c:pt idx="450">
                  <c:v>0.99670300000000001</c:v>
                </c:pt>
                <c:pt idx="451">
                  <c:v>0.996591</c:v>
                </c:pt>
                <c:pt idx="452">
                  <c:v>0.99648199999999998</c:v>
                </c:pt>
                <c:pt idx="453">
                  <c:v>0.99637500000000001</c:v>
                </c:pt>
                <c:pt idx="454">
                  <c:v>0.99626999999999999</c:v>
                </c:pt>
                <c:pt idx="455">
                  <c:v>0.99616700000000002</c:v>
                </c:pt>
                <c:pt idx="456">
                  <c:v>0.99606700000000004</c:v>
                </c:pt>
                <c:pt idx="457">
                  <c:v>0.99596899999999999</c:v>
                </c:pt>
                <c:pt idx="458">
                  <c:v>0.99587499999999995</c:v>
                </c:pt>
                <c:pt idx="459">
                  <c:v>0.99578199999999994</c:v>
                </c:pt>
                <c:pt idx="460">
                  <c:v>0.99569300000000005</c:v>
                </c:pt>
                <c:pt idx="461">
                  <c:v>0.99560700000000002</c:v>
                </c:pt>
                <c:pt idx="462">
                  <c:v>0.99552300000000005</c:v>
                </c:pt>
                <c:pt idx="463">
                  <c:v>0.99544299999999997</c:v>
                </c:pt>
                <c:pt idx="464">
                  <c:v>0.99536500000000006</c:v>
                </c:pt>
                <c:pt idx="465">
                  <c:v>0.99529000000000001</c:v>
                </c:pt>
                <c:pt idx="466">
                  <c:v>0.99521899999999996</c:v>
                </c:pt>
                <c:pt idx="467">
                  <c:v>0.99514999999999998</c:v>
                </c:pt>
                <c:pt idx="468">
                  <c:v>0.995085</c:v>
                </c:pt>
                <c:pt idx="469">
                  <c:v>0.99502199999999996</c:v>
                </c:pt>
                <c:pt idx="470">
                  <c:v>0.99496300000000004</c:v>
                </c:pt>
                <c:pt idx="471">
                  <c:v>0.99490699999999999</c:v>
                </c:pt>
                <c:pt idx="472">
                  <c:v>0.99485299999999999</c:v>
                </c:pt>
                <c:pt idx="473">
                  <c:v>0.99480299999999999</c:v>
                </c:pt>
                <c:pt idx="474">
                  <c:v>0.99475499999999994</c:v>
                </c:pt>
                <c:pt idx="475">
                  <c:v>0.99470999999999998</c:v>
                </c:pt>
                <c:pt idx="476">
                  <c:v>0.994668</c:v>
                </c:pt>
                <c:pt idx="477">
                  <c:v>0.99463000000000001</c:v>
                </c:pt>
                <c:pt idx="478">
                  <c:v>0.99459299999999995</c:v>
                </c:pt>
                <c:pt idx="479">
                  <c:v>0.99456</c:v>
                </c:pt>
                <c:pt idx="480">
                  <c:v>0.994529</c:v>
                </c:pt>
                <c:pt idx="481">
                  <c:v>0.994502</c:v>
                </c:pt>
                <c:pt idx="482">
                  <c:v>0.99447700000000006</c:v>
                </c:pt>
                <c:pt idx="483">
                  <c:v>0.99445399999999995</c:v>
                </c:pt>
                <c:pt idx="484">
                  <c:v>0.99443400000000004</c:v>
                </c:pt>
                <c:pt idx="485">
                  <c:v>0.994417</c:v>
                </c:pt>
                <c:pt idx="486">
                  <c:v>0.99440300000000004</c:v>
                </c:pt>
                <c:pt idx="487">
                  <c:v>0.99439100000000002</c:v>
                </c:pt>
                <c:pt idx="488">
                  <c:v>0.99438199999999999</c:v>
                </c:pt>
                <c:pt idx="489">
                  <c:v>0.99437600000000004</c:v>
                </c:pt>
                <c:pt idx="490">
                  <c:v>0.99437200000000003</c:v>
                </c:pt>
                <c:pt idx="491">
                  <c:v>0.994371</c:v>
                </c:pt>
                <c:pt idx="492">
                  <c:v>0.99437200000000003</c:v>
                </c:pt>
                <c:pt idx="493">
                  <c:v>0.99437699999999996</c:v>
                </c:pt>
                <c:pt idx="494">
                  <c:v>0.99438400000000005</c:v>
                </c:pt>
                <c:pt idx="495">
                  <c:v>0.99439299999999997</c:v>
                </c:pt>
                <c:pt idx="496">
                  <c:v>0.99440600000000001</c:v>
                </c:pt>
                <c:pt idx="497">
                  <c:v>0.994421</c:v>
                </c:pt>
                <c:pt idx="498">
                  <c:v>0.99443899999999996</c:v>
                </c:pt>
                <c:pt idx="499">
                  <c:v>0.99446000000000001</c:v>
                </c:pt>
                <c:pt idx="500">
                  <c:v>0.99448400000000003</c:v>
                </c:pt>
                <c:pt idx="501">
                  <c:v>0.99451100000000003</c:v>
                </c:pt>
                <c:pt idx="502">
                  <c:v>0.99454100000000001</c:v>
                </c:pt>
                <c:pt idx="503">
                  <c:v>0.99457399999999996</c:v>
                </c:pt>
                <c:pt idx="504">
                  <c:v>0.99460999999999999</c:v>
                </c:pt>
                <c:pt idx="505">
                  <c:v>0.99464900000000001</c:v>
                </c:pt>
                <c:pt idx="506">
                  <c:v>0.99469200000000002</c:v>
                </c:pt>
                <c:pt idx="507">
                  <c:v>0.99473699999999998</c:v>
                </c:pt>
                <c:pt idx="508">
                  <c:v>0.99478599999999995</c:v>
                </c:pt>
                <c:pt idx="509">
                  <c:v>0.994838</c:v>
                </c:pt>
                <c:pt idx="510">
                  <c:v>0.99489300000000003</c:v>
                </c:pt>
                <c:pt idx="511">
                  <c:v>0.99495199999999995</c:v>
                </c:pt>
                <c:pt idx="512">
                  <c:v>0.99501399999999995</c:v>
                </c:pt>
                <c:pt idx="513">
                  <c:v>0.99507900000000005</c:v>
                </c:pt>
                <c:pt idx="514">
                  <c:v>0.995147</c:v>
                </c:pt>
                <c:pt idx="515">
                  <c:v>0.99521899999999996</c:v>
                </c:pt>
                <c:pt idx="516">
                  <c:v>0.99529400000000001</c:v>
                </c:pt>
                <c:pt idx="517">
                  <c:v>0.99537299999999995</c:v>
                </c:pt>
                <c:pt idx="518">
                  <c:v>0.99545399999999995</c:v>
                </c:pt>
                <c:pt idx="519">
                  <c:v>0.99553899999999995</c:v>
                </c:pt>
                <c:pt idx="520">
                  <c:v>0.99562700000000004</c:v>
                </c:pt>
                <c:pt idx="521">
                  <c:v>0.99571799999999999</c:v>
                </c:pt>
                <c:pt idx="522">
                  <c:v>0.99581200000000003</c:v>
                </c:pt>
                <c:pt idx="523">
                  <c:v>0.99590900000000004</c:v>
                </c:pt>
                <c:pt idx="524">
                  <c:v>0.99600900000000003</c:v>
                </c:pt>
                <c:pt idx="525">
                  <c:v>0.996112</c:v>
                </c:pt>
                <c:pt idx="526">
                  <c:v>0.99621700000000002</c:v>
                </c:pt>
                <c:pt idx="527">
                  <c:v>0.99632500000000002</c:v>
                </c:pt>
                <c:pt idx="528">
                  <c:v>0.99643499999999996</c:v>
                </c:pt>
                <c:pt idx="529">
                  <c:v>0.99654699999999996</c:v>
                </c:pt>
                <c:pt idx="530">
                  <c:v>0.99666100000000002</c:v>
                </c:pt>
                <c:pt idx="531">
                  <c:v>0.99677700000000002</c:v>
                </c:pt>
                <c:pt idx="532">
                  <c:v>0.99689499999999998</c:v>
                </c:pt>
                <c:pt idx="533">
                  <c:v>0.99701499999999998</c:v>
                </c:pt>
                <c:pt idx="534">
                  <c:v>0.99713499999999999</c:v>
                </c:pt>
                <c:pt idx="535">
                  <c:v>0.99725699999999995</c:v>
                </c:pt>
                <c:pt idx="536">
                  <c:v>0.99738000000000004</c:v>
                </c:pt>
                <c:pt idx="537">
                  <c:v>0.99750300000000003</c:v>
                </c:pt>
                <c:pt idx="538">
                  <c:v>0.99762700000000004</c:v>
                </c:pt>
                <c:pt idx="539">
                  <c:v>0.99775100000000005</c:v>
                </c:pt>
                <c:pt idx="540">
                  <c:v>0.99787499999999996</c:v>
                </c:pt>
                <c:pt idx="541">
                  <c:v>0.99799800000000005</c:v>
                </c:pt>
                <c:pt idx="542">
                  <c:v>0.99812100000000004</c:v>
                </c:pt>
                <c:pt idx="543">
                  <c:v>0.99824400000000002</c:v>
                </c:pt>
                <c:pt idx="544">
                  <c:v>0.99836499999999995</c:v>
                </c:pt>
                <c:pt idx="545">
                  <c:v>0.99848499999999996</c:v>
                </c:pt>
                <c:pt idx="546">
                  <c:v>0.99860300000000002</c:v>
                </c:pt>
                <c:pt idx="547">
                  <c:v>0.99872000000000005</c:v>
                </c:pt>
                <c:pt idx="548">
                  <c:v>0.998834</c:v>
                </c:pt>
                <c:pt idx="549">
                  <c:v>0.998946</c:v>
                </c:pt>
                <c:pt idx="550">
                  <c:v>0.99905500000000003</c:v>
                </c:pt>
                <c:pt idx="551">
                  <c:v>0.99916199999999999</c:v>
                </c:pt>
                <c:pt idx="552">
                  <c:v>0.99926499999999996</c:v>
                </c:pt>
                <c:pt idx="553">
                  <c:v>0.99936499999999995</c:v>
                </c:pt>
                <c:pt idx="554">
                  <c:v>0.99946100000000004</c:v>
                </c:pt>
                <c:pt idx="555">
                  <c:v>0.99955300000000002</c:v>
                </c:pt>
                <c:pt idx="556">
                  <c:v>0.999641</c:v>
                </c:pt>
                <c:pt idx="557">
                  <c:v>0.99972399999999995</c:v>
                </c:pt>
                <c:pt idx="558">
                  <c:v>0.999803</c:v>
                </c:pt>
                <c:pt idx="559">
                  <c:v>0.99987700000000002</c:v>
                </c:pt>
                <c:pt idx="560">
                  <c:v>0.99994499999999997</c:v>
                </c:pt>
                <c:pt idx="561">
                  <c:v>1.0000089999999999</c:v>
                </c:pt>
                <c:pt idx="562">
                  <c:v>1.000067</c:v>
                </c:pt>
                <c:pt idx="563">
                  <c:v>1.000119</c:v>
                </c:pt>
                <c:pt idx="564">
                  <c:v>1.000165</c:v>
                </c:pt>
                <c:pt idx="565">
                  <c:v>1.000205</c:v>
                </c:pt>
                <c:pt idx="566">
                  <c:v>1.0002390000000001</c:v>
                </c:pt>
                <c:pt idx="567">
                  <c:v>1.000267</c:v>
                </c:pt>
                <c:pt idx="568">
                  <c:v>1.0002880000000001</c:v>
                </c:pt>
                <c:pt idx="569">
                  <c:v>1.0003029999999999</c:v>
                </c:pt>
                <c:pt idx="570">
                  <c:v>1.000311</c:v>
                </c:pt>
                <c:pt idx="571">
                  <c:v>1.0003120000000001</c:v>
                </c:pt>
                <c:pt idx="572">
                  <c:v>1.0003059999999999</c:v>
                </c:pt>
                <c:pt idx="573">
                  <c:v>1.0002930000000001</c:v>
                </c:pt>
                <c:pt idx="574">
                  <c:v>1.0002740000000001</c:v>
                </c:pt>
                <c:pt idx="575">
                  <c:v>1.0002470000000001</c:v>
                </c:pt>
                <c:pt idx="576">
                  <c:v>1.0002139999999999</c:v>
                </c:pt>
                <c:pt idx="577">
                  <c:v>1.000173</c:v>
                </c:pt>
                <c:pt idx="578">
                  <c:v>1.0001249999999999</c:v>
                </c:pt>
                <c:pt idx="579">
                  <c:v>1.0000709999999999</c:v>
                </c:pt>
                <c:pt idx="580">
                  <c:v>1.0000100000000001</c:v>
                </c:pt>
                <c:pt idx="581">
                  <c:v>0.999942</c:v>
                </c:pt>
                <c:pt idx="582">
                  <c:v>0.99986699999999995</c:v>
                </c:pt>
                <c:pt idx="583">
                  <c:v>0.99978599999999995</c:v>
                </c:pt>
                <c:pt idx="584">
                  <c:v>0.99969799999999998</c:v>
                </c:pt>
                <c:pt idx="585">
                  <c:v>0.99960400000000005</c:v>
                </c:pt>
                <c:pt idx="586">
                  <c:v>0.99950399999999995</c:v>
                </c:pt>
                <c:pt idx="587">
                  <c:v>0.99939900000000004</c:v>
                </c:pt>
                <c:pt idx="588">
                  <c:v>0.99928700000000004</c:v>
                </c:pt>
                <c:pt idx="589">
                  <c:v>0.99917</c:v>
                </c:pt>
                <c:pt idx="590">
                  <c:v>0.99904800000000005</c:v>
                </c:pt>
                <c:pt idx="591">
                  <c:v>0.99892000000000003</c:v>
                </c:pt>
                <c:pt idx="592">
                  <c:v>0.99878800000000001</c:v>
                </c:pt>
                <c:pt idx="593">
                  <c:v>0.99865199999999998</c:v>
                </c:pt>
                <c:pt idx="594">
                  <c:v>0.99851100000000004</c:v>
                </c:pt>
                <c:pt idx="595">
                  <c:v>0.998367</c:v>
                </c:pt>
                <c:pt idx="596">
                  <c:v>0.99821899999999997</c:v>
                </c:pt>
                <c:pt idx="597">
                  <c:v>0.99806799999999996</c:v>
                </c:pt>
                <c:pt idx="598">
                  <c:v>0.99791399999999997</c:v>
                </c:pt>
                <c:pt idx="599">
                  <c:v>0.99775700000000001</c:v>
                </c:pt>
                <c:pt idx="600">
                  <c:v>0.99759900000000001</c:v>
                </c:pt>
                <c:pt idx="601">
                  <c:v>0.99743800000000005</c:v>
                </c:pt>
                <c:pt idx="602">
                  <c:v>0.99727600000000005</c:v>
                </c:pt>
                <c:pt idx="603">
                  <c:v>0.99711399999999994</c:v>
                </c:pt>
                <c:pt idx="604">
                  <c:v>0.99695</c:v>
                </c:pt>
                <c:pt idx="605">
                  <c:v>0.99678699999999998</c:v>
                </c:pt>
                <c:pt idx="606">
                  <c:v>0.99662300000000004</c:v>
                </c:pt>
                <c:pt idx="607">
                  <c:v>0.99646100000000004</c:v>
                </c:pt>
                <c:pt idx="608">
                  <c:v>0.99629900000000005</c:v>
                </c:pt>
                <c:pt idx="609">
                  <c:v>0.99613799999999997</c:v>
                </c:pt>
                <c:pt idx="610">
                  <c:v>0.99597999999999998</c:v>
                </c:pt>
                <c:pt idx="611">
                  <c:v>0.99582300000000001</c:v>
                </c:pt>
                <c:pt idx="612">
                  <c:v>0.99566900000000003</c:v>
                </c:pt>
                <c:pt idx="613">
                  <c:v>0.99551800000000001</c:v>
                </c:pt>
                <c:pt idx="614">
                  <c:v>0.99536899999999995</c:v>
                </c:pt>
                <c:pt idx="615">
                  <c:v>0.99522500000000003</c:v>
                </c:pt>
                <c:pt idx="616">
                  <c:v>0.99508399999999997</c:v>
                </c:pt>
                <c:pt idx="617">
                  <c:v>0.99494800000000005</c:v>
                </c:pt>
                <c:pt idx="618">
                  <c:v>0.99481600000000003</c:v>
                </c:pt>
                <c:pt idx="619">
                  <c:v>0.99468900000000005</c:v>
                </c:pt>
                <c:pt idx="620">
                  <c:v>0.99456699999999998</c:v>
                </c:pt>
                <c:pt idx="621">
                  <c:v>0.99444999999999995</c:v>
                </c:pt>
                <c:pt idx="622">
                  <c:v>0.99433899999999997</c:v>
                </c:pt>
                <c:pt idx="623">
                  <c:v>0.99423300000000003</c:v>
                </c:pt>
                <c:pt idx="624">
                  <c:v>0.99413399999999996</c:v>
                </c:pt>
                <c:pt idx="625">
                  <c:v>0.99404099999999995</c:v>
                </c:pt>
                <c:pt idx="626">
                  <c:v>0.993954</c:v>
                </c:pt>
                <c:pt idx="627">
                  <c:v>0.99387400000000004</c:v>
                </c:pt>
                <c:pt idx="628">
                  <c:v>0.99380000000000002</c:v>
                </c:pt>
                <c:pt idx="629">
                  <c:v>0.99373299999999998</c:v>
                </c:pt>
                <c:pt idx="630">
                  <c:v>0.99367300000000003</c:v>
                </c:pt>
                <c:pt idx="631">
                  <c:v>0.99361900000000003</c:v>
                </c:pt>
                <c:pt idx="632">
                  <c:v>0.99357300000000004</c:v>
                </c:pt>
                <c:pt idx="633">
                  <c:v>0.993533</c:v>
                </c:pt>
                <c:pt idx="634">
                  <c:v>0.99350000000000005</c:v>
                </c:pt>
                <c:pt idx="635">
                  <c:v>0.99347399999999997</c:v>
                </c:pt>
                <c:pt idx="636">
                  <c:v>0.99345499999999998</c:v>
                </c:pt>
                <c:pt idx="637">
                  <c:v>0.99344200000000005</c:v>
                </c:pt>
                <c:pt idx="638">
                  <c:v>0.99343599999999999</c:v>
                </c:pt>
                <c:pt idx="639">
                  <c:v>0.99343599999999999</c:v>
                </c:pt>
                <c:pt idx="640">
                  <c:v>0.99344299999999996</c:v>
                </c:pt>
                <c:pt idx="641">
                  <c:v>0.99345600000000001</c:v>
                </c:pt>
                <c:pt idx="642">
                  <c:v>0.99347399999999997</c:v>
                </c:pt>
                <c:pt idx="643">
                  <c:v>0.99349900000000002</c:v>
                </c:pt>
                <c:pt idx="644">
                  <c:v>0.993529</c:v>
                </c:pt>
                <c:pt idx="645">
                  <c:v>0.99356500000000003</c:v>
                </c:pt>
                <c:pt idx="646">
                  <c:v>0.99360599999999999</c:v>
                </c:pt>
                <c:pt idx="647">
                  <c:v>0.99365199999999998</c:v>
                </c:pt>
                <c:pt idx="648">
                  <c:v>0.99370199999999997</c:v>
                </c:pt>
                <c:pt idx="649">
                  <c:v>0.993757</c:v>
                </c:pt>
                <c:pt idx="650">
                  <c:v>0.99381699999999995</c:v>
                </c:pt>
                <c:pt idx="651">
                  <c:v>0.99387999999999999</c:v>
                </c:pt>
                <c:pt idx="652">
                  <c:v>0.99394700000000002</c:v>
                </c:pt>
                <c:pt idx="653">
                  <c:v>0.99401700000000004</c:v>
                </c:pt>
                <c:pt idx="654">
                  <c:v>0.99409000000000003</c:v>
                </c:pt>
                <c:pt idx="655">
                  <c:v>0.99416700000000002</c:v>
                </c:pt>
                <c:pt idx="656">
                  <c:v>0.99424500000000005</c:v>
                </c:pt>
                <c:pt idx="657">
                  <c:v>0.99432600000000004</c:v>
                </c:pt>
                <c:pt idx="658">
                  <c:v>0.99440899999999999</c:v>
                </c:pt>
                <c:pt idx="659">
                  <c:v>0.99449399999999999</c:v>
                </c:pt>
                <c:pt idx="660">
                  <c:v>0.99458000000000002</c:v>
                </c:pt>
                <c:pt idx="661">
                  <c:v>0.994668</c:v>
                </c:pt>
                <c:pt idx="662">
                  <c:v>0.99475599999999997</c:v>
                </c:pt>
                <c:pt idx="663">
                  <c:v>0.99484499999999998</c:v>
                </c:pt>
                <c:pt idx="664">
                  <c:v>0.99493399999999999</c:v>
                </c:pt>
                <c:pt idx="665">
                  <c:v>0.99502299999999999</c:v>
                </c:pt>
                <c:pt idx="666">
                  <c:v>0.99511300000000003</c:v>
                </c:pt>
                <c:pt idx="667">
                  <c:v>0.99520200000000003</c:v>
                </c:pt>
                <c:pt idx="668">
                  <c:v>0.99529000000000001</c:v>
                </c:pt>
                <c:pt idx="669">
                  <c:v>0.99537799999999999</c:v>
                </c:pt>
                <c:pt idx="670">
                  <c:v>0.99546500000000004</c:v>
                </c:pt>
                <c:pt idx="671">
                  <c:v>0.99555000000000005</c:v>
                </c:pt>
                <c:pt idx="672">
                  <c:v>0.99563500000000005</c:v>
                </c:pt>
                <c:pt idx="673">
                  <c:v>0.99571799999999999</c:v>
                </c:pt>
                <c:pt idx="674">
                  <c:v>0.99579899999999999</c:v>
                </c:pt>
                <c:pt idx="675">
                  <c:v>0.99587899999999996</c:v>
                </c:pt>
                <c:pt idx="676">
                  <c:v>0.99595699999999998</c:v>
                </c:pt>
                <c:pt idx="677">
                  <c:v>0.99603299999999995</c:v>
                </c:pt>
                <c:pt idx="678">
                  <c:v>0.99610699999999996</c:v>
                </c:pt>
                <c:pt idx="679">
                  <c:v>0.99617800000000001</c:v>
                </c:pt>
                <c:pt idx="680">
                  <c:v>0.99624800000000002</c:v>
                </c:pt>
                <c:pt idx="681">
                  <c:v>0.99631499999999995</c:v>
                </c:pt>
                <c:pt idx="682">
                  <c:v>0.99638099999999996</c:v>
                </c:pt>
                <c:pt idx="683">
                  <c:v>0.99644299999999997</c:v>
                </c:pt>
                <c:pt idx="684">
                  <c:v>0.99650399999999995</c:v>
                </c:pt>
                <c:pt idx="685">
                  <c:v>0.99656199999999995</c:v>
                </c:pt>
                <c:pt idx="686">
                  <c:v>0.996618</c:v>
                </c:pt>
                <c:pt idx="687">
                  <c:v>0.996672</c:v>
                </c:pt>
                <c:pt idx="688">
                  <c:v>0.99672300000000003</c:v>
                </c:pt>
                <c:pt idx="689">
                  <c:v>0.99677199999999999</c:v>
                </c:pt>
                <c:pt idx="690">
                  <c:v>0.99681900000000001</c:v>
                </c:pt>
                <c:pt idx="691">
                  <c:v>0.99686300000000005</c:v>
                </c:pt>
                <c:pt idx="692">
                  <c:v>0.99690599999999996</c:v>
                </c:pt>
                <c:pt idx="693">
                  <c:v>0.996946</c:v>
                </c:pt>
                <c:pt idx="694">
                  <c:v>0.99698500000000001</c:v>
                </c:pt>
                <c:pt idx="695">
                  <c:v>0.99702199999999996</c:v>
                </c:pt>
                <c:pt idx="696">
                  <c:v>0.99705699999999997</c:v>
                </c:pt>
                <c:pt idx="697">
                  <c:v>0.99709000000000003</c:v>
                </c:pt>
                <c:pt idx="698">
                  <c:v>0.99712100000000004</c:v>
                </c:pt>
                <c:pt idx="699">
                  <c:v>0.99715100000000001</c:v>
                </c:pt>
                <c:pt idx="700">
                  <c:v>0.99717999999999996</c:v>
                </c:pt>
                <c:pt idx="701">
                  <c:v>0.99720699999999995</c:v>
                </c:pt>
                <c:pt idx="702">
                  <c:v>0.99723300000000004</c:v>
                </c:pt>
                <c:pt idx="703">
                  <c:v>0.99725799999999998</c:v>
                </c:pt>
                <c:pt idx="704">
                  <c:v>0.997282</c:v>
                </c:pt>
                <c:pt idx="705">
                  <c:v>0.99730399999999997</c:v>
                </c:pt>
                <c:pt idx="706">
                  <c:v>0.99732600000000005</c:v>
                </c:pt>
                <c:pt idx="707">
                  <c:v>0.99734699999999998</c:v>
                </c:pt>
                <c:pt idx="708">
                  <c:v>0.997367</c:v>
                </c:pt>
                <c:pt idx="709">
                  <c:v>0.99738700000000002</c:v>
                </c:pt>
                <c:pt idx="710">
                  <c:v>0.99740600000000001</c:v>
                </c:pt>
                <c:pt idx="711">
                  <c:v>0.99742399999999998</c:v>
                </c:pt>
                <c:pt idx="712">
                  <c:v>0.99744200000000005</c:v>
                </c:pt>
                <c:pt idx="713">
                  <c:v>0.99745899999999998</c:v>
                </c:pt>
                <c:pt idx="714">
                  <c:v>0.997475</c:v>
                </c:pt>
                <c:pt idx="715">
                  <c:v>0.99749200000000005</c:v>
                </c:pt>
                <c:pt idx="716">
                  <c:v>0.99750700000000003</c:v>
                </c:pt>
                <c:pt idx="717">
                  <c:v>0.99752300000000005</c:v>
                </c:pt>
                <c:pt idx="718">
                  <c:v>0.99753800000000004</c:v>
                </c:pt>
                <c:pt idx="719">
                  <c:v>0.99755199999999999</c:v>
                </c:pt>
                <c:pt idx="720">
                  <c:v>0.99756599999999995</c:v>
                </c:pt>
                <c:pt idx="721">
                  <c:v>0.99758000000000002</c:v>
                </c:pt>
                <c:pt idx="722">
                  <c:v>0.99759299999999995</c:v>
                </c:pt>
                <c:pt idx="723">
                  <c:v>0.99760499999999996</c:v>
                </c:pt>
                <c:pt idx="724">
                  <c:v>0.99761699999999998</c:v>
                </c:pt>
                <c:pt idx="725">
                  <c:v>0.99762799999999996</c:v>
                </c:pt>
                <c:pt idx="726">
                  <c:v>0.99763800000000002</c:v>
                </c:pt>
                <c:pt idx="727">
                  <c:v>0.99764799999999998</c:v>
                </c:pt>
                <c:pt idx="728">
                  <c:v>0.99765700000000002</c:v>
                </c:pt>
                <c:pt idx="729">
                  <c:v>0.99766500000000002</c:v>
                </c:pt>
                <c:pt idx="730">
                  <c:v>0.99767099999999997</c:v>
                </c:pt>
                <c:pt idx="731">
                  <c:v>0.99767700000000004</c:v>
                </c:pt>
                <c:pt idx="732">
                  <c:v>0.99768100000000004</c:v>
                </c:pt>
                <c:pt idx="733">
                  <c:v>0.99768400000000002</c:v>
                </c:pt>
                <c:pt idx="734">
                  <c:v>0.99768599999999996</c:v>
                </c:pt>
                <c:pt idx="735">
                  <c:v>0.99768599999999996</c:v>
                </c:pt>
                <c:pt idx="736">
                  <c:v>0.99768400000000002</c:v>
                </c:pt>
                <c:pt idx="737">
                  <c:v>0.99768100000000004</c:v>
                </c:pt>
                <c:pt idx="738">
                  <c:v>0.99767600000000001</c:v>
                </c:pt>
                <c:pt idx="739">
                  <c:v>0.99766900000000003</c:v>
                </c:pt>
                <c:pt idx="740">
                  <c:v>0.99765999999999999</c:v>
                </c:pt>
                <c:pt idx="741">
                  <c:v>0.99764900000000001</c:v>
                </c:pt>
                <c:pt idx="742">
                  <c:v>0.99763599999999997</c:v>
                </c:pt>
                <c:pt idx="743">
                  <c:v>0.99762099999999998</c:v>
                </c:pt>
                <c:pt idx="744">
                  <c:v>0.99760300000000002</c:v>
                </c:pt>
                <c:pt idx="745">
                  <c:v>0.997583</c:v>
                </c:pt>
                <c:pt idx="746">
                  <c:v>0.99756</c:v>
                </c:pt>
                <c:pt idx="747">
                  <c:v>0.99753499999999995</c:v>
                </c:pt>
                <c:pt idx="748">
                  <c:v>0.99750799999999995</c:v>
                </c:pt>
                <c:pt idx="749">
                  <c:v>0.99747699999999995</c:v>
                </c:pt>
                <c:pt idx="750">
                  <c:v>0.997444</c:v>
                </c:pt>
                <c:pt idx="751">
                  <c:v>0.99740899999999999</c:v>
                </c:pt>
                <c:pt idx="752">
                  <c:v>0.99737100000000001</c:v>
                </c:pt>
                <c:pt idx="753">
                  <c:v>0.99733000000000005</c:v>
                </c:pt>
                <c:pt idx="754">
                  <c:v>0.99728600000000001</c:v>
                </c:pt>
                <c:pt idx="755">
                  <c:v>0.99723899999999999</c:v>
                </c:pt>
                <c:pt idx="756">
                  <c:v>0.99719000000000002</c:v>
                </c:pt>
                <c:pt idx="757">
                  <c:v>0.997139</c:v>
                </c:pt>
                <c:pt idx="758">
                  <c:v>0.99708399999999997</c:v>
                </c:pt>
                <c:pt idx="759">
                  <c:v>0.997027</c:v>
                </c:pt>
                <c:pt idx="760">
                  <c:v>0.99696799999999997</c:v>
                </c:pt>
                <c:pt idx="761">
                  <c:v>0.99690599999999996</c:v>
                </c:pt>
                <c:pt idx="762">
                  <c:v>0.99684099999999998</c:v>
                </c:pt>
                <c:pt idx="763">
                  <c:v>0.99677499999999997</c:v>
                </c:pt>
                <c:pt idx="764">
                  <c:v>0.99670599999999998</c:v>
                </c:pt>
                <c:pt idx="765">
                  <c:v>0.99663500000000005</c:v>
                </c:pt>
                <c:pt idx="766">
                  <c:v>0.99656199999999995</c:v>
                </c:pt>
                <c:pt idx="767">
                  <c:v>0.99648700000000001</c:v>
                </c:pt>
                <c:pt idx="768">
                  <c:v>0.99641100000000005</c:v>
                </c:pt>
                <c:pt idx="769">
                  <c:v>0.99633300000000002</c:v>
                </c:pt>
                <c:pt idx="770">
                  <c:v>0.99625300000000006</c:v>
                </c:pt>
                <c:pt idx="771">
                  <c:v>0.99617299999999998</c:v>
                </c:pt>
                <c:pt idx="772">
                  <c:v>0.99609099999999995</c:v>
                </c:pt>
                <c:pt idx="773">
                  <c:v>0.996008</c:v>
                </c:pt>
                <c:pt idx="774">
                  <c:v>0.99592499999999995</c:v>
                </c:pt>
                <c:pt idx="775">
                  <c:v>0.99584099999999998</c:v>
                </c:pt>
                <c:pt idx="776">
                  <c:v>0.995757</c:v>
                </c:pt>
                <c:pt idx="777">
                  <c:v>0.995672</c:v>
                </c:pt>
                <c:pt idx="778">
                  <c:v>0.99558800000000003</c:v>
                </c:pt>
                <c:pt idx="779">
                  <c:v>0.99550400000000006</c:v>
                </c:pt>
                <c:pt idx="780">
                  <c:v>0.99541999999999997</c:v>
                </c:pt>
                <c:pt idx="781">
                  <c:v>0.99533799999999995</c:v>
                </c:pt>
                <c:pt idx="782">
                  <c:v>0.99525600000000003</c:v>
                </c:pt>
                <c:pt idx="783">
                  <c:v>0.99517500000000003</c:v>
                </c:pt>
                <c:pt idx="784">
                  <c:v>0.99509599999999998</c:v>
                </c:pt>
                <c:pt idx="785">
                  <c:v>0.99501799999999996</c:v>
                </c:pt>
                <c:pt idx="786">
                  <c:v>0.99494199999999999</c:v>
                </c:pt>
                <c:pt idx="787">
                  <c:v>0.99486799999999997</c:v>
                </c:pt>
                <c:pt idx="788">
                  <c:v>0.99479600000000001</c:v>
                </c:pt>
                <c:pt idx="789">
                  <c:v>0.99472700000000003</c:v>
                </c:pt>
                <c:pt idx="790">
                  <c:v>0.99465999999999999</c:v>
                </c:pt>
                <c:pt idx="791">
                  <c:v>0.99459699999999995</c:v>
                </c:pt>
                <c:pt idx="792">
                  <c:v>0.99453599999999998</c:v>
                </c:pt>
                <c:pt idx="793">
                  <c:v>0.99447799999999997</c:v>
                </c:pt>
                <c:pt idx="794">
                  <c:v>0.99442399999999997</c:v>
                </c:pt>
                <c:pt idx="795">
                  <c:v>0.99437399999999998</c:v>
                </c:pt>
                <c:pt idx="796">
                  <c:v>0.99432699999999996</c:v>
                </c:pt>
                <c:pt idx="797">
                  <c:v>0.99428399999999995</c:v>
                </c:pt>
                <c:pt idx="798">
                  <c:v>0.99424500000000005</c:v>
                </c:pt>
                <c:pt idx="799">
                  <c:v>0.99421000000000004</c:v>
                </c:pt>
                <c:pt idx="800">
                  <c:v>0.99417900000000003</c:v>
                </c:pt>
                <c:pt idx="801">
                  <c:v>0.99415299999999995</c:v>
                </c:pt>
                <c:pt idx="802">
                  <c:v>0.99413099999999999</c:v>
                </c:pt>
                <c:pt idx="803">
                  <c:v>0.99411400000000005</c:v>
                </c:pt>
                <c:pt idx="804">
                  <c:v>0.99410100000000001</c:v>
                </c:pt>
                <c:pt idx="805">
                  <c:v>0.994093</c:v>
                </c:pt>
                <c:pt idx="806">
                  <c:v>0.99409000000000003</c:v>
                </c:pt>
                <c:pt idx="807">
                  <c:v>0.99409099999999995</c:v>
                </c:pt>
                <c:pt idx="808">
                  <c:v>0.99409599999999998</c:v>
                </c:pt>
                <c:pt idx="809">
                  <c:v>0.99410699999999996</c:v>
                </c:pt>
                <c:pt idx="810">
                  <c:v>0.99412100000000003</c:v>
                </c:pt>
                <c:pt idx="811">
                  <c:v>0.99414100000000005</c:v>
                </c:pt>
                <c:pt idx="812">
                  <c:v>0.99416499999999997</c:v>
                </c:pt>
                <c:pt idx="813">
                  <c:v>0.99419299999999999</c:v>
                </c:pt>
                <c:pt idx="814">
                  <c:v>0.99422600000000005</c:v>
                </c:pt>
                <c:pt idx="815">
                  <c:v>0.99426199999999998</c:v>
                </c:pt>
                <c:pt idx="816">
                  <c:v>0.99430300000000005</c:v>
                </c:pt>
                <c:pt idx="817">
                  <c:v>0.99434800000000001</c:v>
                </c:pt>
                <c:pt idx="818">
                  <c:v>0.99439599999999995</c:v>
                </c:pt>
                <c:pt idx="819">
                  <c:v>0.994448</c:v>
                </c:pt>
                <c:pt idx="820">
                  <c:v>0.99450400000000005</c:v>
                </c:pt>
                <c:pt idx="821">
                  <c:v>0.99456299999999997</c:v>
                </c:pt>
                <c:pt idx="822">
                  <c:v>0.99462499999999998</c:v>
                </c:pt>
                <c:pt idx="823">
                  <c:v>0.99468999999999996</c:v>
                </c:pt>
                <c:pt idx="824">
                  <c:v>0.99475800000000003</c:v>
                </c:pt>
                <c:pt idx="825">
                  <c:v>0.99482800000000005</c:v>
                </c:pt>
                <c:pt idx="826">
                  <c:v>0.99490000000000001</c:v>
                </c:pt>
                <c:pt idx="827">
                  <c:v>0.99497500000000005</c:v>
                </c:pt>
                <c:pt idx="828">
                  <c:v>0.99505100000000002</c:v>
                </c:pt>
                <c:pt idx="829">
                  <c:v>0.99512999999999996</c:v>
                </c:pt>
                <c:pt idx="830">
                  <c:v>0.99520900000000001</c:v>
                </c:pt>
                <c:pt idx="831">
                  <c:v>0.99529000000000001</c:v>
                </c:pt>
                <c:pt idx="832">
                  <c:v>0.99537100000000001</c:v>
                </c:pt>
                <c:pt idx="833">
                  <c:v>0.99545300000000003</c:v>
                </c:pt>
                <c:pt idx="834">
                  <c:v>0.99553599999999998</c:v>
                </c:pt>
                <c:pt idx="835">
                  <c:v>0.99561900000000003</c:v>
                </c:pt>
                <c:pt idx="836">
                  <c:v>0.99570199999999998</c:v>
                </c:pt>
                <c:pt idx="837">
                  <c:v>0.99578500000000003</c:v>
                </c:pt>
                <c:pt idx="838">
                  <c:v>0.99586699999999995</c:v>
                </c:pt>
                <c:pt idx="839">
                  <c:v>0.99594899999999997</c:v>
                </c:pt>
                <c:pt idx="840">
                  <c:v>0.99602999999999997</c:v>
                </c:pt>
                <c:pt idx="841">
                  <c:v>0.99611000000000005</c:v>
                </c:pt>
                <c:pt idx="842">
                  <c:v>0.99618799999999996</c:v>
                </c:pt>
                <c:pt idx="843">
                  <c:v>0.99626499999999996</c:v>
                </c:pt>
                <c:pt idx="844">
                  <c:v>0.99634100000000003</c:v>
                </c:pt>
                <c:pt idx="845">
                  <c:v>0.99641500000000005</c:v>
                </c:pt>
                <c:pt idx="846">
                  <c:v>0.99648599999999998</c:v>
                </c:pt>
                <c:pt idx="847">
                  <c:v>0.996556</c:v>
                </c:pt>
                <c:pt idx="848">
                  <c:v>0.99662300000000004</c:v>
                </c:pt>
                <c:pt idx="849">
                  <c:v>0.99668800000000002</c:v>
                </c:pt>
                <c:pt idx="850">
                  <c:v>0.99675100000000005</c:v>
                </c:pt>
                <c:pt idx="851">
                  <c:v>0.99680999999999997</c:v>
                </c:pt>
                <c:pt idx="852">
                  <c:v>0.99686699999999995</c:v>
                </c:pt>
                <c:pt idx="853">
                  <c:v>0.99692099999999995</c:v>
                </c:pt>
                <c:pt idx="854">
                  <c:v>0.99697199999999997</c:v>
                </c:pt>
                <c:pt idx="855">
                  <c:v>0.99702000000000002</c:v>
                </c:pt>
                <c:pt idx="856">
                  <c:v>0.99706499999999998</c:v>
                </c:pt>
                <c:pt idx="857">
                  <c:v>0.99710699999999997</c:v>
                </c:pt>
                <c:pt idx="858">
                  <c:v>0.99714599999999998</c:v>
                </c:pt>
                <c:pt idx="859">
                  <c:v>0.99718099999999998</c:v>
                </c:pt>
                <c:pt idx="860">
                  <c:v>0.99721300000000002</c:v>
                </c:pt>
                <c:pt idx="861">
                  <c:v>0.99724100000000004</c:v>
                </c:pt>
                <c:pt idx="862">
                  <c:v>0.99726700000000001</c:v>
                </c:pt>
                <c:pt idx="863">
                  <c:v>0.99728899999999998</c:v>
                </c:pt>
                <c:pt idx="864">
                  <c:v>0.99730700000000005</c:v>
                </c:pt>
                <c:pt idx="865">
                  <c:v>0.99732200000000004</c:v>
                </c:pt>
                <c:pt idx="866">
                  <c:v>0.99733499999999997</c:v>
                </c:pt>
                <c:pt idx="867">
                  <c:v>0.99734299999999998</c:v>
                </c:pt>
                <c:pt idx="868">
                  <c:v>0.99734900000000004</c:v>
                </c:pt>
                <c:pt idx="869">
                  <c:v>0.99735099999999999</c:v>
                </c:pt>
                <c:pt idx="870">
                  <c:v>0.99735099999999999</c:v>
                </c:pt>
                <c:pt idx="871">
                  <c:v>0.99734699999999998</c:v>
                </c:pt>
                <c:pt idx="872">
                  <c:v>0.99734100000000003</c:v>
                </c:pt>
                <c:pt idx="873">
                  <c:v>0.99733099999999997</c:v>
                </c:pt>
                <c:pt idx="874">
                  <c:v>0.99731899999999996</c:v>
                </c:pt>
                <c:pt idx="875">
                  <c:v>0.99730399999999997</c:v>
                </c:pt>
                <c:pt idx="876">
                  <c:v>0.99728700000000003</c:v>
                </c:pt>
                <c:pt idx="877">
                  <c:v>0.99726700000000001</c:v>
                </c:pt>
                <c:pt idx="878">
                  <c:v>0.99724500000000005</c:v>
                </c:pt>
                <c:pt idx="879">
                  <c:v>0.99722100000000002</c:v>
                </c:pt>
                <c:pt idx="880">
                  <c:v>0.99719500000000005</c:v>
                </c:pt>
                <c:pt idx="881">
                  <c:v>0.997166</c:v>
                </c:pt>
                <c:pt idx="882">
                  <c:v>0.99713600000000002</c:v>
                </c:pt>
                <c:pt idx="883">
                  <c:v>0.99710500000000002</c:v>
                </c:pt>
                <c:pt idx="884">
                  <c:v>0.99707100000000004</c:v>
                </c:pt>
                <c:pt idx="885">
                  <c:v>0.99703600000000003</c:v>
                </c:pt>
                <c:pt idx="886">
                  <c:v>0.997</c:v>
                </c:pt>
                <c:pt idx="887">
                  <c:v>0.99696300000000004</c:v>
                </c:pt>
                <c:pt idx="888">
                  <c:v>0.99692499999999995</c:v>
                </c:pt>
                <c:pt idx="889">
                  <c:v>0.99688500000000002</c:v>
                </c:pt>
                <c:pt idx="890">
                  <c:v>0.99684600000000001</c:v>
                </c:pt>
                <c:pt idx="891">
                  <c:v>0.99680500000000005</c:v>
                </c:pt>
                <c:pt idx="892">
                  <c:v>0.99676399999999998</c:v>
                </c:pt>
                <c:pt idx="893">
                  <c:v>0.996722</c:v>
                </c:pt>
                <c:pt idx="894">
                  <c:v>0.99668000000000001</c:v>
                </c:pt>
                <c:pt idx="895">
                  <c:v>0.99663800000000002</c:v>
                </c:pt>
                <c:pt idx="896">
                  <c:v>0.99659600000000004</c:v>
                </c:pt>
                <c:pt idx="897">
                  <c:v>0.99655400000000005</c:v>
                </c:pt>
                <c:pt idx="898">
                  <c:v>0.99651199999999995</c:v>
                </c:pt>
                <c:pt idx="899">
                  <c:v>0.996471</c:v>
                </c:pt>
                <c:pt idx="900">
                  <c:v>0.99642900000000001</c:v>
                </c:pt>
                <c:pt idx="901">
                  <c:v>0.99638899999999997</c:v>
                </c:pt>
                <c:pt idx="902">
                  <c:v>0.99634800000000001</c:v>
                </c:pt>
                <c:pt idx="903">
                  <c:v>0.99630799999999997</c:v>
                </c:pt>
                <c:pt idx="904">
                  <c:v>0.99626899999999996</c:v>
                </c:pt>
                <c:pt idx="905">
                  <c:v>0.99622999999999995</c:v>
                </c:pt>
                <c:pt idx="906">
                  <c:v>0.99619199999999997</c:v>
                </c:pt>
                <c:pt idx="907">
                  <c:v>0.99615500000000001</c:v>
                </c:pt>
                <c:pt idx="908">
                  <c:v>0.99611899999999998</c:v>
                </c:pt>
                <c:pt idx="909">
                  <c:v>0.99608300000000005</c:v>
                </c:pt>
                <c:pt idx="910">
                  <c:v>0.99604899999999996</c:v>
                </c:pt>
                <c:pt idx="911">
                  <c:v>0.99601499999999998</c:v>
                </c:pt>
                <c:pt idx="912">
                  <c:v>0.99598200000000003</c:v>
                </c:pt>
                <c:pt idx="913">
                  <c:v>0.99595</c:v>
                </c:pt>
                <c:pt idx="914">
                  <c:v>0.995919</c:v>
                </c:pt>
                <c:pt idx="915">
                  <c:v>0.99588900000000002</c:v>
                </c:pt>
                <c:pt idx="916">
                  <c:v>0.99585999999999997</c:v>
                </c:pt>
                <c:pt idx="917">
                  <c:v>0.99583100000000002</c:v>
                </c:pt>
                <c:pt idx="918">
                  <c:v>0.99580400000000002</c:v>
                </c:pt>
                <c:pt idx="919">
                  <c:v>0.99577700000000002</c:v>
                </c:pt>
                <c:pt idx="920">
                  <c:v>0.99575100000000005</c:v>
                </c:pt>
                <c:pt idx="921">
                  <c:v>0.995726</c:v>
                </c:pt>
                <c:pt idx="922">
                  <c:v>0.99570199999999998</c:v>
                </c:pt>
                <c:pt idx="923">
                  <c:v>0.99567899999999998</c:v>
                </c:pt>
                <c:pt idx="924">
                  <c:v>0.99565599999999999</c:v>
                </c:pt>
                <c:pt idx="925">
                  <c:v>0.99563400000000002</c:v>
                </c:pt>
                <c:pt idx="926">
                  <c:v>0.99561200000000005</c:v>
                </c:pt>
                <c:pt idx="927">
                  <c:v>0.995591</c:v>
                </c:pt>
                <c:pt idx="928">
                  <c:v>0.99557099999999998</c:v>
                </c:pt>
                <c:pt idx="929">
                  <c:v>0.99555099999999996</c:v>
                </c:pt>
                <c:pt idx="930">
                  <c:v>0.99553199999999997</c:v>
                </c:pt>
                <c:pt idx="931">
                  <c:v>0.99551299999999998</c:v>
                </c:pt>
                <c:pt idx="932">
                  <c:v>0.99549500000000002</c:v>
                </c:pt>
                <c:pt idx="933">
                  <c:v>0.99547699999999995</c:v>
                </c:pt>
                <c:pt idx="934">
                  <c:v>0.99545899999999998</c:v>
                </c:pt>
                <c:pt idx="935">
                  <c:v>0.99544200000000005</c:v>
                </c:pt>
                <c:pt idx="936">
                  <c:v>0.995425</c:v>
                </c:pt>
                <c:pt idx="937">
                  <c:v>0.99540799999999996</c:v>
                </c:pt>
                <c:pt idx="938">
                  <c:v>0.99539200000000005</c:v>
                </c:pt>
                <c:pt idx="939">
                  <c:v>0.99537500000000001</c:v>
                </c:pt>
                <c:pt idx="940">
                  <c:v>0.99535899999999999</c:v>
                </c:pt>
                <c:pt idx="941">
                  <c:v>0.99534400000000001</c:v>
                </c:pt>
                <c:pt idx="942">
                  <c:v>0.99532799999999999</c:v>
                </c:pt>
                <c:pt idx="943">
                  <c:v>0.99531199999999997</c:v>
                </c:pt>
                <c:pt idx="944">
                  <c:v>0.99529699999999999</c:v>
                </c:pt>
                <c:pt idx="945">
                  <c:v>0.995282</c:v>
                </c:pt>
                <c:pt idx="946">
                  <c:v>0.99526700000000001</c:v>
                </c:pt>
                <c:pt idx="947">
                  <c:v>0.99525200000000003</c:v>
                </c:pt>
                <c:pt idx="948">
                  <c:v>0.99523799999999996</c:v>
                </c:pt>
                <c:pt idx="949">
                  <c:v>0.995224</c:v>
                </c:pt>
                <c:pt idx="950">
                  <c:v>0.99520900000000001</c:v>
                </c:pt>
                <c:pt idx="951">
                  <c:v>0.99519500000000005</c:v>
                </c:pt>
                <c:pt idx="952">
                  <c:v>0.99518200000000001</c:v>
                </c:pt>
                <c:pt idx="953">
                  <c:v>0.99516800000000005</c:v>
                </c:pt>
                <c:pt idx="954">
                  <c:v>0.99515500000000001</c:v>
                </c:pt>
                <c:pt idx="955">
                  <c:v>0.995143</c:v>
                </c:pt>
                <c:pt idx="956">
                  <c:v>0.99512999999999996</c:v>
                </c:pt>
                <c:pt idx="957">
                  <c:v>0.99511899999999998</c:v>
                </c:pt>
                <c:pt idx="958">
                  <c:v>0.99510699999999996</c:v>
                </c:pt>
                <c:pt idx="959">
                  <c:v>0.99509599999999998</c:v>
                </c:pt>
                <c:pt idx="960">
                  <c:v>0.99508600000000003</c:v>
                </c:pt>
                <c:pt idx="961">
                  <c:v>0.99507599999999996</c:v>
                </c:pt>
                <c:pt idx="962">
                  <c:v>0.99506700000000003</c:v>
                </c:pt>
                <c:pt idx="963">
                  <c:v>0.99505900000000003</c:v>
                </c:pt>
                <c:pt idx="964">
                  <c:v>0.99505100000000002</c:v>
                </c:pt>
                <c:pt idx="965">
                  <c:v>0.99504499999999996</c:v>
                </c:pt>
                <c:pt idx="966">
                  <c:v>0.99503900000000001</c:v>
                </c:pt>
                <c:pt idx="967">
                  <c:v>0.99503399999999997</c:v>
                </c:pt>
                <c:pt idx="968">
                  <c:v>0.99502999999999997</c:v>
                </c:pt>
                <c:pt idx="969">
                  <c:v>0.99502699999999999</c:v>
                </c:pt>
                <c:pt idx="970">
                  <c:v>0.99502599999999997</c:v>
                </c:pt>
                <c:pt idx="971">
                  <c:v>0.99502500000000005</c:v>
                </c:pt>
                <c:pt idx="972">
                  <c:v>0.99502599999999997</c:v>
                </c:pt>
                <c:pt idx="973">
                  <c:v>0.99502800000000002</c:v>
                </c:pt>
                <c:pt idx="974">
                  <c:v>0.995031</c:v>
                </c:pt>
                <c:pt idx="975">
                  <c:v>0.99503600000000003</c:v>
                </c:pt>
                <c:pt idx="976">
                  <c:v>0.99504199999999998</c:v>
                </c:pt>
                <c:pt idx="977">
                  <c:v>0.99504999999999999</c:v>
                </c:pt>
                <c:pt idx="978">
                  <c:v>0.99505900000000003</c:v>
                </c:pt>
                <c:pt idx="979">
                  <c:v>0.99506899999999998</c:v>
                </c:pt>
                <c:pt idx="980">
                  <c:v>0.99508200000000002</c:v>
                </c:pt>
                <c:pt idx="981">
                  <c:v>0.99509599999999998</c:v>
                </c:pt>
                <c:pt idx="982">
                  <c:v>0.99511099999999997</c:v>
                </c:pt>
                <c:pt idx="983">
                  <c:v>0.99512800000000001</c:v>
                </c:pt>
                <c:pt idx="984">
                  <c:v>0.995147</c:v>
                </c:pt>
                <c:pt idx="985">
                  <c:v>0.99516800000000005</c:v>
                </c:pt>
                <c:pt idx="986">
                  <c:v>0.99519000000000002</c:v>
                </c:pt>
                <c:pt idx="987">
                  <c:v>0.99521300000000001</c:v>
                </c:pt>
                <c:pt idx="988">
                  <c:v>0.99523899999999998</c:v>
                </c:pt>
                <c:pt idx="989">
                  <c:v>0.99526599999999998</c:v>
                </c:pt>
                <c:pt idx="990">
                  <c:v>0.99529500000000004</c:v>
                </c:pt>
                <c:pt idx="991">
                  <c:v>0.99532500000000002</c:v>
                </c:pt>
                <c:pt idx="992">
                  <c:v>0.99535700000000005</c:v>
                </c:pt>
                <c:pt idx="993">
                  <c:v>0.99539</c:v>
                </c:pt>
                <c:pt idx="994">
                  <c:v>0.995425</c:v>
                </c:pt>
                <c:pt idx="995">
                  <c:v>0.99546100000000004</c:v>
                </c:pt>
                <c:pt idx="996">
                  <c:v>0.99549799999999999</c:v>
                </c:pt>
                <c:pt idx="997">
                  <c:v>0.99553700000000001</c:v>
                </c:pt>
                <c:pt idx="998">
                  <c:v>0.99557700000000005</c:v>
                </c:pt>
                <c:pt idx="999">
                  <c:v>0.995618</c:v>
                </c:pt>
                <c:pt idx="1000">
                  <c:v>0.99565999999999999</c:v>
                </c:pt>
                <c:pt idx="1001">
                  <c:v>0.995703</c:v>
                </c:pt>
                <c:pt idx="1002">
                  <c:v>0.99574700000000005</c:v>
                </c:pt>
                <c:pt idx="1003">
                  <c:v>0.99579099999999998</c:v>
                </c:pt>
                <c:pt idx="1004">
                  <c:v>0.99583699999999997</c:v>
                </c:pt>
                <c:pt idx="1005">
                  <c:v>0.99588200000000004</c:v>
                </c:pt>
                <c:pt idx="1006">
                  <c:v>0.99592899999999995</c:v>
                </c:pt>
                <c:pt idx="1007">
                  <c:v>0.99597500000000005</c:v>
                </c:pt>
                <c:pt idx="1008">
                  <c:v>0.99602199999999996</c:v>
                </c:pt>
                <c:pt idx="1009">
                  <c:v>0.99606799999999995</c:v>
                </c:pt>
                <c:pt idx="1010">
                  <c:v>0.99611499999999997</c:v>
                </c:pt>
                <c:pt idx="1011">
                  <c:v>0.99616199999999999</c:v>
                </c:pt>
                <c:pt idx="1012">
                  <c:v>0.99620799999999998</c:v>
                </c:pt>
                <c:pt idx="1013">
                  <c:v>0.99625399999999997</c:v>
                </c:pt>
                <c:pt idx="1014">
                  <c:v>0.99629900000000005</c:v>
                </c:pt>
                <c:pt idx="1015">
                  <c:v>0.99634400000000001</c:v>
                </c:pt>
                <c:pt idx="1016">
                  <c:v>0.99638800000000005</c:v>
                </c:pt>
                <c:pt idx="1017">
                  <c:v>0.99643099999999996</c:v>
                </c:pt>
                <c:pt idx="1018">
                  <c:v>0.99647300000000005</c:v>
                </c:pt>
                <c:pt idx="1019">
                  <c:v>0.99651400000000001</c:v>
                </c:pt>
                <c:pt idx="1020">
                  <c:v>0.99655400000000005</c:v>
                </c:pt>
                <c:pt idx="1021">
                  <c:v>0.99659200000000003</c:v>
                </c:pt>
                <c:pt idx="1022">
                  <c:v>0.99662899999999999</c:v>
                </c:pt>
                <c:pt idx="1023">
                  <c:v>0.99666500000000002</c:v>
                </c:pt>
                <c:pt idx="1024">
                  <c:v>0.996699</c:v>
                </c:pt>
                <c:pt idx="1025">
                  <c:v>0.99673100000000003</c:v>
                </c:pt>
                <c:pt idx="1026">
                  <c:v>0.99676100000000001</c:v>
                </c:pt>
                <c:pt idx="1027">
                  <c:v>0.99678999999999995</c:v>
                </c:pt>
                <c:pt idx="1028">
                  <c:v>0.99681600000000004</c:v>
                </c:pt>
                <c:pt idx="1029">
                  <c:v>0.99684099999999998</c:v>
                </c:pt>
                <c:pt idx="1030">
                  <c:v>0.99686300000000005</c:v>
                </c:pt>
                <c:pt idx="1031">
                  <c:v>0.99688299999999996</c:v>
                </c:pt>
                <c:pt idx="1032">
                  <c:v>0.99690100000000004</c:v>
                </c:pt>
                <c:pt idx="1033">
                  <c:v>0.99691700000000005</c:v>
                </c:pt>
                <c:pt idx="1034">
                  <c:v>0.99693100000000001</c:v>
                </c:pt>
                <c:pt idx="1035">
                  <c:v>0.99694199999999999</c:v>
                </c:pt>
                <c:pt idx="1036">
                  <c:v>0.99695100000000003</c:v>
                </c:pt>
                <c:pt idx="1037">
                  <c:v>0.99695699999999998</c:v>
                </c:pt>
                <c:pt idx="1038">
                  <c:v>0.99696099999999999</c:v>
                </c:pt>
                <c:pt idx="1039">
                  <c:v>0.99696300000000004</c:v>
                </c:pt>
                <c:pt idx="1040">
                  <c:v>0.99696200000000001</c:v>
                </c:pt>
                <c:pt idx="1041">
                  <c:v>0.99695900000000004</c:v>
                </c:pt>
                <c:pt idx="1042">
                  <c:v>0.99695400000000001</c:v>
                </c:pt>
                <c:pt idx="1043">
                  <c:v>0.996946</c:v>
                </c:pt>
                <c:pt idx="1044">
                  <c:v>0.99693600000000004</c:v>
                </c:pt>
                <c:pt idx="1045">
                  <c:v>0.99692400000000003</c:v>
                </c:pt>
                <c:pt idx="1046">
                  <c:v>0.99690999999999996</c:v>
                </c:pt>
                <c:pt idx="1047">
                  <c:v>0.99689300000000003</c:v>
                </c:pt>
                <c:pt idx="1048">
                  <c:v>0.99687400000000004</c:v>
                </c:pt>
                <c:pt idx="1049">
                  <c:v>0.99685299999999999</c:v>
                </c:pt>
                <c:pt idx="1050">
                  <c:v>0.99683100000000002</c:v>
                </c:pt>
                <c:pt idx="1051">
                  <c:v>0.99680599999999997</c:v>
                </c:pt>
                <c:pt idx="1052">
                  <c:v>0.99677899999999997</c:v>
                </c:pt>
                <c:pt idx="1053">
                  <c:v>0.99675100000000005</c:v>
                </c:pt>
                <c:pt idx="1054">
                  <c:v>0.99672099999999997</c:v>
                </c:pt>
                <c:pt idx="1055">
                  <c:v>0.99668900000000005</c:v>
                </c:pt>
                <c:pt idx="1056">
                  <c:v>0.99665599999999999</c:v>
                </c:pt>
                <c:pt idx="1057">
                  <c:v>0.99662200000000001</c:v>
                </c:pt>
                <c:pt idx="1058">
                  <c:v>0.99658599999999997</c:v>
                </c:pt>
                <c:pt idx="1059">
                  <c:v>0.99654900000000002</c:v>
                </c:pt>
                <c:pt idx="1060">
                  <c:v>0.99651100000000004</c:v>
                </c:pt>
                <c:pt idx="1061">
                  <c:v>0.99647200000000002</c:v>
                </c:pt>
                <c:pt idx="1062">
                  <c:v>0.99643300000000001</c:v>
                </c:pt>
                <c:pt idx="1063">
                  <c:v>0.99639200000000006</c:v>
                </c:pt>
                <c:pt idx="1064">
                  <c:v>0.99635099999999999</c:v>
                </c:pt>
                <c:pt idx="1065">
                  <c:v>0.99631000000000003</c:v>
                </c:pt>
                <c:pt idx="1066">
                  <c:v>0.99626800000000004</c:v>
                </c:pt>
                <c:pt idx="1067">
                  <c:v>0.99622599999999994</c:v>
                </c:pt>
                <c:pt idx="1068">
                  <c:v>0.99618399999999996</c:v>
                </c:pt>
                <c:pt idx="1069">
                  <c:v>0.99614100000000005</c:v>
                </c:pt>
                <c:pt idx="1070">
                  <c:v>0.99609899999999996</c:v>
                </c:pt>
                <c:pt idx="1071">
                  <c:v>0.99605699999999997</c:v>
                </c:pt>
                <c:pt idx="1072">
                  <c:v>0.99601600000000001</c:v>
                </c:pt>
                <c:pt idx="1073">
                  <c:v>0.99597500000000005</c:v>
                </c:pt>
                <c:pt idx="1074">
                  <c:v>0.99593399999999999</c:v>
                </c:pt>
                <c:pt idx="1075">
                  <c:v>0.99589399999999995</c:v>
                </c:pt>
                <c:pt idx="1076">
                  <c:v>0.99585500000000005</c:v>
                </c:pt>
                <c:pt idx="1077">
                  <c:v>0.99581699999999995</c:v>
                </c:pt>
                <c:pt idx="1078">
                  <c:v>0.99578</c:v>
                </c:pt>
                <c:pt idx="1079">
                  <c:v>0.99574399999999996</c:v>
                </c:pt>
                <c:pt idx="1080">
                  <c:v>0.99570899999999996</c:v>
                </c:pt>
                <c:pt idx="1081">
                  <c:v>0.99567499999999998</c:v>
                </c:pt>
                <c:pt idx="1082">
                  <c:v>0.99564200000000003</c:v>
                </c:pt>
                <c:pt idx="1083">
                  <c:v>0.99561100000000002</c:v>
                </c:pt>
                <c:pt idx="1084">
                  <c:v>0.99558100000000005</c:v>
                </c:pt>
                <c:pt idx="1085">
                  <c:v>0.99555300000000002</c:v>
                </c:pt>
                <c:pt idx="1086">
                  <c:v>0.99552600000000002</c:v>
                </c:pt>
                <c:pt idx="1087">
                  <c:v>0.99550099999999997</c:v>
                </c:pt>
                <c:pt idx="1088">
                  <c:v>0.99547699999999995</c:v>
                </c:pt>
                <c:pt idx="1089">
                  <c:v>0.99545499999999998</c:v>
                </c:pt>
                <c:pt idx="1090">
                  <c:v>0.99543499999999996</c:v>
                </c:pt>
                <c:pt idx="1091">
                  <c:v>0.99541599999999997</c:v>
                </c:pt>
                <c:pt idx="1092">
                  <c:v>0.99539900000000003</c:v>
                </c:pt>
                <c:pt idx="1093">
                  <c:v>0.99538400000000005</c:v>
                </c:pt>
                <c:pt idx="1094">
                  <c:v>0.99537100000000001</c:v>
                </c:pt>
                <c:pt idx="1095">
                  <c:v>0.99535899999999999</c:v>
                </c:pt>
                <c:pt idx="1096">
                  <c:v>0.99534900000000004</c:v>
                </c:pt>
                <c:pt idx="1097">
                  <c:v>0.99534</c:v>
                </c:pt>
                <c:pt idx="1098">
                  <c:v>0.99533300000000002</c:v>
                </c:pt>
                <c:pt idx="1099">
                  <c:v>0.99532799999999999</c:v>
                </c:pt>
                <c:pt idx="1100">
                  <c:v>0.99532500000000002</c:v>
                </c:pt>
                <c:pt idx="1101">
                  <c:v>0.99532299999999996</c:v>
                </c:pt>
                <c:pt idx="1102">
                  <c:v>0.99532200000000004</c:v>
                </c:pt>
                <c:pt idx="1103">
                  <c:v>0.99532299999999996</c:v>
                </c:pt>
                <c:pt idx="1104">
                  <c:v>0.99532500000000002</c:v>
                </c:pt>
                <c:pt idx="1105">
                  <c:v>0.99532900000000002</c:v>
                </c:pt>
                <c:pt idx="1106">
                  <c:v>0.99533400000000005</c:v>
                </c:pt>
                <c:pt idx="1107">
                  <c:v>0.99534100000000003</c:v>
                </c:pt>
                <c:pt idx="1108">
                  <c:v>0.99534800000000001</c:v>
                </c:pt>
                <c:pt idx="1109">
                  <c:v>0.99535700000000005</c:v>
                </c:pt>
                <c:pt idx="1110">
                  <c:v>0.995367</c:v>
                </c:pt>
                <c:pt idx="1111">
                  <c:v>0.99537799999999999</c:v>
                </c:pt>
                <c:pt idx="1112">
                  <c:v>0.99539</c:v>
                </c:pt>
                <c:pt idx="1113">
                  <c:v>0.99540300000000004</c:v>
                </c:pt>
                <c:pt idx="1114">
                  <c:v>0.99541599999999997</c:v>
                </c:pt>
                <c:pt idx="1115">
                  <c:v>0.99543099999999995</c:v>
                </c:pt>
                <c:pt idx="1116">
                  <c:v>0.99544600000000005</c:v>
                </c:pt>
                <c:pt idx="1117">
                  <c:v>0.99546199999999996</c:v>
                </c:pt>
                <c:pt idx="1118">
                  <c:v>0.99547799999999997</c:v>
                </c:pt>
                <c:pt idx="1119">
                  <c:v>0.99549500000000002</c:v>
                </c:pt>
                <c:pt idx="1120">
                  <c:v>0.99551199999999995</c:v>
                </c:pt>
                <c:pt idx="1121">
                  <c:v>0.99553000000000003</c:v>
                </c:pt>
                <c:pt idx="1122">
                  <c:v>0.99554799999999999</c:v>
                </c:pt>
                <c:pt idx="1123">
                  <c:v>0.99556599999999995</c:v>
                </c:pt>
                <c:pt idx="1124">
                  <c:v>0.99558400000000002</c:v>
                </c:pt>
                <c:pt idx="1125">
                  <c:v>0.99560300000000002</c:v>
                </c:pt>
                <c:pt idx="1126">
                  <c:v>0.99562200000000001</c:v>
                </c:pt>
                <c:pt idx="1127">
                  <c:v>0.99563999999999997</c:v>
                </c:pt>
                <c:pt idx="1128">
                  <c:v>0.99565899999999996</c:v>
                </c:pt>
                <c:pt idx="1129">
                  <c:v>0.99567799999999995</c:v>
                </c:pt>
                <c:pt idx="1130">
                  <c:v>0.99569600000000003</c:v>
                </c:pt>
                <c:pt idx="1131">
                  <c:v>0.99571500000000002</c:v>
                </c:pt>
                <c:pt idx="1132">
                  <c:v>0.99573299999999998</c:v>
                </c:pt>
                <c:pt idx="1133">
                  <c:v>0.99575199999999997</c:v>
                </c:pt>
                <c:pt idx="1134">
                  <c:v>0.99577000000000004</c:v>
                </c:pt>
                <c:pt idx="1135">
                  <c:v>0.99578699999999998</c:v>
                </c:pt>
                <c:pt idx="1136">
                  <c:v>0.99580500000000005</c:v>
                </c:pt>
                <c:pt idx="1137">
                  <c:v>0.99582199999999998</c:v>
                </c:pt>
                <c:pt idx="1138">
                  <c:v>0.99583900000000003</c:v>
                </c:pt>
                <c:pt idx="1139">
                  <c:v>0.99585500000000005</c:v>
                </c:pt>
                <c:pt idx="1140">
                  <c:v>0.99587199999999998</c:v>
                </c:pt>
                <c:pt idx="1141">
                  <c:v>0.995888</c:v>
                </c:pt>
                <c:pt idx="1142">
                  <c:v>0.99590299999999998</c:v>
                </c:pt>
                <c:pt idx="1143">
                  <c:v>0.995919</c:v>
                </c:pt>
                <c:pt idx="1144">
                  <c:v>0.99593399999999999</c:v>
                </c:pt>
                <c:pt idx="1145">
                  <c:v>0.99594800000000006</c:v>
                </c:pt>
                <c:pt idx="1146">
                  <c:v>0.99596300000000004</c:v>
                </c:pt>
                <c:pt idx="1147">
                  <c:v>0.995977</c:v>
                </c:pt>
                <c:pt idx="1148">
                  <c:v>0.99599000000000004</c:v>
                </c:pt>
                <c:pt idx="1149">
                  <c:v>0.996004</c:v>
                </c:pt>
                <c:pt idx="1150">
                  <c:v>0.99601700000000004</c:v>
                </c:pt>
                <c:pt idx="1151">
                  <c:v>0.99602999999999997</c:v>
                </c:pt>
                <c:pt idx="1152">
                  <c:v>0.99604199999999998</c:v>
                </c:pt>
                <c:pt idx="1153">
                  <c:v>0.99605500000000002</c:v>
                </c:pt>
                <c:pt idx="1154">
                  <c:v>0.99606700000000004</c:v>
                </c:pt>
                <c:pt idx="1155">
                  <c:v>0.99607900000000005</c:v>
                </c:pt>
                <c:pt idx="1156">
                  <c:v>0.99609099999999995</c:v>
                </c:pt>
                <c:pt idx="1157">
                  <c:v>0.99610299999999996</c:v>
                </c:pt>
                <c:pt idx="1158">
                  <c:v>0.99611400000000005</c:v>
                </c:pt>
                <c:pt idx="1159">
                  <c:v>0.99612599999999996</c:v>
                </c:pt>
                <c:pt idx="1160">
                  <c:v>0.99613700000000005</c:v>
                </c:pt>
                <c:pt idx="1161">
                  <c:v>0.99614899999999995</c:v>
                </c:pt>
                <c:pt idx="1162">
                  <c:v>0.99616000000000005</c:v>
                </c:pt>
                <c:pt idx="1163">
                  <c:v>0.99617100000000003</c:v>
                </c:pt>
                <c:pt idx="1164">
                  <c:v>0.99618300000000004</c:v>
                </c:pt>
                <c:pt idx="1165">
                  <c:v>0.99619400000000002</c:v>
                </c:pt>
                <c:pt idx="1166">
                  <c:v>0.99620500000000001</c:v>
                </c:pt>
                <c:pt idx="1167">
                  <c:v>0.99621700000000002</c:v>
                </c:pt>
                <c:pt idx="1168">
                  <c:v>0.996228</c:v>
                </c:pt>
                <c:pt idx="1169">
                  <c:v>0.99624000000000001</c:v>
                </c:pt>
                <c:pt idx="1170">
                  <c:v>0.996251</c:v>
                </c:pt>
                <c:pt idx="1171">
                  <c:v>0.99626300000000001</c:v>
                </c:pt>
                <c:pt idx="1172">
                  <c:v>0.99627399999999999</c:v>
                </c:pt>
                <c:pt idx="1173">
                  <c:v>0.996286</c:v>
                </c:pt>
                <c:pt idx="1174">
                  <c:v>0.99629800000000002</c:v>
                </c:pt>
                <c:pt idx="1175">
                  <c:v>0.99631000000000003</c:v>
                </c:pt>
                <c:pt idx="1176">
                  <c:v>0.99632200000000004</c:v>
                </c:pt>
                <c:pt idx="1177">
                  <c:v>0.99633400000000005</c:v>
                </c:pt>
                <c:pt idx="1178">
                  <c:v>0.99634599999999995</c:v>
                </c:pt>
                <c:pt idx="1179">
                  <c:v>0.99635799999999997</c:v>
                </c:pt>
                <c:pt idx="1180">
                  <c:v>0.99636999999999998</c:v>
                </c:pt>
                <c:pt idx="1181">
                  <c:v>0.99638099999999996</c:v>
                </c:pt>
                <c:pt idx="1182">
                  <c:v>0.99639299999999997</c:v>
                </c:pt>
                <c:pt idx="1183">
                  <c:v>0.99640499999999999</c:v>
                </c:pt>
                <c:pt idx="1184">
                  <c:v>0.996417</c:v>
                </c:pt>
                <c:pt idx="1185">
                  <c:v>0.99642799999999998</c:v>
                </c:pt>
                <c:pt idx="1186">
                  <c:v>0.99643999999999999</c:v>
                </c:pt>
                <c:pt idx="1187">
                  <c:v>0.99645099999999998</c:v>
                </c:pt>
                <c:pt idx="1188">
                  <c:v>0.99646199999999996</c:v>
                </c:pt>
                <c:pt idx="1189">
                  <c:v>0.99647200000000002</c:v>
                </c:pt>
                <c:pt idx="1190">
                  <c:v>0.99648300000000001</c:v>
                </c:pt>
                <c:pt idx="1191">
                  <c:v>0.99649299999999996</c:v>
                </c:pt>
                <c:pt idx="1192">
                  <c:v>0.996502</c:v>
                </c:pt>
                <c:pt idx="1193">
                  <c:v>0.99651100000000004</c:v>
                </c:pt>
                <c:pt idx="1194">
                  <c:v>0.99651999999999996</c:v>
                </c:pt>
                <c:pt idx="1195">
                  <c:v>0.99652799999999997</c:v>
                </c:pt>
                <c:pt idx="1196">
                  <c:v>0.99653599999999998</c:v>
                </c:pt>
                <c:pt idx="1197">
                  <c:v>0.99654299999999996</c:v>
                </c:pt>
                <c:pt idx="1198">
                  <c:v>0.99654900000000002</c:v>
                </c:pt>
                <c:pt idx="1199">
                  <c:v>0.99655499999999997</c:v>
                </c:pt>
                <c:pt idx="1200">
                  <c:v>0.99656</c:v>
                </c:pt>
                <c:pt idx="1201">
                  <c:v>0.99656400000000001</c:v>
                </c:pt>
                <c:pt idx="1202">
                  <c:v>0.99656800000000001</c:v>
                </c:pt>
                <c:pt idx="1203">
                  <c:v>0.99656999999999996</c:v>
                </c:pt>
                <c:pt idx="1204">
                  <c:v>0.99657200000000001</c:v>
                </c:pt>
                <c:pt idx="1205">
                  <c:v>0.99657300000000004</c:v>
                </c:pt>
                <c:pt idx="1206">
                  <c:v>0.99657300000000004</c:v>
                </c:pt>
                <c:pt idx="1207">
                  <c:v>0.99657200000000001</c:v>
                </c:pt>
                <c:pt idx="1208">
                  <c:v>0.99656999999999996</c:v>
                </c:pt>
                <c:pt idx="1209">
                  <c:v>0.99656800000000001</c:v>
                </c:pt>
                <c:pt idx="1210">
                  <c:v>0.99656400000000001</c:v>
                </c:pt>
                <c:pt idx="1211">
                  <c:v>0.99655899999999997</c:v>
                </c:pt>
                <c:pt idx="1212">
                  <c:v>0.99655300000000002</c:v>
                </c:pt>
                <c:pt idx="1213">
                  <c:v>0.99654600000000004</c:v>
                </c:pt>
                <c:pt idx="1214">
                  <c:v>0.99653800000000003</c:v>
                </c:pt>
                <c:pt idx="1215">
                  <c:v>0.996529</c:v>
                </c:pt>
                <c:pt idx="1216">
                  <c:v>0.99651999999999996</c:v>
                </c:pt>
                <c:pt idx="1217">
                  <c:v>0.99650899999999998</c:v>
                </c:pt>
                <c:pt idx="1218">
                  <c:v>0.99649699999999997</c:v>
                </c:pt>
                <c:pt idx="1219">
                  <c:v>0.99648400000000004</c:v>
                </c:pt>
                <c:pt idx="1220">
                  <c:v>0.99646999999999997</c:v>
                </c:pt>
                <c:pt idx="1221">
                  <c:v>0.99645499999999998</c:v>
                </c:pt>
                <c:pt idx="1222">
                  <c:v>0.99643899999999996</c:v>
                </c:pt>
                <c:pt idx="1223">
                  <c:v>0.99642200000000003</c:v>
                </c:pt>
                <c:pt idx="1224">
                  <c:v>0.99640399999999996</c:v>
                </c:pt>
                <c:pt idx="1225">
                  <c:v>0.99638599999999999</c:v>
                </c:pt>
                <c:pt idx="1226">
                  <c:v>0.99636599999999997</c:v>
                </c:pt>
                <c:pt idx="1227">
                  <c:v>0.99634599999999995</c:v>
                </c:pt>
                <c:pt idx="1228">
                  <c:v>0.99632500000000002</c:v>
                </c:pt>
                <c:pt idx="1229">
                  <c:v>0.99630300000000005</c:v>
                </c:pt>
                <c:pt idx="1230">
                  <c:v>0.99628099999999997</c:v>
                </c:pt>
                <c:pt idx="1231">
                  <c:v>0.99625799999999998</c:v>
                </c:pt>
                <c:pt idx="1232">
                  <c:v>0.99623499999999998</c:v>
                </c:pt>
                <c:pt idx="1233">
                  <c:v>0.99621099999999996</c:v>
                </c:pt>
                <c:pt idx="1234">
                  <c:v>0.99618700000000004</c:v>
                </c:pt>
                <c:pt idx="1235">
                  <c:v>0.99616199999999999</c:v>
                </c:pt>
                <c:pt idx="1236">
                  <c:v>0.99613700000000005</c:v>
                </c:pt>
                <c:pt idx="1237">
                  <c:v>0.99611099999999997</c:v>
                </c:pt>
                <c:pt idx="1238">
                  <c:v>0.99608600000000003</c:v>
                </c:pt>
                <c:pt idx="1239">
                  <c:v>0.99605999999999995</c:v>
                </c:pt>
                <c:pt idx="1240">
                  <c:v>0.996035</c:v>
                </c:pt>
                <c:pt idx="1241">
                  <c:v>0.99600900000000003</c:v>
                </c:pt>
                <c:pt idx="1242">
                  <c:v>0.99598299999999995</c:v>
                </c:pt>
                <c:pt idx="1243">
                  <c:v>0.99595800000000001</c:v>
                </c:pt>
                <c:pt idx="1244">
                  <c:v>0.99593299999999996</c:v>
                </c:pt>
                <c:pt idx="1245">
                  <c:v>0.99590800000000002</c:v>
                </c:pt>
                <c:pt idx="1246">
                  <c:v>0.99588299999999996</c:v>
                </c:pt>
                <c:pt idx="1247">
                  <c:v>0.99585900000000005</c:v>
                </c:pt>
                <c:pt idx="1248">
                  <c:v>0.99583500000000003</c:v>
                </c:pt>
                <c:pt idx="1249">
                  <c:v>0.99581200000000003</c:v>
                </c:pt>
                <c:pt idx="1250">
                  <c:v>0.99578900000000004</c:v>
                </c:pt>
                <c:pt idx="1251">
                  <c:v>0.99576699999999996</c:v>
                </c:pt>
                <c:pt idx="1252">
                  <c:v>0.99574600000000002</c:v>
                </c:pt>
                <c:pt idx="1253">
                  <c:v>0.995726</c:v>
                </c:pt>
                <c:pt idx="1254">
                  <c:v>0.99570599999999998</c:v>
                </c:pt>
                <c:pt idx="1255">
                  <c:v>0.99568800000000002</c:v>
                </c:pt>
                <c:pt idx="1256">
                  <c:v>0.99567000000000005</c:v>
                </c:pt>
                <c:pt idx="1257">
                  <c:v>0.99565300000000001</c:v>
                </c:pt>
                <c:pt idx="1258">
                  <c:v>0.99563800000000002</c:v>
                </c:pt>
                <c:pt idx="1259">
                  <c:v>0.99562300000000004</c:v>
                </c:pt>
                <c:pt idx="1260">
                  <c:v>0.99560999999999999</c:v>
                </c:pt>
                <c:pt idx="1261">
                  <c:v>0.99559699999999995</c:v>
                </c:pt>
                <c:pt idx="1262">
                  <c:v>0.99558599999999997</c:v>
                </c:pt>
                <c:pt idx="1263">
                  <c:v>0.99557600000000002</c:v>
                </c:pt>
                <c:pt idx="1264">
                  <c:v>0.99556800000000001</c:v>
                </c:pt>
                <c:pt idx="1265">
                  <c:v>0.99556</c:v>
                </c:pt>
                <c:pt idx="1266">
                  <c:v>0.99555400000000005</c:v>
                </c:pt>
                <c:pt idx="1267">
                  <c:v>0.99554900000000002</c:v>
                </c:pt>
                <c:pt idx="1268">
                  <c:v>0.99554500000000001</c:v>
                </c:pt>
                <c:pt idx="1269">
                  <c:v>0.99554299999999996</c:v>
                </c:pt>
                <c:pt idx="1270">
                  <c:v>0.99554200000000004</c:v>
                </c:pt>
                <c:pt idx="1271">
                  <c:v>0.99554200000000004</c:v>
                </c:pt>
                <c:pt idx="1272">
                  <c:v>0.99554299999999996</c:v>
                </c:pt>
                <c:pt idx="1273">
                  <c:v>0.99554600000000004</c:v>
                </c:pt>
                <c:pt idx="1274">
                  <c:v>0.99555000000000005</c:v>
                </c:pt>
                <c:pt idx="1275">
                  <c:v>0.99555499999999997</c:v>
                </c:pt>
                <c:pt idx="1276">
                  <c:v>0.99556100000000003</c:v>
                </c:pt>
                <c:pt idx="1277">
                  <c:v>0.99556800000000001</c:v>
                </c:pt>
                <c:pt idx="1278">
                  <c:v>0.99557700000000005</c:v>
                </c:pt>
                <c:pt idx="1279">
                  <c:v>0.99558599999999997</c:v>
                </c:pt>
                <c:pt idx="1280">
                  <c:v>0.99559699999999995</c:v>
                </c:pt>
                <c:pt idx="1281">
                  <c:v>0.99560800000000005</c:v>
                </c:pt>
                <c:pt idx="1282">
                  <c:v>0.99562099999999998</c:v>
                </c:pt>
                <c:pt idx="1283">
                  <c:v>0.99563400000000002</c:v>
                </c:pt>
                <c:pt idx="1284">
                  <c:v>0.99564900000000001</c:v>
                </c:pt>
                <c:pt idx="1285">
                  <c:v>0.99566399999999999</c:v>
                </c:pt>
                <c:pt idx="1286">
                  <c:v>0.99568000000000001</c:v>
                </c:pt>
                <c:pt idx="1287">
                  <c:v>0.99569600000000003</c:v>
                </c:pt>
                <c:pt idx="1288">
                  <c:v>0.99571399999999999</c:v>
                </c:pt>
                <c:pt idx="1289">
                  <c:v>0.99573100000000003</c:v>
                </c:pt>
                <c:pt idx="1290">
                  <c:v>0.99575000000000002</c:v>
                </c:pt>
                <c:pt idx="1291">
                  <c:v>0.99576900000000002</c:v>
                </c:pt>
                <c:pt idx="1292">
                  <c:v>0.99578800000000001</c:v>
                </c:pt>
                <c:pt idx="1293">
                  <c:v>0.995807</c:v>
                </c:pt>
                <c:pt idx="1294">
                  <c:v>0.99582700000000002</c:v>
                </c:pt>
                <c:pt idx="1295">
                  <c:v>0.99584700000000004</c:v>
                </c:pt>
                <c:pt idx="1296">
                  <c:v>0.99586799999999998</c:v>
                </c:pt>
                <c:pt idx="1297">
                  <c:v>0.995888</c:v>
                </c:pt>
                <c:pt idx="1298">
                  <c:v>0.99590900000000004</c:v>
                </c:pt>
                <c:pt idx="1299">
                  <c:v>0.99592899999999995</c:v>
                </c:pt>
                <c:pt idx="1300">
                  <c:v>0.99595</c:v>
                </c:pt>
                <c:pt idx="1301">
                  <c:v>0.99597000000000002</c:v>
                </c:pt>
                <c:pt idx="1302">
                  <c:v>0.99599000000000004</c:v>
                </c:pt>
                <c:pt idx="1303">
                  <c:v>0.99600999999999995</c:v>
                </c:pt>
                <c:pt idx="1304">
                  <c:v>0.99602999999999997</c:v>
                </c:pt>
                <c:pt idx="1305">
                  <c:v>0.99604899999999996</c:v>
                </c:pt>
                <c:pt idx="1306">
                  <c:v>0.99606799999999995</c:v>
                </c:pt>
                <c:pt idx="1307">
                  <c:v>0.99608699999999994</c:v>
                </c:pt>
                <c:pt idx="1308">
                  <c:v>0.99610500000000002</c:v>
                </c:pt>
                <c:pt idx="1309">
                  <c:v>0.99612299999999998</c:v>
                </c:pt>
                <c:pt idx="1310">
                  <c:v>0.99614000000000003</c:v>
                </c:pt>
                <c:pt idx="1311">
                  <c:v>0.99615699999999996</c:v>
                </c:pt>
                <c:pt idx="1312">
                  <c:v>0.99617299999999998</c:v>
                </c:pt>
                <c:pt idx="1313">
                  <c:v>0.99618899999999999</c:v>
                </c:pt>
                <c:pt idx="1314">
                  <c:v>0.99620399999999998</c:v>
                </c:pt>
                <c:pt idx="1315">
                  <c:v>0.99621800000000005</c:v>
                </c:pt>
                <c:pt idx="1316">
                  <c:v>0.99623200000000001</c:v>
                </c:pt>
                <c:pt idx="1317">
                  <c:v>0.99624500000000005</c:v>
                </c:pt>
                <c:pt idx="1318">
                  <c:v>0.99625699999999995</c:v>
                </c:pt>
                <c:pt idx="1319">
                  <c:v>0.99626800000000004</c:v>
                </c:pt>
                <c:pt idx="1320">
                  <c:v>0.99627900000000003</c:v>
                </c:pt>
                <c:pt idx="1321">
                  <c:v>0.99628899999999998</c:v>
                </c:pt>
                <c:pt idx="1322">
                  <c:v>0.99629900000000005</c:v>
                </c:pt>
                <c:pt idx="1323">
                  <c:v>0.99630700000000005</c:v>
                </c:pt>
                <c:pt idx="1324">
                  <c:v>0.99631499999999995</c:v>
                </c:pt>
                <c:pt idx="1325">
                  <c:v>0.99632200000000004</c:v>
                </c:pt>
                <c:pt idx="1326">
                  <c:v>0.99632900000000002</c:v>
                </c:pt>
                <c:pt idx="1327">
                  <c:v>0.99633499999999997</c:v>
                </c:pt>
                <c:pt idx="1328">
                  <c:v>0.99634</c:v>
                </c:pt>
                <c:pt idx="1329">
                  <c:v>0.99634400000000001</c:v>
                </c:pt>
                <c:pt idx="1330">
                  <c:v>0.99634800000000001</c:v>
                </c:pt>
                <c:pt idx="1331">
                  <c:v>0.99635099999999999</c:v>
                </c:pt>
                <c:pt idx="1332">
                  <c:v>0.99635300000000004</c:v>
                </c:pt>
                <c:pt idx="1333">
                  <c:v>0.99635499999999999</c:v>
                </c:pt>
                <c:pt idx="1334">
                  <c:v>0.99635600000000002</c:v>
                </c:pt>
                <c:pt idx="1335">
                  <c:v>0.99635600000000002</c:v>
                </c:pt>
                <c:pt idx="1336">
                  <c:v>0.99635600000000002</c:v>
                </c:pt>
                <c:pt idx="1337">
                  <c:v>0.99635600000000002</c:v>
                </c:pt>
                <c:pt idx="1338">
                  <c:v>0.99635499999999999</c:v>
                </c:pt>
                <c:pt idx="1339">
                  <c:v>0.99635300000000004</c:v>
                </c:pt>
                <c:pt idx="1340">
                  <c:v>0.99635099999999999</c:v>
                </c:pt>
                <c:pt idx="1341">
                  <c:v>0.99634900000000004</c:v>
                </c:pt>
                <c:pt idx="1342">
                  <c:v>0.99634599999999995</c:v>
                </c:pt>
                <c:pt idx="1343">
                  <c:v>0.99634199999999995</c:v>
                </c:pt>
                <c:pt idx="1344">
                  <c:v>0.99633899999999997</c:v>
                </c:pt>
                <c:pt idx="1345">
                  <c:v>0.99633499999999997</c:v>
                </c:pt>
                <c:pt idx="1346">
                  <c:v>0.99633099999999997</c:v>
                </c:pt>
                <c:pt idx="1347">
                  <c:v>0.99632600000000004</c:v>
                </c:pt>
                <c:pt idx="1348">
                  <c:v>0.99632100000000001</c:v>
                </c:pt>
                <c:pt idx="1349">
                  <c:v>0.99631599999999998</c:v>
                </c:pt>
                <c:pt idx="1350">
                  <c:v>0.99631099999999995</c:v>
                </c:pt>
                <c:pt idx="1351">
                  <c:v>0.996305</c:v>
                </c:pt>
                <c:pt idx="1352">
                  <c:v>0.99629999999999996</c:v>
                </c:pt>
                <c:pt idx="1353">
                  <c:v>0.99629400000000001</c:v>
                </c:pt>
                <c:pt idx="1354">
                  <c:v>0.99628799999999995</c:v>
                </c:pt>
                <c:pt idx="1355">
                  <c:v>0.996282</c:v>
                </c:pt>
                <c:pt idx="1356">
                  <c:v>0.99627600000000005</c:v>
                </c:pt>
                <c:pt idx="1357">
                  <c:v>0.99626999999999999</c:v>
                </c:pt>
                <c:pt idx="1358">
                  <c:v>0.99626400000000004</c:v>
                </c:pt>
                <c:pt idx="1359">
                  <c:v>0.99625699999999995</c:v>
                </c:pt>
                <c:pt idx="1360">
                  <c:v>0.996251</c:v>
                </c:pt>
                <c:pt idx="1361">
                  <c:v>0.99624500000000005</c:v>
                </c:pt>
                <c:pt idx="1362">
                  <c:v>0.99623799999999996</c:v>
                </c:pt>
                <c:pt idx="1363">
                  <c:v>0.99623200000000001</c:v>
                </c:pt>
                <c:pt idx="1364">
                  <c:v>0.99622599999999994</c:v>
                </c:pt>
                <c:pt idx="1365">
                  <c:v>0.99621899999999997</c:v>
                </c:pt>
                <c:pt idx="1366">
                  <c:v>0.99621300000000002</c:v>
                </c:pt>
                <c:pt idx="1367">
                  <c:v>0.99620600000000004</c:v>
                </c:pt>
                <c:pt idx="1368">
                  <c:v>0.99619999999999997</c:v>
                </c:pt>
                <c:pt idx="1369">
                  <c:v>0.99619400000000002</c:v>
                </c:pt>
                <c:pt idx="1370">
                  <c:v>0.99618700000000004</c:v>
                </c:pt>
                <c:pt idx="1371">
                  <c:v>0.99618099999999998</c:v>
                </c:pt>
                <c:pt idx="1372">
                  <c:v>0.996174</c:v>
                </c:pt>
                <c:pt idx="1373">
                  <c:v>0.99616800000000005</c:v>
                </c:pt>
                <c:pt idx="1374">
                  <c:v>0.99616199999999999</c:v>
                </c:pt>
                <c:pt idx="1375">
                  <c:v>0.99615500000000001</c:v>
                </c:pt>
                <c:pt idx="1376">
                  <c:v>0.99614899999999995</c:v>
                </c:pt>
                <c:pt idx="1377">
                  <c:v>0.99614199999999997</c:v>
                </c:pt>
                <c:pt idx="1378">
                  <c:v>0.99613499999999999</c:v>
                </c:pt>
                <c:pt idx="1379">
                  <c:v>0.99612900000000004</c:v>
                </c:pt>
                <c:pt idx="1380">
                  <c:v>0.99612199999999995</c:v>
                </c:pt>
                <c:pt idx="1381">
                  <c:v>0.99611499999999997</c:v>
                </c:pt>
                <c:pt idx="1382">
                  <c:v>0.99610799999999999</c:v>
                </c:pt>
                <c:pt idx="1383">
                  <c:v>0.99610100000000001</c:v>
                </c:pt>
                <c:pt idx="1384">
                  <c:v>0.99609400000000003</c:v>
                </c:pt>
                <c:pt idx="1385">
                  <c:v>0.99608699999999994</c:v>
                </c:pt>
                <c:pt idx="1386">
                  <c:v>0.99607999999999997</c:v>
                </c:pt>
                <c:pt idx="1387">
                  <c:v>0.99607299999999999</c:v>
                </c:pt>
                <c:pt idx="1388">
                  <c:v>0.99606499999999998</c:v>
                </c:pt>
                <c:pt idx="1389">
                  <c:v>0.996058</c:v>
                </c:pt>
                <c:pt idx="1390">
                  <c:v>0.99604999999999999</c:v>
                </c:pt>
                <c:pt idx="1391">
                  <c:v>0.99604199999999998</c:v>
                </c:pt>
                <c:pt idx="1392">
                  <c:v>0.99603399999999997</c:v>
                </c:pt>
                <c:pt idx="1393">
                  <c:v>0.99602599999999997</c:v>
                </c:pt>
                <c:pt idx="1394">
                  <c:v>0.99601799999999996</c:v>
                </c:pt>
                <c:pt idx="1395">
                  <c:v>0.99600999999999995</c:v>
                </c:pt>
                <c:pt idx="1396">
                  <c:v>0.99600100000000003</c:v>
                </c:pt>
                <c:pt idx="1397">
                  <c:v>0.99599199999999999</c:v>
                </c:pt>
                <c:pt idx="1398">
                  <c:v>0.99598399999999998</c:v>
                </c:pt>
                <c:pt idx="1399">
                  <c:v>0.99597500000000005</c:v>
                </c:pt>
                <c:pt idx="1400">
                  <c:v>0.99596600000000002</c:v>
                </c:pt>
                <c:pt idx="1401">
                  <c:v>0.99595699999999998</c:v>
                </c:pt>
                <c:pt idx="1402">
                  <c:v>0.99594800000000006</c:v>
                </c:pt>
                <c:pt idx="1403">
                  <c:v>0.99593799999999999</c:v>
                </c:pt>
                <c:pt idx="1404">
                  <c:v>0.99592899999999995</c:v>
                </c:pt>
                <c:pt idx="1405">
                  <c:v>0.99592000000000003</c:v>
                </c:pt>
                <c:pt idx="1406">
                  <c:v>0.99590999999999996</c:v>
                </c:pt>
                <c:pt idx="1407">
                  <c:v>0.99590100000000004</c:v>
                </c:pt>
                <c:pt idx="1408">
                  <c:v>0.99589099999999997</c:v>
                </c:pt>
                <c:pt idx="1409">
                  <c:v>0.99588200000000004</c:v>
                </c:pt>
                <c:pt idx="1410">
                  <c:v>0.99587199999999998</c:v>
                </c:pt>
                <c:pt idx="1411">
                  <c:v>0.99586300000000005</c:v>
                </c:pt>
                <c:pt idx="1412">
                  <c:v>0.99585400000000002</c:v>
                </c:pt>
                <c:pt idx="1413">
                  <c:v>0.99584399999999995</c:v>
                </c:pt>
                <c:pt idx="1414">
                  <c:v>0.99583500000000003</c:v>
                </c:pt>
                <c:pt idx="1415">
                  <c:v>0.99582599999999999</c:v>
                </c:pt>
                <c:pt idx="1416">
                  <c:v>0.99581699999999995</c:v>
                </c:pt>
                <c:pt idx="1417">
                  <c:v>0.99580900000000006</c:v>
                </c:pt>
                <c:pt idx="1418">
                  <c:v>0.99580000000000002</c:v>
                </c:pt>
                <c:pt idx="1419">
                  <c:v>0.99579200000000001</c:v>
                </c:pt>
                <c:pt idx="1420">
                  <c:v>0.995784</c:v>
                </c:pt>
                <c:pt idx="1421">
                  <c:v>0.99577599999999999</c:v>
                </c:pt>
                <c:pt idx="1422">
                  <c:v>0.99576900000000002</c:v>
                </c:pt>
                <c:pt idx="1423">
                  <c:v>0.99576100000000001</c:v>
                </c:pt>
                <c:pt idx="1424">
                  <c:v>0.99575499999999995</c:v>
                </c:pt>
                <c:pt idx="1425">
                  <c:v>0.99574799999999997</c:v>
                </c:pt>
                <c:pt idx="1426">
                  <c:v>0.99574200000000002</c:v>
                </c:pt>
                <c:pt idx="1427">
                  <c:v>0.99573699999999998</c:v>
                </c:pt>
                <c:pt idx="1428">
                  <c:v>0.99573100000000003</c:v>
                </c:pt>
                <c:pt idx="1429">
                  <c:v>0.99572700000000003</c:v>
                </c:pt>
                <c:pt idx="1430">
                  <c:v>0.995722</c:v>
                </c:pt>
                <c:pt idx="1431">
                  <c:v>0.99571799999999999</c:v>
                </c:pt>
                <c:pt idx="1432">
                  <c:v>0.99571500000000002</c:v>
                </c:pt>
                <c:pt idx="1433">
                  <c:v>0.99571200000000004</c:v>
                </c:pt>
                <c:pt idx="1434">
                  <c:v>0.99570999999999998</c:v>
                </c:pt>
                <c:pt idx="1435">
                  <c:v>0.99570899999999996</c:v>
                </c:pt>
                <c:pt idx="1436">
                  <c:v>0.99570700000000001</c:v>
                </c:pt>
                <c:pt idx="1437">
                  <c:v>0.99570700000000001</c:v>
                </c:pt>
                <c:pt idx="1438">
                  <c:v>0.99570700000000001</c:v>
                </c:pt>
                <c:pt idx="1439">
                  <c:v>0.99570800000000004</c:v>
                </c:pt>
                <c:pt idx="1440">
                  <c:v>0.99570899999999996</c:v>
                </c:pt>
                <c:pt idx="1441">
                  <c:v>0.99571100000000001</c:v>
                </c:pt>
                <c:pt idx="1442">
                  <c:v>0.99571299999999996</c:v>
                </c:pt>
                <c:pt idx="1443">
                  <c:v>0.99571600000000005</c:v>
                </c:pt>
                <c:pt idx="1444">
                  <c:v>0.99572000000000005</c:v>
                </c:pt>
                <c:pt idx="1445">
                  <c:v>0.99572400000000005</c:v>
                </c:pt>
                <c:pt idx="1446">
                  <c:v>0.99572899999999998</c:v>
                </c:pt>
                <c:pt idx="1447">
                  <c:v>0.99573500000000004</c:v>
                </c:pt>
                <c:pt idx="1448">
                  <c:v>0.99574099999999999</c:v>
                </c:pt>
                <c:pt idx="1449">
                  <c:v>0.99574799999999997</c:v>
                </c:pt>
                <c:pt idx="1450">
                  <c:v>0.99575499999999995</c:v>
                </c:pt>
                <c:pt idx="1451">
                  <c:v>0.99576200000000004</c:v>
                </c:pt>
                <c:pt idx="1452">
                  <c:v>0.99577099999999996</c:v>
                </c:pt>
                <c:pt idx="1453">
                  <c:v>0.99577899999999997</c:v>
                </c:pt>
                <c:pt idx="1454">
                  <c:v>0.99578900000000004</c:v>
                </c:pt>
                <c:pt idx="1455">
                  <c:v>0.99579799999999996</c:v>
                </c:pt>
                <c:pt idx="1456">
                  <c:v>0.99580900000000006</c:v>
                </c:pt>
                <c:pt idx="1457">
                  <c:v>0.99581900000000001</c:v>
                </c:pt>
                <c:pt idx="1458">
                  <c:v>0.99582999999999999</c:v>
                </c:pt>
                <c:pt idx="1459">
                  <c:v>0.99584099999999998</c:v>
                </c:pt>
                <c:pt idx="1460">
                  <c:v>0.99585299999999999</c:v>
                </c:pt>
                <c:pt idx="1461">
                  <c:v>0.995865</c:v>
                </c:pt>
                <c:pt idx="1462">
                  <c:v>0.99587700000000001</c:v>
                </c:pt>
                <c:pt idx="1463">
                  <c:v>0.99589000000000005</c:v>
                </c:pt>
                <c:pt idx="1464">
                  <c:v>0.99590199999999995</c:v>
                </c:pt>
                <c:pt idx="1465">
                  <c:v>0.99591499999999999</c:v>
                </c:pt>
                <c:pt idx="1466">
                  <c:v>0.99592800000000004</c:v>
                </c:pt>
                <c:pt idx="1467">
                  <c:v>0.99594099999999997</c:v>
                </c:pt>
                <c:pt idx="1468">
                  <c:v>0.99595400000000001</c:v>
                </c:pt>
                <c:pt idx="1469">
                  <c:v>0.99596799999999996</c:v>
                </c:pt>
                <c:pt idx="1470">
                  <c:v>0.99598100000000001</c:v>
                </c:pt>
                <c:pt idx="1471">
                  <c:v>0.99599400000000005</c:v>
                </c:pt>
                <c:pt idx="1472">
                  <c:v>0.99600699999999998</c:v>
                </c:pt>
                <c:pt idx="1473">
                  <c:v>0.99602000000000002</c:v>
                </c:pt>
                <c:pt idx="1474">
                  <c:v>0.99603299999999995</c:v>
                </c:pt>
                <c:pt idx="1475">
                  <c:v>0.99604499999999996</c:v>
                </c:pt>
                <c:pt idx="1476">
                  <c:v>0.996058</c:v>
                </c:pt>
                <c:pt idx="1477">
                  <c:v>0.99607000000000001</c:v>
                </c:pt>
                <c:pt idx="1478">
                  <c:v>0.99608200000000002</c:v>
                </c:pt>
                <c:pt idx="1479">
                  <c:v>0.99609300000000001</c:v>
                </c:pt>
                <c:pt idx="1480">
                  <c:v>0.99610500000000002</c:v>
                </c:pt>
                <c:pt idx="1481">
                  <c:v>0.996116</c:v>
                </c:pt>
                <c:pt idx="1482">
                  <c:v>0.99612599999999996</c:v>
                </c:pt>
                <c:pt idx="1483">
                  <c:v>0.99613600000000002</c:v>
                </c:pt>
                <c:pt idx="1484">
                  <c:v>0.99614599999999998</c:v>
                </c:pt>
                <c:pt idx="1485">
                  <c:v>0.99615500000000001</c:v>
                </c:pt>
                <c:pt idx="1486">
                  <c:v>0.99616400000000005</c:v>
                </c:pt>
                <c:pt idx="1487">
                  <c:v>0.99617199999999995</c:v>
                </c:pt>
                <c:pt idx="1488">
                  <c:v>0.99617999999999995</c:v>
                </c:pt>
                <c:pt idx="1489">
                  <c:v>0.99618700000000004</c:v>
                </c:pt>
                <c:pt idx="1490">
                  <c:v>0.996193</c:v>
                </c:pt>
                <c:pt idx="1491">
                  <c:v>0.99619999999999997</c:v>
                </c:pt>
                <c:pt idx="1492">
                  <c:v>0.99620500000000001</c:v>
                </c:pt>
                <c:pt idx="1493">
                  <c:v>0.99621000000000004</c:v>
                </c:pt>
                <c:pt idx="1494">
                  <c:v>0.99621400000000004</c:v>
                </c:pt>
                <c:pt idx="1495">
                  <c:v>0.99621800000000005</c:v>
                </c:pt>
                <c:pt idx="1496">
                  <c:v>0.99622100000000002</c:v>
                </c:pt>
                <c:pt idx="1497">
                  <c:v>0.99622299999999997</c:v>
                </c:pt>
                <c:pt idx="1498">
                  <c:v>0.99622500000000003</c:v>
                </c:pt>
                <c:pt idx="1499">
                  <c:v>0.99622699999999997</c:v>
                </c:pt>
                <c:pt idx="1500">
                  <c:v>0.99622699999999997</c:v>
                </c:pt>
                <c:pt idx="1501">
                  <c:v>0.99622699999999997</c:v>
                </c:pt>
                <c:pt idx="1502">
                  <c:v>0.99622699999999997</c:v>
                </c:pt>
                <c:pt idx="1503">
                  <c:v>0.99622599999999994</c:v>
                </c:pt>
                <c:pt idx="1504">
                  <c:v>0.996224</c:v>
                </c:pt>
                <c:pt idx="1505">
                  <c:v>0.99622200000000005</c:v>
                </c:pt>
                <c:pt idx="1506">
                  <c:v>0.99621899999999997</c:v>
                </c:pt>
                <c:pt idx="1507">
                  <c:v>0.99621599999999999</c:v>
                </c:pt>
                <c:pt idx="1508">
                  <c:v>0.99621199999999999</c:v>
                </c:pt>
                <c:pt idx="1509">
                  <c:v>0.99620799999999998</c:v>
                </c:pt>
                <c:pt idx="1510">
                  <c:v>0.99620299999999995</c:v>
                </c:pt>
                <c:pt idx="1511">
                  <c:v>0.99619800000000003</c:v>
                </c:pt>
                <c:pt idx="1512">
                  <c:v>0.99619199999999997</c:v>
                </c:pt>
                <c:pt idx="1513">
                  <c:v>0.99618600000000002</c:v>
                </c:pt>
                <c:pt idx="1514">
                  <c:v>0.99617999999999995</c:v>
                </c:pt>
                <c:pt idx="1515">
                  <c:v>0.99617299999999998</c:v>
                </c:pt>
                <c:pt idx="1516">
                  <c:v>0.996166</c:v>
                </c:pt>
                <c:pt idx="1517">
                  <c:v>0.99615900000000002</c:v>
                </c:pt>
                <c:pt idx="1518">
                  <c:v>0.99615100000000001</c:v>
                </c:pt>
                <c:pt idx="1519">
                  <c:v>0.996143</c:v>
                </c:pt>
                <c:pt idx="1520">
                  <c:v>0.99613499999999999</c:v>
                </c:pt>
                <c:pt idx="1521">
                  <c:v>0.99612599999999996</c:v>
                </c:pt>
                <c:pt idx="1522">
                  <c:v>0.99611799999999995</c:v>
                </c:pt>
                <c:pt idx="1523">
                  <c:v>0.99610900000000002</c:v>
                </c:pt>
                <c:pt idx="1524">
                  <c:v>0.99609999999999999</c:v>
                </c:pt>
                <c:pt idx="1525">
                  <c:v>0.99609099999999995</c:v>
                </c:pt>
                <c:pt idx="1526">
                  <c:v>0.99608200000000002</c:v>
                </c:pt>
                <c:pt idx="1527">
                  <c:v>0.99607199999999996</c:v>
                </c:pt>
                <c:pt idx="1528">
                  <c:v>0.99606300000000003</c:v>
                </c:pt>
                <c:pt idx="1529">
                  <c:v>0.99605399999999999</c:v>
                </c:pt>
                <c:pt idx="1530">
                  <c:v>0.99604499999999996</c:v>
                </c:pt>
                <c:pt idx="1531">
                  <c:v>0.996035</c:v>
                </c:pt>
                <c:pt idx="1532">
                  <c:v>0.99602599999999997</c:v>
                </c:pt>
                <c:pt idx="1533">
                  <c:v>0.99601700000000004</c:v>
                </c:pt>
                <c:pt idx="1534">
                  <c:v>0.996008</c:v>
                </c:pt>
                <c:pt idx="1535">
                  <c:v>0.99599899999999997</c:v>
                </c:pt>
                <c:pt idx="1536">
                  <c:v>0.99599000000000004</c:v>
                </c:pt>
                <c:pt idx="1537">
                  <c:v>0.99598200000000003</c:v>
                </c:pt>
                <c:pt idx="1538">
                  <c:v>0.995973</c:v>
                </c:pt>
                <c:pt idx="1539">
                  <c:v>0.99596499999999999</c:v>
                </c:pt>
                <c:pt idx="1540">
                  <c:v>0.99595699999999998</c:v>
                </c:pt>
                <c:pt idx="1541">
                  <c:v>0.99594899999999997</c:v>
                </c:pt>
                <c:pt idx="1542">
                  <c:v>0.99594099999999997</c:v>
                </c:pt>
                <c:pt idx="1543">
                  <c:v>0.99593399999999999</c:v>
                </c:pt>
                <c:pt idx="1544">
                  <c:v>0.99592700000000001</c:v>
                </c:pt>
                <c:pt idx="1545">
                  <c:v>0.99592000000000003</c:v>
                </c:pt>
                <c:pt idx="1546">
                  <c:v>0.99591300000000005</c:v>
                </c:pt>
                <c:pt idx="1547">
                  <c:v>0.99590699999999999</c:v>
                </c:pt>
                <c:pt idx="1548">
                  <c:v>0.99590000000000001</c:v>
                </c:pt>
                <c:pt idx="1549">
                  <c:v>0.99589499999999997</c:v>
                </c:pt>
                <c:pt idx="1550">
                  <c:v>0.99588900000000002</c:v>
                </c:pt>
                <c:pt idx="1551">
                  <c:v>0.99588299999999996</c:v>
                </c:pt>
                <c:pt idx="1552">
                  <c:v>0.99587800000000004</c:v>
                </c:pt>
                <c:pt idx="1553">
                  <c:v>0.99587300000000001</c:v>
                </c:pt>
                <c:pt idx="1554">
                  <c:v>0.995869</c:v>
                </c:pt>
                <c:pt idx="1555">
                  <c:v>0.99586399999999997</c:v>
                </c:pt>
                <c:pt idx="1556">
                  <c:v>0.99585999999999997</c:v>
                </c:pt>
                <c:pt idx="1557">
                  <c:v>0.99585599999999996</c:v>
                </c:pt>
                <c:pt idx="1558">
                  <c:v>0.99585299999999999</c:v>
                </c:pt>
                <c:pt idx="1559">
                  <c:v>0.99584899999999998</c:v>
                </c:pt>
                <c:pt idx="1560">
                  <c:v>0.99584600000000001</c:v>
                </c:pt>
                <c:pt idx="1561">
                  <c:v>0.99584300000000003</c:v>
                </c:pt>
                <c:pt idx="1562">
                  <c:v>0.99584099999999998</c:v>
                </c:pt>
                <c:pt idx="1563">
                  <c:v>0.995838</c:v>
                </c:pt>
                <c:pt idx="1564">
                  <c:v>0.99583600000000005</c:v>
                </c:pt>
                <c:pt idx="1565">
                  <c:v>0.995834</c:v>
                </c:pt>
                <c:pt idx="1566">
                  <c:v>0.99583200000000005</c:v>
                </c:pt>
                <c:pt idx="1567">
                  <c:v>0.99582999999999999</c:v>
                </c:pt>
                <c:pt idx="1568">
                  <c:v>0.99582899999999996</c:v>
                </c:pt>
                <c:pt idx="1569">
                  <c:v>0.99582800000000005</c:v>
                </c:pt>
                <c:pt idx="1570">
                  <c:v>0.99582599999999999</c:v>
                </c:pt>
                <c:pt idx="1571">
                  <c:v>0.99582499999999996</c:v>
                </c:pt>
                <c:pt idx="1572">
                  <c:v>0.99582499999999996</c:v>
                </c:pt>
                <c:pt idx="1573">
                  <c:v>0.99582400000000004</c:v>
                </c:pt>
                <c:pt idx="1574">
                  <c:v>0.99582300000000001</c:v>
                </c:pt>
                <c:pt idx="1575">
                  <c:v>0.99582300000000001</c:v>
                </c:pt>
                <c:pt idx="1576">
                  <c:v>0.99582199999999998</c:v>
                </c:pt>
                <c:pt idx="1577">
                  <c:v>0.99582199999999998</c:v>
                </c:pt>
                <c:pt idx="1578">
                  <c:v>0.99582199999999998</c:v>
                </c:pt>
                <c:pt idx="1579">
                  <c:v>0.99582199999999998</c:v>
                </c:pt>
                <c:pt idx="1580">
                  <c:v>0.99582199999999998</c:v>
                </c:pt>
                <c:pt idx="1581">
                  <c:v>0.99582199999999998</c:v>
                </c:pt>
                <c:pt idx="1582">
                  <c:v>0.99582300000000001</c:v>
                </c:pt>
                <c:pt idx="1583">
                  <c:v>0.99582300000000001</c:v>
                </c:pt>
                <c:pt idx="1584">
                  <c:v>0.99582400000000004</c:v>
                </c:pt>
                <c:pt idx="1585">
                  <c:v>0.99582400000000004</c:v>
                </c:pt>
                <c:pt idx="1586">
                  <c:v>0.99582499999999996</c:v>
                </c:pt>
                <c:pt idx="1587">
                  <c:v>0.99582499999999996</c:v>
                </c:pt>
                <c:pt idx="1588">
                  <c:v>0.99582599999999999</c:v>
                </c:pt>
                <c:pt idx="1589">
                  <c:v>0.99582700000000002</c:v>
                </c:pt>
                <c:pt idx="1590">
                  <c:v>0.99582800000000005</c:v>
                </c:pt>
                <c:pt idx="1591">
                  <c:v>0.99582899999999996</c:v>
                </c:pt>
                <c:pt idx="1592">
                  <c:v>0.99582999999999999</c:v>
                </c:pt>
                <c:pt idx="1593">
                  <c:v>0.99583100000000002</c:v>
                </c:pt>
                <c:pt idx="1594">
                  <c:v>0.99583299999999997</c:v>
                </c:pt>
                <c:pt idx="1595">
                  <c:v>0.995834</c:v>
                </c:pt>
                <c:pt idx="1596">
                  <c:v>0.99583500000000003</c:v>
                </c:pt>
                <c:pt idx="1597">
                  <c:v>0.99583699999999997</c:v>
                </c:pt>
                <c:pt idx="1598">
                  <c:v>0.99583900000000003</c:v>
                </c:pt>
                <c:pt idx="1599">
                  <c:v>0.99583999999999995</c:v>
                </c:pt>
                <c:pt idx="1600">
                  <c:v>0.995842</c:v>
                </c:pt>
                <c:pt idx="1601">
                  <c:v>0.99584399999999995</c:v>
                </c:pt>
                <c:pt idx="1602">
                  <c:v>0.99584600000000001</c:v>
                </c:pt>
                <c:pt idx="1603">
                  <c:v>0.99584899999999998</c:v>
                </c:pt>
                <c:pt idx="1604">
                  <c:v>0.99585100000000004</c:v>
                </c:pt>
                <c:pt idx="1605">
                  <c:v>0.99585299999999999</c:v>
                </c:pt>
                <c:pt idx="1606">
                  <c:v>0.99585599999999996</c:v>
                </c:pt>
                <c:pt idx="1607">
                  <c:v>0.99585900000000005</c:v>
                </c:pt>
                <c:pt idx="1608">
                  <c:v>0.99586200000000002</c:v>
                </c:pt>
                <c:pt idx="1609">
                  <c:v>0.995865</c:v>
                </c:pt>
                <c:pt idx="1610">
                  <c:v>0.99586799999999998</c:v>
                </c:pt>
                <c:pt idx="1611">
                  <c:v>0.99587099999999995</c:v>
                </c:pt>
                <c:pt idx="1612">
                  <c:v>0.99587499999999995</c:v>
                </c:pt>
                <c:pt idx="1613">
                  <c:v>0.99587800000000004</c:v>
                </c:pt>
                <c:pt idx="1614">
                  <c:v>0.99588200000000004</c:v>
                </c:pt>
                <c:pt idx="1615">
                  <c:v>0.99588600000000005</c:v>
                </c:pt>
                <c:pt idx="1616">
                  <c:v>0.99589000000000005</c:v>
                </c:pt>
                <c:pt idx="1617">
                  <c:v>0.99589499999999997</c:v>
                </c:pt>
                <c:pt idx="1618">
                  <c:v>0.99589899999999998</c:v>
                </c:pt>
                <c:pt idx="1619">
                  <c:v>0.99590400000000001</c:v>
                </c:pt>
                <c:pt idx="1620">
                  <c:v>0.99590800000000002</c:v>
                </c:pt>
                <c:pt idx="1621">
                  <c:v>0.99591300000000005</c:v>
                </c:pt>
                <c:pt idx="1622">
                  <c:v>0.99591799999999997</c:v>
                </c:pt>
                <c:pt idx="1623">
                  <c:v>0.99592400000000003</c:v>
                </c:pt>
                <c:pt idx="1624">
                  <c:v>0.99592899999999995</c:v>
                </c:pt>
                <c:pt idx="1625">
                  <c:v>0.99593399999999999</c:v>
                </c:pt>
                <c:pt idx="1626">
                  <c:v>0.99594000000000005</c:v>
                </c:pt>
                <c:pt idx="1627">
                  <c:v>0.995946</c:v>
                </c:pt>
                <c:pt idx="1628">
                  <c:v>0.99595199999999995</c:v>
                </c:pt>
                <c:pt idx="1629">
                  <c:v>0.99595800000000001</c:v>
                </c:pt>
                <c:pt idx="1630">
                  <c:v>0.99596399999999996</c:v>
                </c:pt>
                <c:pt idx="1631">
                  <c:v>0.99597000000000002</c:v>
                </c:pt>
                <c:pt idx="1632">
                  <c:v>0.99597599999999997</c:v>
                </c:pt>
                <c:pt idx="1633">
                  <c:v>0.99598200000000003</c:v>
                </c:pt>
                <c:pt idx="1634">
                  <c:v>0.99598900000000001</c:v>
                </c:pt>
                <c:pt idx="1635">
                  <c:v>0.99599499999999996</c:v>
                </c:pt>
                <c:pt idx="1636">
                  <c:v>0.99600200000000005</c:v>
                </c:pt>
                <c:pt idx="1637">
                  <c:v>0.996008</c:v>
                </c:pt>
                <c:pt idx="1638">
                  <c:v>0.99601499999999998</c:v>
                </c:pt>
                <c:pt idx="1639">
                  <c:v>0.99602100000000005</c:v>
                </c:pt>
                <c:pt idx="1640">
                  <c:v>0.996027</c:v>
                </c:pt>
                <c:pt idx="1641">
                  <c:v>0.99603399999999997</c:v>
                </c:pt>
                <c:pt idx="1642">
                  <c:v>0.99604000000000004</c:v>
                </c:pt>
                <c:pt idx="1643">
                  <c:v>0.99604599999999999</c:v>
                </c:pt>
                <c:pt idx="1644">
                  <c:v>0.99605200000000005</c:v>
                </c:pt>
                <c:pt idx="1645">
                  <c:v>0.996058</c:v>
                </c:pt>
                <c:pt idx="1646">
                  <c:v>0.99606399999999995</c:v>
                </c:pt>
                <c:pt idx="1647">
                  <c:v>0.99607000000000001</c:v>
                </c:pt>
                <c:pt idx="1648">
                  <c:v>0.99607599999999996</c:v>
                </c:pt>
                <c:pt idx="1649">
                  <c:v>0.99608099999999999</c:v>
                </c:pt>
                <c:pt idx="1650">
                  <c:v>0.99608699999999994</c:v>
                </c:pt>
                <c:pt idx="1651">
                  <c:v>0.99609199999999998</c:v>
                </c:pt>
                <c:pt idx="1652">
                  <c:v>0.99609700000000001</c:v>
                </c:pt>
                <c:pt idx="1653">
                  <c:v>0.99610100000000001</c:v>
                </c:pt>
                <c:pt idx="1654">
                  <c:v>0.99610600000000005</c:v>
                </c:pt>
                <c:pt idx="1655">
                  <c:v>0.99611000000000005</c:v>
                </c:pt>
                <c:pt idx="1656">
                  <c:v>0.99611400000000005</c:v>
                </c:pt>
                <c:pt idx="1657">
                  <c:v>0.99611799999999995</c:v>
                </c:pt>
                <c:pt idx="1658">
                  <c:v>0.99612100000000003</c:v>
                </c:pt>
                <c:pt idx="1659">
                  <c:v>0.99612400000000001</c:v>
                </c:pt>
                <c:pt idx="1660">
                  <c:v>0.99612699999999998</c:v>
                </c:pt>
                <c:pt idx="1661">
                  <c:v>0.99612900000000004</c:v>
                </c:pt>
                <c:pt idx="1662">
                  <c:v>0.99613200000000002</c:v>
                </c:pt>
                <c:pt idx="1663">
                  <c:v>0.99613300000000005</c:v>
                </c:pt>
                <c:pt idx="1664">
                  <c:v>0.99613499999999999</c:v>
                </c:pt>
                <c:pt idx="1665">
                  <c:v>0.99613600000000002</c:v>
                </c:pt>
                <c:pt idx="1666">
                  <c:v>0.99613700000000005</c:v>
                </c:pt>
                <c:pt idx="1667">
                  <c:v>0.99613700000000005</c:v>
                </c:pt>
                <c:pt idx="1668">
                  <c:v>0.99613700000000005</c:v>
                </c:pt>
                <c:pt idx="1669">
                  <c:v>0.99613700000000005</c:v>
                </c:pt>
                <c:pt idx="1670">
                  <c:v>0.99613700000000005</c:v>
                </c:pt>
                <c:pt idx="1671">
                  <c:v>0.99613600000000002</c:v>
                </c:pt>
                <c:pt idx="1672">
                  <c:v>0.99613399999999996</c:v>
                </c:pt>
                <c:pt idx="1673">
                  <c:v>0.99613300000000005</c:v>
                </c:pt>
                <c:pt idx="1674">
                  <c:v>0.99613099999999999</c:v>
                </c:pt>
                <c:pt idx="1675">
                  <c:v>0.99612800000000001</c:v>
                </c:pt>
                <c:pt idx="1676">
                  <c:v>0.99612599999999996</c:v>
                </c:pt>
                <c:pt idx="1677">
                  <c:v>0.99612299999999998</c:v>
                </c:pt>
                <c:pt idx="1678">
                  <c:v>0.99612000000000001</c:v>
                </c:pt>
                <c:pt idx="1679">
                  <c:v>0.996116</c:v>
                </c:pt>
                <c:pt idx="1680">
                  <c:v>0.996112</c:v>
                </c:pt>
                <c:pt idx="1681">
                  <c:v>0.99610799999999999</c:v>
                </c:pt>
                <c:pt idx="1682">
                  <c:v>0.99610399999999999</c:v>
                </c:pt>
                <c:pt idx="1683">
                  <c:v>0.99609899999999996</c:v>
                </c:pt>
                <c:pt idx="1684">
                  <c:v>0.99609400000000003</c:v>
                </c:pt>
                <c:pt idx="1685">
                  <c:v>0.996089</c:v>
                </c:pt>
                <c:pt idx="1686">
                  <c:v>0.99608399999999997</c:v>
                </c:pt>
                <c:pt idx="1687">
                  <c:v>0.99607800000000002</c:v>
                </c:pt>
                <c:pt idx="1688">
                  <c:v>0.99607199999999996</c:v>
                </c:pt>
                <c:pt idx="1689">
                  <c:v>0.99606700000000004</c:v>
                </c:pt>
                <c:pt idx="1690">
                  <c:v>0.99606099999999997</c:v>
                </c:pt>
                <c:pt idx="1691">
                  <c:v>0.99605399999999999</c:v>
                </c:pt>
                <c:pt idx="1692">
                  <c:v>0.99604800000000004</c:v>
                </c:pt>
                <c:pt idx="1693">
                  <c:v>0.99604199999999998</c:v>
                </c:pt>
                <c:pt idx="1694">
                  <c:v>0.996035</c:v>
                </c:pt>
                <c:pt idx="1695">
                  <c:v>0.99602900000000005</c:v>
                </c:pt>
                <c:pt idx="1696">
                  <c:v>0.99602199999999996</c:v>
                </c:pt>
                <c:pt idx="1697">
                  <c:v>0.99601499999999998</c:v>
                </c:pt>
                <c:pt idx="1698">
                  <c:v>0.99600900000000003</c:v>
                </c:pt>
                <c:pt idx="1699">
                  <c:v>0.99600200000000005</c:v>
                </c:pt>
                <c:pt idx="1700">
                  <c:v>0.99599599999999999</c:v>
                </c:pt>
                <c:pt idx="1701">
                  <c:v>0.99598900000000001</c:v>
                </c:pt>
                <c:pt idx="1702">
                  <c:v>0.99598299999999995</c:v>
                </c:pt>
                <c:pt idx="1703">
                  <c:v>0.99597599999999997</c:v>
                </c:pt>
                <c:pt idx="1704">
                  <c:v>0.99597000000000002</c:v>
                </c:pt>
                <c:pt idx="1705">
                  <c:v>0.99596399999999996</c:v>
                </c:pt>
                <c:pt idx="1706">
                  <c:v>0.99595800000000001</c:v>
                </c:pt>
                <c:pt idx="1707">
                  <c:v>0.99595199999999995</c:v>
                </c:pt>
                <c:pt idx="1708">
                  <c:v>0.995946</c:v>
                </c:pt>
                <c:pt idx="1709">
                  <c:v>0.99594099999999997</c:v>
                </c:pt>
                <c:pt idx="1710">
                  <c:v>0.99593500000000001</c:v>
                </c:pt>
                <c:pt idx="1711">
                  <c:v>0.99592999999999998</c:v>
                </c:pt>
                <c:pt idx="1712">
                  <c:v>0.99592499999999995</c:v>
                </c:pt>
                <c:pt idx="1713">
                  <c:v>0.99592099999999995</c:v>
                </c:pt>
                <c:pt idx="1714">
                  <c:v>0.99591600000000002</c:v>
                </c:pt>
                <c:pt idx="1715">
                  <c:v>0.99591200000000002</c:v>
                </c:pt>
                <c:pt idx="1716">
                  <c:v>0.99590800000000002</c:v>
                </c:pt>
                <c:pt idx="1717">
                  <c:v>0.99590400000000001</c:v>
                </c:pt>
                <c:pt idx="1718">
                  <c:v>0.99590100000000004</c:v>
                </c:pt>
                <c:pt idx="1719">
                  <c:v>0.99589799999999995</c:v>
                </c:pt>
                <c:pt idx="1720">
                  <c:v>0.99589499999999997</c:v>
                </c:pt>
                <c:pt idx="1721">
                  <c:v>0.995892</c:v>
                </c:pt>
                <c:pt idx="1722">
                  <c:v>0.99589000000000005</c:v>
                </c:pt>
                <c:pt idx="1723">
                  <c:v>0.995888</c:v>
                </c:pt>
                <c:pt idx="1724">
                  <c:v>0.99588600000000005</c:v>
                </c:pt>
                <c:pt idx="1725">
                  <c:v>0.99588399999999999</c:v>
                </c:pt>
                <c:pt idx="1726">
                  <c:v>0.99588299999999996</c:v>
                </c:pt>
                <c:pt idx="1727">
                  <c:v>0.99588200000000004</c:v>
                </c:pt>
                <c:pt idx="1728">
                  <c:v>0.99588100000000002</c:v>
                </c:pt>
                <c:pt idx="1729">
                  <c:v>0.99588100000000002</c:v>
                </c:pt>
                <c:pt idx="1730">
                  <c:v>0.99588100000000002</c:v>
                </c:pt>
                <c:pt idx="1731">
                  <c:v>0.99588100000000002</c:v>
                </c:pt>
                <c:pt idx="1732">
                  <c:v>0.99588100000000002</c:v>
                </c:pt>
                <c:pt idx="1733">
                  <c:v>0.99588200000000004</c:v>
                </c:pt>
                <c:pt idx="1734">
                  <c:v>0.99588299999999996</c:v>
                </c:pt>
                <c:pt idx="1735">
                  <c:v>0.99588399999999999</c:v>
                </c:pt>
                <c:pt idx="1736">
                  <c:v>0.99588600000000005</c:v>
                </c:pt>
                <c:pt idx="1737">
                  <c:v>0.99588699999999997</c:v>
                </c:pt>
                <c:pt idx="1738">
                  <c:v>0.99588900000000002</c:v>
                </c:pt>
                <c:pt idx="1739">
                  <c:v>0.99589099999999997</c:v>
                </c:pt>
                <c:pt idx="1740">
                  <c:v>0.99589300000000003</c:v>
                </c:pt>
                <c:pt idx="1741">
                  <c:v>0.995896</c:v>
                </c:pt>
                <c:pt idx="1742">
                  <c:v>0.99589799999999995</c:v>
                </c:pt>
                <c:pt idx="1743">
                  <c:v>0.99590100000000004</c:v>
                </c:pt>
                <c:pt idx="1744">
                  <c:v>0.99590400000000001</c:v>
                </c:pt>
                <c:pt idx="1745">
                  <c:v>0.99590699999999999</c:v>
                </c:pt>
                <c:pt idx="1746">
                  <c:v>0.99590999999999996</c:v>
                </c:pt>
                <c:pt idx="1747">
                  <c:v>0.99591300000000005</c:v>
                </c:pt>
                <c:pt idx="1748">
                  <c:v>0.99591700000000005</c:v>
                </c:pt>
                <c:pt idx="1749">
                  <c:v>0.99592000000000003</c:v>
                </c:pt>
                <c:pt idx="1750">
                  <c:v>0.99592400000000003</c:v>
                </c:pt>
                <c:pt idx="1751">
                  <c:v>0.99592700000000001</c:v>
                </c:pt>
                <c:pt idx="1752">
                  <c:v>0.99593100000000001</c:v>
                </c:pt>
                <c:pt idx="1753">
                  <c:v>0.99593500000000001</c:v>
                </c:pt>
                <c:pt idx="1754">
                  <c:v>0.99593900000000002</c:v>
                </c:pt>
                <c:pt idx="1755">
                  <c:v>0.99594300000000002</c:v>
                </c:pt>
                <c:pt idx="1756">
                  <c:v>0.995946</c:v>
                </c:pt>
                <c:pt idx="1757">
                  <c:v>0.99595</c:v>
                </c:pt>
                <c:pt idx="1758">
                  <c:v>0.99595400000000001</c:v>
                </c:pt>
                <c:pt idx="1759">
                  <c:v>0.99595800000000001</c:v>
                </c:pt>
                <c:pt idx="1760">
                  <c:v>0.99596200000000001</c:v>
                </c:pt>
                <c:pt idx="1761">
                  <c:v>0.99596600000000002</c:v>
                </c:pt>
                <c:pt idx="1762">
                  <c:v>0.99597000000000002</c:v>
                </c:pt>
                <c:pt idx="1763">
                  <c:v>0.99597400000000003</c:v>
                </c:pt>
                <c:pt idx="1764">
                  <c:v>0.99597800000000003</c:v>
                </c:pt>
                <c:pt idx="1765">
                  <c:v>0.99598100000000001</c:v>
                </c:pt>
                <c:pt idx="1766">
                  <c:v>0.99598500000000001</c:v>
                </c:pt>
                <c:pt idx="1767">
                  <c:v>0.99598900000000001</c:v>
                </c:pt>
                <c:pt idx="1768">
                  <c:v>0.99599199999999999</c:v>
                </c:pt>
                <c:pt idx="1769">
                  <c:v>0.99599599999999999</c:v>
                </c:pt>
                <c:pt idx="1770">
                  <c:v>0.996</c:v>
                </c:pt>
                <c:pt idx="1771">
                  <c:v>0.99600299999999997</c:v>
                </c:pt>
                <c:pt idx="1772">
                  <c:v>0.99600599999999995</c:v>
                </c:pt>
                <c:pt idx="1773">
                  <c:v>0.99600999999999995</c:v>
                </c:pt>
                <c:pt idx="1774">
                  <c:v>0.99601300000000004</c:v>
                </c:pt>
                <c:pt idx="1775">
                  <c:v>0.99601600000000001</c:v>
                </c:pt>
                <c:pt idx="1776">
                  <c:v>0.99601899999999999</c:v>
                </c:pt>
                <c:pt idx="1777">
                  <c:v>0.99602299999999999</c:v>
                </c:pt>
                <c:pt idx="1778">
                  <c:v>0.99602599999999997</c:v>
                </c:pt>
                <c:pt idx="1779">
                  <c:v>0.99602900000000005</c:v>
                </c:pt>
                <c:pt idx="1780">
                  <c:v>0.99603200000000003</c:v>
                </c:pt>
                <c:pt idx="1781">
                  <c:v>0.99603399999999997</c:v>
                </c:pt>
                <c:pt idx="1782">
                  <c:v>0.99603699999999995</c:v>
                </c:pt>
                <c:pt idx="1783">
                  <c:v>0.99604000000000004</c:v>
                </c:pt>
                <c:pt idx="1784">
                  <c:v>0.99604300000000001</c:v>
                </c:pt>
                <c:pt idx="1785">
                  <c:v>0.99604499999999996</c:v>
                </c:pt>
                <c:pt idx="1786">
                  <c:v>0.99604800000000004</c:v>
                </c:pt>
                <c:pt idx="1787">
                  <c:v>0.99604999999999999</c:v>
                </c:pt>
                <c:pt idx="1788">
                  <c:v>0.99605299999999997</c:v>
                </c:pt>
                <c:pt idx="1789">
                  <c:v>0.99605500000000002</c:v>
                </c:pt>
                <c:pt idx="1790">
                  <c:v>0.996058</c:v>
                </c:pt>
                <c:pt idx="1791">
                  <c:v>0.99605999999999995</c:v>
                </c:pt>
                <c:pt idx="1792">
                  <c:v>0.996062</c:v>
                </c:pt>
                <c:pt idx="1793">
                  <c:v>0.99606499999999998</c:v>
                </c:pt>
                <c:pt idx="1794">
                  <c:v>0.99606700000000004</c:v>
                </c:pt>
                <c:pt idx="1795">
                  <c:v>0.99606899999999998</c:v>
                </c:pt>
                <c:pt idx="1796">
                  <c:v>0.99607100000000004</c:v>
                </c:pt>
                <c:pt idx="1797">
                  <c:v>0.99607299999999999</c:v>
                </c:pt>
                <c:pt idx="1798">
                  <c:v>0.99607599999999996</c:v>
                </c:pt>
                <c:pt idx="1799">
                  <c:v>0.99607800000000002</c:v>
                </c:pt>
                <c:pt idx="1800">
                  <c:v>0.99607999999999997</c:v>
                </c:pt>
                <c:pt idx="1801">
                  <c:v>0.99608200000000002</c:v>
                </c:pt>
                <c:pt idx="1802">
                  <c:v>0.99608399999999997</c:v>
                </c:pt>
                <c:pt idx="1803">
                  <c:v>0.99608600000000003</c:v>
                </c:pt>
                <c:pt idx="1804">
                  <c:v>0.99608799999999997</c:v>
                </c:pt>
                <c:pt idx="1805">
                  <c:v>0.99609000000000003</c:v>
                </c:pt>
                <c:pt idx="1806">
                  <c:v>0.99609199999999998</c:v>
                </c:pt>
                <c:pt idx="1807">
                  <c:v>0.99609400000000003</c:v>
                </c:pt>
                <c:pt idx="1808">
                  <c:v>0.99609599999999998</c:v>
                </c:pt>
                <c:pt idx="1809">
                  <c:v>0.99609700000000001</c:v>
                </c:pt>
                <c:pt idx="1810">
                  <c:v>0.99609899999999996</c:v>
                </c:pt>
                <c:pt idx="1811">
                  <c:v>0.99610100000000001</c:v>
                </c:pt>
                <c:pt idx="1812">
                  <c:v>0.99610299999999996</c:v>
                </c:pt>
                <c:pt idx="1813">
                  <c:v>0.99610399999999999</c:v>
                </c:pt>
                <c:pt idx="1814">
                  <c:v>0.99610600000000005</c:v>
                </c:pt>
                <c:pt idx="1815">
                  <c:v>0.99610799999999999</c:v>
                </c:pt>
                <c:pt idx="1816">
                  <c:v>0.99610900000000002</c:v>
                </c:pt>
                <c:pt idx="1817">
                  <c:v>0.99611099999999997</c:v>
                </c:pt>
                <c:pt idx="1818">
                  <c:v>0.996112</c:v>
                </c:pt>
                <c:pt idx="1819">
                  <c:v>0.99611300000000003</c:v>
                </c:pt>
                <c:pt idx="1820">
                  <c:v>0.99611499999999997</c:v>
                </c:pt>
                <c:pt idx="1821">
                  <c:v>0.996116</c:v>
                </c:pt>
                <c:pt idx="1822">
                  <c:v>0.99611700000000003</c:v>
                </c:pt>
                <c:pt idx="1823">
                  <c:v>0.99611799999999995</c:v>
                </c:pt>
                <c:pt idx="1824">
                  <c:v>0.99611899999999998</c:v>
                </c:pt>
                <c:pt idx="1825">
                  <c:v>0.99612000000000001</c:v>
                </c:pt>
                <c:pt idx="1826">
                  <c:v>0.99612000000000001</c:v>
                </c:pt>
                <c:pt idx="1827">
                  <c:v>0.99612100000000003</c:v>
                </c:pt>
                <c:pt idx="1828">
                  <c:v>0.99612100000000003</c:v>
                </c:pt>
                <c:pt idx="1829">
                  <c:v>0.99612199999999995</c:v>
                </c:pt>
                <c:pt idx="1830">
                  <c:v>0.99612199999999995</c:v>
                </c:pt>
                <c:pt idx="1831">
                  <c:v>0.99612199999999995</c:v>
                </c:pt>
                <c:pt idx="1832">
                  <c:v>0.99612199999999995</c:v>
                </c:pt>
                <c:pt idx="1833">
                  <c:v>0.99612199999999995</c:v>
                </c:pt>
                <c:pt idx="1834">
                  <c:v>0.99612199999999995</c:v>
                </c:pt>
                <c:pt idx="1835">
                  <c:v>0.99612100000000003</c:v>
                </c:pt>
                <c:pt idx="1836">
                  <c:v>0.99612100000000003</c:v>
                </c:pt>
                <c:pt idx="1837">
                  <c:v>0.99612000000000001</c:v>
                </c:pt>
                <c:pt idx="1838">
                  <c:v>0.99611899999999998</c:v>
                </c:pt>
                <c:pt idx="1839">
                  <c:v>0.99611799999999995</c:v>
                </c:pt>
                <c:pt idx="1840">
                  <c:v>0.99611700000000003</c:v>
                </c:pt>
                <c:pt idx="1841">
                  <c:v>0.996116</c:v>
                </c:pt>
                <c:pt idx="1842">
                  <c:v>0.99611400000000005</c:v>
                </c:pt>
                <c:pt idx="1843">
                  <c:v>0.99611300000000003</c:v>
                </c:pt>
                <c:pt idx="1844">
                  <c:v>0.99611099999999997</c:v>
                </c:pt>
                <c:pt idx="1845">
                  <c:v>0.99610900000000002</c:v>
                </c:pt>
                <c:pt idx="1846">
                  <c:v>0.99610699999999996</c:v>
                </c:pt>
                <c:pt idx="1847">
                  <c:v>0.99610500000000002</c:v>
                </c:pt>
                <c:pt idx="1848">
                  <c:v>0.99610299999999996</c:v>
                </c:pt>
                <c:pt idx="1849">
                  <c:v>0.99609999999999999</c:v>
                </c:pt>
                <c:pt idx="1850">
                  <c:v>0.99609700000000001</c:v>
                </c:pt>
                <c:pt idx="1851">
                  <c:v>0.99609499999999995</c:v>
                </c:pt>
                <c:pt idx="1852">
                  <c:v>0.99609199999999998</c:v>
                </c:pt>
                <c:pt idx="1853">
                  <c:v>0.996089</c:v>
                </c:pt>
                <c:pt idx="1854">
                  <c:v>0.99608600000000003</c:v>
                </c:pt>
                <c:pt idx="1855">
                  <c:v>0.99608300000000005</c:v>
                </c:pt>
                <c:pt idx="1856">
                  <c:v>0.99607900000000005</c:v>
                </c:pt>
                <c:pt idx="1857">
                  <c:v>0.99607599999999996</c:v>
                </c:pt>
                <c:pt idx="1858">
                  <c:v>0.99607299999999999</c:v>
                </c:pt>
                <c:pt idx="1859">
                  <c:v>0.99606899999999998</c:v>
                </c:pt>
                <c:pt idx="1860">
                  <c:v>0.99606499999999998</c:v>
                </c:pt>
                <c:pt idx="1861">
                  <c:v>0.996062</c:v>
                </c:pt>
                <c:pt idx="1862">
                  <c:v>0.996058</c:v>
                </c:pt>
                <c:pt idx="1863">
                  <c:v>0.99605399999999999</c:v>
                </c:pt>
                <c:pt idx="1864">
                  <c:v>0.99604999999999999</c:v>
                </c:pt>
                <c:pt idx="1865">
                  <c:v>0.99604700000000002</c:v>
                </c:pt>
                <c:pt idx="1866">
                  <c:v>0.99604300000000001</c:v>
                </c:pt>
                <c:pt idx="1867">
                  <c:v>0.99603900000000001</c:v>
                </c:pt>
                <c:pt idx="1868">
                  <c:v>0.996035</c:v>
                </c:pt>
                <c:pt idx="1869">
                  <c:v>0.996031</c:v>
                </c:pt>
                <c:pt idx="1870">
                  <c:v>0.996027</c:v>
                </c:pt>
                <c:pt idx="1871">
                  <c:v>0.99602400000000002</c:v>
                </c:pt>
                <c:pt idx="1872">
                  <c:v>0.99602000000000002</c:v>
                </c:pt>
                <c:pt idx="1873">
                  <c:v>0.99601600000000001</c:v>
                </c:pt>
                <c:pt idx="1874">
                  <c:v>0.99601300000000004</c:v>
                </c:pt>
                <c:pt idx="1875">
                  <c:v>0.99600900000000003</c:v>
                </c:pt>
                <c:pt idx="1876">
                  <c:v>0.99600599999999995</c:v>
                </c:pt>
                <c:pt idx="1877">
                  <c:v>0.99600299999999997</c:v>
                </c:pt>
                <c:pt idx="1878">
                  <c:v>0.996</c:v>
                </c:pt>
                <c:pt idx="1879">
                  <c:v>0.99599599999999999</c:v>
                </c:pt>
                <c:pt idx="1880">
                  <c:v>0.99599400000000005</c:v>
                </c:pt>
                <c:pt idx="1881">
                  <c:v>0.99599099999999996</c:v>
                </c:pt>
                <c:pt idx="1882">
                  <c:v>0.99598799999999998</c:v>
                </c:pt>
                <c:pt idx="1883">
                  <c:v>0.99598600000000004</c:v>
                </c:pt>
                <c:pt idx="1884">
                  <c:v>0.99598299999999995</c:v>
                </c:pt>
                <c:pt idx="1885">
                  <c:v>0.99598100000000001</c:v>
                </c:pt>
                <c:pt idx="1886">
                  <c:v>0.99597899999999995</c:v>
                </c:pt>
                <c:pt idx="1887">
                  <c:v>0.995977</c:v>
                </c:pt>
                <c:pt idx="1888">
                  <c:v>0.99597599999999997</c:v>
                </c:pt>
                <c:pt idx="1889">
                  <c:v>0.99597400000000003</c:v>
                </c:pt>
                <c:pt idx="1890">
                  <c:v>0.995973</c:v>
                </c:pt>
                <c:pt idx="1891">
                  <c:v>0.99597199999999997</c:v>
                </c:pt>
                <c:pt idx="1892">
                  <c:v>0.99597100000000005</c:v>
                </c:pt>
                <c:pt idx="1893">
                  <c:v>0.99597100000000005</c:v>
                </c:pt>
                <c:pt idx="1894">
                  <c:v>0.99597000000000002</c:v>
                </c:pt>
                <c:pt idx="1895">
                  <c:v>0.99597000000000002</c:v>
                </c:pt>
                <c:pt idx="1896">
                  <c:v>0.99597000000000002</c:v>
                </c:pt>
                <c:pt idx="1897">
                  <c:v>0.99597000000000002</c:v>
                </c:pt>
                <c:pt idx="1898">
                  <c:v>0.99597100000000005</c:v>
                </c:pt>
                <c:pt idx="1899">
                  <c:v>0.99597100000000005</c:v>
                </c:pt>
                <c:pt idx="1900">
                  <c:v>0.99597199999999997</c:v>
                </c:pt>
                <c:pt idx="1901">
                  <c:v>0.995973</c:v>
                </c:pt>
                <c:pt idx="1902">
                  <c:v>0.99597400000000003</c:v>
                </c:pt>
                <c:pt idx="1903">
                  <c:v>0.99597599999999997</c:v>
                </c:pt>
                <c:pt idx="1904">
                  <c:v>0.995977</c:v>
                </c:pt>
                <c:pt idx="1905">
                  <c:v>0.99597899999999995</c:v>
                </c:pt>
                <c:pt idx="1906">
                  <c:v>0.99598100000000001</c:v>
                </c:pt>
                <c:pt idx="1907">
                  <c:v>0.99598299999999995</c:v>
                </c:pt>
                <c:pt idx="1908">
                  <c:v>0.99598500000000001</c:v>
                </c:pt>
                <c:pt idx="1909">
                  <c:v>0.99598699999999996</c:v>
                </c:pt>
                <c:pt idx="1910">
                  <c:v>0.99599000000000004</c:v>
                </c:pt>
                <c:pt idx="1911">
                  <c:v>0.99599300000000002</c:v>
                </c:pt>
                <c:pt idx="1912">
                  <c:v>0.99599499999999996</c:v>
                </c:pt>
                <c:pt idx="1913">
                  <c:v>0.99599800000000005</c:v>
                </c:pt>
                <c:pt idx="1914">
                  <c:v>0.99600100000000003</c:v>
                </c:pt>
                <c:pt idx="1915">
                  <c:v>0.99600500000000003</c:v>
                </c:pt>
                <c:pt idx="1916">
                  <c:v>0.996008</c:v>
                </c:pt>
                <c:pt idx="1917">
                  <c:v>0.99601099999999998</c:v>
                </c:pt>
                <c:pt idx="1918">
                  <c:v>0.99601499999999998</c:v>
                </c:pt>
                <c:pt idx="1919">
                  <c:v>0.99601799999999996</c:v>
                </c:pt>
                <c:pt idx="1920">
                  <c:v>0.99602100000000005</c:v>
                </c:pt>
                <c:pt idx="1921">
                  <c:v>0.99602500000000005</c:v>
                </c:pt>
                <c:pt idx="1922">
                  <c:v>0.99602900000000005</c:v>
                </c:pt>
                <c:pt idx="1923">
                  <c:v>0.99603200000000003</c:v>
                </c:pt>
                <c:pt idx="1924">
                  <c:v>0.99603600000000003</c:v>
                </c:pt>
                <c:pt idx="1925">
                  <c:v>0.99603900000000001</c:v>
                </c:pt>
                <c:pt idx="1926">
                  <c:v>0.99604300000000001</c:v>
                </c:pt>
                <c:pt idx="1927">
                  <c:v>0.99604700000000002</c:v>
                </c:pt>
                <c:pt idx="1928">
                  <c:v>0.99604999999999999</c:v>
                </c:pt>
                <c:pt idx="1929">
                  <c:v>0.99605399999999999</c:v>
                </c:pt>
                <c:pt idx="1930">
                  <c:v>0.99605699999999997</c:v>
                </c:pt>
                <c:pt idx="1931">
                  <c:v>0.99606099999999997</c:v>
                </c:pt>
                <c:pt idx="1932">
                  <c:v>0.99606399999999995</c:v>
                </c:pt>
                <c:pt idx="1933">
                  <c:v>0.99606700000000004</c:v>
                </c:pt>
                <c:pt idx="1934">
                  <c:v>0.99607100000000004</c:v>
                </c:pt>
                <c:pt idx="1935">
                  <c:v>0.99607400000000001</c:v>
                </c:pt>
                <c:pt idx="1936">
                  <c:v>0.99607699999999999</c:v>
                </c:pt>
                <c:pt idx="1937">
                  <c:v>0.99607999999999997</c:v>
                </c:pt>
                <c:pt idx="1938">
                  <c:v>0.99608300000000005</c:v>
                </c:pt>
                <c:pt idx="1939">
                  <c:v>0.99608600000000003</c:v>
                </c:pt>
                <c:pt idx="1940">
                  <c:v>0.99608799999999997</c:v>
                </c:pt>
                <c:pt idx="1941">
                  <c:v>0.99609099999999995</c:v>
                </c:pt>
                <c:pt idx="1942">
                  <c:v>0.99609300000000001</c:v>
                </c:pt>
                <c:pt idx="1943">
                  <c:v>0.99609599999999998</c:v>
                </c:pt>
                <c:pt idx="1944">
                  <c:v>0.99609800000000004</c:v>
                </c:pt>
                <c:pt idx="1945">
                  <c:v>0.99609999999999999</c:v>
                </c:pt>
                <c:pt idx="1946">
                  <c:v>0.99610200000000004</c:v>
                </c:pt>
                <c:pt idx="1947">
                  <c:v>0.99610399999999999</c:v>
                </c:pt>
                <c:pt idx="1948">
                  <c:v>0.99610500000000002</c:v>
                </c:pt>
                <c:pt idx="1949">
                  <c:v>0.99610699999999996</c:v>
                </c:pt>
                <c:pt idx="1950">
                  <c:v>0.99610799999999999</c:v>
                </c:pt>
                <c:pt idx="1951">
                  <c:v>0.99610900000000002</c:v>
                </c:pt>
                <c:pt idx="1952">
                  <c:v>0.99611099999999997</c:v>
                </c:pt>
                <c:pt idx="1953">
                  <c:v>0.996112</c:v>
                </c:pt>
                <c:pt idx="1954">
                  <c:v>0.99611300000000003</c:v>
                </c:pt>
                <c:pt idx="1955">
                  <c:v>0.99611300000000003</c:v>
                </c:pt>
                <c:pt idx="1956">
                  <c:v>0.99611400000000005</c:v>
                </c:pt>
                <c:pt idx="1957">
                  <c:v>0.99611499999999997</c:v>
                </c:pt>
                <c:pt idx="1958">
                  <c:v>0.99611499999999997</c:v>
                </c:pt>
                <c:pt idx="1959">
                  <c:v>0.99611499999999997</c:v>
                </c:pt>
                <c:pt idx="1960">
                  <c:v>0.996116</c:v>
                </c:pt>
                <c:pt idx="1961">
                  <c:v>0.996116</c:v>
                </c:pt>
                <c:pt idx="1962">
                  <c:v>0.996116</c:v>
                </c:pt>
                <c:pt idx="1963">
                  <c:v>0.996116</c:v>
                </c:pt>
                <c:pt idx="1964">
                  <c:v>0.99611499999999997</c:v>
                </c:pt>
                <c:pt idx="1965">
                  <c:v>0.99611499999999997</c:v>
                </c:pt>
                <c:pt idx="1966">
                  <c:v>0.99611499999999997</c:v>
                </c:pt>
                <c:pt idx="1967">
                  <c:v>0.99611400000000005</c:v>
                </c:pt>
                <c:pt idx="1968">
                  <c:v>0.99611400000000005</c:v>
                </c:pt>
                <c:pt idx="1969">
                  <c:v>0.99611300000000003</c:v>
                </c:pt>
                <c:pt idx="1970">
                  <c:v>0.99611300000000003</c:v>
                </c:pt>
                <c:pt idx="1971">
                  <c:v>0.996112</c:v>
                </c:pt>
                <c:pt idx="1972">
                  <c:v>0.99611099999999997</c:v>
                </c:pt>
                <c:pt idx="1973">
                  <c:v>0.99611000000000005</c:v>
                </c:pt>
                <c:pt idx="1974">
                  <c:v>0.99611000000000005</c:v>
                </c:pt>
                <c:pt idx="1975">
                  <c:v>0.99610900000000002</c:v>
                </c:pt>
                <c:pt idx="1976">
                  <c:v>0.99610799999999999</c:v>
                </c:pt>
                <c:pt idx="1977">
                  <c:v>0.99610699999999996</c:v>
                </c:pt>
                <c:pt idx="1978">
                  <c:v>0.99610600000000005</c:v>
                </c:pt>
                <c:pt idx="1979">
                  <c:v>0.99610500000000002</c:v>
                </c:pt>
                <c:pt idx="1980">
                  <c:v>0.99610399999999999</c:v>
                </c:pt>
                <c:pt idx="1981">
                  <c:v>0.99610299999999996</c:v>
                </c:pt>
                <c:pt idx="1982">
                  <c:v>0.99610200000000004</c:v>
                </c:pt>
                <c:pt idx="1983">
                  <c:v>0.99610100000000001</c:v>
                </c:pt>
                <c:pt idx="1984">
                  <c:v>0.99609999999999999</c:v>
                </c:pt>
                <c:pt idx="1985">
                  <c:v>0.99609899999999996</c:v>
                </c:pt>
                <c:pt idx="1986">
                  <c:v>0.99609700000000001</c:v>
                </c:pt>
                <c:pt idx="1987">
                  <c:v>0.99609599999999998</c:v>
                </c:pt>
                <c:pt idx="1988">
                  <c:v>0.99609499999999995</c:v>
                </c:pt>
                <c:pt idx="1989">
                  <c:v>0.99609400000000003</c:v>
                </c:pt>
                <c:pt idx="1990">
                  <c:v>0.99609300000000001</c:v>
                </c:pt>
                <c:pt idx="1991">
                  <c:v>0.99609199999999998</c:v>
                </c:pt>
                <c:pt idx="1992">
                  <c:v>0.99609099999999995</c:v>
                </c:pt>
                <c:pt idx="1993">
                  <c:v>0.99609000000000003</c:v>
                </c:pt>
                <c:pt idx="1994">
                  <c:v>0.996089</c:v>
                </c:pt>
                <c:pt idx="1995">
                  <c:v>0.99608799999999997</c:v>
                </c:pt>
                <c:pt idx="1996">
                  <c:v>0.99608699999999994</c:v>
                </c:pt>
                <c:pt idx="1997">
                  <c:v>0.99608600000000003</c:v>
                </c:pt>
                <c:pt idx="1998">
                  <c:v>0.996085</c:v>
                </c:pt>
                <c:pt idx="1999">
                  <c:v>0.99608399999999997</c:v>
                </c:pt>
                <c:pt idx="2000">
                  <c:v>0.99608300000000005</c:v>
                </c:pt>
                <c:pt idx="2001">
                  <c:v>0.99608200000000002</c:v>
                </c:pt>
                <c:pt idx="2002">
                  <c:v>0.99608099999999999</c:v>
                </c:pt>
              </c:numCache>
            </c:numRef>
          </c:yVal>
          <c:smooth val="0"/>
          <c:extLst>
            <c:ext xmlns:c16="http://schemas.microsoft.com/office/drawing/2014/chart" uri="{C3380CC4-5D6E-409C-BE32-E72D297353CC}">
              <c16:uniqueId val="{00000003-A885-45AF-97DE-B39FF25EFDDA}"/>
            </c:ext>
          </c:extLst>
        </c:ser>
        <c:dLbls>
          <c:showLegendKey val="0"/>
          <c:showVal val="0"/>
          <c:showCatName val="0"/>
          <c:showSerName val="0"/>
          <c:showPercent val="0"/>
          <c:showBubbleSize val="0"/>
        </c:dLbls>
        <c:axId val="1083103184"/>
        <c:axId val="1083108464"/>
      </c:scatterChart>
      <c:valAx>
        <c:axId val="1083103184"/>
        <c:scaling>
          <c:orientation val="minMax"/>
          <c:max val="10"/>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Time (s)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08464"/>
        <c:crosses val="autoZero"/>
        <c:crossBetween val="midCat"/>
      </c:valAx>
      <c:valAx>
        <c:axId val="1083108464"/>
        <c:scaling>
          <c:orientation val="minMax"/>
          <c:min val="0.5"/>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Phase A Voltage (p.u.)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03184"/>
        <c:crosses val="autoZero"/>
        <c:crossBetween val="midCat"/>
      </c:valAx>
      <c:spPr>
        <a:solidFill>
          <a:srgbClr val="F7F9FC"/>
        </a:solidFill>
        <a:ln>
          <a:noFill/>
        </a:ln>
        <a:effectLst/>
      </c:spPr>
    </c:plotArea>
    <c:legend>
      <c:legendPos val="r"/>
      <c:layout>
        <c:manualLayout>
          <c:xMode val="edge"/>
          <c:yMode val="edge"/>
          <c:x val="0.31877236539760034"/>
          <c:y val="0.4730290076910868"/>
          <c:w val="0.22281824510469317"/>
          <c:h val="0.2821434432072827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900"/>
        </a:spcBef>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707685947847513E-2"/>
          <c:y val="3.5124408589815338E-2"/>
          <c:w val="0.88677969258822931"/>
          <c:h val="0.81043575725614603"/>
        </c:manualLayout>
      </c:layout>
      <c:barChart>
        <c:barDir val="col"/>
        <c:grouping val="clustered"/>
        <c:varyColors val="0"/>
        <c:ser>
          <c:idx val="0"/>
          <c:order val="0"/>
          <c:tx>
            <c:strRef>
              <c:f>'[Meetings slides data PV Curves 39 bus folder.xlsx]PV_CURVES'!$B$2</c:f>
              <c:strCache>
                <c:ptCount val="1"/>
                <c:pt idx="0">
                  <c:v>Base Case</c:v>
                </c:pt>
              </c:strCache>
            </c:strRef>
          </c:tx>
          <c:spPr>
            <a:solidFill>
              <a:schemeClr val="accent1"/>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folder.xlsx]PV_CURVES'!$B$3:$B$5</c:f>
              <c:numCache>
                <c:formatCode>General</c:formatCode>
                <c:ptCount val="3"/>
                <c:pt idx="0">
                  <c:v>9552.4</c:v>
                </c:pt>
                <c:pt idx="1">
                  <c:v>8144.7</c:v>
                </c:pt>
                <c:pt idx="2">
                  <c:v>8241.6</c:v>
                </c:pt>
              </c:numCache>
            </c:numRef>
          </c:val>
          <c:extLst>
            <c:ext xmlns:c16="http://schemas.microsoft.com/office/drawing/2014/chart" uri="{C3380CC4-5D6E-409C-BE32-E72D297353CC}">
              <c16:uniqueId val="{00000000-A58C-40C1-9E2D-59BFA6360479}"/>
            </c:ext>
          </c:extLst>
        </c:ser>
        <c:ser>
          <c:idx val="1"/>
          <c:order val="1"/>
          <c:tx>
            <c:strRef>
              <c:f>'[Meetings slides data PV Curves 39 bus folder.xlsx]PV_CURVES'!$C$2</c:f>
              <c:strCache>
                <c:ptCount val="1"/>
                <c:pt idx="0">
                  <c:v>4%</c:v>
                </c:pt>
              </c:strCache>
            </c:strRef>
          </c:tx>
          <c:spPr>
            <a:solidFill>
              <a:schemeClr val="accent2"/>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folder.xlsx]PV_CURVES'!$C$3:$C$5</c:f>
              <c:numCache>
                <c:formatCode>General</c:formatCode>
                <c:ptCount val="3"/>
                <c:pt idx="0">
                  <c:v>9076.1</c:v>
                </c:pt>
                <c:pt idx="1">
                  <c:v>7704.6</c:v>
                </c:pt>
                <c:pt idx="2">
                  <c:v>7863.4</c:v>
                </c:pt>
              </c:numCache>
            </c:numRef>
          </c:val>
          <c:extLst>
            <c:ext xmlns:c16="http://schemas.microsoft.com/office/drawing/2014/chart" uri="{C3380CC4-5D6E-409C-BE32-E72D297353CC}">
              <c16:uniqueId val="{00000001-A58C-40C1-9E2D-59BFA6360479}"/>
            </c:ext>
          </c:extLst>
        </c:ser>
        <c:ser>
          <c:idx val="2"/>
          <c:order val="2"/>
          <c:tx>
            <c:strRef>
              <c:f>'[Meetings slides data PV Curves 39 bus folder.xlsx]PV_CURVES'!$D$2</c:f>
              <c:strCache>
                <c:ptCount val="1"/>
                <c:pt idx="0">
                  <c:v>13%</c:v>
                </c:pt>
              </c:strCache>
            </c:strRef>
          </c:tx>
          <c:spPr>
            <a:solidFill>
              <a:schemeClr val="accent3"/>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folder.xlsx]PV_CURVES'!$D$3:$D$5</c:f>
              <c:numCache>
                <c:formatCode>General</c:formatCode>
                <c:ptCount val="3"/>
                <c:pt idx="0">
                  <c:v>8956.1</c:v>
                </c:pt>
                <c:pt idx="1">
                  <c:v>7587.5</c:v>
                </c:pt>
                <c:pt idx="2">
                  <c:v>7671.9</c:v>
                </c:pt>
              </c:numCache>
            </c:numRef>
          </c:val>
          <c:extLst>
            <c:ext xmlns:c16="http://schemas.microsoft.com/office/drawing/2014/chart" uri="{C3380CC4-5D6E-409C-BE32-E72D297353CC}">
              <c16:uniqueId val="{00000002-A58C-40C1-9E2D-59BFA6360479}"/>
            </c:ext>
          </c:extLst>
        </c:ser>
        <c:ser>
          <c:idx val="3"/>
          <c:order val="3"/>
          <c:tx>
            <c:strRef>
              <c:f>'[Meetings slides data PV Curves 39 bus folder.xlsx]PV_CURVES'!$E$2</c:f>
              <c:strCache>
                <c:ptCount val="1"/>
                <c:pt idx="0">
                  <c:v>26%</c:v>
                </c:pt>
              </c:strCache>
            </c:strRef>
          </c:tx>
          <c:spPr>
            <a:solidFill>
              <a:schemeClr val="accent4"/>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folder.xlsx]PV_CURVES'!$E$3:$E$5</c:f>
              <c:numCache>
                <c:formatCode>General</c:formatCode>
                <c:ptCount val="3"/>
                <c:pt idx="0">
                  <c:v>8917</c:v>
                </c:pt>
                <c:pt idx="1">
                  <c:v>7550.8</c:v>
                </c:pt>
                <c:pt idx="2">
                  <c:v>7670.9</c:v>
                </c:pt>
              </c:numCache>
            </c:numRef>
          </c:val>
          <c:extLst>
            <c:ext xmlns:c16="http://schemas.microsoft.com/office/drawing/2014/chart" uri="{C3380CC4-5D6E-409C-BE32-E72D297353CC}">
              <c16:uniqueId val="{00000003-A58C-40C1-9E2D-59BFA6360479}"/>
            </c:ext>
          </c:extLst>
        </c:ser>
        <c:ser>
          <c:idx val="4"/>
          <c:order val="4"/>
          <c:tx>
            <c:strRef>
              <c:f>'[Meetings slides data PV Curves 39 bus folder.xlsx]PV_CURVES'!$F$2</c:f>
              <c:strCache>
                <c:ptCount val="1"/>
                <c:pt idx="0">
                  <c:v>35%</c:v>
                </c:pt>
              </c:strCache>
            </c:strRef>
          </c:tx>
          <c:spPr>
            <a:solidFill>
              <a:schemeClr val="accent5"/>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folder.xlsx]PV_CURVES'!$F$3:$F$5</c:f>
              <c:numCache>
                <c:formatCode>General</c:formatCode>
                <c:ptCount val="3"/>
                <c:pt idx="0">
                  <c:v>8867.5</c:v>
                </c:pt>
                <c:pt idx="1">
                  <c:v>7485.8</c:v>
                </c:pt>
                <c:pt idx="2">
                  <c:v>7626.1</c:v>
                </c:pt>
              </c:numCache>
            </c:numRef>
          </c:val>
          <c:extLst>
            <c:ext xmlns:c16="http://schemas.microsoft.com/office/drawing/2014/chart" uri="{C3380CC4-5D6E-409C-BE32-E72D297353CC}">
              <c16:uniqueId val="{00000004-A58C-40C1-9E2D-59BFA6360479}"/>
            </c:ext>
          </c:extLst>
        </c:ser>
        <c:ser>
          <c:idx val="5"/>
          <c:order val="5"/>
          <c:tx>
            <c:strRef>
              <c:f>'[Meetings slides data PV Curves 39 bus folder.xlsx]PV_CURVES'!$G$2</c:f>
              <c:strCache>
                <c:ptCount val="1"/>
                <c:pt idx="0">
                  <c:v>44%</c:v>
                </c:pt>
              </c:strCache>
            </c:strRef>
          </c:tx>
          <c:spPr>
            <a:solidFill>
              <a:schemeClr val="accent6"/>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folder.xlsx]PV_CURVES'!$G$3:$G$5</c:f>
              <c:numCache>
                <c:formatCode>General</c:formatCode>
                <c:ptCount val="3"/>
                <c:pt idx="0">
                  <c:v>8852.2000000000007</c:v>
                </c:pt>
                <c:pt idx="1">
                  <c:v>7485.8</c:v>
                </c:pt>
                <c:pt idx="2">
                  <c:v>7609.9</c:v>
                </c:pt>
              </c:numCache>
            </c:numRef>
          </c:val>
          <c:extLst>
            <c:ext xmlns:c16="http://schemas.microsoft.com/office/drawing/2014/chart" uri="{C3380CC4-5D6E-409C-BE32-E72D297353CC}">
              <c16:uniqueId val="{00000005-A58C-40C1-9E2D-59BFA6360479}"/>
            </c:ext>
          </c:extLst>
        </c:ser>
        <c:ser>
          <c:idx val="6"/>
          <c:order val="6"/>
          <c:tx>
            <c:strRef>
              <c:f>'[Meetings slides data PV Curves 39 bus folder.xlsx]PV_CURVES'!$H$2</c:f>
              <c:strCache>
                <c:ptCount val="1"/>
                <c:pt idx="0">
                  <c:v>54%</c:v>
                </c:pt>
              </c:strCache>
            </c:strRef>
          </c:tx>
          <c:spPr>
            <a:solidFill>
              <a:schemeClr val="accent1">
                <a:lumMod val="60000"/>
              </a:schemeClr>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folder.xlsx]PV_CURVES'!$H$3:$H$5</c:f>
              <c:numCache>
                <c:formatCode>General</c:formatCode>
                <c:ptCount val="3"/>
                <c:pt idx="0">
                  <c:v>8776</c:v>
                </c:pt>
                <c:pt idx="1">
                  <c:v>7485.8</c:v>
                </c:pt>
                <c:pt idx="2">
                  <c:v>7537.5</c:v>
                </c:pt>
              </c:numCache>
            </c:numRef>
          </c:val>
          <c:extLst>
            <c:ext xmlns:c16="http://schemas.microsoft.com/office/drawing/2014/chart" uri="{C3380CC4-5D6E-409C-BE32-E72D297353CC}">
              <c16:uniqueId val="{00000006-A58C-40C1-9E2D-59BFA6360479}"/>
            </c:ext>
          </c:extLst>
        </c:ser>
        <c:ser>
          <c:idx val="7"/>
          <c:order val="7"/>
          <c:tx>
            <c:strRef>
              <c:f>'[Meetings slides data PV Curves 39 bus folder.xlsx]PV_CURVES'!$I$2</c:f>
              <c:strCache>
                <c:ptCount val="1"/>
                <c:pt idx="0">
                  <c:v>64%</c:v>
                </c:pt>
              </c:strCache>
            </c:strRef>
          </c:tx>
          <c:spPr>
            <a:solidFill>
              <a:schemeClr val="accent2">
                <a:lumMod val="60000"/>
              </a:schemeClr>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folder.xlsx]PV_CURVES'!$I$3:$I$5</c:f>
              <c:numCache>
                <c:formatCode>General</c:formatCode>
                <c:ptCount val="3"/>
                <c:pt idx="0">
                  <c:v>8573.1</c:v>
                </c:pt>
                <c:pt idx="1">
                  <c:v>7261.1</c:v>
                </c:pt>
                <c:pt idx="2">
                  <c:v>7360.3</c:v>
                </c:pt>
              </c:numCache>
            </c:numRef>
          </c:val>
          <c:extLst>
            <c:ext xmlns:c16="http://schemas.microsoft.com/office/drawing/2014/chart" uri="{C3380CC4-5D6E-409C-BE32-E72D297353CC}">
              <c16:uniqueId val="{00000007-A58C-40C1-9E2D-59BFA6360479}"/>
            </c:ext>
          </c:extLst>
        </c:ser>
        <c:ser>
          <c:idx val="8"/>
          <c:order val="8"/>
          <c:tx>
            <c:strRef>
              <c:f>'[Meetings slides data PV Curves 39 bus folder.xlsx]PV_CURVES'!$J$2</c:f>
              <c:strCache>
                <c:ptCount val="1"/>
                <c:pt idx="0">
                  <c:v>73%</c:v>
                </c:pt>
              </c:strCache>
            </c:strRef>
          </c:tx>
          <c:spPr>
            <a:solidFill>
              <a:schemeClr val="accent3">
                <a:lumMod val="60000"/>
              </a:schemeClr>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folder.xlsx]PV_CURVES'!$J$3:$J$5</c:f>
              <c:numCache>
                <c:formatCode>General</c:formatCode>
                <c:ptCount val="3"/>
                <c:pt idx="0">
                  <c:v>8347.2999999999993</c:v>
                </c:pt>
                <c:pt idx="1">
                  <c:v>7023.5</c:v>
                </c:pt>
                <c:pt idx="2">
                  <c:v>7171.7</c:v>
                </c:pt>
              </c:numCache>
            </c:numRef>
          </c:val>
          <c:extLst>
            <c:ext xmlns:c16="http://schemas.microsoft.com/office/drawing/2014/chart" uri="{C3380CC4-5D6E-409C-BE32-E72D297353CC}">
              <c16:uniqueId val="{00000008-A58C-40C1-9E2D-59BFA6360479}"/>
            </c:ext>
          </c:extLst>
        </c:ser>
        <c:ser>
          <c:idx val="9"/>
          <c:order val="9"/>
          <c:tx>
            <c:strRef>
              <c:f>'[Meetings slides data PV Curves 39 bus folder.xlsx]PV_CURVES'!$K$2</c:f>
              <c:strCache>
                <c:ptCount val="1"/>
                <c:pt idx="0">
                  <c:v>83%</c:v>
                </c:pt>
              </c:strCache>
            </c:strRef>
          </c:tx>
          <c:spPr>
            <a:solidFill>
              <a:schemeClr val="accent4">
                <a:lumMod val="60000"/>
              </a:schemeClr>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folder.xlsx]PV_CURVES'!$K$3:$K$5</c:f>
              <c:numCache>
                <c:formatCode>General</c:formatCode>
                <c:ptCount val="3"/>
                <c:pt idx="0">
                  <c:v>8291.1</c:v>
                </c:pt>
                <c:pt idx="1">
                  <c:v>6805.6</c:v>
                </c:pt>
                <c:pt idx="2">
                  <c:v>7079.3</c:v>
                </c:pt>
              </c:numCache>
            </c:numRef>
          </c:val>
          <c:extLst>
            <c:ext xmlns:c16="http://schemas.microsoft.com/office/drawing/2014/chart" uri="{C3380CC4-5D6E-409C-BE32-E72D297353CC}">
              <c16:uniqueId val="{00000009-A58C-40C1-9E2D-59BFA6360479}"/>
            </c:ext>
          </c:extLst>
        </c:ser>
        <c:ser>
          <c:idx val="10"/>
          <c:order val="10"/>
          <c:tx>
            <c:strRef>
              <c:f>'[Meetings slides data PV Curves 39 bus folder.xlsx]PV_CURVES'!$L$2</c:f>
              <c:strCache>
                <c:ptCount val="1"/>
                <c:pt idx="0">
                  <c:v>95%</c:v>
                </c:pt>
              </c:strCache>
            </c:strRef>
          </c:tx>
          <c:spPr>
            <a:solidFill>
              <a:schemeClr val="accent5">
                <a:lumMod val="60000"/>
              </a:schemeClr>
            </a:solidFill>
            <a:ln>
              <a:noFill/>
            </a:ln>
            <a:effectLst/>
          </c:spPr>
          <c:invertIfNegative val="0"/>
          <c:cat>
            <c:strRef>
              <c:f>'[Meetings slides data PV Curves 39 bus folder.xlsx]PV_CURVES'!$A$3:$A$5</c:f>
              <c:strCache>
                <c:ptCount val="3"/>
                <c:pt idx="0">
                  <c:v>No Outage</c:v>
                </c:pt>
                <c:pt idx="1">
                  <c:v>Line 16 - 19</c:v>
                </c:pt>
                <c:pt idx="2">
                  <c:v>G 09</c:v>
                </c:pt>
              </c:strCache>
            </c:strRef>
          </c:cat>
          <c:val>
            <c:numRef>
              <c:f>'[Meetings slides data PV Curves 39 bus folder.xlsx]PV_CURVES'!$L$3:$L$5</c:f>
              <c:numCache>
                <c:formatCode>General</c:formatCode>
                <c:ptCount val="3"/>
                <c:pt idx="0">
                  <c:v>7638.5</c:v>
                </c:pt>
                <c:pt idx="1">
                  <c:v>6466.4</c:v>
                </c:pt>
                <c:pt idx="2">
                  <c:v>6743</c:v>
                </c:pt>
              </c:numCache>
            </c:numRef>
          </c:val>
          <c:extLst>
            <c:ext xmlns:c16="http://schemas.microsoft.com/office/drawing/2014/chart" uri="{C3380CC4-5D6E-409C-BE32-E72D297353CC}">
              <c16:uniqueId val="{0000000A-A58C-40C1-9E2D-59BFA6360479}"/>
            </c:ext>
          </c:extLst>
        </c:ser>
        <c:dLbls>
          <c:showLegendKey val="0"/>
          <c:showVal val="0"/>
          <c:showCatName val="0"/>
          <c:showSerName val="0"/>
          <c:showPercent val="0"/>
          <c:showBubbleSize val="0"/>
        </c:dLbls>
        <c:gapWidth val="219"/>
        <c:overlap val="-27"/>
        <c:axId val="1313086672"/>
        <c:axId val="1313089552"/>
      </c:barChart>
      <c:catAx>
        <c:axId val="13130866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10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Outage</a:t>
                </a:r>
              </a:p>
            </c:rich>
          </c:tx>
          <c:layout>
            <c:manualLayout>
              <c:xMode val="edge"/>
              <c:yMode val="edge"/>
              <c:x val="0.493258588817854"/>
              <c:y val="0.9505607846115230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3089552"/>
        <c:crosses val="autoZero"/>
        <c:auto val="1"/>
        <c:lblAlgn val="ctr"/>
        <c:lblOffset val="100"/>
        <c:noMultiLvlLbl val="0"/>
      </c:catAx>
      <c:valAx>
        <c:axId val="1313089552"/>
        <c:scaling>
          <c:orientation val="minMax"/>
          <c:max val="9600"/>
          <c:min val="60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100">
                    <a:solidFill>
                      <a:sysClr val="windowText" lastClr="000000"/>
                    </a:solidFill>
                  </a:rPr>
                  <a:t>Maximum Loadability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3086672"/>
        <c:crosses val="autoZero"/>
        <c:crossBetween val="between"/>
      </c:valAx>
      <c:spPr>
        <a:noFill/>
        <a:ln>
          <a:noFill/>
        </a:ln>
        <a:effectLst/>
      </c:spPr>
    </c:plotArea>
    <c:legend>
      <c:legendPos val="b"/>
      <c:layout>
        <c:manualLayout>
          <c:xMode val="edge"/>
          <c:yMode val="edge"/>
          <c:x val="0.16882860331398186"/>
          <c:y val="4.092768899373616E-2"/>
          <c:w val="0.78064176786561579"/>
          <c:h val="5.2404460454578021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spPr>
            <a:scene3d>
              <a:camera prst="orthographicFront"/>
              <a:lightRig rig="threePt" dir="t"/>
            </a:scene3d>
            <a:sp3d>
              <a:bevelT/>
            </a:sp3d>
          </c:spPr>
          <c:dPt>
            <c:idx val="0"/>
            <c:bubble3D val="0"/>
            <c:spPr>
              <a:solidFill>
                <a:schemeClr val="accent1"/>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1-12F2-4564-8251-1EEAE2A75E60}"/>
              </c:ext>
            </c:extLst>
          </c:dPt>
          <c:dPt>
            <c:idx val="1"/>
            <c:bubble3D val="0"/>
            <c:spPr>
              <a:solidFill>
                <a:schemeClr val="accent2"/>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3-12F2-4564-8251-1EEAE2A75E60}"/>
              </c:ext>
            </c:extLst>
          </c:dPt>
          <c:dPt>
            <c:idx val="2"/>
            <c:bubble3D val="0"/>
            <c:spPr>
              <a:solidFill>
                <a:schemeClr val="accent3"/>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5-12F2-4564-8251-1EEAE2A75E60}"/>
              </c:ext>
            </c:extLst>
          </c:dPt>
          <c:dPt>
            <c:idx val="3"/>
            <c:bubble3D val="0"/>
            <c:spPr>
              <a:solidFill>
                <a:schemeClr val="accent4"/>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7-12F2-4564-8251-1EEAE2A75E60}"/>
              </c:ext>
            </c:extLst>
          </c:dPt>
          <c:dPt>
            <c:idx val="4"/>
            <c:bubble3D val="0"/>
            <c:spPr>
              <a:solidFill>
                <a:schemeClr val="accent5"/>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9-12F2-4564-8251-1EEAE2A75E60}"/>
              </c:ext>
            </c:extLst>
          </c:dPt>
          <c:dPt>
            <c:idx val="5"/>
            <c:bubble3D val="0"/>
            <c:spPr>
              <a:solidFill>
                <a:schemeClr val="accent6"/>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B-12F2-4564-8251-1EEAE2A75E60}"/>
              </c:ext>
            </c:extLst>
          </c:dPt>
          <c:dPt>
            <c:idx val="6"/>
            <c:bubble3D val="0"/>
            <c:spPr>
              <a:solidFill>
                <a:schemeClr val="accent1">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D-12F2-4564-8251-1EEAE2A75E60}"/>
              </c:ext>
            </c:extLst>
          </c:dPt>
          <c:dPt>
            <c:idx val="7"/>
            <c:bubble3D val="0"/>
            <c:spPr>
              <a:solidFill>
                <a:schemeClr val="accent2">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F-12F2-4564-8251-1EEAE2A75E60}"/>
              </c:ext>
            </c:extLst>
          </c:dPt>
          <c:dPt>
            <c:idx val="8"/>
            <c:bubble3D val="0"/>
            <c:spPr>
              <a:solidFill>
                <a:schemeClr val="accent3">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1-12F2-4564-8251-1EEAE2A75E60}"/>
              </c:ext>
            </c:extLst>
          </c:dPt>
          <c:dPt>
            <c:idx val="9"/>
            <c:bubble3D val="0"/>
            <c:spPr>
              <a:solidFill>
                <a:schemeClr val="accent4">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3-12F2-4564-8251-1EEAE2A75E60}"/>
              </c:ext>
            </c:extLst>
          </c:dPt>
          <c:dPt>
            <c:idx val="10"/>
            <c:bubble3D val="0"/>
            <c:spPr>
              <a:solidFill>
                <a:schemeClr val="accent5">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5-12F2-4564-8251-1EEAE2A75E60}"/>
              </c:ext>
            </c:extLst>
          </c:dPt>
          <c:dPt>
            <c:idx val="11"/>
            <c:bubble3D val="0"/>
            <c:spPr>
              <a:solidFill>
                <a:schemeClr val="accent6">
                  <a:lumMod val="6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7-12F2-4564-8251-1EEAE2A75E60}"/>
              </c:ext>
            </c:extLst>
          </c:dPt>
          <c:dPt>
            <c:idx val="12"/>
            <c:bubble3D val="0"/>
            <c:spPr>
              <a:solidFill>
                <a:schemeClr val="accent1">
                  <a:lumMod val="80000"/>
                  <a:lumOff val="2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9-12F2-4564-8251-1EEAE2A75E60}"/>
              </c:ext>
            </c:extLst>
          </c:dPt>
          <c:dPt>
            <c:idx val="13"/>
            <c:bubble3D val="0"/>
            <c:spPr>
              <a:solidFill>
                <a:schemeClr val="accent2">
                  <a:lumMod val="80000"/>
                  <a:lumOff val="2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B-12F2-4564-8251-1EEAE2A75E60}"/>
              </c:ext>
            </c:extLst>
          </c:dPt>
          <c:dPt>
            <c:idx val="14"/>
            <c:bubble3D val="0"/>
            <c:spPr>
              <a:solidFill>
                <a:schemeClr val="accent3">
                  <a:lumMod val="80000"/>
                  <a:lumOff val="20000"/>
                </a:schemeClr>
              </a:solid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1D-12F2-4564-8251-1EEAE2A75E60}"/>
              </c:ext>
            </c:extLst>
          </c:dPt>
          <c:dLbls>
            <c:dLbl>
              <c:idx val="0"/>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anchor="ctr" anchorCtr="1"/>
                <a:lstStyle/>
                <a:p>
                  <a:pPr>
                    <a:defRPr sz="900" b="0" i="0" u="none" strike="noStrike" kern="1200" baseline="0">
                      <a:ln>
                        <a:noFill/>
                      </a:ln>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0"/>
              <c:showBubbleSize val="0"/>
              <c:extLst>
                <c:ext xmlns:c16="http://schemas.microsoft.com/office/drawing/2014/chart" uri="{C3380CC4-5D6E-409C-BE32-E72D297353CC}">
                  <c16:uniqueId val="{00000001-12F2-4564-8251-1EEAE2A75E60}"/>
                </c:ext>
              </c:extLst>
            </c:dLbl>
            <c:dLbl>
              <c:idx val="3"/>
              <c:layout>
                <c:manualLayout>
                  <c:x val="-1.5376371222827916E-2"/>
                  <c:y val="-3.5050465485837345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F2-4564-8251-1EEAE2A75E60}"/>
                </c:ext>
              </c:extLst>
            </c:dLbl>
            <c:dLbl>
              <c:idx val="4"/>
              <c:layout>
                <c:manualLayout>
                  <c:x val="6.3434618749579383E-2"/>
                  <c:y val="-8.6803316409734765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F2-4564-8251-1EEAE2A75E60}"/>
                </c:ext>
              </c:extLst>
            </c:dLbl>
            <c:dLbl>
              <c:idx val="8"/>
              <c:layout>
                <c:manualLayout>
                  <c:x val="2.7849451510868834E-2"/>
                  <c:y val="0.34091263776303149"/>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2F2-4564-8251-1EEAE2A75E60}"/>
                </c:ext>
              </c:extLst>
            </c:dLbl>
            <c:dLbl>
              <c:idx val="9"/>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anchor="ctr" anchorCtr="1"/>
                <a:lstStyle/>
                <a:p>
                  <a:pPr>
                    <a:defRPr sz="900" b="0" i="0" u="none" strike="noStrike" kern="1200" baseline="0">
                      <a:ln>
                        <a:noFill/>
                      </a:ln>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0"/>
              <c:showBubbleSize val="0"/>
              <c:extLst>
                <c:ext xmlns:c16="http://schemas.microsoft.com/office/drawing/2014/chart" uri="{C3380CC4-5D6E-409C-BE32-E72D297353CC}">
                  <c16:uniqueId val="{00000013-12F2-4564-8251-1EEAE2A75E60}"/>
                </c:ext>
              </c:extLst>
            </c:dLbl>
            <c:dLbl>
              <c:idx val="10"/>
              <c:layout>
                <c:manualLayout>
                  <c:x val="6.4391109765125507E-2"/>
                  <c:y val="4.8257527391385661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2F2-4564-8251-1EEAE2A75E60}"/>
                </c:ext>
              </c:extLst>
            </c:dLbl>
            <c:dLbl>
              <c:idx val="12"/>
              <c:layout>
                <c:manualLayout>
                  <c:x val="2.0445605357022601E-2"/>
                  <c:y val="-6.2904421959540074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2F2-4564-8251-1EEAE2A75E60}"/>
                </c:ext>
              </c:extLst>
            </c:dLbl>
            <c:dLbl>
              <c:idx val="14"/>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anchor="ctr" anchorCtr="1"/>
                <a:lstStyle/>
                <a:p>
                  <a:pPr>
                    <a:defRPr sz="900" b="0" i="0" u="none" strike="noStrike" kern="1200" baseline="0">
                      <a:ln>
                        <a:noFill/>
                      </a:ln>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0"/>
              <c:showBubbleSize val="0"/>
              <c:extLst>
                <c:ext xmlns:c16="http://schemas.microsoft.com/office/drawing/2014/chart" uri="{C3380CC4-5D6E-409C-BE32-E72D297353CC}">
                  <c16:uniqueId val="{0000001D-12F2-4564-8251-1EEAE2A75E60}"/>
                </c:ext>
              </c:extLst>
            </c:dLbl>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0"/>
            <c:showBubbleSize val="0"/>
            <c:showLeaderLines val="1"/>
            <c:leader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leaderLines>
            <c:extLst>
              <c:ext xmlns:c15="http://schemas.microsoft.com/office/drawing/2012/chart" uri="{CE6537A1-D6FC-4f65-9D91-7224C49458BB}"/>
            </c:extLst>
          </c:dLbls>
          <c:cat>
            <c:strRef>
              <c:f>Sheet1!$C$5:$C$18</c:f>
              <c:strCache>
                <c:ptCount val="14"/>
                <c:pt idx="0">
                  <c:v>Continuation power flow</c:v>
                </c:pt>
                <c:pt idx="1">
                  <c:v>Eigenvalue analysis</c:v>
                </c:pt>
                <c:pt idx="2">
                  <c:v>Thevenin based equivalent</c:v>
                </c:pt>
                <c:pt idx="3">
                  <c:v>Coupled single-port method</c:v>
                </c:pt>
                <c:pt idx="4">
                  <c:v>Newton-Raphson method</c:v>
                </c:pt>
                <c:pt idx="5">
                  <c:v>Singular value decomposition</c:v>
                </c:pt>
                <c:pt idx="6">
                  <c:v>Extended Jacobian matrix</c:v>
                </c:pt>
                <c:pt idx="7">
                  <c:v>Banach fixed-point theorem</c:v>
                </c:pt>
                <c:pt idx="8">
                  <c:v>Bifurcation techniques</c:v>
                </c:pt>
                <c:pt idx="9">
                  <c:v>Branch Current method</c:v>
                </c:pt>
                <c:pt idx="10">
                  <c:v>Holomorphic embedding method</c:v>
                </c:pt>
                <c:pt idx="11">
                  <c:v>Leverages geometric techniques</c:v>
                </c:pt>
                <c:pt idx="12">
                  <c:v>PMU-based state estimator</c:v>
                </c:pt>
                <c:pt idx="13">
                  <c:v>Randomized SVD</c:v>
                </c:pt>
              </c:strCache>
            </c:strRef>
          </c:cat>
          <c:val>
            <c:numRef>
              <c:f>Sheet1!$D$5:$D$18</c:f>
              <c:numCache>
                <c:formatCode>General</c:formatCode>
                <c:ptCount val="14"/>
                <c:pt idx="0">
                  <c:v>43</c:v>
                </c:pt>
                <c:pt idx="1">
                  <c:v>5</c:v>
                </c:pt>
                <c:pt idx="2">
                  <c:v>5</c:v>
                </c:pt>
                <c:pt idx="3">
                  <c:v>6</c:v>
                </c:pt>
                <c:pt idx="4">
                  <c:v>4</c:v>
                </c:pt>
                <c:pt idx="5">
                  <c:v>3</c:v>
                </c:pt>
                <c:pt idx="6">
                  <c:v>2</c:v>
                </c:pt>
                <c:pt idx="7">
                  <c:v>1</c:v>
                </c:pt>
                <c:pt idx="8">
                  <c:v>1</c:v>
                </c:pt>
                <c:pt idx="9">
                  <c:v>1</c:v>
                </c:pt>
                <c:pt idx="10">
                  <c:v>1</c:v>
                </c:pt>
                <c:pt idx="11">
                  <c:v>1</c:v>
                </c:pt>
                <c:pt idx="12">
                  <c:v>1</c:v>
                </c:pt>
                <c:pt idx="13">
                  <c:v>1</c:v>
                </c:pt>
              </c:numCache>
            </c:numRef>
          </c:val>
          <c:extLst>
            <c:ext xmlns:c16="http://schemas.microsoft.com/office/drawing/2014/chart" uri="{C3380CC4-5D6E-409C-BE32-E72D297353CC}">
              <c16:uniqueId val="{0000001E-12F2-4564-8251-1EEAE2A75E60}"/>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0.50748</cdr:x>
      <cdr:y>0.19888</cdr:y>
    </cdr:from>
    <cdr:to>
      <cdr:x>0.70188</cdr:x>
      <cdr:y>0.54443</cdr:y>
    </cdr:to>
    <cdr:sp macro="" textlink="">
      <cdr:nvSpPr>
        <cdr:cNvPr id="3" name="TextBox 1">
          <a:extLst xmlns:a="http://schemas.openxmlformats.org/drawingml/2006/main">
            <a:ext uri="{FF2B5EF4-FFF2-40B4-BE49-F238E27FC236}">
              <a16:creationId xmlns:a16="http://schemas.microsoft.com/office/drawing/2014/main" id="{9BF2323C-57AB-1F0D-6F77-61BC2F83C99D}"/>
            </a:ext>
          </a:extLst>
        </cdr:cNvPr>
        <cdr:cNvSpPr txBox="1"/>
      </cdr:nvSpPr>
      <cdr:spPr>
        <a:xfrm xmlns:a="http://schemas.openxmlformats.org/drawingml/2006/main">
          <a:off x="2908613" y="651783"/>
          <a:ext cx="1114206" cy="1132448"/>
        </a:xfrm>
        <a:prstGeom xmlns:a="http://schemas.openxmlformats.org/drawingml/2006/main" prst="rect">
          <a:avLst/>
        </a:prstGeom>
        <a:solidFill xmlns:a="http://schemas.openxmlformats.org/drawingml/2006/main">
          <a:srgbClr val="F7F9FC"/>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i="0" u="none" strike="noStrike" dirty="0">
              <a:effectLst/>
            </a:rPr>
            <a:t>Imax</a:t>
          </a:r>
          <a:endParaRPr lang="en-US" sz="1200" b="1" dirty="0"/>
        </a:p>
        <a:p xmlns:a="http://schemas.openxmlformats.org/drawingml/2006/main">
          <a:pPr algn="ctr"/>
          <a:r>
            <a:rPr lang="en-US" sz="1200" b="1" dirty="0"/>
            <a:t>1</a:t>
          </a:r>
          <a:r>
            <a:rPr lang="en-US" sz="1200" b="1" baseline="30000" dirty="0"/>
            <a:t>st</a:t>
          </a:r>
          <a:r>
            <a:rPr lang="en-US" sz="1200" b="1" dirty="0"/>
            <a:t>_swing</a:t>
          </a:r>
          <a:endParaRPr lang="en-US" sz="1200" b="1" i="0" u="none" strike="noStrike" dirty="0">
            <a:effectLst/>
          </a:endParaRPr>
        </a:p>
        <a:p xmlns:a="http://schemas.openxmlformats.org/drawingml/2006/main">
          <a:pPr algn="ctr">
            <a:lnSpc>
              <a:spcPct val="150000"/>
            </a:lnSpc>
          </a:pPr>
          <a:r>
            <a:rPr lang="en-US" sz="1200" i="0" u="none" strike="noStrike" dirty="0">
              <a:effectLst/>
            </a:rPr>
            <a:t>1.687</a:t>
          </a:r>
          <a:endParaRPr lang="en-US" sz="1200" dirty="0"/>
        </a:p>
        <a:p xmlns:a="http://schemas.openxmlformats.org/drawingml/2006/main">
          <a:pPr algn="ctr">
            <a:lnSpc>
              <a:spcPct val="150000"/>
            </a:lnSpc>
          </a:pPr>
          <a:r>
            <a:rPr lang="en-US" sz="1200" dirty="0"/>
            <a:t>1.183</a:t>
          </a:r>
        </a:p>
        <a:p xmlns:a="http://schemas.openxmlformats.org/drawingml/2006/main">
          <a:pPr algn="ctr">
            <a:lnSpc>
              <a:spcPct val="150000"/>
            </a:lnSpc>
          </a:pPr>
          <a:r>
            <a:rPr lang="en-US" sz="1200" dirty="0"/>
            <a:t>1.211</a:t>
          </a:r>
        </a:p>
        <a:p xmlns:a="http://schemas.openxmlformats.org/drawingml/2006/main">
          <a:pPr algn="ctr">
            <a:lnSpc>
              <a:spcPct val="150000"/>
            </a:lnSpc>
          </a:pPr>
          <a:r>
            <a:rPr lang="en-US" sz="1200" dirty="0"/>
            <a:t>0.722</a:t>
          </a:r>
          <a:endParaRPr lang="en-US" sz="1200" kern="1200" dirty="0"/>
        </a:p>
      </cdr:txBody>
    </cdr:sp>
  </cdr:relSizeAnchor>
  <cdr:relSizeAnchor xmlns:cdr="http://schemas.openxmlformats.org/drawingml/2006/chartDrawing">
    <cdr:from>
      <cdr:x>0.7101</cdr:x>
      <cdr:y>0.19501</cdr:y>
    </cdr:from>
    <cdr:to>
      <cdr:x>0.9045</cdr:x>
      <cdr:y>0.54474</cdr:y>
    </cdr:to>
    <cdr:sp macro="" textlink="">
      <cdr:nvSpPr>
        <cdr:cNvPr id="6" name="TextBox 1">
          <a:extLst xmlns:a="http://schemas.openxmlformats.org/drawingml/2006/main">
            <a:ext uri="{FF2B5EF4-FFF2-40B4-BE49-F238E27FC236}">
              <a16:creationId xmlns:a16="http://schemas.microsoft.com/office/drawing/2014/main" id="{4A3E706C-44BA-A8EA-7B8E-46BF1BBDC2A1}"/>
            </a:ext>
          </a:extLst>
        </cdr:cNvPr>
        <cdr:cNvSpPr txBox="1"/>
      </cdr:nvSpPr>
      <cdr:spPr>
        <a:xfrm xmlns:a="http://schemas.openxmlformats.org/drawingml/2006/main">
          <a:off x="4069962" y="639083"/>
          <a:ext cx="1114205" cy="1146147"/>
        </a:xfrm>
        <a:prstGeom xmlns:a="http://schemas.openxmlformats.org/drawingml/2006/main" prst="rect">
          <a:avLst/>
        </a:prstGeom>
        <a:solidFill xmlns:a="http://schemas.openxmlformats.org/drawingml/2006/main">
          <a:srgbClr val="F7F9FC"/>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dirty="0"/>
            <a:t>Deviation from </a:t>
          </a:r>
        </a:p>
        <a:p xmlns:a="http://schemas.openxmlformats.org/drawingml/2006/main">
          <a:pPr algn="ctr"/>
          <a:r>
            <a:rPr lang="en-US" sz="1200" b="1" dirty="0"/>
            <a:t>pre-fault (0.819)</a:t>
          </a:r>
          <a:endParaRPr lang="en-US" sz="1200" b="1" i="0" u="none" strike="noStrike" dirty="0">
            <a:effectLst/>
          </a:endParaRPr>
        </a:p>
        <a:p xmlns:a="http://schemas.openxmlformats.org/drawingml/2006/main">
          <a:pPr algn="ctr">
            <a:lnSpc>
              <a:spcPct val="150000"/>
            </a:lnSpc>
          </a:pPr>
          <a:r>
            <a:rPr lang="en-US" sz="1200" dirty="0"/>
            <a:t>0</a:t>
          </a:r>
          <a:r>
            <a:rPr lang="en-US" sz="1200" i="0" u="none" strike="noStrike" dirty="0">
              <a:effectLst/>
            </a:rPr>
            <a:t>.863</a:t>
          </a:r>
          <a:endParaRPr lang="en-US" sz="1200" dirty="0"/>
        </a:p>
        <a:p xmlns:a="http://schemas.openxmlformats.org/drawingml/2006/main">
          <a:pPr algn="ctr">
            <a:lnSpc>
              <a:spcPct val="150000"/>
            </a:lnSpc>
          </a:pPr>
          <a:r>
            <a:rPr lang="en-US" sz="1200" dirty="0"/>
            <a:t>0.363</a:t>
          </a:r>
        </a:p>
        <a:p xmlns:a="http://schemas.openxmlformats.org/drawingml/2006/main">
          <a:pPr algn="ctr">
            <a:lnSpc>
              <a:spcPct val="150000"/>
            </a:lnSpc>
          </a:pPr>
          <a:r>
            <a:rPr lang="en-US" sz="1200" dirty="0"/>
            <a:t>0.391</a:t>
          </a:r>
        </a:p>
        <a:p xmlns:a="http://schemas.openxmlformats.org/drawingml/2006/main">
          <a:pPr algn="ctr">
            <a:lnSpc>
              <a:spcPct val="150000"/>
            </a:lnSpc>
          </a:pPr>
          <a:r>
            <a:rPr lang="en-US" sz="1200" dirty="0"/>
            <a:t>0.097</a:t>
          </a:r>
          <a:endParaRPr lang="en-US" sz="1200" kern="1200" dirty="0"/>
        </a:p>
      </cdr:txBody>
    </cdr:sp>
  </cdr:relSizeAnchor>
</c:userShapes>
</file>

<file path=word/drawings/drawing2.xml><?xml version="1.0" encoding="utf-8"?>
<c:userShapes xmlns:c="http://schemas.openxmlformats.org/drawingml/2006/chart">
  <cdr:relSizeAnchor xmlns:cdr="http://schemas.openxmlformats.org/drawingml/2006/chartDrawing">
    <cdr:from>
      <cdr:x>0.53505</cdr:x>
      <cdr:y>0.34847</cdr:y>
    </cdr:from>
    <cdr:to>
      <cdr:x>0.68025</cdr:x>
      <cdr:y>0.65153</cdr:y>
    </cdr:to>
    <cdr:sp macro="" textlink="">
      <cdr:nvSpPr>
        <cdr:cNvPr id="2" name="TextBox 1">
          <a:extLst xmlns:a="http://schemas.openxmlformats.org/drawingml/2006/main">
            <a:ext uri="{FF2B5EF4-FFF2-40B4-BE49-F238E27FC236}">
              <a16:creationId xmlns:a16="http://schemas.microsoft.com/office/drawing/2014/main" id="{3B7789EC-92F4-492E-6849-59A58F6A678A}"/>
            </a:ext>
          </a:extLst>
        </cdr:cNvPr>
        <cdr:cNvSpPr txBox="1"/>
      </cdr:nvSpPr>
      <cdr:spPr>
        <a:xfrm xmlns:a="http://schemas.openxmlformats.org/drawingml/2006/main">
          <a:off x="4071672" y="1720181"/>
          <a:ext cx="1104964" cy="149603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i="0" u="none" strike="noStrike" dirty="0">
              <a:effectLst/>
            </a:rPr>
            <a:t>Vmin</a:t>
          </a:r>
        </a:p>
        <a:p xmlns:a="http://schemas.openxmlformats.org/drawingml/2006/main">
          <a:pPr algn="ctr"/>
          <a:r>
            <a:rPr lang="en-US" sz="1200" b="1" dirty="0"/>
            <a:t>1</a:t>
          </a:r>
          <a:r>
            <a:rPr lang="en-US" sz="1200" b="1" baseline="30000" dirty="0"/>
            <a:t>st</a:t>
          </a:r>
          <a:r>
            <a:rPr lang="en-US" sz="1200" b="1" dirty="0"/>
            <a:t>_swing</a:t>
          </a:r>
          <a:r>
            <a:rPr lang="en-US" sz="1200" b="1" i="0" u="none" strike="noStrike" dirty="0">
              <a:effectLst/>
            </a:rPr>
            <a:t> </a:t>
          </a:r>
        </a:p>
        <a:p xmlns:a="http://schemas.openxmlformats.org/drawingml/2006/main">
          <a:pPr algn="ctr">
            <a:lnSpc>
              <a:spcPct val="150000"/>
            </a:lnSpc>
          </a:pPr>
          <a:r>
            <a:rPr lang="en-US" sz="1200" dirty="0"/>
            <a:t>0.923</a:t>
          </a:r>
        </a:p>
        <a:p xmlns:a="http://schemas.openxmlformats.org/drawingml/2006/main">
          <a:pPr algn="ctr">
            <a:lnSpc>
              <a:spcPct val="150000"/>
            </a:lnSpc>
          </a:pPr>
          <a:r>
            <a:rPr lang="en-US" sz="1200" dirty="0"/>
            <a:t>0.977</a:t>
          </a:r>
        </a:p>
        <a:p xmlns:a="http://schemas.openxmlformats.org/drawingml/2006/main">
          <a:pPr algn="ctr">
            <a:lnSpc>
              <a:spcPct val="150000"/>
            </a:lnSpc>
          </a:pPr>
          <a:r>
            <a:rPr lang="en-US" sz="1200" dirty="0"/>
            <a:t>0.975</a:t>
          </a:r>
        </a:p>
        <a:p xmlns:a="http://schemas.openxmlformats.org/drawingml/2006/main">
          <a:pPr algn="ctr">
            <a:lnSpc>
              <a:spcPct val="150000"/>
            </a:lnSpc>
          </a:pPr>
          <a:r>
            <a:rPr lang="en-US" sz="1200" dirty="0"/>
            <a:t>0.9973</a:t>
          </a:r>
        </a:p>
        <a:p xmlns:a="http://schemas.openxmlformats.org/drawingml/2006/main">
          <a:pPr algn="l">
            <a:lnSpc>
              <a:spcPct val="150000"/>
            </a:lnSpc>
          </a:pPr>
          <a:endParaRPr lang="en-US" sz="1600" dirty="0"/>
        </a:p>
      </cdr:txBody>
    </cdr:sp>
  </cdr:relSizeAnchor>
  <cdr:relSizeAnchor xmlns:cdr="http://schemas.openxmlformats.org/drawingml/2006/chartDrawing">
    <cdr:from>
      <cdr:x>0.66438</cdr:x>
      <cdr:y>0.33415</cdr:y>
    </cdr:from>
    <cdr:to>
      <cdr:x>0.92138</cdr:x>
      <cdr:y>0.63656</cdr:y>
    </cdr:to>
    <cdr:sp macro="" textlink="">
      <cdr:nvSpPr>
        <cdr:cNvPr id="3" name="TextBox 1">
          <a:extLst xmlns:a="http://schemas.openxmlformats.org/drawingml/2006/main">
            <a:ext uri="{FF2B5EF4-FFF2-40B4-BE49-F238E27FC236}">
              <a16:creationId xmlns:a16="http://schemas.microsoft.com/office/drawing/2014/main" id="{6354837A-66B5-003E-CE09-B3CCB3347E5D}"/>
            </a:ext>
          </a:extLst>
        </cdr:cNvPr>
        <cdr:cNvSpPr txBox="1"/>
      </cdr:nvSpPr>
      <cdr:spPr>
        <a:xfrm xmlns:a="http://schemas.openxmlformats.org/drawingml/2006/main">
          <a:off x="5055921" y="1649475"/>
          <a:ext cx="1955736" cy="14928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dirty="0"/>
            <a:t>Deviation f</a:t>
          </a:r>
          <a:r>
            <a:rPr lang="en-US" sz="1200" b="1" i="0" u="none" strike="noStrike" dirty="0">
              <a:effectLst/>
            </a:rPr>
            <a:t>rom </a:t>
          </a:r>
        </a:p>
        <a:p xmlns:a="http://schemas.openxmlformats.org/drawingml/2006/main">
          <a:pPr algn="ctr"/>
          <a:r>
            <a:rPr lang="en-US" sz="1200" b="1" i="0" u="none" strike="noStrike" dirty="0">
              <a:effectLst/>
            </a:rPr>
            <a:t>pre-fault (0.996) </a:t>
          </a:r>
        </a:p>
        <a:p xmlns:a="http://schemas.openxmlformats.org/drawingml/2006/main">
          <a:pPr algn="ctr">
            <a:lnSpc>
              <a:spcPct val="150000"/>
            </a:lnSpc>
          </a:pPr>
          <a:r>
            <a:rPr lang="en-US" sz="1200" dirty="0"/>
            <a:t>0.0729</a:t>
          </a:r>
        </a:p>
        <a:p xmlns:a="http://schemas.openxmlformats.org/drawingml/2006/main">
          <a:pPr algn="ctr">
            <a:lnSpc>
              <a:spcPct val="150000"/>
            </a:lnSpc>
          </a:pPr>
          <a:r>
            <a:rPr lang="en-US" sz="1200" dirty="0"/>
            <a:t>0.0188</a:t>
          </a:r>
        </a:p>
        <a:p xmlns:a="http://schemas.openxmlformats.org/drawingml/2006/main">
          <a:pPr algn="ctr">
            <a:lnSpc>
              <a:spcPct val="150000"/>
            </a:lnSpc>
          </a:pPr>
          <a:r>
            <a:rPr lang="en-US" sz="1200" dirty="0"/>
            <a:t>0.021</a:t>
          </a:r>
        </a:p>
        <a:p xmlns:a="http://schemas.openxmlformats.org/drawingml/2006/main">
          <a:pPr algn="ctr">
            <a:lnSpc>
              <a:spcPct val="150000"/>
            </a:lnSpc>
          </a:pPr>
          <a:r>
            <a:rPr lang="en-US" sz="1200" dirty="0"/>
            <a:t>0.001</a:t>
          </a:r>
        </a:p>
        <a:p xmlns:a="http://schemas.openxmlformats.org/drawingml/2006/main">
          <a:pPr algn="l">
            <a:lnSpc>
              <a:spcPct val="150000"/>
            </a:lnSpc>
          </a:pPr>
          <a:endParaRPr lang="en-US" sz="1600" dirty="0"/>
        </a:p>
      </cdr:txBody>
    </cdr:sp>
  </cdr:relSizeAnchor>
</c:userShape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2.xml><?xml version="1.0" encoding="utf-8"?>
<ds:datastoreItem xmlns:ds="http://schemas.openxmlformats.org/officeDocument/2006/customXml" ds:itemID="{411ED7BD-89FA-4262-9815-CA63AC7106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D2AE5-183F-4476-A379-CB7F7FA13B68}"/>
</file>

<file path=customXml/itemProps4.xml><?xml version="1.0" encoding="utf-8"?>
<ds:datastoreItem xmlns:ds="http://schemas.openxmlformats.org/officeDocument/2006/customXml" ds:itemID="{2D98129A-1B92-4EF2-A6C7-3DB40E9E9942}">
  <ds:schemaRefs>
    <ds:schemaRef ds:uri="http://schemas.microsoft.com/sharepoint/v3/contenttype/forms"/>
  </ds:schemaRefs>
</ds:datastoreItem>
</file>

<file path=docMetadata/LabelInfo.xml><?xml version="1.0" encoding="utf-8"?>
<clbl:labelList xmlns:clbl="http://schemas.microsoft.com/office/2020/mipLabelMetadata">
  <clbl:label id="{ce26db92-c3e6-4284-bd18-c911c3621d09}" enabled="1" method="Privileged" siteId="{cdf54d0f-cccc-4bf5-a773-9107927d3c5b}" removed="0"/>
</clbl:labelList>
</file>

<file path=docProps/app.xml><?xml version="1.0" encoding="utf-8"?>
<Properties xmlns="http://schemas.openxmlformats.org/officeDocument/2006/extended-properties" xmlns:vt="http://schemas.openxmlformats.org/officeDocument/2006/docPropsVTypes">
  <Template>Technical Report - formal</Template>
  <TotalTime>17</TotalTime>
  <Pages>170</Pages>
  <Words>57495</Words>
  <Characters>327722</Characters>
  <Application>Microsoft Office Word</Application>
  <DocSecurity>0</DocSecurity>
  <Lines>2731</Lines>
  <Paragraphs>768</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384449</CharactersWithSpaces>
  <SharedDoc>false</SharedDoc>
  <HLinks>
    <vt:vector size="1080" baseType="variant">
      <vt:variant>
        <vt:i4>10</vt:i4>
      </vt:variant>
      <vt:variant>
        <vt:i4>2802</vt:i4>
      </vt:variant>
      <vt:variant>
        <vt:i4>0</vt:i4>
      </vt:variant>
      <vt:variant>
        <vt:i4>5</vt:i4>
      </vt:variant>
      <vt:variant>
        <vt:lpwstr>http://www.csiro.au/</vt:lpwstr>
      </vt:variant>
      <vt:variant>
        <vt:lpwstr/>
      </vt:variant>
      <vt:variant>
        <vt:i4>7864422</vt:i4>
      </vt:variant>
      <vt:variant>
        <vt:i4>2799</vt:i4>
      </vt:variant>
      <vt:variant>
        <vt:i4>0</vt:i4>
      </vt:variant>
      <vt:variant>
        <vt:i4>5</vt:i4>
      </vt:variant>
      <vt:variant>
        <vt:lpwstr>http://www.csiro.au/contact</vt:lpwstr>
      </vt:variant>
      <vt:variant>
        <vt:lpwstr/>
      </vt:variant>
      <vt:variant>
        <vt:i4>4456527</vt:i4>
      </vt:variant>
      <vt:variant>
        <vt:i4>2796</vt:i4>
      </vt:variant>
      <vt:variant>
        <vt:i4>0</vt:i4>
      </vt:variant>
      <vt:variant>
        <vt:i4>5</vt:i4>
      </vt:variant>
      <vt:variant>
        <vt:lpwstr>https://doi.org/10.1016/j.ijepes.2023.109758</vt:lpwstr>
      </vt:variant>
      <vt:variant>
        <vt:lpwstr/>
      </vt:variant>
      <vt:variant>
        <vt:i4>1966159</vt:i4>
      </vt:variant>
      <vt:variant>
        <vt:i4>2793</vt:i4>
      </vt:variant>
      <vt:variant>
        <vt:i4>0</vt:i4>
      </vt:variant>
      <vt:variant>
        <vt:i4>5</vt:i4>
      </vt:variant>
      <vt:variant>
        <vt:lpwstr>https://doi.org/10.1002/etep.1981</vt:lpwstr>
      </vt:variant>
      <vt:variant>
        <vt:lpwstr/>
      </vt:variant>
      <vt:variant>
        <vt:i4>1441855</vt:i4>
      </vt:variant>
      <vt:variant>
        <vt:i4>1061</vt:i4>
      </vt:variant>
      <vt:variant>
        <vt:i4>0</vt:i4>
      </vt:variant>
      <vt:variant>
        <vt:i4>5</vt:i4>
      </vt:variant>
      <vt:variant>
        <vt:lpwstr/>
      </vt:variant>
      <vt:variant>
        <vt:lpwstr>_Toc230959821</vt:lpwstr>
      </vt:variant>
      <vt:variant>
        <vt:i4>1441855</vt:i4>
      </vt:variant>
      <vt:variant>
        <vt:i4>1055</vt:i4>
      </vt:variant>
      <vt:variant>
        <vt:i4>0</vt:i4>
      </vt:variant>
      <vt:variant>
        <vt:i4>5</vt:i4>
      </vt:variant>
      <vt:variant>
        <vt:lpwstr/>
      </vt:variant>
      <vt:variant>
        <vt:lpwstr>_Toc230959820</vt:lpwstr>
      </vt:variant>
      <vt:variant>
        <vt:i4>1376319</vt:i4>
      </vt:variant>
      <vt:variant>
        <vt:i4>1049</vt:i4>
      </vt:variant>
      <vt:variant>
        <vt:i4>0</vt:i4>
      </vt:variant>
      <vt:variant>
        <vt:i4>5</vt:i4>
      </vt:variant>
      <vt:variant>
        <vt:lpwstr/>
      </vt:variant>
      <vt:variant>
        <vt:lpwstr>_Toc230959819</vt:lpwstr>
      </vt:variant>
      <vt:variant>
        <vt:i4>1376319</vt:i4>
      </vt:variant>
      <vt:variant>
        <vt:i4>1043</vt:i4>
      </vt:variant>
      <vt:variant>
        <vt:i4>0</vt:i4>
      </vt:variant>
      <vt:variant>
        <vt:i4>5</vt:i4>
      </vt:variant>
      <vt:variant>
        <vt:lpwstr/>
      </vt:variant>
      <vt:variant>
        <vt:lpwstr>_Toc230959818</vt:lpwstr>
      </vt:variant>
      <vt:variant>
        <vt:i4>1376319</vt:i4>
      </vt:variant>
      <vt:variant>
        <vt:i4>1037</vt:i4>
      </vt:variant>
      <vt:variant>
        <vt:i4>0</vt:i4>
      </vt:variant>
      <vt:variant>
        <vt:i4>5</vt:i4>
      </vt:variant>
      <vt:variant>
        <vt:lpwstr/>
      </vt:variant>
      <vt:variant>
        <vt:lpwstr>_Toc230959817</vt:lpwstr>
      </vt:variant>
      <vt:variant>
        <vt:i4>1376319</vt:i4>
      </vt:variant>
      <vt:variant>
        <vt:i4>1031</vt:i4>
      </vt:variant>
      <vt:variant>
        <vt:i4>0</vt:i4>
      </vt:variant>
      <vt:variant>
        <vt:i4>5</vt:i4>
      </vt:variant>
      <vt:variant>
        <vt:lpwstr/>
      </vt:variant>
      <vt:variant>
        <vt:lpwstr>_Toc230959816</vt:lpwstr>
      </vt:variant>
      <vt:variant>
        <vt:i4>1376319</vt:i4>
      </vt:variant>
      <vt:variant>
        <vt:i4>1025</vt:i4>
      </vt:variant>
      <vt:variant>
        <vt:i4>0</vt:i4>
      </vt:variant>
      <vt:variant>
        <vt:i4>5</vt:i4>
      </vt:variant>
      <vt:variant>
        <vt:lpwstr/>
      </vt:variant>
      <vt:variant>
        <vt:lpwstr>_Toc230959815</vt:lpwstr>
      </vt:variant>
      <vt:variant>
        <vt:i4>1376319</vt:i4>
      </vt:variant>
      <vt:variant>
        <vt:i4>1019</vt:i4>
      </vt:variant>
      <vt:variant>
        <vt:i4>0</vt:i4>
      </vt:variant>
      <vt:variant>
        <vt:i4>5</vt:i4>
      </vt:variant>
      <vt:variant>
        <vt:lpwstr/>
      </vt:variant>
      <vt:variant>
        <vt:lpwstr>_Toc230959814</vt:lpwstr>
      </vt:variant>
      <vt:variant>
        <vt:i4>1376319</vt:i4>
      </vt:variant>
      <vt:variant>
        <vt:i4>1013</vt:i4>
      </vt:variant>
      <vt:variant>
        <vt:i4>0</vt:i4>
      </vt:variant>
      <vt:variant>
        <vt:i4>5</vt:i4>
      </vt:variant>
      <vt:variant>
        <vt:lpwstr/>
      </vt:variant>
      <vt:variant>
        <vt:lpwstr>_Toc230959813</vt:lpwstr>
      </vt:variant>
      <vt:variant>
        <vt:i4>1376319</vt:i4>
      </vt:variant>
      <vt:variant>
        <vt:i4>1007</vt:i4>
      </vt:variant>
      <vt:variant>
        <vt:i4>0</vt:i4>
      </vt:variant>
      <vt:variant>
        <vt:i4>5</vt:i4>
      </vt:variant>
      <vt:variant>
        <vt:lpwstr/>
      </vt:variant>
      <vt:variant>
        <vt:lpwstr>_Toc230959812</vt:lpwstr>
      </vt:variant>
      <vt:variant>
        <vt:i4>1376319</vt:i4>
      </vt:variant>
      <vt:variant>
        <vt:i4>1001</vt:i4>
      </vt:variant>
      <vt:variant>
        <vt:i4>0</vt:i4>
      </vt:variant>
      <vt:variant>
        <vt:i4>5</vt:i4>
      </vt:variant>
      <vt:variant>
        <vt:lpwstr/>
      </vt:variant>
      <vt:variant>
        <vt:lpwstr>_Toc230959811</vt:lpwstr>
      </vt:variant>
      <vt:variant>
        <vt:i4>1310783</vt:i4>
      </vt:variant>
      <vt:variant>
        <vt:i4>992</vt:i4>
      </vt:variant>
      <vt:variant>
        <vt:i4>0</vt:i4>
      </vt:variant>
      <vt:variant>
        <vt:i4>5</vt:i4>
      </vt:variant>
      <vt:variant>
        <vt:lpwstr/>
      </vt:variant>
      <vt:variant>
        <vt:lpwstr>_Toc230342911</vt:lpwstr>
      </vt:variant>
      <vt:variant>
        <vt:i4>1310783</vt:i4>
      </vt:variant>
      <vt:variant>
        <vt:i4>986</vt:i4>
      </vt:variant>
      <vt:variant>
        <vt:i4>0</vt:i4>
      </vt:variant>
      <vt:variant>
        <vt:i4>5</vt:i4>
      </vt:variant>
      <vt:variant>
        <vt:lpwstr/>
      </vt:variant>
      <vt:variant>
        <vt:lpwstr>_Toc230342910</vt:lpwstr>
      </vt:variant>
      <vt:variant>
        <vt:i4>1376319</vt:i4>
      </vt:variant>
      <vt:variant>
        <vt:i4>980</vt:i4>
      </vt:variant>
      <vt:variant>
        <vt:i4>0</vt:i4>
      </vt:variant>
      <vt:variant>
        <vt:i4>5</vt:i4>
      </vt:variant>
      <vt:variant>
        <vt:lpwstr/>
      </vt:variant>
      <vt:variant>
        <vt:lpwstr>_Toc230342909</vt:lpwstr>
      </vt:variant>
      <vt:variant>
        <vt:i4>1376319</vt:i4>
      </vt:variant>
      <vt:variant>
        <vt:i4>974</vt:i4>
      </vt:variant>
      <vt:variant>
        <vt:i4>0</vt:i4>
      </vt:variant>
      <vt:variant>
        <vt:i4>5</vt:i4>
      </vt:variant>
      <vt:variant>
        <vt:lpwstr/>
      </vt:variant>
      <vt:variant>
        <vt:lpwstr>_Toc230342908</vt:lpwstr>
      </vt:variant>
      <vt:variant>
        <vt:i4>1376319</vt:i4>
      </vt:variant>
      <vt:variant>
        <vt:i4>968</vt:i4>
      </vt:variant>
      <vt:variant>
        <vt:i4>0</vt:i4>
      </vt:variant>
      <vt:variant>
        <vt:i4>5</vt:i4>
      </vt:variant>
      <vt:variant>
        <vt:lpwstr/>
      </vt:variant>
      <vt:variant>
        <vt:lpwstr>_Toc230342907</vt:lpwstr>
      </vt:variant>
      <vt:variant>
        <vt:i4>1376319</vt:i4>
      </vt:variant>
      <vt:variant>
        <vt:i4>962</vt:i4>
      </vt:variant>
      <vt:variant>
        <vt:i4>0</vt:i4>
      </vt:variant>
      <vt:variant>
        <vt:i4>5</vt:i4>
      </vt:variant>
      <vt:variant>
        <vt:lpwstr/>
      </vt:variant>
      <vt:variant>
        <vt:lpwstr>_Toc230342906</vt:lpwstr>
      </vt:variant>
      <vt:variant>
        <vt:i4>1376319</vt:i4>
      </vt:variant>
      <vt:variant>
        <vt:i4>956</vt:i4>
      </vt:variant>
      <vt:variant>
        <vt:i4>0</vt:i4>
      </vt:variant>
      <vt:variant>
        <vt:i4>5</vt:i4>
      </vt:variant>
      <vt:variant>
        <vt:lpwstr/>
      </vt:variant>
      <vt:variant>
        <vt:lpwstr>_Toc230342905</vt:lpwstr>
      </vt:variant>
      <vt:variant>
        <vt:i4>1376319</vt:i4>
      </vt:variant>
      <vt:variant>
        <vt:i4>950</vt:i4>
      </vt:variant>
      <vt:variant>
        <vt:i4>0</vt:i4>
      </vt:variant>
      <vt:variant>
        <vt:i4>5</vt:i4>
      </vt:variant>
      <vt:variant>
        <vt:lpwstr/>
      </vt:variant>
      <vt:variant>
        <vt:lpwstr>_Toc230342904</vt:lpwstr>
      </vt:variant>
      <vt:variant>
        <vt:i4>1376319</vt:i4>
      </vt:variant>
      <vt:variant>
        <vt:i4>944</vt:i4>
      </vt:variant>
      <vt:variant>
        <vt:i4>0</vt:i4>
      </vt:variant>
      <vt:variant>
        <vt:i4>5</vt:i4>
      </vt:variant>
      <vt:variant>
        <vt:lpwstr/>
      </vt:variant>
      <vt:variant>
        <vt:lpwstr>_Toc230342903</vt:lpwstr>
      </vt:variant>
      <vt:variant>
        <vt:i4>1376319</vt:i4>
      </vt:variant>
      <vt:variant>
        <vt:i4>938</vt:i4>
      </vt:variant>
      <vt:variant>
        <vt:i4>0</vt:i4>
      </vt:variant>
      <vt:variant>
        <vt:i4>5</vt:i4>
      </vt:variant>
      <vt:variant>
        <vt:lpwstr/>
      </vt:variant>
      <vt:variant>
        <vt:lpwstr>_Toc230342902</vt:lpwstr>
      </vt:variant>
      <vt:variant>
        <vt:i4>1376319</vt:i4>
      </vt:variant>
      <vt:variant>
        <vt:i4>932</vt:i4>
      </vt:variant>
      <vt:variant>
        <vt:i4>0</vt:i4>
      </vt:variant>
      <vt:variant>
        <vt:i4>5</vt:i4>
      </vt:variant>
      <vt:variant>
        <vt:lpwstr/>
      </vt:variant>
      <vt:variant>
        <vt:lpwstr>_Toc230342901</vt:lpwstr>
      </vt:variant>
      <vt:variant>
        <vt:i4>1835070</vt:i4>
      </vt:variant>
      <vt:variant>
        <vt:i4>926</vt:i4>
      </vt:variant>
      <vt:variant>
        <vt:i4>0</vt:i4>
      </vt:variant>
      <vt:variant>
        <vt:i4>5</vt:i4>
      </vt:variant>
      <vt:variant>
        <vt:lpwstr/>
      </vt:variant>
      <vt:variant>
        <vt:lpwstr>_Toc230342899</vt:lpwstr>
      </vt:variant>
      <vt:variant>
        <vt:i4>1835070</vt:i4>
      </vt:variant>
      <vt:variant>
        <vt:i4>920</vt:i4>
      </vt:variant>
      <vt:variant>
        <vt:i4>0</vt:i4>
      </vt:variant>
      <vt:variant>
        <vt:i4>5</vt:i4>
      </vt:variant>
      <vt:variant>
        <vt:lpwstr/>
      </vt:variant>
      <vt:variant>
        <vt:lpwstr>_Toc230342897</vt:lpwstr>
      </vt:variant>
      <vt:variant>
        <vt:i4>1835070</vt:i4>
      </vt:variant>
      <vt:variant>
        <vt:i4>914</vt:i4>
      </vt:variant>
      <vt:variant>
        <vt:i4>0</vt:i4>
      </vt:variant>
      <vt:variant>
        <vt:i4>5</vt:i4>
      </vt:variant>
      <vt:variant>
        <vt:lpwstr/>
      </vt:variant>
      <vt:variant>
        <vt:lpwstr>_Toc230342896</vt:lpwstr>
      </vt:variant>
      <vt:variant>
        <vt:i4>1835070</vt:i4>
      </vt:variant>
      <vt:variant>
        <vt:i4>908</vt:i4>
      </vt:variant>
      <vt:variant>
        <vt:i4>0</vt:i4>
      </vt:variant>
      <vt:variant>
        <vt:i4>5</vt:i4>
      </vt:variant>
      <vt:variant>
        <vt:lpwstr/>
      </vt:variant>
      <vt:variant>
        <vt:lpwstr>_Toc230342894</vt:lpwstr>
      </vt:variant>
      <vt:variant>
        <vt:i4>1835070</vt:i4>
      </vt:variant>
      <vt:variant>
        <vt:i4>902</vt:i4>
      </vt:variant>
      <vt:variant>
        <vt:i4>0</vt:i4>
      </vt:variant>
      <vt:variant>
        <vt:i4>5</vt:i4>
      </vt:variant>
      <vt:variant>
        <vt:lpwstr/>
      </vt:variant>
      <vt:variant>
        <vt:lpwstr>_Toc230342892</vt:lpwstr>
      </vt:variant>
      <vt:variant>
        <vt:i4>1835070</vt:i4>
      </vt:variant>
      <vt:variant>
        <vt:i4>896</vt:i4>
      </vt:variant>
      <vt:variant>
        <vt:i4>0</vt:i4>
      </vt:variant>
      <vt:variant>
        <vt:i4>5</vt:i4>
      </vt:variant>
      <vt:variant>
        <vt:lpwstr/>
      </vt:variant>
      <vt:variant>
        <vt:lpwstr>_Toc230342890</vt:lpwstr>
      </vt:variant>
      <vt:variant>
        <vt:i4>1900606</vt:i4>
      </vt:variant>
      <vt:variant>
        <vt:i4>890</vt:i4>
      </vt:variant>
      <vt:variant>
        <vt:i4>0</vt:i4>
      </vt:variant>
      <vt:variant>
        <vt:i4>5</vt:i4>
      </vt:variant>
      <vt:variant>
        <vt:lpwstr/>
      </vt:variant>
      <vt:variant>
        <vt:lpwstr>_Toc230342888</vt:lpwstr>
      </vt:variant>
      <vt:variant>
        <vt:i4>1900606</vt:i4>
      </vt:variant>
      <vt:variant>
        <vt:i4>884</vt:i4>
      </vt:variant>
      <vt:variant>
        <vt:i4>0</vt:i4>
      </vt:variant>
      <vt:variant>
        <vt:i4>5</vt:i4>
      </vt:variant>
      <vt:variant>
        <vt:lpwstr/>
      </vt:variant>
      <vt:variant>
        <vt:lpwstr>_Toc230342886</vt:lpwstr>
      </vt:variant>
      <vt:variant>
        <vt:i4>1900606</vt:i4>
      </vt:variant>
      <vt:variant>
        <vt:i4>878</vt:i4>
      </vt:variant>
      <vt:variant>
        <vt:i4>0</vt:i4>
      </vt:variant>
      <vt:variant>
        <vt:i4>5</vt:i4>
      </vt:variant>
      <vt:variant>
        <vt:lpwstr/>
      </vt:variant>
      <vt:variant>
        <vt:lpwstr>_Toc230342885</vt:lpwstr>
      </vt:variant>
      <vt:variant>
        <vt:i4>1900606</vt:i4>
      </vt:variant>
      <vt:variant>
        <vt:i4>872</vt:i4>
      </vt:variant>
      <vt:variant>
        <vt:i4>0</vt:i4>
      </vt:variant>
      <vt:variant>
        <vt:i4>5</vt:i4>
      </vt:variant>
      <vt:variant>
        <vt:lpwstr/>
      </vt:variant>
      <vt:variant>
        <vt:lpwstr>_Toc230342884</vt:lpwstr>
      </vt:variant>
      <vt:variant>
        <vt:i4>1900606</vt:i4>
      </vt:variant>
      <vt:variant>
        <vt:i4>866</vt:i4>
      </vt:variant>
      <vt:variant>
        <vt:i4>0</vt:i4>
      </vt:variant>
      <vt:variant>
        <vt:i4>5</vt:i4>
      </vt:variant>
      <vt:variant>
        <vt:lpwstr/>
      </vt:variant>
      <vt:variant>
        <vt:lpwstr>_Toc230342883</vt:lpwstr>
      </vt:variant>
      <vt:variant>
        <vt:i4>1900606</vt:i4>
      </vt:variant>
      <vt:variant>
        <vt:i4>860</vt:i4>
      </vt:variant>
      <vt:variant>
        <vt:i4>0</vt:i4>
      </vt:variant>
      <vt:variant>
        <vt:i4>5</vt:i4>
      </vt:variant>
      <vt:variant>
        <vt:lpwstr/>
      </vt:variant>
      <vt:variant>
        <vt:lpwstr>_Toc230342882</vt:lpwstr>
      </vt:variant>
      <vt:variant>
        <vt:i4>1900606</vt:i4>
      </vt:variant>
      <vt:variant>
        <vt:i4>854</vt:i4>
      </vt:variant>
      <vt:variant>
        <vt:i4>0</vt:i4>
      </vt:variant>
      <vt:variant>
        <vt:i4>5</vt:i4>
      </vt:variant>
      <vt:variant>
        <vt:lpwstr/>
      </vt:variant>
      <vt:variant>
        <vt:lpwstr>_Toc230342881</vt:lpwstr>
      </vt:variant>
      <vt:variant>
        <vt:i4>1900606</vt:i4>
      </vt:variant>
      <vt:variant>
        <vt:i4>848</vt:i4>
      </vt:variant>
      <vt:variant>
        <vt:i4>0</vt:i4>
      </vt:variant>
      <vt:variant>
        <vt:i4>5</vt:i4>
      </vt:variant>
      <vt:variant>
        <vt:lpwstr/>
      </vt:variant>
      <vt:variant>
        <vt:lpwstr>_Toc230342880</vt:lpwstr>
      </vt:variant>
      <vt:variant>
        <vt:i4>1179710</vt:i4>
      </vt:variant>
      <vt:variant>
        <vt:i4>842</vt:i4>
      </vt:variant>
      <vt:variant>
        <vt:i4>0</vt:i4>
      </vt:variant>
      <vt:variant>
        <vt:i4>5</vt:i4>
      </vt:variant>
      <vt:variant>
        <vt:lpwstr/>
      </vt:variant>
      <vt:variant>
        <vt:lpwstr>_Toc230342879</vt:lpwstr>
      </vt:variant>
      <vt:variant>
        <vt:i4>1179710</vt:i4>
      </vt:variant>
      <vt:variant>
        <vt:i4>836</vt:i4>
      </vt:variant>
      <vt:variant>
        <vt:i4>0</vt:i4>
      </vt:variant>
      <vt:variant>
        <vt:i4>5</vt:i4>
      </vt:variant>
      <vt:variant>
        <vt:lpwstr/>
      </vt:variant>
      <vt:variant>
        <vt:lpwstr>_Toc230342878</vt:lpwstr>
      </vt:variant>
      <vt:variant>
        <vt:i4>1179710</vt:i4>
      </vt:variant>
      <vt:variant>
        <vt:i4>830</vt:i4>
      </vt:variant>
      <vt:variant>
        <vt:i4>0</vt:i4>
      </vt:variant>
      <vt:variant>
        <vt:i4>5</vt:i4>
      </vt:variant>
      <vt:variant>
        <vt:lpwstr/>
      </vt:variant>
      <vt:variant>
        <vt:lpwstr>_Toc230342877</vt:lpwstr>
      </vt:variant>
      <vt:variant>
        <vt:i4>1179710</vt:i4>
      </vt:variant>
      <vt:variant>
        <vt:i4>824</vt:i4>
      </vt:variant>
      <vt:variant>
        <vt:i4>0</vt:i4>
      </vt:variant>
      <vt:variant>
        <vt:i4>5</vt:i4>
      </vt:variant>
      <vt:variant>
        <vt:lpwstr/>
      </vt:variant>
      <vt:variant>
        <vt:lpwstr>_Toc230342876</vt:lpwstr>
      </vt:variant>
      <vt:variant>
        <vt:i4>1179710</vt:i4>
      </vt:variant>
      <vt:variant>
        <vt:i4>818</vt:i4>
      </vt:variant>
      <vt:variant>
        <vt:i4>0</vt:i4>
      </vt:variant>
      <vt:variant>
        <vt:i4>5</vt:i4>
      </vt:variant>
      <vt:variant>
        <vt:lpwstr/>
      </vt:variant>
      <vt:variant>
        <vt:lpwstr>_Toc230342875</vt:lpwstr>
      </vt:variant>
      <vt:variant>
        <vt:i4>1179710</vt:i4>
      </vt:variant>
      <vt:variant>
        <vt:i4>812</vt:i4>
      </vt:variant>
      <vt:variant>
        <vt:i4>0</vt:i4>
      </vt:variant>
      <vt:variant>
        <vt:i4>5</vt:i4>
      </vt:variant>
      <vt:variant>
        <vt:lpwstr/>
      </vt:variant>
      <vt:variant>
        <vt:lpwstr>_Toc230342874</vt:lpwstr>
      </vt:variant>
      <vt:variant>
        <vt:i4>1179710</vt:i4>
      </vt:variant>
      <vt:variant>
        <vt:i4>806</vt:i4>
      </vt:variant>
      <vt:variant>
        <vt:i4>0</vt:i4>
      </vt:variant>
      <vt:variant>
        <vt:i4>5</vt:i4>
      </vt:variant>
      <vt:variant>
        <vt:lpwstr/>
      </vt:variant>
      <vt:variant>
        <vt:lpwstr>_Toc230342873</vt:lpwstr>
      </vt:variant>
      <vt:variant>
        <vt:i4>1179710</vt:i4>
      </vt:variant>
      <vt:variant>
        <vt:i4>800</vt:i4>
      </vt:variant>
      <vt:variant>
        <vt:i4>0</vt:i4>
      </vt:variant>
      <vt:variant>
        <vt:i4>5</vt:i4>
      </vt:variant>
      <vt:variant>
        <vt:lpwstr/>
      </vt:variant>
      <vt:variant>
        <vt:lpwstr>_Toc230342872</vt:lpwstr>
      </vt:variant>
      <vt:variant>
        <vt:i4>1179710</vt:i4>
      </vt:variant>
      <vt:variant>
        <vt:i4>794</vt:i4>
      </vt:variant>
      <vt:variant>
        <vt:i4>0</vt:i4>
      </vt:variant>
      <vt:variant>
        <vt:i4>5</vt:i4>
      </vt:variant>
      <vt:variant>
        <vt:lpwstr/>
      </vt:variant>
      <vt:variant>
        <vt:lpwstr>_Toc230342871</vt:lpwstr>
      </vt:variant>
      <vt:variant>
        <vt:i4>1376319</vt:i4>
      </vt:variant>
      <vt:variant>
        <vt:i4>782</vt:i4>
      </vt:variant>
      <vt:variant>
        <vt:i4>0</vt:i4>
      </vt:variant>
      <vt:variant>
        <vt:i4>5</vt:i4>
      </vt:variant>
      <vt:variant>
        <vt:lpwstr/>
      </vt:variant>
      <vt:variant>
        <vt:lpwstr>_Toc230858812</vt:lpwstr>
      </vt:variant>
      <vt:variant>
        <vt:i4>1376319</vt:i4>
      </vt:variant>
      <vt:variant>
        <vt:i4>776</vt:i4>
      </vt:variant>
      <vt:variant>
        <vt:i4>0</vt:i4>
      </vt:variant>
      <vt:variant>
        <vt:i4>5</vt:i4>
      </vt:variant>
      <vt:variant>
        <vt:lpwstr/>
      </vt:variant>
      <vt:variant>
        <vt:lpwstr>_Toc230858811</vt:lpwstr>
      </vt:variant>
      <vt:variant>
        <vt:i4>1376319</vt:i4>
      </vt:variant>
      <vt:variant>
        <vt:i4>770</vt:i4>
      </vt:variant>
      <vt:variant>
        <vt:i4>0</vt:i4>
      </vt:variant>
      <vt:variant>
        <vt:i4>5</vt:i4>
      </vt:variant>
      <vt:variant>
        <vt:lpwstr/>
      </vt:variant>
      <vt:variant>
        <vt:lpwstr>_Toc230858810</vt:lpwstr>
      </vt:variant>
      <vt:variant>
        <vt:i4>1310783</vt:i4>
      </vt:variant>
      <vt:variant>
        <vt:i4>764</vt:i4>
      </vt:variant>
      <vt:variant>
        <vt:i4>0</vt:i4>
      </vt:variant>
      <vt:variant>
        <vt:i4>5</vt:i4>
      </vt:variant>
      <vt:variant>
        <vt:lpwstr/>
      </vt:variant>
      <vt:variant>
        <vt:lpwstr>_Toc230858809</vt:lpwstr>
      </vt:variant>
      <vt:variant>
        <vt:i4>1310783</vt:i4>
      </vt:variant>
      <vt:variant>
        <vt:i4>758</vt:i4>
      </vt:variant>
      <vt:variant>
        <vt:i4>0</vt:i4>
      </vt:variant>
      <vt:variant>
        <vt:i4>5</vt:i4>
      </vt:variant>
      <vt:variant>
        <vt:lpwstr/>
      </vt:variant>
      <vt:variant>
        <vt:lpwstr>_Toc230858808</vt:lpwstr>
      </vt:variant>
      <vt:variant>
        <vt:i4>1310783</vt:i4>
      </vt:variant>
      <vt:variant>
        <vt:i4>752</vt:i4>
      </vt:variant>
      <vt:variant>
        <vt:i4>0</vt:i4>
      </vt:variant>
      <vt:variant>
        <vt:i4>5</vt:i4>
      </vt:variant>
      <vt:variant>
        <vt:lpwstr/>
      </vt:variant>
      <vt:variant>
        <vt:lpwstr>_Toc230858807</vt:lpwstr>
      </vt:variant>
      <vt:variant>
        <vt:i4>1310783</vt:i4>
      </vt:variant>
      <vt:variant>
        <vt:i4>746</vt:i4>
      </vt:variant>
      <vt:variant>
        <vt:i4>0</vt:i4>
      </vt:variant>
      <vt:variant>
        <vt:i4>5</vt:i4>
      </vt:variant>
      <vt:variant>
        <vt:lpwstr/>
      </vt:variant>
      <vt:variant>
        <vt:lpwstr>_Toc230858806</vt:lpwstr>
      </vt:variant>
      <vt:variant>
        <vt:i4>1310783</vt:i4>
      </vt:variant>
      <vt:variant>
        <vt:i4>740</vt:i4>
      </vt:variant>
      <vt:variant>
        <vt:i4>0</vt:i4>
      </vt:variant>
      <vt:variant>
        <vt:i4>5</vt:i4>
      </vt:variant>
      <vt:variant>
        <vt:lpwstr/>
      </vt:variant>
      <vt:variant>
        <vt:lpwstr>_Toc230858805</vt:lpwstr>
      </vt:variant>
      <vt:variant>
        <vt:i4>1310783</vt:i4>
      </vt:variant>
      <vt:variant>
        <vt:i4>734</vt:i4>
      </vt:variant>
      <vt:variant>
        <vt:i4>0</vt:i4>
      </vt:variant>
      <vt:variant>
        <vt:i4>5</vt:i4>
      </vt:variant>
      <vt:variant>
        <vt:lpwstr/>
      </vt:variant>
      <vt:variant>
        <vt:lpwstr>_Toc230858804</vt:lpwstr>
      </vt:variant>
      <vt:variant>
        <vt:i4>1310783</vt:i4>
      </vt:variant>
      <vt:variant>
        <vt:i4>728</vt:i4>
      </vt:variant>
      <vt:variant>
        <vt:i4>0</vt:i4>
      </vt:variant>
      <vt:variant>
        <vt:i4>5</vt:i4>
      </vt:variant>
      <vt:variant>
        <vt:lpwstr/>
      </vt:variant>
      <vt:variant>
        <vt:lpwstr>_Toc230858803</vt:lpwstr>
      </vt:variant>
      <vt:variant>
        <vt:i4>1310783</vt:i4>
      </vt:variant>
      <vt:variant>
        <vt:i4>722</vt:i4>
      </vt:variant>
      <vt:variant>
        <vt:i4>0</vt:i4>
      </vt:variant>
      <vt:variant>
        <vt:i4>5</vt:i4>
      </vt:variant>
      <vt:variant>
        <vt:lpwstr/>
      </vt:variant>
      <vt:variant>
        <vt:lpwstr>_Toc230858802</vt:lpwstr>
      </vt:variant>
      <vt:variant>
        <vt:i4>1310783</vt:i4>
      </vt:variant>
      <vt:variant>
        <vt:i4>716</vt:i4>
      </vt:variant>
      <vt:variant>
        <vt:i4>0</vt:i4>
      </vt:variant>
      <vt:variant>
        <vt:i4>5</vt:i4>
      </vt:variant>
      <vt:variant>
        <vt:lpwstr/>
      </vt:variant>
      <vt:variant>
        <vt:lpwstr>_Toc230858800</vt:lpwstr>
      </vt:variant>
      <vt:variant>
        <vt:i4>1900592</vt:i4>
      </vt:variant>
      <vt:variant>
        <vt:i4>710</vt:i4>
      </vt:variant>
      <vt:variant>
        <vt:i4>0</vt:i4>
      </vt:variant>
      <vt:variant>
        <vt:i4>5</vt:i4>
      </vt:variant>
      <vt:variant>
        <vt:lpwstr/>
      </vt:variant>
      <vt:variant>
        <vt:lpwstr>_Toc230858798</vt:lpwstr>
      </vt:variant>
      <vt:variant>
        <vt:i4>1900592</vt:i4>
      </vt:variant>
      <vt:variant>
        <vt:i4>704</vt:i4>
      </vt:variant>
      <vt:variant>
        <vt:i4>0</vt:i4>
      </vt:variant>
      <vt:variant>
        <vt:i4>5</vt:i4>
      </vt:variant>
      <vt:variant>
        <vt:lpwstr/>
      </vt:variant>
      <vt:variant>
        <vt:lpwstr>_Toc230858796</vt:lpwstr>
      </vt:variant>
      <vt:variant>
        <vt:i4>1900592</vt:i4>
      </vt:variant>
      <vt:variant>
        <vt:i4>698</vt:i4>
      </vt:variant>
      <vt:variant>
        <vt:i4>0</vt:i4>
      </vt:variant>
      <vt:variant>
        <vt:i4>5</vt:i4>
      </vt:variant>
      <vt:variant>
        <vt:lpwstr/>
      </vt:variant>
      <vt:variant>
        <vt:lpwstr>_Toc230858794</vt:lpwstr>
      </vt:variant>
      <vt:variant>
        <vt:i4>1900592</vt:i4>
      </vt:variant>
      <vt:variant>
        <vt:i4>692</vt:i4>
      </vt:variant>
      <vt:variant>
        <vt:i4>0</vt:i4>
      </vt:variant>
      <vt:variant>
        <vt:i4>5</vt:i4>
      </vt:variant>
      <vt:variant>
        <vt:lpwstr/>
      </vt:variant>
      <vt:variant>
        <vt:lpwstr>_Toc230858792</vt:lpwstr>
      </vt:variant>
      <vt:variant>
        <vt:i4>1900592</vt:i4>
      </vt:variant>
      <vt:variant>
        <vt:i4>686</vt:i4>
      </vt:variant>
      <vt:variant>
        <vt:i4>0</vt:i4>
      </vt:variant>
      <vt:variant>
        <vt:i4>5</vt:i4>
      </vt:variant>
      <vt:variant>
        <vt:lpwstr/>
      </vt:variant>
      <vt:variant>
        <vt:lpwstr>_Toc230858790</vt:lpwstr>
      </vt:variant>
      <vt:variant>
        <vt:i4>1835056</vt:i4>
      </vt:variant>
      <vt:variant>
        <vt:i4>680</vt:i4>
      </vt:variant>
      <vt:variant>
        <vt:i4>0</vt:i4>
      </vt:variant>
      <vt:variant>
        <vt:i4>5</vt:i4>
      </vt:variant>
      <vt:variant>
        <vt:lpwstr/>
      </vt:variant>
      <vt:variant>
        <vt:lpwstr>_Toc230858788</vt:lpwstr>
      </vt:variant>
      <vt:variant>
        <vt:i4>1835056</vt:i4>
      </vt:variant>
      <vt:variant>
        <vt:i4>674</vt:i4>
      </vt:variant>
      <vt:variant>
        <vt:i4>0</vt:i4>
      </vt:variant>
      <vt:variant>
        <vt:i4>5</vt:i4>
      </vt:variant>
      <vt:variant>
        <vt:lpwstr/>
      </vt:variant>
      <vt:variant>
        <vt:lpwstr>_Toc230858786</vt:lpwstr>
      </vt:variant>
      <vt:variant>
        <vt:i4>1835056</vt:i4>
      </vt:variant>
      <vt:variant>
        <vt:i4>668</vt:i4>
      </vt:variant>
      <vt:variant>
        <vt:i4>0</vt:i4>
      </vt:variant>
      <vt:variant>
        <vt:i4>5</vt:i4>
      </vt:variant>
      <vt:variant>
        <vt:lpwstr/>
      </vt:variant>
      <vt:variant>
        <vt:lpwstr>_Toc230858784</vt:lpwstr>
      </vt:variant>
      <vt:variant>
        <vt:i4>1835056</vt:i4>
      </vt:variant>
      <vt:variant>
        <vt:i4>662</vt:i4>
      </vt:variant>
      <vt:variant>
        <vt:i4>0</vt:i4>
      </vt:variant>
      <vt:variant>
        <vt:i4>5</vt:i4>
      </vt:variant>
      <vt:variant>
        <vt:lpwstr/>
      </vt:variant>
      <vt:variant>
        <vt:lpwstr>_Toc230858782</vt:lpwstr>
      </vt:variant>
      <vt:variant>
        <vt:i4>1835056</vt:i4>
      </vt:variant>
      <vt:variant>
        <vt:i4>656</vt:i4>
      </vt:variant>
      <vt:variant>
        <vt:i4>0</vt:i4>
      </vt:variant>
      <vt:variant>
        <vt:i4>5</vt:i4>
      </vt:variant>
      <vt:variant>
        <vt:lpwstr/>
      </vt:variant>
      <vt:variant>
        <vt:lpwstr>_Toc230858780</vt:lpwstr>
      </vt:variant>
      <vt:variant>
        <vt:i4>1245232</vt:i4>
      </vt:variant>
      <vt:variant>
        <vt:i4>650</vt:i4>
      </vt:variant>
      <vt:variant>
        <vt:i4>0</vt:i4>
      </vt:variant>
      <vt:variant>
        <vt:i4>5</vt:i4>
      </vt:variant>
      <vt:variant>
        <vt:lpwstr/>
      </vt:variant>
      <vt:variant>
        <vt:lpwstr>_Toc230858779</vt:lpwstr>
      </vt:variant>
      <vt:variant>
        <vt:i4>1245232</vt:i4>
      </vt:variant>
      <vt:variant>
        <vt:i4>644</vt:i4>
      </vt:variant>
      <vt:variant>
        <vt:i4>0</vt:i4>
      </vt:variant>
      <vt:variant>
        <vt:i4>5</vt:i4>
      </vt:variant>
      <vt:variant>
        <vt:lpwstr/>
      </vt:variant>
      <vt:variant>
        <vt:lpwstr>_Toc230858778</vt:lpwstr>
      </vt:variant>
      <vt:variant>
        <vt:i4>1245232</vt:i4>
      </vt:variant>
      <vt:variant>
        <vt:i4>638</vt:i4>
      </vt:variant>
      <vt:variant>
        <vt:i4>0</vt:i4>
      </vt:variant>
      <vt:variant>
        <vt:i4>5</vt:i4>
      </vt:variant>
      <vt:variant>
        <vt:lpwstr/>
      </vt:variant>
      <vt:variant>
        <vt:lpwstr>_Toc230858777</vt:lpwstr>
      </vt:variant>
      <vt:variant>
        <vt:i4>1245232</vt:i4>
      </vt:variant>
      <vt:variant>
        <vt:i4>632</vt:i4>
      </vt:variant>
      <vt:variant>
        <vt:i4>0</vt:i4>
      </vt:variant>
      <vt:variant>
        <vt:i4>5</vt:i4>
      </vt:variant>
      <vt:variant>
        <vt:lpwstr/>
      </vt:variant>
      <vt:variant>
        <vt:lpwstr>_Toc230858776</vt:lpwstr>
      </vt:variant>
      <vt:variant>
        <vt:i4>1245232</vt:i4>
      </vt:variant>
      <vt:variant>
        <vt:i4>626</vt:i4>
      </vt:variant>
      <vt:variant>
        <vt:i4>0</vt:i4>
      </vt:variant>
      <vt:variant>
        <vt:i4>5</vt:i4>
      </vt:variant>
      <vt:variant>
        <vt:lpwstr/>
      </vt:variant>
      <vt:variant>
        <vt:lpwstr>_Toc230858775</vt:lpwstr>
      </vt:variant>
      <vt:variant>
        <vt:i4>1245232</vt:i4>
      </vt:variant>
      <vt:variant>
        <vt:i4>620</vt:i4>
      </vt:variant>
      <vt:variant>
        <vt:i4>0</vt:i4>
      </vt:variant>
      <vt:variant>
        <vt:i4>5</vt:i4>
      </vt:variant>
      <vt:variant>
        <vt:lpwstr/>
      </vt:variant>
      <vt:variant>
        <vt:lpwstr>_Toc230858774</vt:lpwstr>
      </vt:variant>
      <vt:variant>
        <vt:i4>1245232</vt:i4>
      </vt:variant>
      <vt:variant>
        <vt:i4>614</vt:i4>
      </vt:variant>
      <vt:variant>
        <vt:i4>0</vt:i4>
      </vt:variant>
      <vt:variant>
        <vt:i4>5</vt:i4>
      </vt:variant>
      <vt:variant>
        <vt:lpwstr/>
      </vt:variant>
      <vt:variant>
        <vt:lpwstr>_Toc230858773</vt:lpwstr>
      </vt:variant>
      <vt:variant>
        <vt:i4>1245232</vt:i4>
      </vt:variant>
      <vt:variant>
        <vt:i4>608</vt:i4>
      </vt:variant>
      <vt:variant>
        <vt:i4>0</vt:i4>
      </vt:variant>
      <vt:variant>
        <vt:i4>5</vt:i4>
      </vt:variant>
      <vt:variant>
        <vt:lpwstr/>
      </vt:variant>
      <vt:variant>
        <vt:lpwstr>_Toc230858772</vt:lpwstr>
      </vt:variant>
      <vt:variant>
        <vt:i4>1245232</vt:i4>
      </vt:variant>
      <vt:variant>
        <vt:i4>602</vt:i4>
      </vt:variant>
      <vt:variant>
        <vt:i4>0</vt:i4>
      </vt:variant>
      <vt:variant>
        <vt:i4>5</vt:i4>
      </vt:variant>
      <vt:variant>
        <vt:lpwstr/>
      </vt:variant>
      <vt:variant>
        <vt:lpwstr>_Toc230858771</vt:lpwstr>
      </vt:variant>
      <vt:variant>
        <vt:i4>1245232</vt:i4>
      </vt:variant>
      <vt:variant>
        <vt:i4>596</vt:i4>
      </vt:variant>
      <vt:variant>
        <vt:i4>0</vt:i4>
      </vt:variant>
      <vt:variant>
        <vt:i4>5</vt:i4>
      </vt:variant>
      <vt:variant>
        <vt:lpwstr/>
      </vt:variant>
      <vt:variant>
        <vt:lpwstr>_Toc230858770</vt:lpwstr>
      </vt:variant>
      <vt:variant>
        <vt:i4>1179696</vt:i4>
      </vt:variant>
      <vt:variant>
        <vt:i4>590</vt:i4>
      </vt:variant>
      <vt:variant>
        <vt:i4>0</vt:i4>
      </vt:variant>
      <vt:variant>
        <vt:i4>5</vt:i4>
      </vt:variant>
      <vt:variant>
        <vt:lpwstr/>
      </vt:variant>
      <vt:variant>
        <vt:lpwstr>_Toc230858769</vt:lpwstr>
      </vt:variant>
      <vt:variant>
        <vt:i4>1179696</vt:i4>
      </vt:variant>
      <vt:variant>
        <vt:i4>584</vt:i4>
      </vt:variant>
      <vt:variant>
        <vt:i4>0</vt:i4>
      </vt:variant>
      <vt:variant>
        <vt:i4>5</vt:i4>
      </vt:variant>
      <vt:variant>
        <vt:lpwstr/>
      </vt:variant>
      <vt:variant>
        <vt:lpwstr>_Toc230858768</vt:lpwstr>
      </vt:variant>
      <vt:variant>
        <vt:i4>1179696</vt:i4>
      </vt:variant>
      <vt:variant>
        <vt:i4>578</vt:i4>
      </vt:variant>
      <vt:variant>
        <vt:i4>0</vt:i4>
      </vt:variant>
      <vt:variant>
        <vt:i4>5</vt:i4>
      </vt:variant>
      <vt:variant>
        <vt:lpwstr/>
      </vt:variant>
      <vt:variant>
        <vt:lpwstr>_Toc230858767</vt:lpwstr>
      </vt:variant>
      <vt:variant>
        <vt:i4>1179696</vt:i4>
      </vt:variant>
      <vt:variant>
        <vt:i4>572</vt:i4>
      </vt:variant>
      <vt:variant>
        <vt:i4>0</vt:i4>
      </vt:variant>
      <vt:variant>
        <vt:i4>5</vt:i4>
      </vt:variant>
      <vt:variant>
        <vt:lpwstr/>
      </vt:variant>
      <vt:variant>
        <vt:lpwstr>_Toc230858766</vt:lpwstr>
      </vt:variant>
      <vt:variant>
        <vt:i4>1179696</vt:i4>
      </vt:variant>
      <vt:variant>
        <vt:i4>566</vt:i4>
      </vt:variant>
      <vt:variant>
        <vt:i4>0</vt:i4>
      </vt:variant>
      <vt:variant>
        <vt:i4>5</vt:i4>
      </vt:variant>
      <vt:variant>
        <vt:lpwstr/>
      </vt:variant>
      <vt:variant>
        <vt:lpwstr>_Toc230858765</vt:lpwstr>
      </vt:variant>
      <vt:variant>
        <vt:i4>1179696</vt:i4>
      </vt:variant>
      <vt:variant>
        <vt:i4>560</vt:i4>
      </vt:variant>
      <vt:variant>
        <vt:i4>0</vt:i4>
      </vt:variant>
      <vt:variant>
        <vt:i4>5</vt:i4>
      </vt:variant>
      <vt:variant>
        <vt:lpwstr/>
      </vt:variant>
      <vt:variant>
        <vt:lpwstr>_Toc230858764</vt:lpwstr>
      </vt:variant>
      <vt:variant>
        <vt:i4>1179696</vt:i4>
      </vt:variant>
      <vt:variant>
        <vt:i4>554</vt:i4>
      </vt:variant>
      <vt:variant>
        <vt:i4>0</vt:i4>
      </vt:variant>
      <vt:variant>
        <vt:i4>5</vt:i4>
      </vt:variant>
      <vt:variant>
        <vt:lpwstr/>
      </vt:variant>
      <vt:variant>
        <vt:lpwstr>_Toc230858763</vt:lpwstr>
      </vt:variant>
      <vt:variant>
        <vt:i4>1179696</vt:i4>
      </vt:variant>
      <vt:variant>
        <vt:i4>548</vt:i4>
      </vt:variant>
      <vt:variant>
        <vt:i4>0</vt:i4>
      </vt:variant>
      <vt:variant>
        <vt:i4>5</vt:i4>
      </vt:variant>
      <vt:variant>
        <vt:lpwstr/>
      </vt:variant>
      <vt:variant>
        <vt:lpwstr>_Toc230858762</vt:lpwstr>
      </vt:variant>
      <vt:variant>
        <vt:i4>1179696</vt:i4>
      </vt:variant>
      <vt:variant>
        <vt:i4>542</vt:i4>
      </vt:variant>
      <vt:variant>
        <vt:i4>0</vt:i4>
      </vt:variant>
      <vt:variant>
        <vt:i4>5</vt:i4>
      </vt:variant>
      <vt:variant>
        <vt:lpwstr/>
      </vt:variant>
      <vt:variant>
        <vt:lpwstr>_Toc230858761</vt:lpwstr>
      </vt:variant>
      <vt:variant>
        <vt:i4>1179696</vt:i4>
      </vt:variant>
      <vt:variant>
        <vt:i4>536</vt:i4>
      </vt:variant>
      <vt:variant>
        <vt:i4>0</vt:i4>
      </vt:variant>
      <vt:variant>
        <vt:i4>5</vt:i4>
      </vt:variant>
      <vt:variant>
        <vt:lpwstr/>
      </vt:variant>
      <vt:variant>
        <vt:lpwstr>_Toc230858760</vt:lpwstr>
      </vt:variant>
      <vt:variant>
        <vt:i4>1114160</vt:i4>
      </vt:variant>
      <vt:variant>
        <vt:i4>530</vt:i4>
      </vt:variant>
      <vt:variant>
        <vt:i4>0</vt:i4>
      </vt:variant>
      <vt:variant>
        <vt:i4>5</vt:i4>
      </vt:variant>
      <vt:variant>
        <vt:lpwstr/>
      </vt:variant>
      <vt:variant>
        <vt:lpwstr>_Toc230858759</vt:lpwstr>
      </vt:variant>
      <vt:variant>
        <vt:i4>1114160</vt:i4>
      </vt:variant>
      <vt:variant>
        <vt:i4>524</vt:i4>
      </vt:variant>
      <vt:variant>
        <vt:i4>0</vt:i4>
      </vt:variant>
      <vt:variant>
        <vt:i4>5</vt:i4>
      </vt:variant>
      <vt:variant>
        <vt:lpwstr/>
      </vt:variant>
      <vt:variant>
        <vt:lpwstr>_Toc230858758</vt:lpwstr>
      </vt:variant>
      <vt:variant>
        <vt:i4>1114160</vt:i4>
      </vt:variant>
      <vt:variant>
        <vt:i4>518</vt:i4>
      </vt:variant>
      <vt:variant>
        <vt:i4>0</vt:i4>
      </vt:variant>
      <vt:variant>
        <vt:i4>5</vt:i4>
      </vt:variant>
      <vt:variant>
        <vt:lpwstr/>
      </vt:variant>
      <vt:variant>
        <vt:lpwstr>_Toc230858757</vt:lpwstr>
      </vt:variant>
      <vt:variant>
        <vt:i4>1114160</vt:i4>
      </vt:variant>
      <vt:variant>
        <vt:i4>512</vt:i4>
      </vt:variant>
      <vt:variant>
        <vt:i4>0</vt:i4>
      </vt:variant>
      <vt:variant>
        <vt:i4>5</vt:i4>
      </vt:variant>
      <vt:variant>
        <vt:lpwstr/>
      </vt:variant>
      <vt:variant>
        <vt:lpwstr>_Toc230858756</vt:lpwstr>
      </vt:variant>
      <vt:variant>
        <vt:i4>1114160</vt:i4>
      </vt:variant>
      <vt:variant>
        <vt:i4>506</vt:i4>
      </vt:variant>
      <vt:variant>
        <vt:i4>0</vt:i4>
      </vt:variant>
      <vt:variant>
        <vt:i4>5</vt:i4>
      </vt:variant>
      <vt:variant>
        <vt:lpwstr/>
      </vt:variant>
      <vt:variant>
        <vt:lpwstr>_Toc230858755</vt:lpwstr>
      </vt:variant>
      <vt:variant>
        <vt:i4>1114160</vt:i4>
      </vt:variant>
      <vt:variant>
        <vt:i4>500</vt:i4>
      </vt:variant>
      <vt:variant>
        <vt:i4>0</vt:i4>
      </vt:variant>
      <vt:variant>
        <vt:i4>5</vt:i4>
      </vt:variant>
      <vt:variant>
        <vt:lpwstr/>
      </vt:variant>
      <vt:variant>
        <vt:lpwstr>_Toc230858754</vt:lpwstr>
      </vt:variant>
      <vt:variant>
        <vt:i4>1114160</vt:i4>
      </vt:variant>
      <vt:variant>
        <vt:i4>494</vt:i4>
      </vt:variant>
      <vt:variant>
        <vt:i4>0</vt:i4>
      </vt:variant>
      <vt:variant>
        <vt:i4>5</vt:i4>
      </vt:variant>
      <vt:variant>
        <vt:lpwstr/>
      </vt:variant>
      <vt:variant>
        <vt:lpwstr>_Toc230858753</vt:lpwstr>
      </vt:variant>
      <vt:variant>
        <vt:i4>1114160</vt:i4>
      </vt:variant>
      <vt:variant>
        <vt:i4>488</vt:i4>
      </vt:variant>
      <vt:variant>
        <vt:i4>0</vt:i4>
      </vt:variant>
      <vt:variant>
        <vt:i4>5</vt:i4>
      </vt:variant>
      <vt:variant>
        <vt:lpwstr/>
      </vt:variant>
      <vt:variant>
        <vt:lpwstr>_Toc230858752</vt:lpwstr>
      </vt:variant>
      <vt:variant>
        <vt:i4>1114160</vt:i4>
      </vt:variant>
      <vt:variant>
        <vt:i4>482</vt:i4>
      </vt:variant>
      <vt:variant>
        <vt:i4>0</vt:i4>
      </vt:variant>
      <vt:variant>
        <vt:i4>5</vt:i4>
      </vt:variant>
      <vt:variant>
        <vt:lpwstr/>
      </vt:variant>
      <vt:variant>
        <vt:lpwstr>_Toc230858751</vt:lpwstr>
      </vt:variant>
      <vt:variant>
        <vt:i4>1114160</vt:i4>
      </vt:variant>
      <vt:variant>
        <vt:i4>476</vt:i4>
      </vt:variant>
      <vt:variant>
        <vt:i4>0</vt:i4>
      </vt:variant>
      <vt:variant>
        <vt:i4>5</vt:i4>
      </vt:variant>
      <vt:variant>
        <vt:lpwstr/>
      </vt:variant>
      <vt:variant>
        <vt:lpwstr>_Toc230858750</vt:lpwstr>
      </vt:variant>
      <vt:variant>
        <vt:i4>1048624</vt:i4>
      </vt:variant>
      <vt:variant>
        <vt:i4>470</vt:i4>
      </vt:variant>
      <vt:variant>
        <vt:i4>0</vt:i4>
      </vt:variant>
      <vt:variant>
        <vt:i4>5</vt:i4>
      </vt:variant>
      <vt:variant>
        <vt:lpwstr/>
      </vt:variant>
      <vt:variant>
        <vt:lpwstr>_Toc230858749</vt:lpwstr>
      </vt:variant>
      <vt:variant>
        <vt:i4>1048624</vt:i4>
      </vt:variant>
      <vt:variant>
        <vt:i4>464</vt:i4>
      </vt:variant>
      <vt:variant>
        <vt:i4>0</vt:i4>
      </vt:variant>
      <vt:variant>
        <vt:i4>5</vt:i4>
      </vt:variant>
      <vt:variant>
        <vt:lpwstr/>
      </vt:variant>
      <vt:variant>
        <vt:lpwstr>_Toc230858748</vt:lpwstr>
      </vt:variant>
      <vt:variant>
        <vt:i4>1048624</vt:i4>
      </vt:variant>
      <vt:variant>
        <vt:i4>458</vt:i4>
      </vt:variant>
      <vt:variant>
        <vt:i4>0</vt:i4>
      </vt:variant>
      <vt:variant>
        <vt:i4>5</vt:i4>
      </vt:variant>
      <vt:variant>
        <vt:lpwstr/>
      </vt:variant>
      <vt:variant>
        <vt:lpwstr>_Toc230858747</vt:lpwstr>
      </vt:variant>
      <vt:variant>
        <vt:i4>1048624</vt:i4>
      </vt:variant>
      <vt:variant>
        <vt:i4>452</vt:i4>
      </vt:variant>
      <vt:variant>
        <vt:i4>0</vt:i4>
      </vt:variant>
      <vt:variant>
        <vt:i4>5</vt:i4>
      </vt:variant>
      <vt:variant>
        <vt:lpwstr/>
      </vt:variant>
      <vt:variant>
        <vt:lpwstr>_Toc230858746</vt:lpwstr>
      </vt:variant>
      <vt:variant>
        <vt:i4>1048624</vt:i4>
      </vt:variant>
      <vt:variant>
        <vt:i4>446</vt:i4>
      </vt:variant>
      <vt:variant>
        <vt:i4>0</vt:i4>
      </vt:variant>
      <vt:variant>
        <vt:i4>5</vt:i4>
      </vt:variant>
      <vt:variant>
        <vt:lpwstr/>
      </vt:variant>
      <vt:variant>
        <vt:lpwstr>_Toc230858745</vt:lpwstr>
      </vt:variant>
      <vt:variant>
        <vt:i4>1048624</vt:i4>
      </vt:variant>
      <vt:variant>
        <vt:i4>440</vt:i4>
      </vt:variant>
      <vt:variant>
        <vt:i4>0</vt:i4>
      </vt:variant>
      <vt:variant>
        <vt:i4>5</vt:i4>
      </vt:variant>
      <vt:variant>
        <vt:lpwstr/>
      </vt:variant>
      <vt:variant>
        <vt:lpwstr>_Toc230858744</vt:lpwstr>
      </vt:variant>
      <vt:variant>
        <vt:i4>1048624</vt:i4>
      </vt:variant>
      <vt:variant>
        <vt:i4>434</vt:i4>
      </vt:variant>
      <vt:variant>
        <vt:i4>0</vt:i4>
      </vt:variant>
      <vt:variant>
        <vt:i4>5</vt:i4>
      </vt:variant>
      <vt:variant>
        <vt:lpwstr/>
      </vt:variant>
      <vt:variant>
        <vt:lpwstr>_Toc230858743</vt:lpwstr>
      </vt:variant>
      <vt:variant>
        <vt:i4>1048624</vt:i4>
      </vt:variant>
      <vt:variant>
        <vt:i4>428</vt:i4>
      </vt:variant>
      <vt:variant>
        <vt:i4>0</vt:i4>
      </vt:variant>
      <vt:variant>
        <vt:i4>5</vt:i4>
      </vt:variant>
      <vt:variant>
        <vt:lpwstr/>
      </vt:variant>
      <vt:variant>
        <vt:lpwstr>_Toc230858742</vt:lpwstr>
      </vt:variant>
      <vt:variant>
        <vt:i4>1048624</vt:i4>
      </vt:variant>
      <vt:variant>
        <vt:i4>422</vt:i4>
      </vt:variant>
      <vt:variant>
        <vt:i4>0</vt:i4>
      </vt:variant>
      <vt:variant>
        <vt:i4>5</vt:i4>
      </vt:variant>
      <vt:variant>
        <vt:lpwstr/>
      </vt:variant>
      <vt:variant>
        <vt:lpwstr>_Toc230858741</vt:lpwstr>
      </vt:variant>
      <vt:variant>
        <vt:i4>1048624</vt:i4>
      </vt:variant>
      <vt:variant>
        <vt:i4>416</vt:i4>
      </vt:variant>
      <vt:variant>
        <vt:i4>0</vt:i4>
      </vt:variant>
      <vt:variant>
        <vt:i4>5</vt:i4>
      </vt:variant>
      <vt:variant>
        <vt:lpwstr/>
      </vt:variant>
      <vt:variant>
        <vt:lpwstr>_Toc230858740</vt:lpwstr>
      </vt:variant>
      <vt:variant>
        <vt:i4>1507376</vt:i4>
      </vt:variant>
      <vt:variant>
        <vt:i4>410</vt:i4>
      </vt:variant>
      <vt:variant>
        <vt:i4>0</vt:i4>
      </vt:variant>
      <vt:variant>
        <vt:i4>5</vt:i4>
      </vt:variant>
      <vt:variant>
        <vt:lpwstr/>
      </vt:variant>
      <vt:variant>
        <vt:lpwstr>_Toc230858739</vt:lpwstr>
      </vt:variant>
      <vt:variant>
        <vt:i4>1507376</vt:i4>
      </vt:variant>
      <vt:variant>
        <vt:i4>404</vt:i4>
      </vt:variant>
      <vt:variant>
        <vt:i4>0</vt:i4>
      </vt:variant>
      <vt:variant>
        <vt:i4>5</vt:i4>
      </vt:variant>
      <vt:variant>
        <vt:lpwstr/>
      </vt:variant>
      <vt:variant>
        <vt:lpwstr>_Toc230858738</vt:lpwstr>
      </vt:variant>
      <vt:variant>
        <vt:i4>1507376</vt:i4>
      </vt:variant>
      <vt:variant>
        <vt:i4>398</vt:i4>
      </vt:variant>
      <vt:variant>
        <vt:i4>0</vt:i4>
      </vt:variant>
      <vt:variant>
        <vt:i4>5</vt:i4>
      </vt:variant>
      <vt:variant>
        <vt:lpwstr/>
      </vt:variant>
      <vt:variant>
        <vt:lpwstr>_Toc230858737</vt:lpwstr>
      </vt:variant>
      <vt:variant>
        <vt:i4>1507376</vt:i4>
      </vt:variant>
      <vt:variant>
        <vt:i4>392</vt:i4>
      </vt:variant>
      <vt:variant>
        <vt:i4>0</vt:i4>
      </vt:variant>
      <vt:variant>
        <vt:i4>5</vt:i4>
      </vt:variant>
      <vt:variant>
        <vt:lpwstr/>
      </vt:variant>
      <vt:variant>
        <vt:lpwstr>_Toc230858736</vt:lpwstr>
      </vt:variant>
      <vt:variant>
        <vt:i4>1507376</vt:i4>
      </vt:variant>
      <vt:variant>
        <vt:i4>386</vt:i4>
      </vt:variant>
      <vt:variant>
        <vt:i4>0</vt:i4>
      </vt:variant>
      <vt:variant>
        <vt:i4>5</vt:i4>
      </vt:variant>
      <vt:variant>
        <vt:lpwstr/>
      </vt:variant>
      <vt:variant>
        <vt:lpwstr>_Toc230858735</vt:lpwstr>
      </vt:variant>
      <vt:variant>
        <vt:i4>1507376</vt:i4>
      </vt:variant>
      <vt:variant>
        <vt:i4>380</vt:i4>
      </vt:variant>
      <vt:variant>
        <vt:i4>0</vt:i4>
      </vt:variant>
      <vt:variant>
        <vt:i4>5</vt:i4>
      </vt:variant>
      <vt:variant>
        <vt:lpwstr/>
      </vt:variant>
      <vt:variant>
        <vt:lpwstr>_Toc230858734</vt:lpwstr>
      </vt:variant>
      <vt:variant>
        <vt:i4>1507376</vt:i4>
      </vt:variant>
      <vt:variant>
        <vt:i4>374</vt:i4>
      </vt:variant>
      <vt:variant>
        <vt:i4>0</vt:i4>
      </vt:variant>
      <vt:variant>
        <vt:i4>5</vt:i4>
      </vt:variant>
      <vt:variant>
        <vt:lpwstr/>
      </vt:variant>
      <vt:variant>
        <vt:lpwstr>_Toc230858733</vt:lpwstr>
      </vt:variant>
      <vt:variant>
        <vt:i4>1507376</vt:i4>
      </vt:variant>
      <vt:variant>
        <vt:i4>368</vt:i4>
      </vt:variant>
      <vt:variant>
        <vt:i4>0</vt:i4>
      </vt:variant>
      <vt:variant>
        <vt:i4>5</vt:i4>
      </vt:variant>
      <vt:variant>
        <vt:lpwstr/>
      </vt:variant>
      <vt:variant>
        <vt:lpwstr>_Toc230858732</vt:lpwstr>
      </vt:variant>
      <vt:variant>
        <vt:i4>1310770</vt:i4>
      </vt:variant>
      <vt:variant>
        <vt:i4>359</vt:i4>
      </vt:variant>
      <vt:variant>
        <vt:i4>0</vt:i4>
      </vt:variant>
      <vt:variant>
        <vt:i4>5</vt:i4>
      </vt:variant>
      <vt:variant>
        <vt:lpwstr/>
      </vt:variant>
      <vt:variant>
        <vt:lpwstr>_Toc230960691</vt:lpwstr>
      </vt:variant>
      <vt:variant>
        <vt:i4>1310770</vt:i4>
      </vt:variant>
      <vt:variant>
        <vt:i4>353</vt:i4>
      </vt:variant>
      <vt:variant>
        <vt:i4>0</vt:i4>
      </vt:variant>
      <vt:variant>
        <vt:i4>5</vt:i4>
      </vt:variant>
      <vt:variant>
        <vt:lpwstr/>
      </vt:variant>
      <vt:variant>
        <vt:lpwstr>_Toc230960690</vt:lpwstr>
      </vt:variant>
      <vt:variant>
        <vt:i4>1376306</vt:i4>
      </vt:variant>
      <vt:variant>
        <vt:i4>347</vt:i4>
      </vt:variant>
      <vt:variant>
        <vt:i4>0</vt:i4>
      </vt:variant>
      <vt:variant>
        <vt:i4>5</vt:i4>
      </vt:variant>
      <vt:variant>
        <vt:lpwstr/>
      </vt:variant>
      <vt:variant>
        <vt:lpwstr>_Toc230960689</vt:lpwstr>
      </vt:variant>
      <vt:variant>
        <vt:i4>1376306</vt:i4>
      </vt:variant>
      <vt:variant>
        <vt:i4>341</vt:i4>
      </vt:variant>
      <vt:variant>
        <vt:i4>0</vt:i4>
      </vt:variant>
      <vt:variant>
        <vt:i4>5</vt:i4>
      </vt:variant>
      <vt:variant>
        <vt:lpwstr/>
      </vt:variant>
      <vt:variant>
        <vt:lpwstr>_Toc230960688</vt:lpwstr>
      </vt:variant>
      <vt:variant>
        <vt:i4>1376306</vt:i4>
      </vt:variant>
      <vt:variant>
        <vt:i4>335</vt:i4>
      </vt:variant>
      <vt:variant>
        <vt:i4>0</vt:i4>
      </vt:variant>
      <vt:variant>
        <vt:i4>5</vt:i4>
      </vt:variant>
      <vt:variant>
        <vt:lpwstr/>
      </vt:variant>
      <vt:variant>
        <vt:lpwstr>_Toc230960687</vt:lpwstr>
      </vt:variant>
      <vt:variant>
        <vt:i4>1376306</vt:i4>
      </vt:variant>
      <vt:variant>
        <vt:i4>329</vt:i4>
      </vt:variant>
      <vt:variant>
        <vt:i4>0</vt:i4>
      </vt:variant>
      <vt:variant>
        <vt:i4>5</vt:i4>
      </vt:variant>
      <vt:variant>
        <vt:lpwstr/>
      </vt:variant>
      <vt:variant>
        <vt:lpwstr>_Toc230960686</vt:lpwstr>
      </vt:variant>
      <vt:variant>
        <vt:i4>1376306</vt:i4>
      </vt:variant>
      <vt:variant>
        <vt:i4>323</vt:i4>
      </vt:variant>
      <vt:variant>
        <vt:i4>0</vt:i4>
      </vt:variant>
      <vt:variant>
        <vt:i4>5</vt:i4>
      </vt:variant>
      <vt:variant>
        <vt:lpwstr/>
      </vt:variant>
      <vt:variant>
        <vt:lpwstr>_Toc230960685</vt:lpwstr>
      </vt:variant>
      <vt:variant>
        <vt:i4>1376306</vt:i4>
      </vt:variant>
      <vt:variant>
        <vt:i4>317</vt:i4>
      </vt:variant>
      <vt:variant>
        <vt:i4>0</vt:i4>
      </vt:variant>
      <vt:variant>
        <vt:i4>5</vt:i4>
      </vt:variant>
      <vt:variant>
        <vt:lpwstr/>
      </vt:variant>
      <vt:variant>
        <vt:lpwstr>_Toc230960684</vt:lpwstr>
      </vt:variant>
      <vt:variant>
        <vt:i4>1376306</vt:i4>
      </vt:variant>
      <vt:variant>
        <vt:i4>311</vt:i4>
      </vt:variant>
      <vt:variant>
        <vt:i4>0</vt:i4>
      </vt:variant>
      <vt:variant>
        <vt:i4>5</vt:i4>
      </vt:variant>
      <vt:variant>
        <vt:lpwstr/>
      </vt:variant>
      <vt:variant>
        <vt:lpwstr>_Toc230960683</vt:lpwstr>
      </vt:variant>
      <vt:variant>
        <vt:i4>1376306</vt:i4>
      </vt:variant>
      <vt:variant>
        <vt:i4>305</vt:i4>
      </vt:variant>
      <vt:variant>
        <vt:i4>0</vt:i4>
      </vt:variant>
      <vt:variant>
        <vt:i4>5</vt:i4>
      </vt:variant>
      <vt:variant>
        <vt:lpwstr/>
      </vt:variant>
      <vt:variant>
        <vt:lpwstr>_Toc230960682</vt:lpwstr>
      </vt:variant>
      <vt:variant>
        <vt:i4>1376306</vt:i4>
      </vt:variant>
      <vt:variant>
        <vt:i4>299</vt:i4>
      </vt:variant>
      <vt:variant>
        <vt:i4>0</vt:i4>
      </vt:variant>
      <vt:variant>
        <vt:i4>5</vt:i4>
      </vt:variant>
      <vt:variant>
        <vt:lpwstr/>
      </vt:variant>
      <vt:variant>
        <vt:lpwstr>_Toc230960681</vt:lpwstr>
      </vt:variant>
      <vt:variant>
        <vt:i4>1376306</vt:i4>
      </vt:variant>
      <vt:variant>
        <vt:i4>293</vt:i4>
      </vt:variant>
      <vt:variant>
        <vt:i4>0</vt:i4>
      </vt:variant>
      <vt:variant>
        <vt:i4>5</vt:i4>
      </vt:variant>
      <vt:variant>
        <vt:lpwstr/>
      </vt:variant>
      <vt:variant>
        <vt:lpwstr>_Toc230960680</vt:lpwstr>
      </vt:variant>
      <vt:variant>
        <vt:i4>1703986</vt:i4>
      </vt:variant>
      <vt:variant>
        <vt:i4>287</vt:i4>
      </vt:variant>
      <vt:variant>
        <vt:i4>0</vt:i4>
      </vt:variant>
      <vt:variant>
        <vt:i4>5</vt:i4>
      </vt:variant>
      <vt:variant>
        <vt:lpwstr/>
      </vt:variant>
      <vt:variant>
        <vt:lpwstr>_Toc230960679</vt:lpwstr>
      </vt:variant>
      <vt:variant>
        <vt:i4>1703986</vt:i4>
      </vt:variant>
      <vt:variant>
        <vt:i4>281</vt:i4>
      </vt:variant>
      <vt:variant>
        <vt:i4>0</vt:i4>
      </vt:variant>
      <vt:variant>
        <vt:i4>5</vt:i4>
      </vt:variant>
      <vt:variant>
        <vt:lpwstr/>
      </vt:variant>
      <vt:variant>
        <vt:lpwstr>_Toc230960678</vt:lpwstr>
      </vt:variant>
      <vt:variant>
        <vt:i4>1703986</vt:i4>
      </vt:variant>
      <vt:variant>
        <vt:i4>275</vt:i4>
      </vt:variant>
      <vt:variant>
        <vt:i4>0</vt:i4>
      </vt:variant>
      <vt:variant>
        <vt:i4>5</vt:i4>
      </vt:variant>
      <vt:variant>
        <vt:lpwstr/>
      </vt:variant>
      <vt:variant>
        <vt:lpwstr>_Toc230960677</vt:lpwstr>
      </vt:variant>
      <vt:variant>
        <vt:i4>1703986</vt:i4>
      </vt:variant>
      <vt:variant>
        <vt:i4>269</vt:i4>
      </vt:variant>
      <vt:variant>
        <vt:i4>0</vt:i4>
      </vt:variant>
      <vt:variant>
        <vt:i4>5</vt:i4>
      </vt:variant>
      <vt:variant>
        <vt:lpwstr/>
      </vt:variant>
      <vt:variant>
        <vt:lpwstr>_Toc230960676</vt:lpwstr>
      </vt:variant>
      <vt:variant>
        <vt:i4>1703986</vt:i4>
      </vt:variant>
      <vt:variant>
        <vt:i4>263</vt:i4>
      </vt:variant>
      <vt:variant>
        <vt:i4>0</vt:i4>
      </vt:variant>
      <vt:variant>
        <vt:i4>5</vt:i4>
      </vt:variant>
      <vt:variant>
        <vt:lpwstr/>
      </vt:variant>
      <vt:variant>
        <vt:lpwstr>_Toc230960675</vt:lpwstr>
      </vt:variant>
      <vt:variant>
        <vt:i4>1703986</vt:i4>
      </vt:variant>
      <vt:variant>
        <vt:i4>257</vt:i4>
      </vt:variant>
      <vt:variant>
        <vt:i4>0</vt:i4>
      </vt:variant>
      <vt:variant>
        <vt:i4>5</vt:i4>
      </vt:variant>
      <vt:variant>
        <vt:lpwstr/>
      </vt:variant>
      <vt:variant>
        <vt:lpwstr>_Toc230960674</vt:lpwstr>
      </vt:variant>
      <vt:variant>
        <vt:i4>1703986</vt:i4>
      </vt:variant>
      <vt:variant>
        <vt:i4>251</vt:i4>
      </vt:variant>
      <vt:variant>
        <vt:i4>0</vt:i4>
      </vt:variant>
      <vt:variant>
        <vt:i4>5</vt:i4>
      </vt:variant>
      <vt:variant>
        <vt:lpwstr/>
      </vt:variant>
      <vt:variant>
        <vt:lpwstr>_Toc230960673</vt:lpwstr>
      </vt:variant>
      <vt:variant>
        <vt:i4>1703986</vt:i4>
      </vt:variant>
      <vt:variant>
        <vt:i4>245</vt:i4>
      </vt:variant>
      <vt:variant>
        <vt:i4>0</vt:i4>
      </vt:variant>
      <vt:variant>
        <vt:i4>5</vt:i4>
      </vt:variant>
      <vt:variant>
        <vt:lpwstr/>
      </vt:variant>
      <vt:variant>
        <vt:lpwstr>_Toc230960672</vt:lpwstr>
      </vt:variant>
      <vt:variant>
        <vt:i4>1703986</vt:i4>
      </vt:variant>
      <vt:variant>
        <vt:i4>239</vt:i4>
      </vt:variant>
      <vt:variant>
        <vt:i4>0</vt:i4>
      </vt:variant>
      <vt:variant>
        <vt:i4>5</vt:i4>
      </vt:variant>
      <vt:variant>
        <vt:lpwstr/>
      </vt:variant>
      <vt:variant>
        <vt:lpwstr>_Toc230960671</vt:lpwstr>
      </vt:variant>
      <vt:variant>
        <vt:i4>1703986</vt:i4>
      </vt:variant>
      <vt:variant>
        <vt:i4>233</vt:i4>
      </vt:variant>
      <vt:variant>
        <vt:i4>0</vt:i4>
      </vt:variant>
      <vt:variant>
        <vt:i4>5</vt:i4>
      </vt:variant>
      <vt:variant>
        <vt:lpwstr/>
      </vt:variant>
      <vt:variant>
        <vt:lpwstr>_Toc230960670</vt:lpwstr>
      </vt:variant>
      <vt:variant>
        <vt:i4>1769522</vt:i4>
      </vt:variant>
      <vt:variant>
        <vt:i4>227</vt:i4>
      </vt:variant>
      <vt:variant>
        <vt:i4>0</vt:i4>
      </vt:variant>
      <vt:variant>
        <vt:i4>5</vt:i4>
      </vt:variant>
      <vt:variant>
        <vt:lpwstr/>
      </vt:variant>
      <vt:variant>
        <vt:lpwstr>_Toc230960669</vt:lpwstr>
      </vt:variant>
      <vt:variant>
        <vt:i4>1769522</vt:i4>
      </vt:variant>
      <vt:variant>
        <vt:i4>221</vt:i4>
      </vt:variant>
      <vt:variant>
        <vt:i4>0</vt:i4>
      </vt:variant>
      <vt:variant>
        <vt:i4>5</vt:i4>
      </vt:variant>
      <vt:variant>
        <vt:lpwstr/>
      </vt:variant>
      <vt:variant>
        <vt:lpwstr>_Toc230960668</vt:lpwstr>
      </vt:variant>
      <vt:variant>
        <vt:i4>1769522</vt:i4>
      </vt:variant>
      <vt:variant>
        <vt:i4>215</vt:i4>
      </vt:variant>
      <vt:variant>
        <vt:i4>0</vt:i4>
      </vt:variant>
      <vt:variant>
        <vt:i4>5</vt:i4>
      </vt:variant>
      <vt:variant>
        <vt:lpwstr/>
      </vt:variant>
      <vt:variant>
        <vt:lpwstr>_Toc230960667</vt:lpwstr>
      </vt:variant>
      <vt:variant>
        <vt:i4>1769522</vt:i4>
      </vt:variant>
      <vt:variant>
        <vt:i4>209</vt:i4>
      </vt:variant>
      <vt:variant>
        <vt:i4>0</vt:i4>
      </vt:variant>
      <vt:variant>
        <vt:i4>5</vt:i4>
      </vt:variant>
      <vt:variant>
        <vt:lpwstr/>
      </vt:variant>
      <vt:variant>
        <vt:lpwstr>_Toc230960666</vt:lpwstr>
      </vt:variant>
      <vt:variant>
        <vt:i4>1769522</vt:i4>
      </vt:variant>
      <vt:variant>
        <vt:i4>203</vt:i4>
      </vt:variant>
      <vt:variant>
        <vt:i4>0</vt:i4>
      </vt:variant>
      <vt:variant>
        <vt:i4>5</vt:i4>
      </vt:variant>
      <vt:variant>
        <vt:lpwstr/>
      </vt:variant>
      <vt:variant>
        <vt:lpwstr>_Toc230960665</vt:lpwstr>
      </vt:variant>
      <vt:variant>
        <vt:i4>1769522</vt:i4>
      </vt:variant>
      <vt:variant>
        <vt:i4>197</vt:i4>
      </vt:variant>
      <vt:variant>
        <vt:i4>0</vt:i4>
      </vt:variant>
      <vt:variant>
        <vt:i4>5</vt:i4>
      </vt:variant>
      <vt:variant>
        <vt:lpwstr/>
      </vt:variant>
      <vt:variant>
        <vt:lpwstr>_Toc230960664</vt:lpwstr>
      </vt:variant>
      <vt:variant>
        <vt:i4>1769522</vt:i4>
      </vt:variant>
      <vt:variant>
        <vt:i4>191</vt:i4>
      </vt:variant>
      <vt:variant>
        <vt:i4>0</vt:i4>
      </vt:variant>
      <vt:variant>
        <vt:i4>5</vt:i4>
      </vt:variant>
      <vt:variant>
        <vt:lpwstr/>
      </vt:variant>
      <vt:variant>
        <vt:lpwstr>_Toc230960663</vt:lpwstr>
      </vt:variant>
      <vt:variant>
        <vt:i4>1769522</vt:i4>
      </vt:variant>
      <vt:variant>
        <vt:i4>185</vt:i4>
      </vt:variant>
      <vt:variant>
        <vt:i4>0</vt:i4>
      </vt:variant>
      <vt:variant>
        <vt:i4>5</vt:i4>
      </vt:variant>
      <vt:variant>
        <vt:lpwstr/>
      </vt:variant>
      <vt:variant>
        <vt:lpwstr>_Toc230960662</vt:lpwstr>
      </vt:variant>
      <vt:variant>
        <vt:i4>1769522</vt:i4>
      </vt:variant>
      <vt:variant>
        <vt:i4>179</vt:i4>
      </vt:variant>
      <vt:variant>
        <vt:i4>0</vt:i4>
      </vt:variant>
      <vt:variant>
        <vt:i4>5</vt:i4>
      </vt:variant>
      <vt:variant>
        <vt:lpwstr/>
      </vt:variant>
      <vt:variant>
        <vt:lpwstr>_Toc230960661</vt:lpwstr>
      </vt:variant>
      <vt:variant>
        <vt:i4>1769522</vt:i4>
      </vt:variant>
      <vt:variant>
        <vt:i4>173</vt:i4>
      </vt:variant>
      <vt:variant>
        <vt:i4>0</vt:i4>
      </vt:variant>
      <vt:variant>
        <vt:i4>5</vt:i4>
      </vt:variant>
      <vt:variant>
        <vt:lpwstr/>
      </vt:variant>
      <vt:variant>
        <vt:lpwstr>_Toc230960660</vt:lpwstr>
      </vt:variant>
      <vt:variant>
        <vt:i4>1572914</vt:i4>
      </vt:variant>
      <vt:variant>
        <vt:i4>167</vt:i4>
      </vt:variant>
      <vt:variant>
        <vt:i4>0</vt:i4>
      </vt:variant>
      <vt:variant>
        <vt:i4>5</vt:i4>
      </vt:variant>
      <vt:variant>
        <vt:lpwstr/>
      </vt:variant>
      <vt:variant>
        <vt:lpwstr>_Toc230960659</vt:lpwstr>
      </vt:variant>
      <vt:variant>
        <vt:i4>1572914</vt:i4>
      </vt:variant>
      <vt:variant>
        <vt:i4>161</vt:i4>
      </vt:variant>
      <vt:variant>
        <vt:i4>0</vt:i4>
      </vt:variant>
      <vt:variant>
        <vt:i4>5</vt:i4>
      </vt:variant>
      <vt:variant>
        <vt:lpwstr/>
      </vt:variant>
      <vt:variant>
        <vt:lpwstr>_Toc230960658</vt:lpwstr>
      </vt:variant>
      <vt:variant>
        <vt:i4>1572914</vt:i4>
      </vt:variant>
      <vt:variant>
        <vt:i4>155</vt:i4>
      </vt:variant>
      <vt:variant>
        <vt:i4>0</vt:i4>
      </vt:variant>
      <vt:variant>
        <vt:i4>5</vt:i4>
      </vt:variant>
      <vt:variant>
        <vt:lpwstr/>
      </vt:variant>
      <vt:variant>
        <vt:lpwstr>_Toc230960657</vt:lpwstr>
      </vt:variant>
      <vt:variant>
        <vt:i4>1572914</vt:i4>
      </vt:variant>
      <vt:variant>
        <vt:i4>149</vt:i4>
      </vt:variant>
      <vt:variant>
        <vt:i4>0</vt:i4>
      </vt:variant>
      <vt:variant>
        <vt:i4>5</vt:i4>
      </vt:variant>
      <vt:variant>
        <vt:lpwstr/>
      </vt:variant>
      <vt:variant>
        <vt:lpwstr>_Toc230960656</vt:lpwstr>
      </vt:variant>
      <vt:variant>
        <vt:i4>1572914</vt:i4>
      </vt:variant>
      <vt:variant>
        <vt:i4>143</vt:i4>
      </vt:variant>
      <vt:variant>
        <vt:i4>0</vt:i4>
      </vt:variant>
      <vt:variant>
        <vt:i4>5</vt:i4>
      </vt:variant>
      <vt:variant>
        <vt:lpwstr/>
      </vt:variant>
      <vt:variant>
        <vt:lpwstr>_Toc230960655</vt:lpwstr>
      </vt:variant>
      <vt:variant>
        <vt:i4>1572914</vt:i4>
      </vt:variant>
      <vt:variant>
        <vt:i4>137</vt:i4>
      </vt:variant>
      <vt:variant>
        <vt:i4>0</vt:i4>
      </vt:variant>
      <vt:variant>
        <vt:i4>5</vt:i4>
      </vt:variant>
      <vt:variant>
        <vt:lpwstr/>
      </vt:variant>
      <vt:variant>
        <vt:lpwstr>_Toc230960654</vt:lpwstr>
      </vt:variant>
      <vt:variant>
        <vt:i4>1572914</vt:i4>
      </vt:variant>
      <vt:variant>
        <vt:i4>131</vt:i4>
      </vt:variant>
      <vt:variant>
        <vt:i4>0</vt:i4>
      </vt:variant>
      <vt:variant>
        <vt:i4>5</vt:i4>
      </vt:variant>
      <vt:variant>
        <vt:lpwstr/>
      </vt:variant>
      <vt:variant>
        <vt:lpwstr>_Toc230960653</vt:lpwstr>
      </vt:variant>
      <vt:variant>
        <vt:i4>1572914</vt:i4>
      </vt:variant>
      <vt:variant>
        <vt:i4>125</vt:i4>
      </vt:variant>
      <vt:variant>
        <vt:i4>0</vt:i4>
      </vt:variant>
      <vt:variant>
        <vt:i4>5</vt:i4>
      </vt:variant>
      <vt:variant>
        <vt:lpwstr/>
      </vt:variant>
      <vt:variant>
        <vt:lpwstr>_Toc230960652</vt:lpwstr>
      </vt:variant>
      <vt:variant>
        <vt:i4>1572914</vt:i4>
      </vt:variant>
      <vt:variant>
        <vt:i4>119</vt:i4>
      </vt:variant>
      <vt:variant>
        <vt:i4>0</vt:i4>
      </vt:variant>
      <vt:variant>
        <vt:i4>5</vt:i4>
      </vt:variant>
      <vt:variant>
        <vt:lpwstr/>
      </vt:variant>
      <vt:variant>
        <vt:lpwstr>_Toc230960651</vt:lpwstr>
      </vt:variant>
      <vt:variant>
        <vt:i4>1572914</vt:i4>
      </vt:variant>
      <vt:variant>
        <vt:i4>113</vt:i4>
      </vt:variant>
      <vt:variant>
        <vt:i4>0</vt:i4>
      </vt:variant>
      <vt:variant>
        <vt:i4>5</vt:i4>
      </vt:variant>
      <vt:variant>
        <vt:lpwstr/>
      </vt:variant>
      <vt:variant>
        <vt:lpwstr>_Toc230960650</vt:lpwstr>
      </vt:variant>
      <vt:variant>
        <vt:i4>1638450</vt:i4>
      </vt:variant>
      <vt:variant>
        <vt:i4>107</vt:i4>
      </vt:variant>
      <vt:variant>
        <vt:i4>0</vt:i4>
      </vt:variant>
      <vt:variant>
        <vt:i4>5</vt:i4>
      </vt:variant>
      <vt:variant>
        <vt:lpwstr/>
      </vt:variant>
      <vt:variant>
        <vt:lpwstr>_Toc230960649</vt:lpwstr>
      </vt:variant>
      <vt:variant>
        <vt:i4>1638450</vt:i4>
      </vt:variant>
      <vt:variant>
        <vt:i4>101</vt:i4>
      </vt:variant>
      <vt:variant>
        <vt:i4>0</vt:i4>
      </vt:variant>
      <vt:variant>
        <vt:i4>5</vt:i4>
      </vt:variant>
      <vt:variant>
        <vt:lpwstr/>
      </vt:variant>
      <vt:variant>
        <vt:lpwstr>_Toc230960648</vt:lpwstr>
      </vt:variant>
      <vt:variant>
        <vt:i4>1638450</vt:i4>
      </vt:variant>
      <vt:variant>
        <vt:i4>95</vt:i4>
      </vt:variant>
      <vt:variant>
        <vt:i4>0</vt:i4>
      </vt:variant>
      <vt:variant>
        <vt:i4>5</vt:i4>
      </vt:variant>
      <vt:variant>
        <vt:lpwstr/>
      </vt:variant>
      <vt:variant>
        <vt:lpwstr>_Toc230960647</vt:lpwstr>
      </vt:variant>
      <vt:variant>
        <vt:i4>1638450</vt:i4>
      </vt:variant>
      <vt:variant>
        <vt:i4>89</vt:i4>
      </vt:variant>
      <vt:variant>
        <vt:i4>0</vt:i4>
      </vt:variant>
      <vt:variant>
        <vt:i4>5</vt:i4>
      </vt:variant>
      <vt:variant>
        <vt:lpwstr/>
      </vt:variant>
      <vt:variant>
        <vt:lpwstr>_Toc230960646</vt:lpwstr>
      </vt:variant>
      <vt:variant>
        <vt:i4>1638450</vt:i4>
      </vt:variant>
      <vt:variant>
        <vt:i4>83</vt:i4>
      </vt:variant>
      <vt:variant>
        <vt:i4>0</vt:i4>
      </vt:variant>
      <vt:variant>
        <vt:i4>5</vt:i4>
      </vt:variant>
      <vt:variant>
        <vt:lpwstr/>
      </vt:variant>
      <vt:variant>
        <vt:lpwstr>_Toc230960645</vt:lpwstr>
      </vt:variant>
      <vt:variant>
        <vt:i4>1638450</vt:i4>
      </vt:variant>
      <vt:variant>
        <vt:i4>77</vt:i4>
      </vt:variant>
      <vt:variant>
        <vt:i4>0</vt:i4>
      </vt:variant>
      <vt:variant>
        <vt:i4>5</vt:i4>
      </vt:variant>
      <vt:variant>
        <vt:lpwstr/>
      </vt:variant>
      <vt:variant>
        <vt:lpwstr>_Toc230960644</vt:lpwstr>
      </vt:variant>
      <vt:variant>
        <vt:i4>1638450</vt:i4>
      </vt:variant>
      <vt:variant>
        <vt:i4>71</vt:i4>
      </vt:variant>
      <vt:variant>
        <vt:i4>0</vt:i4>
      </vt:variant>
      <vt:variant>
        <vt:i4>5</vt:i4>
      </vt:variant>
      <vt:variant>
        <vt:lpwstr/>
      </vt:variant>
      <vt:variant>
        <vt:lpwstr>_Toc230960643</vt:lpwstr>
      </vt:variant>
      <vt:variant>
        <vt:i4>1638450</vt:i4>
      </vt:variant>
      <vt:variant>
        <vt:i4>65</vt:i4>
      </vt:variant>
      <vt:variant>
        <vt:i4>0</vt:i4>
      </vt:variant>
      <vt:variant>
        <vt:i4>5</vt:i4>
      </vt:variant>
      <vt:variant>
        <vt:lpwstr/>
      </vt:variant>
      <vt:variant>
        <vt:lpwstr>_Toc230960642</vt:lpwstr>
      </vt:variant>
      <vt:variant>
        <vt:i4>1638450</vt:i4>
      </vt:variant>
      <vt:variant>
        <vt:i4>59</vt:i4>
      </vt:variant>
      <vt:variant>
        <vt:i4>0</vt:i4>
      </vt:variant>
      <vt:variant>
        <vt:i4>5</vt:i4>
      </vt:variant>
      <vt:variant>
        <vt:lpwstr/>
      </vt:variant>
      <vt:variant>
        <vt:lpwstr>_Toc230960641</vt:lpwstr>
      </vt:variant>
      <vt:variant>
        <vt:i4>1638450</vt:i4>
      </vt:variant>
      <vt:variant>
        <vt:i4>53</vt:i4>
      </vt:variant>
      <vt:variant>
        <vt:i4>0</vt:i4>
      </vt:variant>
      <vt:variant>
        <vt:i4>5</vt:i4>
      </vt:variant>
      <vt:variant>
        <vt:lpwstr/>
      </vt:variant>
      <vt:variant>
        <vt:lpwstr>_Toc230960640</vt:lpwstr>
      </vt:variant>
      <vt:variant>
        <vt:i4>1966130</vt:i4>
      </vt:variant>
      <vt:variant>
        <vt:i4>47</vt:i4>
      </vt:variant>
      <vt:variant>
        <vt:i4>0</vt:i4>
      </vt:variant>
      <vt:variant>
        <vt:i4>5</vt:i4>
      </vt:variant>
      <vt:variant>
        <vt:lpwstr/>
      </vt:variant>
      <vt:variant>
        <vt:lpwstr>_Toc230960639</vt:lpwstr>
      </vt:variant>
      <vt:variant>
        <vt:i4>1966130</vt:i4>
      </vt:variant>
      <vt:variant>
        <vt:i4>41</vt:i4>
      </vt:variant>
      <vt:variant>
        <vt:i4>0</vt:i4>
      </vt:variant>
      <vt:variant>
        <vt:i4>5</vt:i4>
      </vt:variant>
      <vt:variant>
        <vt:lpwstr/>
      </vt:variant>
      <vt:variant>
        <vt:lpwstr>_Toc230960638</vt:lpwstr>
      </vt:variant>
      <vt:variant>
        <vt:i4>1966130</vt:i4>
      </vt:variant>
      <vt:variant>
        <vt:i4>35</vt:i4>
      </vt:variant>
      <vt:variant>
        <vt:i4>0</vt:i4>
      </vt:variant>
      <vt:variant>
        <vt:i4>5</vt:i4>
      </vt:variant>
      <vt:variant>
        <vt:lpwstr/>
      </vt:variant>
      <vt:variant>
        <vt:lpwstr>_Toc230960637</vt:lpwstr>
      </vt:variant>
      <vt:variant>
        <vt:i4>1966130</vt:i4>
      </vt:variant>
      <vt:variant>
        <vt:i4>29</vt:i4>
      </vt:variant>
      <vt:variant>
        <vt:i4>0</vt:i4>
      </vt:variant>
      <vt:variant>
        <vt:i4>5</vt:i4>
      </vt:variant>
      <vt:variant>
        <vt:lpwstr/>
      </vt:variant>
      <vt:variant>
        <vt:lpwstr>_Toc230960636</vt:lpwstr>
      </vt:variant>
      <vt:variant>
        <vt:i4>1966130</vt:i4>
      </vt:variant>
      <vt:variant>
        <vt:i4>23</vt:i4>
      </vt:variant>
      <vt:variant>
        <vt:i4>0</vt:i4>
      </vt:variant>
      <vt:variant>
        <vt:i4>5</vt:i4>
      </vt:variant>
      <vt:variant>
        <vt:lpwstr/>
      </vt:variant>
      <vt:variant>
        <vt:lpwstr>_Toc230960635</vt:lpwstr>
      </vt:variant>
      <vt:variant>
        <vt:i4>1966130</vt:i4>
      </vt:variant>
      <vt:variant>
        <vt:i4>17</vt:i4>
      </vt:variant>
      <vt:variant>
        <vt:i4>0</vt:i4>
      </vt:variant>
      <vt:variant>
        <vt:i4>5</vt:i4>
      </vt:variant>
      <vt:variant>
        <vt:lpwstr/>
      </vt:variant>
      <vt:variant>
        <vt:lpwstr>_Toc230960634</vt:lpwstr>
      </vt:variant>
      <vt:variant>
        <vt:i4>1966130</vt:i4>
      </vt:variant>
      <vt:variant>
        <vt:i4>11</vt:i4>
      </vt:variant>
      <vt:variant>
        <vt:i4>0</vt:i4>
      </vt:variant>
      <vt:variant>
        <vt:i4>5</vt:i4>
      </vt:variant>
      <vt:variant>
        <vt:lpwstr/>
      </vt:variant>
      <vt:variant>
        <vt:lpwstr>_Toc230960633</vt:lpwstr>
      </vt:variant>
      <vt:variant>
        <vt:i4>1966130</vt:i4>
      </vt:variant>
      <vt:variant>
        <vt:i4>5</vt:i4>
      </vt:variant>
      <vt:variant>
        <vt:i4>0</vt:i4>
      </vt:variant>
      <vt:variant>
        <vt:i4>5</vt:i4>
      </vt:variant>
      <vt:variant>
        <vt:lpwstr/>
      </vt:variant>
      <vt:variant>
        <vt:lpwstr>_Toc230960632</vt:lpwstr>
      </vt:variant>
      <vt:variant>
        <vt:i4>7864422</vt:i4>
      </vt:variant>
      <vt:variant>
        <vt:i4>0</vt:i4>
      </vt:variant>
      <vt:variant>
        <vt:i4>0</vt:i4>
      </vt:variant>
      <vt:variant>
        <vt:i4>5</vt:i4>
      </vt:variant>
      <vt:variant>
        <vt:lpwstr>http://www.csiro.au/contact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Brinsmead, Thomas (Ze / Zir) (Energy, Newcastle)</dc:creator>
  <cp:keywords/>
  <cp:lastModifiedBy>MD Shah</cp:lastModifiedBy>
  <cp:revision>26</cp:revision>
  <cp:lastPrinted>2012-02-13T22:58:00Z</cp:lastPrinted>
  <dcterms:created xsi:type="dcterms:W3CDTF">2026-06-30T07:53:00Z</dcterms:created>
  <dcterms:modified xsi:type="dcterms:W3CDTF">2026-06-30T08:09:00Z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0x0101000C8F0020DBE78B4C8349C67EFC5934E6</vt:lpwstr>
  </property>
  <property fmtid="{D5CDD505-2E9C-101B-9397-08002B2CF9AE}" pid="5" name="ClassificationContentMarkingHeaderShapeIds">
    <vt:lpwstr>4f341a1a,4cc1dd5,11174ff2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4f39386d,cad1e7a,6ea1baa0,23b89df8,55057f86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0ad370f1-5840-4c36-bb65-89acaaf849ca_Enabled">
    <vt:lpwstr>true</vt:lpwstr>
  </property>
  <property fmtid="{D5CDD505-2E9C-101B-9397-08002B2CF9AE}" pid="12" name="MSIP_Label_0ad370f1-5840-4c36-bb65-89acaaf849ca_SetDate">
    <vt:lpwstr>2026-01-21T00:24:13Z</vt:lpwstr>
  </property>
  <property fmtid="{D5CDD505-2E9C-101B-9397-08002B2CF9AE}" pid="13" name="MSIP_Label_0ad370f1-5840-4c36-bb65-89acaaf849ca_Method">
    <vt:lpwstr>Privileged</vt:lpwstr>
  </property>
  <property fmtid="{D5CDD505-2E9C-101B-9397-08002B2CF9AE}" pid="14" name="MSIP_Label_0ad370f1-5840-4c36-bb65-89acaaf849ca_Name">
    <vt:lpwstr>OFFICIAL</vt:lpwstr>
  </property>
  <property fmtid="{D5CDD505-2E9C-101B-9397-08002B2CF9AE}" pid="15" name="MSIP_Label_0ad370f1-5840-4c36-bb65-89acaaf849ca_SiteId">
    <vt:lpwstr>0fe05593-19ac-4f98-adbf-0375fce7f160</vt:lpwstr>
  </property>
  <property fmtid="{D5CDD505-2E9C-101B-9397-08002B2CF9AE}" pid="16" name="MSIP_Label_0ad370f1-5840-4c36-bb65-89acaaf849ca_ActionId">
    <vt:lpwstr>558ba41d-5eb1-4aa8-bdc4-85d7a55ad61c</vt:lpwstr>
  </property>
  <property fmtid="{D5CDD505-2E9C-101B-9397-08002B2CF9AE}" pid="17" name="MSIP_Label_0ad370f1-5840-4c36-bb65-89acaaf849ca_ContentBits">
    <vt:lpwstr>3</vt:lpwstr>
  </property>
  <property fmtid="{D5CDD505-2E9C-101B-9397-08002B2CF9AE}" pid="18" name="MSIP_Label_0ad370f1-5840-4c36-bb65-89acaaf849ca_Tag">
    <vt:lpwstr>10, 0, 1, 1</vt:lpwstr>
  </property>
  <property fmtid="{D5CDD505-2E9C-101B-9397-08002B2CF9AE}" pid="19" name="GrammarlyDocumentId">
    <vt:lpwstr>eb93f2dc-0387-488d-99aa-18c67bc51fa0</vt:lpwstr>
  </property>
</Properties>
</file>