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D4AB4" w14:textId="77777777" w:rsidR="007058CA" w:rsidRPr="00477B5A" w:rsidRDefault="007058CA" w:rsidP="00D81F84">
      <w:pPr>
        <w:sectPr w:rsidR="007058CA" w:rsidRPr="00477B5A" w:rsidSect="007058CA">
          <w:headerReference w:type="default" r:id="rId11"/>
          <w:footerReference w:type="default" r:id="rId12"/>
          <w:headerReference w:type="first" r:id="rId13"/>
          <w:footerReference w:type="first" r:id="rId14"/>
          <w:pgSz w:w="11906" w:h="16838" w:code="9"/>
          <w:pgMar w:top="1440" w:right="1134" w:bottom="1440" w:left="1134" w:header="709" w:footer="709" w:gutter="0"/>
          <w:pgNumType w:start="0"/>
          <w:cols w:space="708"/>
          <w:docGrid w:linePitch="360"/>
        </w:sectPr>
      </w:pPr>
    </w:p>
    <w:p w14:paraId="5BF78B6B" w14:textId="77777777" w:rsidR="00392AD8" w:rsidRPr="00477B5A" w:rsidRDefault="00392AD8" w:rsidP="00D81F84"/>
    <w:p w14:paraId="42AC7245" w14:textId="77777777" w:rsidR="00392AD8" w:rsidRPr="00477B5A" w:rsidRDefault="00392AD8" w:rsidP="00D81F84"/>
    <w:p w14:paraId="6CA89835" w14:textId="77777777" w:rsidR="00C902E0" w:rsidRPr="00477B5A" w:rsidRDefault="00C902E0" w:rsidP="00D81F84"/>
    <w:p w14:paraId="1AE40C9D" w14:textId="77777777" w:rsidR="008006A5" w:rsidRPr="00477B5A" w:rsidRDefault="008006A5" w:rsidP="00D81F84"/>
    <w:p w14:paraId="39C4911E" w14:textId="3EE4FF7D" w:rsidR="00C902E0" w:rsidRPr="00477B5A" w:rsidRDefault="00751171" w:rsidP="00C902E0">
      <w:pPr>
        <w:pStyle w:val="Title3"/>
        <w:rPr>
          <w:bCs/>
        </w:rPr>
      </w:pPr>
      <w:r w:rsidRPr="00477B5A">
        <w:rPr>
          <w:noProof/>
        </w:rPr>
        <mc:AlternateContent>
          <mc:Choice Requires="wps">
            <w:drawing>
              <wp:anchor distT="0" distB="0" distL="114300" distR="114300" simplePos="0" relativeHeight="251656192" behindDoc="0" locked="1" layoutInCell="1" allowOverlap="1" wp14:anchorId="0784A4B4" wp14:editId="06AF504E">
                <wp:simplePos x="0" y="0"/>
                <wp:positionH relativeFrom="column">
                  <wp:posOffset>-775970</wp:posOffset>
                </wp:positionH>
                <wp:positionV relativeFrom="paragraph">
                  <wp:posOffset>385445</wp:posOffset>
                </wp:positionV>
                <wp:extent cx="334645" cy="388620"/>
                <wp:effectExtent l="0" t="0" r="8255" b="0"/>
                <wp:wrapNone/>
                <wp:docPr id="31" name="Rectangle 31"/>
                <wp:cNvGraphicFramePr/>
                <a:graphic xmlns:a="http://schemas.openxmlformats.org/drawingml/2006/main">
                  <a:graphicData uri="http://schemas.microsoft.com/office/word/2010/wordprocessingShape">
                    <wps:wsp>
                      <wps:cNvSpPr/>
                      <wps:spPr>
                        <a:xfrm>
                          <a:off x="0" y="0"/>
                          <a:ext cx="334645" cy="388620"/>
                        </a:xfrm>
                        <a:prstGeom prst="rect">
                          <a:avLst/>
                        </a:prstGeom>
                        <a:solidFill>
                          <a:srgbClr val="FFCB0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812DC" id="Rectangle 31" o:spid="_x0000_s1026" style="position:absolute;margin-left:-61.1pt;margin-top:30.35pt;width:26.35pt;height:3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897ggIAAF4FAAAOAAAAZHJzL2Uyb0RvYy54bWysVE1vGjEQvVfqf7B8b3YhkKYoS0SJqCpF&#10;SdSkytl4bVjJ63HHhoX++o69H6Rp1ENVDsb2vHnzsW98dX2oDdsr9BXYgo/Ocs6UlVBWdlPw70+r&#10;D5ec+SBsKQxYVfCj8vx6/v7dVeNmagxbMKVCRiTWzxpX8G0IbpZlXm5VLfwZOGXJqAFrEeiIm6xE&#10;0RB7bbJxnl9kDWDpEKTynm5vWiOfJ36tlQz3WnsVmCk45RbSimldxzWbX4nZBoXbVrJLQ/xDFrWo&#10;LAUdqG5EEGyH1R9UdSURPOhwJqHOQOtKqlQDVTPKX1XzuBVOpVqoOd4NbfL/j1be7R/dA1IbGudn&#10;nraxioPGOv5TfuyQmnUcmqUOgUm6PD+fXEymnEkynV9eXoxTM7OTs0MfviioWdwUHOlbpBaJ/a0P&#10;FJCgPSTG8mCqclUZkw64WS8Nsr2g77ZaLT/n0/ipyOU3mLERbCG6teZ4k51KSbtwNCrijP2mNKtK&#10;Sn6cMkkqU0McIaWyYdSatqJUbfhpTr8+etRl9Ei5JMLIrCn+wN0R9MiWpOdus+zw0VUlkQ7O+d8S&#10;a50HjxQZbBic68oCvkVgqKoucovvm9S2JnZpDeXxARlCOyLeyVVF3+1W+PAgkGaCpofmPNzTog00&#10;BYdux9kW8Odb9xFPUiUrZw3NWMH9j51AxZn5aknEn0aTSRzKdJhMP5KEGL60rF9a7K5eAslhRC+K&#10;k2kb8cH0W41QP9NzsIhRySSspNgFlwH7wzK0s08PilSLRYLRIDoRbu2jk5E8djXq8unwLNB14g2k&#10;+jvo51HMXmm4xUZPC4tdAF0lgZ/62vWbhjgJp3tw4ivx8pxQp2dx/gsAAP//AwBQSwMEFAAGAAgA&#10;AAAhAH5sWeThAAAACwEAAA8AAABkcnMvZG93bnJldi54bWxMj1FLwzAUhd8F/0O4gm9dkoLV1qZD&#10;nHsQBmIdG75lzbUtNklpsq37916f9PFyPs75brmc7cBOOIXeOwVyIYCha7zpXatg+7FOHoCFqJ3R&#10;g3eo4IIBltX1VakL48/uHU91bBmVuFBoBV2MY8F5aDq0Oiz8iI6yLz9ZHemcWm4mfaZyO/BUiIxb&#10;3Tta6PSIzx023/XRKtjnq836Ugf5ukG52n6+CbmLL0rd3sxPj8AizvEPhl99UoeKnA7+6Exgg4JE&#10;pmlKrIJM3AMjIsnyO2AHQlOZA69K/v+H6gcAAP//AwBQSwECLQAUAAYACAAAACEAtoM4kv4AAADh&#10;AQAAEwAAAAAAAAAAAAAAAAAAAAAAW0NvbnRlbnRfVHlwZXNdLnhtbFBLAQItABQABgAIAAAAIQA4&#10;/SH/1gAAAJQBAAALAAAAAAAAAAAAAAAAAC8BAABfcmVscy8ucmVsc1BLAQItABQABgAIAAAAIQAt&#10;U897ggIAAF4FAAAOAAAAAAAAAAAAAAAAAC4CAABkcnMvZTJvRG9jLnhtbFBLAQItABQABgAIAAAA&#10;IQB+bFnk4QAAAAsBAAAPAAAAAAAAAAAAAAAAANwEAABkcnMvZG93bnJldi54bWxQSwUGAAAAAAQA&#10;BADzAAAA6gUAAAAA&#10;" fillcolor="#ffcb05" stroked="f" strokeweight="1pt">
                <w10:anchorlock/>
              </v:rect>
            </w:pict>
          </mc:Fallback>
        </mc:AlternateContent>
      </w:r>
      <w:fldSimple w:instr=" DOCPROPERTY  &quot;Document type&quot;  \* MERGEFORMAT ">
        <w:r w:rsidR="00036C9A">
          <w:t>Australian Research in Power System Transformation</w:t>
        </w:r>
      </w:fldSimple>
    </w:p>
    <w:bookmarkStart w:id="0" w:name="_Hlk78812487"/>
    <w:p w14:paraId="44FFFA93" w14:textId="48D4D1A8" w:rsidR="00C902E0" w:rsidRPr="00477B5A" w:rsidRDefault="00E17094" w:rsidP="00A6075D">
      <w:pPr>
        <w:pStyle w:val="Title"/>
      </w:pPr>
      <w:sdt>
        <w:sdtPr>
          <w:alias w:val="Title"/>
          <w:tag w:val=""/>
          <w:id w:val="912050669"/>
          <w:placeholder>
            <w:docPart w:val="52A437D4D5DA4B8ABD3A74529F0A86B6"/>
          </w:placeholder>
          <w:dataBinding w:prefixMappings="xmlns:ns0='http://purl.org/dc/elements/1.1/' xmlns:ns1='http://schemas.openxmlformats.org/package/2006/metadata/core-properties' " w:xpath="/ns1:coreProperties[1]/ns0:title[1]" w:storeItemID="{6C3C8BC8-F283-45AE-878A-BAB7291924A1}"/>
          <w:text/>
        </w:sdtPr>
        <w:sdtEndPr/>
        <w:sdtContent>
          <w:r w:rsidR="002F3B3B">
            <w:t>Characterisation of Load for Essential Services</w:t>
          </w:r>
        </w:sdtContent>
      </w:sdt>
    </w:p>
    <w:sdt>
      <w:sdtPr>
        <w:alias w:val="Subject"/>
        <w:tag w:val=""/>
        <w:id w:val="-575360854"/>
        <w:placeholder>
          <w:docPart w:val="C36E84C707AC4C2FAA7402A562D244D0"/>
        </w:placeholder>
        <w:dataBinding w:prefixMappings="xmlns:ns0='http://purl.org/dc/elements/1.1/' xmlns:ns1='http://schemas.openxmlformats.org/package/2006/metadata/core-properties' " w:xpath="/ns1:coreProperties[1]/ns0:subject[1]" w:storeItemID="{6C3C8BC8-F283-45AE-878A-BAB7291924A1}"/>
        <w:text/>
      </w:sdtPr>
      <w:sdtEndPr/>
      <w:sdtContent>
        <w:p w14:paraId="2B3CA89A" w14:textId="3B26F3B2" w:rsidR="00C902E0" w:rsidRPr="00477B5A" w:rsidRDefault="003045D3" w:rsidP="00C902E0">
          <w:pPr>
            <w:pStyle w:val="Title2"/>
          </w:pPr>
          <w:r>
            <w:t>Topic 6 - Essential System Services</w:t>
          </w:r>
        </w:p>
      </w:sdtContent>
    </w:sdt>
    <w:p w14:paraId="511CF58F" w14:textId="77777777" w:rsidR="00C902E0" w:rsidRPr="00477B5A" w:rsidRDefault="00C902E0" w:rsidP="00E6026A">
      <w:pPr>
        <w:pStyle w:val="Title3"/>
      </w:pPr>
    </w:p>
    <w:p w14:paraId="5F055214" w14:textId="77777777" w:rsidR="00C902E0" w:rsidRPr="00477B5A" w:rsidRDefault="00C902E0" w:rsidP="00E6026A">
      <w:pPr>
        <w:pStyle w:val="Title3"/>
      </w:pPr>
    </w:p>
    <w:p w14:paraId="6A2AAF04" w14:textId="77777777" w:rsidR="00C902E0" w:rsidRPr="00477B5A" w:rsidRDefault="00C902E0" w:rsidP="00E6026A">
      <w:pPr>
        <w:pStyle w:val="Title3"/>
      </w:pPr>
    </w:p>
    <w:p w14:paraId="02891FEC" w14:textId="77777777" w:rsidR="00C902E0" w:rsidRPr="00477B5A" w:rsidRDefault="00C902E0" w:rsidP="00C902E0">
      <w:pPr>
        <w:pStyle w:val="Title3"/>
      </w:pPr>
      <w:r w:rsidRPr="00477B5A">
        <w:t>Prepared for:</w:t>
      </w:r>
    </w:p>
    <w:p w14:paraId="619A50B0" w14:textId="56445D5F" w:rsidR="00C902E0" w:rsidRPr="00477B5A" w:rsidRDefault="00036C9A" w:rsidP="00C902E0">
      <w:pPr>
        <w:pStyle w:val="Title4"/>
      </w:pPr>
      <w:fldSimple w:instr=" DOCPROPERTY  Client  \* MERGEFORMAT ">
        <w:r>
          <w:t>Commonwealth Scientific and Industrial Research Organisation &amp; AEMO</w:t>
        </w:r>
      </w:fldSimple>
    </w:p>
    <w:p w14:paraId="7816535E" w14:textId="257E39FA" w:rsidR="00C902E0" w:rsidRPr="00477B5A" w:rsidRDefault="00C902E0" w:rsidP="00C902E0">
      <w:pPr>
        <w:pStyle w:val="Title4"/>
      </w:pPr>
    </w:p>
    <w:p w14:paraId="0B892F6B" w14:textId="77777777" w:rsidR="00C902E0" w:rsidRPr="00477B5A" w:rsidRDefault="00C902E0" w:rsidP="00E6026A">
      <w:pPr>
        <w:pStyle w:val="Title3"/>
      </w:pPr>
    </w:p>
    <w:p w14:paraId="28ECCF80" w14:textId="77777777" w:rsidR="00C902E0" w:rsidRPr="00477B5A" w:rsidRDefault="00C902E0" w:rsidP="00C902E0">
      <w:pPr>
        <w:pStyle w:val="Title3"/>
      </w:pPr>
      <w:r w:rsidRPr="00477B5A">
        <w:t>Prepared by:</w:t>
      </w:r>
    </w:p>
    <w:p w14:paraId="1FE11ABF" w14:textId="142327FC" w:rsidR="00C902E0" w:rsidRPr="00477B5A" w:rsidRDefault="00036C9A" w:rsidP="00C902E0">
      <w:pPr>
        <w:pStyle w:val="Title4"/>
      </w:pPr>
      <w:fldSimple w:instr=" DOCPROPERTY  Company  \* MERGEFORMAT ">
        <w:r>
          <w:t>Advitech Pty Limited</w:t>
        </w:r>
      </w:fldSimple>
    </w:p>
    <w:p w14:paraId="19CBE289" w14:textId="2E167563" w:rsidR="00C902E0" w:rsidRPr="00477B5A" w:rsidRDefault="00C902E0" w:rsidP="00C902E0">
      <w:pPr>
        <w:pStyle w:val="Title4"/>
      </w:pPr>
      <w:r w:rsidRPr="00477B5A">
        <w:t xml:space="preserve">Job: </w:t>
      </w:r>
      <w:fldSimple w:instr=" DOCPROPERTY  &quot;Job No&quot;  \* MERGEFORMAT ">
        <w:r w:rsidR="00036C9A">
          <w:t>AV-J-251198</w:t>
        </w:r>
      </w:fldSimple>
      <w:r w:rsidRPr="00477B5A">
        <w:t xml:space="preserve">, Folder: </w:t>
      </w:r>
      <w:fldSimple w:instr=" DOCPROPERTY  &quot;Folder No&quot;  \* MERGEFORMAT ">
        <w:r w:rsidR="00036C9A">
          <w:t>F23905</w:t>
        </w:r>
      </w:fldSimple>
    </w:p>
    <w:p w14:paraId="3DBE70BF" w14:textId="74A5E43C" w:rsidR="00C902E0" w:rsidRPr="00477B5A" w:rsidRDefault="00C902E0" w:rsidP="00E6026A">
      <w:pPr>
        <w:pStyle w:val="Title4"/>
      </w:pPr>
      <w:r w:rsidRPr="00477B5A">
        <w:t xml:space="preserve">Revision: </w:t>
      </w:r>
      <w:fldSimple w:instr=" DOCPROPERTY  Revision  \* MERGEFORMAT ">
        <w:r w:rsidR="00036C9A">
          <w:t>1</w:t>
        </w:r>
      </w:fldSimple>
      <w:r w:rsidRPr="00477B5A">
        <w:t xml:space="preserve"> (</w:t>
      </w:r>
      <w:fldSimple w:instr=" DOCPROPERTY  Status  \* MERGEFORMAT ">
        <w:r w:rsidR="00036C9A">
          <w:t>Final</w:t>
        </w:r>
      </w:fldSimple>
      <w:r w:rsidRPr="00477B5A">
        <w:t xml:space="preserve">) </w:t>
      </w:r>
      <w:fldSimple w:instr=" DOCPROPERTY  &quot;Date completed&quot;  \* MERGEFORMAT ">
        <w:r w:rsidR="00036C9A">
          <w:t>1 Jul 2026</w:t>
        </w:r>
      </w:fldSimple>
    </w:p>
    <w:p w14:paraId="4DF81418" w14:textId="0857F2C9" w:rsidR="00E6026A" w:rsidRPr="00477B5A" w:rsidRDefault="00E6026A" w:rsidP="00E6026A">
      <w:pPr>
        <w:pStyle w:val="Title4"/>
      </w:pPr>
    </w:p>
    <w:bookmarkEnd w:id="0"/>
    <w:p w14:paraId="4127CC36" w14:textId="39DB50D0" w:rsidR="0089237F" w:rsidRPr="00477B5A" w:rsidRDefault="00C9518C" w:rsidP="00D81F84">
      <w:r w:rsidRPr="00477B5A">
        <w:rPr>
          <w:noProof/>
        </w:rPr>
        <mc:AlternateContent>
          <mc:Choice Requires="wps">
            <w:drawing>
              <wp:anchor distT="45720" distB="45720" distL="114300" distR="114300" simplePos="0" relativeHeight="251659264" behindDoc="0" locked="0" layoutInCell="1" allowOverlap="1" wp14:anchorId="77271EF7" wp14:editId="6F88BC23">
                <wp:simplePos x="0" y="0"/>
                <wp:positionH relativeFrom="column">
                  <wp:posOffset>-72390</wp:posOffset>
                </wp:positionH>
                <wp:positionV relativeFrom="paragraph">
                  <wp:posOffset>298450</wp:posOffset>
                </wp:positionV>
                <wp:extent cx="1678305" cy="26339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2633980"/>
                        </a:xfrm>
                        <a:prstGeom prst="rect">
                          <a:avLst/>
                        </a:prstGeom>
                        <a:noFill/>
                        <a:ln w="9525">
                          <a:noFill/>
                          <a:miter lim="800000"/>
                          <a:headEnd/>
                          <a:tailEnd/>
                        </a:ln>
                      </wps:spPr>
                      <wps:txbx>
                        <w:txbxContent>
                          <w:p w14:paraId="7C2E2208" w14:textId="2DB81B8C" w:rsidR="00C9518C" w:rsidRPr="00C9518C" w:rsidRDefault="00C9518C" w:rsidP="00C9518C">
                            <w:pPr>
                              <w:rPr>
                                <w:color w:val="FFFFFF" w:themeColor="background1"/>
                                <w:sz w:val="20"/>
                                <w:szCs w:val="26"/>
                              </w:rPr>
                            </w:pPr>
                            <w:r w:rsidRPr="00C9518C">
                              <w:rPr>
                                <w:color w:val="FFFFFF" w:themeColor="background1"/>
                                <w:sz w:val="20"/>
                                <w:szCs w:val="26"/>
                              </w:rPr>
                              <w:t>Project Sponsor</w:t>
                            </w:r>
                            <w:r>
                              <w:rPr>
                                <w:color w:val="FFFFFF" w:themeColor="background1"/>
                                <w:sz w:val="20"/>
                                <w:szCs w:val="26"/>
                              </w:rPr>
                              <w:t>s</w:t>
                            </w:r>
                            <w:r w:rsidRPr="00C9518C">
                              <w:rPr>
                                <w:color w:val="FFFFFF" w:themeColor="background1"/>
                                <w:sz w:val="20"/>
                                <w:szCs w:val="26"/>
                              </w:rPr>
                              <w:t>:</w:t>
                            </w:r>
                          </w:p>
                          <w:p w14:paraId="34CD9FC3" w14:textId="51E1AE8C" w:rsidR="00C9518C" w:rsidRDefault="00C9518C" w:rsidP="00C9518C">
                            <w:r>
                              <w:rPr>
                                <w:noProof/>
                              </w:rPr>
                              <w:drawing>
                                <wp:inline distT="0" distB="0" distL="0" distR="0" wp14:anchorId="59F203A7" wp14:editId="1A3293A3">
                                  <wp:extent cx="1405255" cy="1170579"/>
                                  <wp:effectExtent l="0" t="0" r="4445" b="0"/>
                                  <wp:docPr id="143991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65858" name="Picture 315165858"/>
                                          <pic:cNvPicPr/>
                                        </pic:nvPicPr>
                                        <pic:blipFill>
                                          <a:blip r:embed="rId15">
                                            <a:extLst>
                                              <a:ext uri="{28A0092B-C50C-407E-A947-70E740481C1C}">
                                                <a14:useLocalDpi xmlns:a14="http://schemas.microsoft.com/office/drawing/2010/main" val="0"/>
                                              </a:ext>
                                            </a:extLst>
                                          </a:blip>
                                          <a:stretch>
                                            <a:fillRect/>
                                          </a:stretch>
                                        </pic:blipFill>
                                        <pic:spPr>
                                          <a:xfrm>
                                            <a:off x="0" y="0"/>
                                            <a:ext cx="1425784" cy="1187680"/>
                                          </a:xfrm>
                                          <a:prstGeom prst="rect">
                                            <a:avLst/>
                                          </a:prstGeom>
                                        </pic:spPr>
                                      </pic:pic>
                                    </a:graphicData>
                                  </a:graphic>
                                </wp:inline>
                              </w:drawing>
                            </w:r>
                          </w:p>
                          <w:p w14:paraId="2389018D" w14:textId="009ABB7A" w:rsidR="00C9518C" w:rsidRDefault="00C9518C" w:rsidP="00C9518C">
                            <w:r>
                              <w:rPr>
                                <w:noProof/>
                              </w:rPr>
                              <w:drawing>
                                <wp:inline distT="0" distB="0" distL="0" distR="0" wp14:anchorId="4B16E8B3" wp14:editId="0838499B">
                                  <wp:extent cx="1404905" cy="573206"/>
                                  <wp:effectExtent l="0" t="0" r="5080" b="0"/>
                                  <wp:docPr id="16437285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65340" name="Picture 632565340"/>
                                          <pic:cNvPicPr/>
                                        </pic:nvPicPr>
                                        <pic:blipFill>
                                          <a:blip r:embed="rId16">
                                            <a:extLst>
                                              <a:ext uri="{28A0092B-C50C-407E-A947-70E740481C1C}">
                                                <a14:useLocalDpi xmlns:a14="http://schemas.microsoft.com/office/drawing/2010/main" val="0"/>
                                              </a:ext>
                                            </a:extLst>
                                          </a:blip>
                                          <a:stretch>
                                            <a:fillRect/>
                                          </a:stretch>
                                        </pic:blipFill>
                                        <pic:spPr>
                                          <a:xfrm>
                                            <a:off x="0" y="0"/>
                                            <a:ext cx="1435747" cy="5857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271EF7" id="_x0000_t202" coordsize="21600,21600" o:spt="202" path="m,l,21600r21600,l21600,xe">
                <v:stroke joinstyle="miter"/>
                <v:path gradientshapeok="t" o:connecttype="rect"/>
              </v:shapetype>
              <v:shape id="Text Box 2" o:spid="_x0000_s1026" type="#_x0000_t202" style="position:absolute;margin-left:-5.7pt;margin-top:23.5pt;width:132.15pt;height:20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Ke+QEAAM4DAAAOAAAAZHJzL2Uyb0RvYy54bWysU8tu2zAQvBfoPxC815KfsQXLQZo0RYH0&#10;AST9AIqiLKIklyVpS+7XZ0kpjtHciupAcLXk7M7scHvda0WOwnkJpqTTSU6JMBxqafYl/fl0/2FN&#10;iQ/M1EyBESU9CU+vd+/fbTtbiBm0oGrhCIIYX3S2pG0Itsgyz1uhmZ+AFQaTDTjNAoZun9WOdYiu&#10;VTbL81XWgautAy68x793Q5LuEn7TCB6+N40XgaiSYm8hrS6tVVyz3ZYVe8dsK/nYBvuHLjSTBoue&#10;oe5YYOTg5BsoLbkDD02YcNAZNI3kInFANtP8LzaPLbMicUFxvD3L5P8fLP92fLQ/HAn9R+hxgImE&#10;tw/Af3li4LZlZi9unIOuFazGwtMoWdZZX4xXo9S+8BGk6r5CjUNmhwAJqG+cjqogT4LoOIDTWXTR&#10;B8JjydXVep4vKeGYm63m8806jSVjxct163z4LECTuCmpw6kmeHZ88CG2w4qXI7GagXupVJqsMqQr&#10;6WY5W6YLFxktAxpPSV3SdR6/wQqR5SdTp8uBSTXssYAyI+3IdOAc+qrHg5F+BfUJBXAwGAwfBG5a&#10;cH8o6dBcJfW/D8wJStQXgyJupotFdGMKFsurGQbuMlNdZpjhCFXSQMmwvQ3JwQPXGxS7kUmG107G&#10;XtE0SZ3R4NGVl3E69foMd88AAAD//wMAUEsDBBQABgAIAAAAIQBRE0FE3wAAAAoBAAAPAAAAZHJz&#10;L2Rvd25yZXYueG1sTI9NT8MwDIbvSPsPkSdx25JW3dhK02kCcQUxPiRuWeO11RqnarK1/HvMCY62&#10;H71+3mI3uU5ccQitJw3JUoFAqrxtqdbw/va02IAI0ZA1nSfU8I0BduXspjC59SO94vUQa8EhFHKj&#10;oYmxz6UMVYPOhKXvkfh28oMzkcehlnYwI4e7TqZKraUzLfGHxvT40GB1Plycho/n09dnpl7qR7fq&#10;Rz8pSW4rtb6dT/t7EBGn+AfDrz6rQ8lOR38hG0SnYZEkGaMasjvuxEC6SrcgjrxYJxuQZSH/Vyh/&#10;AAAA//8DAFBLAQItABQABgAIAAAAIQC2gziS/gAAAOEBAAATAAAAAAAAAAAAAAAAAAAAAABbQ29u&#10;dGVudF9UeXBlc10ueG1sUEsBAi0AFAAGAAgAAAAhADj9If/WAAAAlAEAAAsAAAAAAAAAAAAAAAAA&#10;LwEAAF9yZWxzLy5yZWxzUEsBAi0AFAAGAAgAAAAhACnWMp75AQAAzgMAAA4AAAAAAAAAAAAAAAAA&#10;LgIAAGRycy9lMm9Eb2MueG1sUEsBAi0AFAAGAAgAAAAhAFETQUTfAAAACgEAAA8AAAAAAAAAAAAA&#10;AAAAUwQAAGRycy9kb3ducmV2LnhtbFBLBQYAAAAABAAEAPMAAABfBQAAAAA=&#10;" filled="f" stroked="f">
                <v:textbox>
                  <w:txbxContent>
                    <w:p w14:paraId="7C2E2208" w14:textId="2DB81B8C" w:rsidR="00C9518C" w:rsidRPr="00C9518C" w:rsidRDefault="00C9518C" w:rsidP="00C9518C">
                      <w:pPr>
                        <w:rPr>
                          <w:color w:val="FFFFFF" w:themeColor="background1"/>
                          <w:sz w:val="20"/>
                          <w:szCs w:val="26"/>
                        </w:rPr>
                      </w:pPr>
                      <w:r w:rsidRPr="00C9518C">
                        <w:rPr>
                          <w:color w:val="FFFFFF" w:themeColor="background1"/>
                          <w:sz w:val="20"/>
                          <w:szCs w:val="26"/>
                        </w:rPr>
                        <w:t>Project Sponsor</w:t>
                      </w:r>
                      <w:r>
                        <w:rPr>
                          <w:color w:val="FFFFFF" w:themeColor="background1"/>
                          <w:sz w:val="20"/>
                          <w:szCs w:val="26"/>
                        </w:rPr>
                        <w:t>s</w:t>
                      </w:r>
                      <w:r w:rsidRPr="00C9518C">
                        <w:rPr>
                          <w:color w:val="FFFFFF" w:themeColor="background1"/>
                          <w:sz w:val="20"/>
                          <w:szCs w:val="26"/>
                        </w:rPr>
                        <w:t>:</w:t>
                      </w:r>
                    </w:p>
                    <w:p w14:paraId="34CD9FC3" w14:textId="51E1AE8C" w:rsidR="00C9518C" w:rsidRDefault="00C9518C" w:rsidP="00C9518C">
                      <w:r>
                        <w:rPr>
                          <w:noProof/>
                        </w:rPr>
                        <w:drawing>
                          <wp:inline distT="0" distB="0" distL="0" distR="0" wp14:anchorId="59F203A7" wp14:editId="1A3293A3">
                            <wp:extent cx="1405255" cy="1170579"/>
                            <wp:effectExtent l="0" t="0" r="4445" b="0"/>
                            <wp:docPr id="143991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65858" name="Picture 315165858"/>
                                    <pic:cNvPicPr/>
                                  </pic:nvPicPr>
                                  <pic:blipFill>
                                    <a:blip r:embed="rId18">
                                      <a:extLst>
                                        <a:ext uri="{28A0092B-C50C-407E-A947-70E740481C1C}">
                                          <a14:useLocalDpi xmlns:a14="http://schemas.microsoft.com/office/drawing/2010/main" val="0"/>
                                        </a:ext>
                                      </a:extLst>
                                    </a:blip>
                                    <a:stretch>
                                      <a:fillRect/>
                                    </a:stretch>
                                  </pic:blipFill>
                                  <pic:spPr>
                                    <a:xfrm>
                                      <a:off x="0" y="0"/>
                                      <a:ext cx="1425784" cy="1187680"/>
                                    </a:xfrm>
                                    <a:prstGeom prst="rect">
                                      <a:avLst/>
                                    </a:prstGeom>
                                  </pic:spPr>
                                </pic:pic>
                              </a:graphicData>
                            </a:graphic>
                          </wp:inline>
                        </w:drawing>
                      </w:r>
                    </w:p>
                    <w:p w14:paraId="2389018D" w14:textId="009ABB7A" w:rsidR="00C9518C" w:rsidRDefault="00C9518C" w:rsidP="00C9518C">
                      <w:r>
                        <w:rPr>
                          <w:noProof/>
                        </w:rPr>
                        <w:drawing>
                          <wp:inline distT="0" distB="0" distL="0" distR="0" wp14:anchorId="4B16E8B3" wp14:editId="0838499B">
                            <wp:extent cx="1404905" cy="573206"/>
                            <wp:effectExtent l="0" t="0" r="5080" b="0"/>
                            <wp:docPr id="16437285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65340" name="Picture 632565340"/>
                                    <pic:cNvPicPr/>
                                  </pic:nvPicPr>
                                  <pic:blipFill>
                                    <a:blip r:embed="rId19">
                                      <a:extLst>
                                        <a:ext uri="{28A0092B-C50C-407E-A947-70E740481C1C}">
                                          <a14:useLocalDpi xmlns:a14="http://schemas.microsoft.com/office/drawing/2010/main" val="0"/>
                                        </a:ext>
                                      </a:extLst>
                                    </a:blip>
                                    <a:stretch>
                                      <a:fillRect/>
                                    </a:stretch>
                                  </pic:blipFill>
                                  <pic:spPr>
                                    <a:xfrm>
                                      <a:off x="0" y="0"/>
                                      <a:ext cx="1435747" cy="585790"/>
                                    </a:xfrm>
                                    <a:prstGeom prst="rect">
                                      <a:avLst/>
                                    </a:prstGeom>
                                  </pic:spPr>
                                </pic:pic>
                              </a:graphicData>
                            </a:graphic>
                          </wp:inline>
                        </w:drawing>
                      </w:r>
                    </w:p>
                  </w:txbxContent>
                </v:textbox>
                <w10:wrap type="square"/>
              </v:shape>
            </w:pict>
          </mc:Fallback>
        </mc:AlternateContent>
      </w:r>
      <w:r w:rsidR="008F1AA2" w:rsidRPr="00477B5A">
        <w:br w:type="page"/>
      </w:r>
    </w:p>
    <w:p w14:paraId="5E5EF3BF" w14:textId="364D49B6" w:rsidR="00C9518C" w:rsidRPr="00477B5A" w:rsidRDefault="00012A00" w:rsidP="00012A00">
      <w:pPr>
        <w:pStyle w:val="NormalGreen"/>
        <w:spacing w:before="240" w:after="240"/>
      </w:pPr>
      <w:r w:rsidRPr="00477B5A">
        <w:lastRenderedPageBreak/>
        <w:t>Copyright</w:t>
      </w:r>
    </w:p>
    <w:p w14:paraId="45ADDC90" w14:textId="384F899C" w:rsidR="00C9518C" w:rsidRPr="00477B5A" w:rsidRDefault="00C9518C" w:rsidP="00C9518C">
      <w:pPr>
        <w:spacing w:before="120"/>
      </w:pPr>
      <w:r w:rsidRPr="00477B5A">
        <w:t>© Commonwealth Scientific and Industrial Research Organisation 2026. To the extent permitted by law, all rights are reserved and no part of this publication covered by copyright may be reproduced or copied in any form or by any means except with the written permission of CSIRO.</w:t>
      </w:r>
    </w:p>
    <w:p w14:paraId="39F366BD" w14:textId="77777777" w:rsidR="00C9518C" w:rsidRPr="00477B5A" w:rsidRDefault="00C9518C" w:rsidP="00C9518C">
      <w:pPr>
        <w:pStyle w:val="NormalGreen"/>
        <w:spacing w:before="240" w:after="240"/>
      </w:pPr>
      <w:r w:rsidRPr="00477B5A">
        <w:t>Important disclaimer</w:t>
      </w:r>
    </w:p>
    <w:p w14:paraId="49B9461D" w14:textId="77777777" w:rsidR="00C9518C" w:rsidRPr="00477B5A" w:rsidRDefault="00C9518C" w:rsidP="00C9518C">
      <w:pPr>
        <w:spacing w:before="120"/>
      </w:pPr>
      <w:r w:rsidRPr="00477B5A">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3C39E20" w14:textId="233D40AB" w:rsidR="00C9518C" w:rsidRPr="00477B5A" w:rsidRDefault="00C9518C" w:rsidP="00C9518C">
      <w:pPr>
        <w:spacing w:before="120"/>
      </w:pPr>
      <w:bookmarkStart w:id="1" w:name="_Hlk85218697"/>
      <w:r w:rsidRPr="00477B5A">
        <w:t xml:space="preserve">CSIRO is committed to providing web accessible content wherever possible. If you are having difficulties with accessing this </w:t>
      </w:r>
      <w:r w:rsidR="00012A00" w:rsidRPr="00477B5A">
        <w:t>document,</w:t>
      </w:r>
      <w:r w:rsidRPr="00477B5A">
        <w:t xml:space="preserve"> please contact </w:t>
      </w:r>
      <w:hyperlink r:id="rId20" w:tooltip="Contact CSIRO" w:history="1">
        <w:r w:rsidRPr="00477B5A">
          <w:rPr>
            <w:rStyle w:val="Hyperlink"/>
            <w:sz w:val="19"/>
          </w:rPr>
          <w:t>csiro.au</w:t>
        </w:r>
      </w:hyperlink>
      <w:r w:rsidRPr="00477B5A">
        <w:t>/contact</w:t>
      </w:r>
      <w:bookmarkEnd w:id="1"/>
      <w:r w:rsidRPr="00477B5A">
        <w:t>.</w:t>
      </w:r>
    </w:p>
    <w:p w14:paraId="6048A5D3" w14:textId="77777777" w:rsidR="00012A00" w:rsidRPr="00477B5A" w:rsidRDefault="00012A00" w:rsidP="00C9518C">
      <w:pPr>
        <w:spacing w:before="120"/>
        <w:rPr>
          <w:b/>
          <w:bCs/>
        </w:rPr>
      </w:pPr>
    </w:p>
    <w:p w14:paraId="7BB3107B" w14:textId="498DCEF0" w:rsidR="00C9518C" w:rsidRPr="00477B5A" w:rsidRDefault="00C9518C" w:rsidP="00012A00">
      <w:pPr>
        <w:pStyle w:val="NormalGreen"/>
      </w:pPr>
      <w:r w:rsidRPr="00477B5A">
        <w:t>Prepared for:</w:t>
      </w:r>
    </w:p>
    <w:p w14:paraId="6A2D24E5" w14:textId="0A2495BC" w:rsidR="00C9518C" w:rsidRPr="00477B5A" w:rsidRDefault="00C9518C" w:rsidP="00C9518C">
      <w:pPr>
        <w:spacing w:before="120"/>
      </w:pPr>
      <w:r w:rsidRPr="00477B5A">
        <w:rPr>
          <w:noProof/>
        </w:rPr>
        <w:drawing>
          <wp:inline distT="0" distB="0" distL="0" distR="0" wp14:anchorId="38910711" wp14:editId="2FC502A9">
            <wp:extent cx="1294463" cy="1078173"/>
            <wp:effectExtent l="0" t="0" r="1270" b="8255"/>
            <wp:docPr id="670932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32027" name="Picture 6709320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2921" cy="1085218"/>
                    </a:xfrm>
                    <a:prstGeom prst="rect">
                      <a:avLst/>
                    </a:prstGeom>
                  </pic:spPr>
                </pic:pic>
              </a:graphicData>
            </a:graphic>
          </wp:inline>
        </w:drawing>
      </w:r>
    </w:p>
    <w:p w14:paraId="2136ACBF" w14:textId="77777777" w:rsidR="00012A00" w:rsidRPr="00477B5A" w:rsidRDefault="00012A00" w:rsidP="00C9518C">
      <w:pPr>
        <w:pStyle w:val="NormalGreen"/>
      </w:pPr>
    </w:p>
    <w:p w14:paraId="2EB6A76D" w14:textId="77777777" w:rsidR="00012A00" w:rsidRPr="00477B5A" w:rsidRDefault="00012A00" w:rsidP="00012A00">
      <w:pPr>
        <w:pStyle w:val="NormalGreen"/>
        <w:spacing w:before="240" w:after="240"/>
      </w:pPr>
      <w:r w:rsidRPr="00477B5A">
        <w:t>Citation</w:t>
      </w:r>
    </w:p>
    <w:p w14:paraId="3041D651" w14:textId="73E675A6" w:rsidR="00012A00" w:rsidRPr="00477B5A" w:rsidRDefault="00012A00" w:rsidP="00012A00">
      <w:pPr>
        <w:spacing w:after="0" w:line="240" w:lineRule="auto"/>
        <w:rPr>
          <w:i/>
          <w:iCs/>
        </w:rPr>
      </w:pPr>
      <w:r w:rsidRPr="00477B5A">
        <w:rPr>
          <w:i/>
          <w:iCs/>
        </w:rPr>
        <w:t>Fina O, Jackson J, Yates A (202</w:t>
      </w:r>
      <w:r w:rsidR="003C60EE">
        <w:rPr>
          <w:i/>
          <w:iCs/>
        </w:rPr>
        <w:t>6</w:t>
      </w:r>
      <w:r w:rsidRPr="00477B5A">
        <w:rPr>
          <w:i/>
          <w:iCs/>
        </w:rPr>
        <w:t>)</w:t>
      </w:r>
      <w:r w:rsidR="003045D3">
        <w:rPr>
          <w:i/>
          <w:iCs/>
        </w:rPr>
        <w:t>,</w:t>
      </w:r>
      <w:r w:rsidRPr="00477B5A">
        <w:rPr>
          <w:i/>
          <w:iCs/>
        </w:rPr>
        <w:t xml:space="preserve"> </w:t>
      </w:r>
      <w:r w:rsidR="003045D3">
        <w:rPr>
          <w:i/>
          <w:iCs/>
        </w:rPr>
        <w:t>Characterisation of Load for Essential Services,</w:t>
      </w:r>
      <w:r w:rsidRPr="00477B5A">
        <w:rPr>
          <w:i/>
          <w:iCs/>
        </w:rPr>
        <w:t xml:space="preserve"> CSIRO, Australia. </w:t>
      </w:r>
    </w:p>
    <w:p w14:paraId="49486303" w14:textId="3F03611A" w:rsidR="00012A00" w:rsidRPr="00477B5A" w:rsidRDefault="00012A00" w:rsidP="00012A00">
      <w:pPr>
        <w:spacing w:after="0" w:line="240" w:lineRule="auto"/>
        <w:rPr>
          <w:i/>
          <w:iCs/>
        </w:rPr>
      </w:pPr>
      <w:r w:rsidRPr="00477B5A">
        <w:rPr>
          <w:i/>
          <w:iCs/>
          <w:noProof/>
        </w:rPr>
        <w:drawing>
          <wp:inline distT="0" distB="0" distL="0" distR="0" wp14:anchorId="7FB0ECB2" wp14:editId="7E3A9C0B">
            <wp:extent cx="1878628" cy="771099"/>
            <wp:effectExtent l="0" t="0" r="0" b="0"/>
            <wp:docPr id="1589725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2591" name="Picture 15897259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5427" cy="782099"/>
                    </a:xfrm>
                    <a:prstGeom prst="rect">
                      <a:avLst/>
                    </a:prstGeom>
                  </pic:spPr>
                </pic:pic>
              </a:graphicData>
            </a:graphic>
          </wp:inline>
        </w:drawing>
      </w:r>
    </w:p>
    <w:p w14:paraId="7D305A5A" w14:textId="77777777" w:rsidR="00012A00" w:rsidRPr="00477B5A" w:rsidRDefault="00012A00" w:rsidP="00012A00">
      <w:pPr>
        <w:pStyle w:val="NormalGreen"/>
      </w:pPr>
      <w:r w:rsidRPr="00477B5A">
        <w:t>Advitech Disclaimer</w:t>
      </w:r>
    </w:p>
    <w:p w14:paraId="07BB66FE" w14:textId="6BFD3329" w:rsidR="00012A00" w:rsidRPr="00477B5A" w:rsidRDefault="00FC2E3E" w:rsidP="00012A00">
      <w:pPr>
        <w:pStyle w:val="NormalGreen"/>
        <w:rPr>
          <w:rStyle w:val="Emphasis"/>
          <w:b w:val="0"/>
          <w:bCs w:val="0"/>
          <w:i w:val="0"/>
          <w:iCs w:val="0"/>
          <w:color w:val="auto"/>
        </w:rPr>
      </w:pPr>
      <w:r w:rsidRPr="00477B5A">
        <w:rPr>
          <w:rStyle w:val="Emphasis"/>
          <w:b w:val="0"/>
          <w:bCs w:val="0"/>
          <w:i w:val="0"/>
          <w:iCs w:val="0"/>
          <w:color w:val="auto"/>
        </w:rPr>
        <w:t xml:space="preserve">Any representation, statement, opinion or advice expressed or implied in this document is made in good faith, but on the basis that liability (whether by reason of negligence or otherwise) is strictly limited to that expressed on our standard ‘Conditions of Engagement’. </w:t>
      </w:r>
    </w:p>
    <w:p w14:paraId="67C29C40" w14:textId="77777777" w:rsidR="00FC2E3E" w:rsidRPr="00477B5A" w:rsidRDefault="00FC2E3E" w:rsidP="00012A00">
      <w:pPr>
        <w:pStyle w:val="NormalGreen"/>
        <w:rPr>
          <w:b w:val="0"/>
          <w:bCs w:val="0"/>
          <w:i/>
          <w:iCs/>
          <w:color w:val="auto"/>
        </w:rPr>
      </w:pPr>
    </w:p>
    <w:p w14:paraId="3B6AD0C7" w14:textId="77777777" w:rsidR="00012A00" w:rsidRPr="00477B5A" w:rsidRDefault="00012A00" w:rsidP="00012A00">
      <w:pPr>
        <w:pStyle w:val="NormalGreen"/>
      </w:pPr>
      <w:r w:rsidRPr="00477B5A">
        <w:t>Acknowledgement of Country</w:t>
      </w:r>
    </w:p>
    <w:p w14:paraId="12E6BA64" w14:textId="0AFE837D" w:rsidR="00C9518C" w:rsidRPr="00B50CAB" w:rsidRDefault="00012A00" w:rsidP="00FC2E3E">
      <w:pPr>
        <w:spacing w:before="120"/>
      </w:pPr>
      <w:r w:rsidRPr="000E6813">
        <w:t>Advitech acknowledges</w:t>
      </w:r>
      <w:r w:rsidR="003D50EE" w:rsidRPr="000E6813">
        <w:t xml:space="preserve"> all First Peoples as the Traditional Owners of the lands where we conduct our business. We pay our respects to Elders past, present and emerging. As engineers and scientists, we also acknowledge the contributions of First Peoples to engineering and sustainability, both traditional and contemporary. </w:t>
      </w:r>
      <w:r w:rsidR="00C9518C" w:rsidRPr="000E6813">
        <w:br w:type="page"/>
      </w:r>
    </w:p>
    <w:p w14:paraId="53246D28" w14:textId="3EF0CE7E" w:rsidR="00490D65" w:rsidRPr="00477B5A" w:rsidRDefault="00490D65" w:rsidP="00490D65">
      <w:pPr>
        <w:pStyle w:val="TitleBlack"/>
      </w:pPr>
      <w:r w:rsidRPr="007713DD">
        <w:lastRenderedPageBreak/>
        <w:t>Acknowledgments</w:t>
      </w:r>
    </w:p>
    <w:p w14:paraId="75F8156B" w14:textId="77777777" w:rsidR="00D36E4B" w:rsidRPr="00D36E4B" w:rsidRDefault="005A5844">
      <w:pPr>
        <w:spacing w:after="0" w:line="240" w:lineRule="auto"/>
      </w:pPr>
      <w:r w:rsidRPr="00D36E4B">
        <w:t xml:space="preserve">The research presented in this report was funded by CSIRO, Australia’s national science agency, and carried out as part of CSIRO’s contribution to the initiatives of the Australian Power Systems Renewables transition. This research supports Australia's transition to a stable, secure and affordable power system and contributes to critical research identified by the Consortium required to accelerate the decarbonisation of our electricity grid. The researchers wish to acknowledge the expertise and efforts provided by Nariman Mahdavi Mazdeh at CSIRO for their guidance and advice. </w:t>
      </w:r>
    </w:p>
    <w:p w14:paraId="3A7DED8C" w14:textId="239A6A98" w:rsidR="00490D65" w:rsidRPr="00477B5A" w:rsidRDefault="00490D65" w:rsidP="00D36E4B">
      <w:r w:rsidRPr="00477B5A">
        <w:br w:type="page"/>
      </w:r>
    </w:p>
    <w:p w14:paraId="485016AB" w14:textId="377C66BB" w:rsidR="00FD51D4" w:rsidRPr="00477B5A" w:rsidRDefault="00FD51D4" w:rsidP="00FD51D4">
      <w:pPr>
        <w:pStyle w:val="TitleBlack"/>
      </w:pPr>
      <w:r w:rsidRPr="00477B5A">
        <w:lastRenderedPageBreak/>
        <w:t>Executive Summary</w:t>
      </w:r>
    </w:p>
    <w:p w14:paraId="561422F5" w14:textId="73745EAD" w:rsidR="00DB2257" w:rsidRPr="00DB2257" w:rsidRDefault="00DB2257" w:rsidP="00DB2257">
      <w:r w:rsidRPr="00DB2257">
        <w:t>Australia’s electricity system is transitioning to a distributed, renewable-dominated network, increasing the need for essential system services such as frequency, inertia and voltage support to be sourced from demand-side assets. Mid-sized industrial loads represent a significant but underused opportunity to meet this need. They account for a substantial share of National Electricity Market (NEM) demand, are expected to grow faster than residential electrification, and yet remain under-characterised, underserved and largely absent from demand response (DR) markets. This project</w:t>
      </w:r>
      <w:r w:rsidR="00230A54">
        <w:t>,</w:t>
      </w:r>
      <w:r w:rsidRPr="00DB2257">
        <w:t xml:space="preserve"> undertaken </w:t>
      </w:r>
      <w:r w:rsidR="00A6599E">
        <w:t>under the Australian Research in Power System Transformation (AR-PST) Stage 5 program, Topic 6: Essential System Services</w:t>
      </w:r>
      <w:r w:rsidRPr="00DB2257">
        <w:t>, addresses that gap. Drawing on qualitative engagement with 22 mid-sized industrial companies in the Hunter Valley region of New South Wales, the study develops a taxonomy of industrial load types, a dual-axis classification framework for assessing barriers and capability factors, and a scored assessment of DR participation potential across a cohort spanning 11 industry sectors and annual energy consumption between 280 MWh and 100,000 MWh</w:t>
      </w:r>
      <w:r w:rsidR="00230A54">
        <w:t xml:space="preserve">, </w:t>
      </w:r>
      <w:r w:rsidR="00576CCC">
        <w:t>and a peak demand ranging between 100 kVA</w:t>
      </w:r>
      <w:r w:rsidR="00120FEE">
        <w:t xml:space="preserve"> and 2,400 kVA.</w:t>
      </w:r>
    </w:p>
    <w:p w14:paraId="5D8E04D7" w14:textId="773D47D3" w:rsidR="00DB2257" w:rsidRPr="00DB2257" w:rsidRDefault="00DB2257" w:rsidP="00DB2257">
      <w:r w:rsidRPr="00DB2257">
        <w:t xml:space="preserve">Data was collected through semi-structured interviews, follow-up communications and document analysis, including electricity billing records and energy audit reports. The study-specific classification framework assesses six </w:t>
      </w:r>
      <w:r w:rsidR="0083361B">
        <w:t xml:space="preserve">(6) </w:t>
      </w:r>
      <w:r w:rsidRPr="00DB2257">
        <w:t xml:space="preserve">barriers to DR participation and five </w:t>
      </w:r>
      <w:r w:rsidR="0083361B">
        <w:t xml:space="preserve">(5) </w:t>
      </w:r>
      <w:r w:rsidRPr="00DB2257">
        <w:t>capability factors that support it, together with a graduated notice-period component. This produces both a composite raw score and a normalised index for each participant. The framework was applied consistently across the full cohort, with scoring decisions documented to support transparency and reproducibility.</w:t>
      </w:r>
    </w:p>
    <w:p w14:paraId="2C5CA544" w14:textId="77777777" w:rsidR="00DB2257" w:rsidRPr="00DB2257" w:rsidRDefault="00DB2257" w:rsidP="00DB2257">
      <w:r w:rsidRPr="00DB2257">
        <w:t>The results show a cohort shaped more by barriers than by readiness for participation. The most common barriers were technology availability and data deficiency, each affecting 73% of companies, followed by continuous process constraints at 68%. Other barriers, including limited dynamic operating capability and restricted participation availability, were also present across approximately 50% of the cohort. On the capability side, energy use data was nearly universal, present in 95% of companies, while on-site generation limitations were identified in 64%. Despite widespread interest in demand response, only two companies in the cohort had prior or current enrolment in a formal DR program.</w:t>
      </w:r>
    </w:p>
    <w:p w14:paraId="793CF086" w14:textId="522E1F11" w:rsidR="00DB2257" w:rsidRPr="00DB2257" w:rsidRDefault="00DB2257" w:rsidP="00DB2257">
      <w:r w:rsidRPr="00DB2257">
        <w:t>A central finding is that DR suitability among mid-sized industrial companies is not determined by industry sector alone. Instead, it depends on the specific combination of operational flexibility, energy awareness, data availability</w:t>
      </w:r>
      <w:r w:rsidR="002F2AF9">
        <w:t>,</w:t>
      </w:r>
      <w:r w:rsidRPr="00DB2257">
        <w:t xml:space="preserve"> and technical constraints at each site. In practice, this means </w:t>
      </w:r>
      <w:r w:rsidR="000E3652">
        <w:t>no single industrial sector offers a uniformly accessible demand-response</w:t>
      </w:r>
      <w:r w:rsidRPr="00DB2257">
        <w:t xml:space="preserve"> opportunity.</w:t>
      </w:r>
    </w:p>
    <w:p w14:paraId="31E4482E" w14:textId="77777777" w:rsidR="00DB2257" w:rsidRPr="00DB2257" w:rsidRDefault="00DB2257" w:rsidP="00DB2257">
      <w:r w:rsidRPr="00DB2257">
        <w:t>The study also identifies a critical commercial constraint: for labour-intensive facilities, participation incentives must cover not only the difference between peak and off-peak energy prices, but the full operational cost of a curtailment event, particularly displaced labour. For most mid-sized industrial participants, current NEM DR mechanisms do not meet this threshold. This helps explain why stated willingness to participate has not translated into active enrolment across the cohort.</w:t>
      </w:r>
    </w:p>
    <w:p w14:paraId="62023012" w14:textId="75AD5DDD" w:rsidR="0075287A" w:rsidRPr="00DB2257" w:rsidRDefault="00DB2257" w:rsidP="00DB2257">
      <w:r w:rsidRPr="00DB2257">
        <w:t xml:space="preserve">The project also produced a taxonomy of 53 industrial load types across nine </w:t>
      </w:r>
      <w:r w:rsidR="002F2AF9">
        <w:t xml:space="preserve">(9) </w:t>
      </w:r>
      <w:r w:rsidRPr="00DB2257">
        <w:t xml:space="preserve">functional categories: Mechanical, Thermal, Compressed Air, Environmental Control, Pumping and Water Systems, Testing and Specialised </w:t>
      </w:r>
      <w:r w:rsidR="002F2AF9">
        <w:t>L</w:t>
      </w:r>
      <w:r w:rsidRPr="00DB2257">
        <w:t>oads, Fabrication, Surface Treatment, and Background Loads. Each was characterised by operating profile, control dependency and flexibility potential</w:t>
      </w:r>
      <w:r w:rsidRPr="0075287A">
        <w:t xml:space="preserve">. Compressed air systems and pumping loads emerged as the most flexible and broadly distributed load types, making them the strongest near-term candidates for automated DR control </w:t>
      </w:r>
      <w:r w:rsidR="0075287A">
        <w:t xml:space="preserve">signal mechanism, similar to the Demand Response Mode flags used under the AS 4755. Such </w:t>
      </w:r>
      <w:r w:rsidRPr="0075287A">
        <w:t>interfaces</w:t>
      </w:r>
      <w:r w:rsidR="0075287A">
        <w:t xml:space="preserve"> would allow these loads to adjust their operation in response to an external demand signal</w:t>
      </w:r>
      <w:r w:rsidR="00ED21FE">
        <w:t>, which could be issued by either a retailer or a Distributed Network Service Provider (DNSP), depending on the urgency of the service required. Retailer-led signals could be more suited to price-based or scheduled demand response, while DNSP-led</w:t>
      </w:r>
      <w:r w:rsidRPr="0075287A">
        <w:t>.</w:t>
      </w:r>
      <w:r w:rsidR="00ED21FE">
        <w:t xml:space="preserve"> It is worth noting that t</w:t>
      </w:r>
      <w:r w:rsidR="0075287A" w:rsidRPr="0075287A">
        <w:t>his study did not investigate which entity, such as a retailer, aggregator, or DNSP, would issue such a signal; defining that governance and technical architecture is one of the key objectives of the proposed future standardisation work</w:t>
      </w:r>
      <w:r w:rsidR="00ED21FE">
        <w:t>.</w:t>
      </w:r>
    </w:p>
    <w:p w14:paraId="4BA48F61" w14:textId="51431D3E" w:rsidR="00DB2257" w:rsidRDefault="00DB2257" w:rsidP="00DB2257">
      <w:r w:rsidRPr="0011297D">
        <w:t xml:space="preserve">Taken together, these findings point </w:t>
      </w:r>
      <w:r w:rsidR="0011297D">
        <w:t>at two</w:t>
      </w:r>
      <w:r w:rsidR="000D6DB4" w:rsidRPr="0011297D">
        <w:t xml:space="preserve"> constraint</w:t>
      </w:r>
      <w:r w:rsidR="0011297D">
        <w:t>s operating</w:t>
      </w:r>
      <w:r w:rsidR="000D6DB4" w:rsidRPr="0011297D">
        <w:t xml:space="preserve"> </w:t>
      </w:r>
      <w:r w:rsidR="0011297D">
        <w:t xml:space="preserve">at two levels: organisational barriers within individual companies, such as inertia, labour cost, and limited internal awareness, and a separate, </w:t>
      </w:r>
      <w:r w:rsidR="0011297D">
        <w:lastRenderedPageBreak/>
        <w:t>market-wide constraint ar</w:t>
      </w:r>
      <w:r w:rsidR="00762607">
        <w:t>i</w:t>
      </w:r>
      <w:r w:rsidR="0011297D">
        <w:t xml:space="preserve">sing from the absence of </w:t>
      </w:r>
      <w:r w:rsidR="00762607">
        <w:t xml:space="preserve">a </w:t>
      </w:r>
      <w:r w:rsidR="0011297D">
        <w:t xml:space="preserve">consistent, standardised framework for industrial DR participation. It is this second, system-level gap that prevents </w:t>
      </w:r>
      <w:r w:rsidRPr="00DB2257">
        <w:t>industrial loads to participate in ways that are accessible, measurable and reliable at scale. At present, each industrial DR integration remains a bespoke exercise, with no standardised telemetry requirements, measurement and verification protocols, or control interface specifications tailored to the Australian industrial context. Australia’s existing DR standard, AS 4755, is aimed at residential appliances and does not address this gap. As a result, the lack of standardisation compounds many of the barriers identified across the cohort.</w:t>
      </w:r>
    </w:p>
    <w:p w14:paraId="1B8B4A1F" w14:textId="028EDCE0" w:rsidR="0040571E" w:rsidRPr="00DB2257" w:rsidRDefault="0040571E" w:rsidP="00DB2257">
      <w:r w:rsidRPr="0040571E">
        <w:t>It is acknowledged that standardisation cannot resolve every barrier identified in this study. The continuous process constraint, present in 68% of the cohort, reflects a genuine operational and safety limitation that no technical or governance framework can remove. However, even within continuous-process facilities, separable and non-production loads, such as compressed air, lighting, and pumping, were consistently identified. A standardised framework would not eliminate the continuous process constraint itself, but would provide the metering, verification, and control specifications needed to identify and activate this separable fraction, an opportunity that is currently inaccessible due to the absence of any common mechanism for doing so.</w:t>
      </w:r>
    </w:p>
    <w:p w14:paraId="2947F740" w14:textId="031D56D5" w:rsidR="001B43BB" w:rsidRPr="00DB2257" w:rsidRDefault="00DB2257" w:rsidP="00DB2257">
      <w:r w:rsidRPr="00DB2257">
        <w:t>Three future research priorities follow directly from these findings. First, a structured program is needed to identify and estimate demand-side sources of inertia across the NEM. Second, a small number of deep, customer-centred site engagements should move from characterisation to implementation through Level 2 Energy Audits and tailored demand-side management case studies. Third, the technical and governance foundations for a formal industrial DR standard should be developed. The taxonomy, scored assessments, barrier and capability data, and stakeholder relationships established through this study provide a strong empirical and practical foundation for that next phase of work.</w:t>
      </w:r>
      <w:r w:rsidR="001B43BB" w:rsidRPr="00DB2257">
        <w:t xml:space="preserve"> </w:t>
      </w:r>
    </w:p>
    <w:p w14:paraId="612782C2" w14:textId="77777777" w:rsidR="001B43BB" w:rsidRPr="00D36E4B" w:rsidRDefault="001B43BB" w:rsidP="00FD51D4">
      <w:pPr>
        <w:rPr>
          <w:i/>
          <w:iCs/>
        </w:rPr>
      </w:pPr>
    </w:p>
    <w:p w14:paraId="0C11A9F1" w14:textId="77777777" w:rsidR="00337564" w:rsidRPr="00337564" w:rsidRDefault="00FD51D4" w:rsidP="00337564">
      <w:pPr>
        <w:pStyle w:val="Heading1NoNumbering"/>
      </w:pPr>
      <w:r w:rsidRPr="00477B5A">
        <w:br w:type="page"/>
      </w:r>
      <w:r w:rsidR="00337564" w:rsidRPr="007713DD">
        <w:lastRenderedPageBreak/>
        <w:t>Purpose</w:t>
      </w:r>
    </w:p>
    <w:p w14:paraId="12E730C7" w14:textId="019764A7" w:rsidR="00751CAB" w:rsidRDefault="00EA4376" w:rsidP="00385127">
      <w:r>
        <w:t>The purpose of this project is to investigate the potential for existing mid-sized industrial companies in the Hunter Valley region of NSW to provide system services into the National Electricity Market (NEM), to identify the barriers that constrain this potential, and to define the implementation pathways through which it could be realised.</w:t>
      </w:r>
    </w:p>
    <w:p w14:paraId="09413AE1" w14:textId="6C88D468" w:rsidR="00EA4376" w:rsidRDefault="00EA4376" w:rsidP="00E96305">
      <w:r w:rsidRPr="00EA4376">
        <w:t>The provision of services that help maintain critical operating parameters</w:t>
      </w:r>
      <w:r w:rsidR="00385127">
        <w:t xml:space="preserve">, </w:t>
      </w:r>
      <w:r w:rsidRPr="00EA4376">
        <w:t>including voltage stability, frequency regulation, and overall power quality</w:t>
      </w:r>
      <w:r w:rsidR="00385127">
        <w:t xml:space="preserve">, </w:t>
      </w:r>
      <w:r w:rsidRPr="00EA4376">
        <w:t>is fundamental to the reliable operation of any electricity network. Historically, these services have been delivered by centralised thermal generators</w:t>
      </w:r>
      <w:r w:rsidR="00385127">
        <w:t xml:space="preserve"> such as coal-fired power plants</w:t>
      </w:r>
      <w:r w:rsidRPr="00EA4376">
        <w:t>. As Australia's power system shifts toward a distributed architecture, with large-scale renewable generation displacing synchronous plant, the question of how system services will be maintained is one of the central engineering challenges. Industrial loads, given their scale and geographic distribution, represent a significant and largely untapped resource for meeting this challenge</w:t>
      </w:r>
      <w:r>
        <w:t>.</w:t>
      </w:r>
    </w:p>
    <w:p w14:paraId="40FEC0E3" w14:textId="61861F72" w:rsidR="00EA4376" w:rsidRDefault="008811E5" w:rsidP="00E96305">
      <w:r>
        <w:t>Due to this missing understanding</w:t>
      </w:r>
      <w:r w:rsidR="00EA4376" w:rsidRPr="00EA4376">
        <w:t xml:space="preserve">, industrial demand-side participation has remained a minor fraction of the assets and services under active management in the NEM. </w:t>
      </w:r>
      <w:r w:rsidRPr="008811E5">
        <w:t>A persistent gap exists between the benefits that have been anticipated from demand</w:t>
      </w:r>
      <w:r w:rsidR="00D96C4E">
        <w:t>-</w:t>
      </w:r>
      <w:r w:rsidRPr="008811E5">
        <w:t>side management and what has been commercially realised</w:t>
      </w:r>
      <w:r w:rsidR="00EA4376" w:rsidRPr="00EA4376">
        <w:t xml:space="preserve">. Closing this gap requires a clearer understanding of both the technical </w:t>
      </w:r>
      <w:r w:rsidR="00EA4376">
        <w:t>capabilities of industrial loads and the commercial, organisational, and operational barriers that prevent access to that capability.</w:t>
      </w:r>
    </w:p>
    <w:p w14:paraId="49BB08FD" w14:textId="6170C696" w:rsidR="00EA4376" w:rsidRDefault="00EA4376" w:rsidP="00E96305">
      <w:r>
        <w:t>This project addresses that need directly by delivering:</w:t>
      </w:r>
    </w:p>
    <w:p w14:paraId="31EEC09E" w14:textId="6BD7056C" w:rsidR="00EA4376" w:rsidRDefault="00EA4376" w:rsidP="00EA4376">
      <w:pPr>
        <w:pStyle w:val="ListParagraph"/>
        <w:numPr>
          <w:ilvl w:val="0"/>
          <w:numId w:val="30"/>
        </w:numPr>
      </w:pPr>
      <w:r>
        <w:t>A first-of-kind characterisation of industrial load flexibility among mid-sized companies in a representative Australian regional economy;</w:t>
      </w:r>
    </w:p>
    <w:p w14:paraId="2F604E48" w14:textId="6CABF7A9" w:rsidR="00EA4376" w:rsidRDefault="00EA4376" w:rsidP="00EA4376">
      <w:pPr>
        <w:pStyle w:val="ListParagraph"/>
        <w:numPr>
          <w:ilvl w:val="0"/>
          <w:numId w:val="30"/>
        </w:numPr>
      </w:pPr>
      <w:r>
        <w:t>A structured taxonomy of industrial load types and their inherent demand response suitability;</w:t>
      </w:r>
    </w:p>
    <w:p w14:paraId="1CA7F4AE" w14:textId="58A8C4BA" w:rsidR="00EA4376" w:rsidRDefault="00EA4376" w:rsidP="00EA4376">
      <w:pPr>
        <w:pStyle w:val="ListParagraph"/>
        <w:numPr>
          <w:ilvl w:val="0"/>
          <w:numId w:val="30"/>
        </w:numPr>
      </w:pPr>
      <w:r>
        <w:t xml:space="preserve">A systematic assessment of the barriers and capability factors that determine a site's practical capacity to participate in </w:t>
      </w:r>
      <w:r w:rsidR="008811E5">
        <w:t>Demand Response (</w:t>
      </w:r>
      <w:r>
        <w:t>DR</w:t>
      </w:r>
      <w:r w:rsidR="008811E5">
        <w:t>)</w:t>
      </w:r>
      <w:r>
        <w:t xml:space="preserve"> programs;</w:t>
      </w:r>
    </w:p>
    <w:p w14:paraId="7262667D" w14:textId="00982325" w:rsidR="00EA4376" w:rsidRDefault="00EA4376" w:rsidP="00EA4376">
      <w:pPr>
        <w:pStyle w:val="ListParagraph"/>
        <w:numPr>
          <w:ilvl w:val="0"/>
          <w:numId w:val="30"/>
        </w:numPr>
      </w:pPr>
      <w:r>
        <w:t>A set of findings and recommendations intended to inform power system planners, market operators, regulators, and future researchers; and</w:t>
      </w:r>
    </w:p>
    <w:p w14:paraId="36CC7E43" w14:textId="6BC196F4" w:rsidR="00EA4376" w:rsidRPr="00751CAB" w:rsidRDefault="00EA4376" w:rsidP="00EA4376">
      <w:pPr>
        <w:pStyle w:val="ListParagraph"/>
        <w:numPr>
          <w:ilvl w:val="0"/>
          <w:numId w:val="30"/>
        </w:numPr>
      </w:pPr>
      <w:r>
        <w:t>Publicly available outputs that can directly support ongoing industry and regulatory discussions about the future structure and operation of the NEM.</w:t>
      </w:r>
    </w:p>
    <w:p w14:paraId="5D816C5E" w14:textId="77777777" w:rsidR="00337564" w:rsidRPr="00E96544" w:rsidRDefault="00337564" w:rsidP="002F2AF9">
      <w:pPr>
        <w:pStyle w:val="Heading1NoNumbering"/>
        <w:spacing w:before="240" w:after="120"/>
      </w:pPr>
      <w:r w:rsidRPr="007713DD">
        <w:t>Significance</w:t>
      </w:r>
    </w:p>
    <w:p w14:paraId="34874AF9" w14:textId="3A7F4D9E" w:rsidR="00337564" w:rsidRDefault="00385127" w:rsidP="00385127">
      <w:r w:rsidRPr="00385127">
        <w:t>Australia's electricity system is undergoing its most significant engineering transformation since the Industrial Revolution. The progressive retirement of coal-fired generation and the rapid expansion of renewable energy capacity are reshaping the supply side of the NEM at a pace and scale with few international precedents. By 2050, close to half of Australia's electricity supply is projected to come from millions of privately owned distributed generators</w:t>
      </w:r>
      <w:r>
        <w:t xml:space="preserve">; </w:t>
      </w:r>
      <w:r w:rsidRPr="00385127">
        <w:t>a trajectory that fundamentally alters how system services must be planned, procured, and delivered</w:t>
      </w:r>
      <w:r>
        <w:t>.</w:t>
      </w:r>
    </w:p>
    <w:p w14:paraId="28A5E9A5" w14:textId="1C33F5BD" w:rsidR="006F4878" w:rsidRDefault="006F4878" w:rsidP="00385127">
      <w:r w:rsidRPr="00633FDC">
        <w:t xml:space="preserve">This </w:t>
      </w:r>
      <w:r>
        <w:t>transition has increased Australia’s energy market volatility and requires</w:t>
      </w:r>
      <w:r w:rsidRPr="00633FDC">
        <w:t xml:space="preserve"> </w:t>
      </w:r>
      <w:r>
        <w:t xml:space="preserve">a </w:t>
      </w:r>
      <w:r w:rsidRPr="00633FDC">
        <w:t xml:space="preserve">rethinking of </w:t>
      </w:r>
      <w:r>
        <w:t xml:space="preserve">traditional </w:t>
      </w:r>
      <w:r w:rsidRPr="00633FDC">
        <w:t xml:space="preserve">grid management strategies to </w:t>
      </w:r>
      <w:r>
        <w:t>maintain system stability, reliability and efficiency in an increasingly decentralised system</w:t>
      </w:r>
      <w:r w:rsidRPr="0033568B">
        <w:t xml:space="preserve">. In the Australian electricity market, the Australian Energy Market Operator (AEMO) </w:t>
      </w:r>
      <w:r>
        <w:t xml:space="preserve">is </w:t>
      </w:r>
      <w:r w:rsidRPr="0033568B">
        <w:t>responsible for coordinating dispatch to ensure real-time balance between supply and demand</w:t>
      </w:r>
      <w:r w:rsidR="00F6634F">
        <w:t>; t</w:t>
      </w:r>
      <w:r w:rsidRPr="0033568B">
        <w:t xml:space="preserve">his process is inherently demand-driven. However, </w:t>
      </w:r>
      <w:r w:rsidR="00F6634F">
        <w:t xml:space="preserve">increasing generation variability introduces the risk of </w:t>
      </w:r>
      <w:r w:rsidRPr="0033568B">
        <w:t>frequency and voltage instability if not properly managed</w:t>
      </w:r>
      <w:r w:rsidR="00F6634F">
        <w:t>, reinforcing the emphasis on the need for flexible, dispatchable resources that can respond reliably to system signals. Industrial loads, given their scale and geographic distribution, represent a significant and largely untapped resource for meeting this need</w:t>
      </w:r>
      <w:r>
        <w:t xml:space="preserve">. </w:t>
      </w:r>
    </w:p>
    <w:p w14:paraId="4C9B59A2" w14:textId="217058F5" w:rsidR="006F4878" w:rsidRDefault="00D96C4E" w:rsidP="00385127">
      <w:r>
        <w:t xml:space="preserve">To date, Australia </w:t>
      </w:r>
      <w:r w:rsidR="008811E5" w:rsidRPr="008811E5">
        <w:t>has no qualitative or quantitative understanding of industrial loads operating at the megawatt level</w:t>
      </w:r>
      <w:r w:rsidR="006F4878" w:rsidRPr="006F4878">
        <w:t>. Given the magnitude and operational flexibility across sectors, industrial load will not only be critical to the future provision of system services but must also be considered in any planning activities involving distributed energy resources. In a decentralised yet highly interconnected energy system, electricity networks must be responsive to shifting demand patterns</w:t>
      </w:r>
      <w:r w:rsidR="00EE03BD">
        <w:t>.</w:t>
      </w:r>
      <w:r w:rsidR="006F4878" w:rsidRPr="006F4878">
        <w:t xml:space="preserve"> </w:t>
      </w:r>
    </w:p>
    <w:p w14:paraId="79476EE7" w14:textId="5CEE5B34" w:rsidR="00EA4376" w:rsidRDefault="00385127" w:rsidP="00385127">
      <w:r w:rsidRPr="00385127">
        <w:lastRenderedPageBreak/>
        <w:t xml:space="preserve">Against this backdrop, the role of industrial loads in the future grid has been consistently underestimated. Research and regulatory attention over the past fifteen years has focused predominantly on residential and </w:t>
      </w:r>
      <w:r w:rsidR="00D96C4E">
        <w:t>small-commercial Distributed Energy Resources (DER),</w:t>
      </w:r>
      <w:r w:rsidRPr="00385127">
        <w:t xml:space="preserve"> such as rooftop solar, residential batteries, electric vehicles, and domestic hot water systems. Industrial loads, despite constituting a far greater share of total electricity demand, have been treated as too operationally complex, too commercially reluctant, or too diverse to be practically engaged</w:t>
      </w:r>
      <w:r>
        <w:t>.</w:t>
      </w:r>
      <w:r w:rsidR="00EE03BD">
        <w:t xml:space="preserve"> </w:t>
      </w:r>
      <w:r w:rsidR="00EE03BD" w:rsidRPr="00EE03BD">
        <w:t>This characterisation is increasingly difficult to sustain</w:t>
      </w:r>
      <w:r w:rsidR="00E634D2">
        <w:t>, as</w:t>
      </w:r>
      <w:r w:rsidR="00EE03BD" w:rsidRPr="00EE03BD">
        <w:t xml:space="preserve"> AEMO's 2024 Integrated System Plan projects that industrial electrification will drive new load </w:t>
      </w:r>
      <w:r w:rsidR="00D96C4E">
        <w:t xml:space="preserve">that </w:t>
      </w:r>
      <w:r w:rsidR="00D30294">
        <w:t xml:space="preserve">is </w:t>
      </w:r>
      <w:r w:rsidR="00EE03BD" w:rsidRPr="00EE03BD">
        <w:t xml:space="preserve">six times that expected from residential electrification </w:t>
      </w:r>
      <w:r w:rsidR="00D30294">
        <w:t xml:space="preserve">more </w:t>
      </w:r>
      <w:r w:rsidR="00EE03BD" w:rsidRPr="00EE03BD">
        <w:t>broadly</w:t>
      </w:r>
      <w:r w:rsidR="00E634D2">
        <w:t xml:space="preserve"> </w:t>
      </w:r>
      <w:sdt>
        <w:sdtPr>
          <w:id w:val="-443607583"/>
          <w:citation/>
        </w:sdtPr>
        <w:sdtEndPr/>
        <w:sdtContent>
          <w:r w:rsidR="00E634D2">
            <w:fldChar w:fldCharType="begin"/>
          </w:r>
          <w:r w:rsidR="00E634D2">
            <w:instrText xml:space="preserve"> CITATION AEM24 \l 3081 </w:instrText>
          </w:r>
          <w:r w:rsidR="00E634D2">
            <w:fldChar w:fldCharType="separate"/>
          </w:r>
          <w:r w:rsidR="00036C9A">
            <w:rPr>
              <w:noProof/>
            </w:rPr>
            <w:t>(AEMO, 2024)</w:t>
          </w:r>
          <w:r w:rsidR="00E634D2">
            <w:fldChar w:fldCharType="end"/>
          </w:r>
        </w:sdtContent>
      </w:sdt>
      <w:r w:rsidR="00D30294">
        <w:t>.</w:t>
      </w:r>
    </w:p>
    <w:p w14:paraId="2E7B5572" w14:textId="75D385A3" w:rsidR="00385127" w:rsidRDefault="00385127" w:rsidP="00385127">
      <w:r w:rsidRPr="00385127">
        <w:t>The significance of this research lies in what it makes possible. Without a clear, empirically grounded understanding of which industrial loads can participate in demand response, under what conditions, and subject to which constraints, system planners and market operators are unable to reliably include industrial flexibility in NEM planning. This project provides</w:t>
      </w:r>
      <w:r w:rsidR="00EE03BD">
        <w:t xml:space="preserve"> evidence-based findings that are directly relevant to power system planners seeking to quantify and integrate industrial DR capacity into supply-demand forecasts, and to market operators and regulators developing incentive structures and market mechanisms to activate demand-side participation</w:t>
      </w:r>
      <w:r w:rsidR="00E634D2">
        <w:t xml:space="preserve"> for industrial electricity users</w:t>
      </w:r>
      <w:r w:rsidR="00EE03BD">
        <w:t xml:space="preserve">. In addition, the finding might be relevant </w:t>
      </w:r>
      <w:r w:rsidR="00E634D2">
        <w:t>to standards development bodies</w:t>
      </w:r>
      <w:r w:rsidR="00810671">
        <w:t xml:space="preserve"> considering the development of a formal DR framework applicable within the NEM</w:t>
      </w:r>
      <w:r w:rsidRPr="00385127">
        <w:t xml:space="preserve">. </w:t>
      </w:r>
    </w:p>
    <w:p w14:paraId="352D5A95" w14:textId="636199D5" w:rsidR="002C4510" w:rsidRPr="005C5618" w:rsidRDefault="005C5618" w:rsidP="00385127">
      <w:pPr>
        <w:rPr>
          <w:lang w:val="en"/>
        </w:rPr>
      </w:pPr>
      <w:r w:rsidRPr="005C5618">
        <w:rPr>
          <w:lang w:val="en"/>
        </w:rPr>
        <w:t>This issue is not just an economic problem for companies but one that could impact the electricity system</w:t>
      </w:r>
      <w:r w:rsidR="00B83281">
        <w:rPr>
          <w:lang w:val="en"/>
        </w:rPr>
        <w:t xml:space="preserve"> as a whole</w:t>
      </w:r>
      <w:r w:rsidRPr="005C5618">
        <w:rPr>
          <w:lang w:val="en"/>
        </w:rPr>
        <w:t>.</w:t>
      </w:r>
      <w:r>
        <w:rPr>
          <w:lang w:val="en"/>
        </w:rPr>
        <w:t xml:space="preserve"> </w:t>
      </w:r>
      <w:r w:rsidR="001A14A7">
        <w:rPr>
          <w:lang w:val="en"/>
        </w:rPr>
        <w:t xml:space="preserve">In this study, on-site generation </w:t>
      </w:r>
      <w:r w:rsidR="00BF2DBF">
        <w:rPr>
          <w:lang w:val="en"/>
        </w:rPr>
        <w:t xml:space="preserve">used </w:t>
      </w:r>
      <w:r w:rsidR="001A14A7">
        <w:rPr>
          <w:lang w:val="en"/>
        </w:rPr>
        <w:t>as a complement</w:t>
      </w:r>
      <w:r w:rsidR="00BF2DBF">
        <w:rPr>
          <w:lang w:val="en"/>
        </w:rPr>
        <w:t xml:space="preserve"> to grid connection was captured as a positive </w:t>
      </w:r>
      <w:r w:rsidR="001A14A7">
        <w:rPr>
          <w:lang w:val="en"/>
        </w:rPr>
        <w:t xml:space="preserve">capability </w:t>
      </w:r>
      <w:r w:rsidR="00BF2DBF">
        <w:rPr>
          <w:lang w:val="en"/>
        </w:rPr>
        <w:t>factor</w:t>
      </w:r>
      <w:r w:rsidR="001A14A7">
        <w:rPr>
          <w:lang w:val="en"/>
        </w:rPr>
        <w:t xml:space="preserve"> </w:t>
      </w:r>
      <w:r w:rsidR="00BF2DBF">
        <w:rPr>
          <w:lang w:val="en"/>
        </w:rPr>
        <w:t xml:space="preserve">because on-site </w:t>
      </w:r>
      <w:r w:rsidR="008570E6">
        <w:rPr>
          <w:lang w:val="en"/>
        </w:rPr>
        <w:t xml:space="preserve">generation improves DR readiness by giving the company more options to respond to a curtailment </w:t>
      </w:r>
      <w:r w:rsidR="00BF2DBF">
        <w:rPr>
          <w:lang w:val="en"/>
        </w:rPr>
        <w:t>event</w:t>
      </w:r>
      <w:r w:rsidR="008570E6">
        <w:rPr>
          <w:lang w:val="en"/>
        </w:rPr>
        <w:t>. However, l</w:t>
      </w:r>
      <w:r w:rsidRPr="005C5618">
        <w:rPr>
          <w:lang w:val="en"/>
        </w:rPr>
        <w:t xml:space="preserve">arge industrial consumers struggling with </w:t>
      </w:r>
      <w:r w:rsidR="00EE03BD">
        <w:rPr>
          <w:lang w:val="en"/>
        </w:rPr>
        <w:t>high</w:t>
      </w:r>
      <w:r w:rsidRPr="005C5618">
        <w:rPr>
          <w:lang w:val="en"/>
        </w:rPr>
        <w:t xml:space="preserve"> electricity costs </w:t>
      </w:r>
      <w:r w:rsidR="00EE03BD">
        <w:rPr>
          <w:lang w:val="en"/>
        </w:rPr>
        <w:t>may choose</w:t>
      </w:r>
      <w:r w:rsidRPr="005C5618">
        <w:rPr>
          <w:lang w:val="en"/>
        </w:rPr>
        <w:t xml:space="preserve"> to self-generate energy behind the meter</w:t>
      </w:r>
      <w:r w:rsidR="00BF2DBF">
        <w:rPr>
          <w:lang w:val="en"/>
        </w:rPr>
        <w:t xml:space="preserve"> to the point of partial or</w:t>
      </w:r>
      <w:r w:rsidR="001A14A7">
        <w:rPr>
          <w:lang w:val="en"/>
        </w:rPr>
        <w:t xml:space="preserve"> full </w:t>
      </w:r>
      <w:r w:rsidRPr="005C5618">
        <w:rPr>
          <w:lang w:val="en"/>
        </w:rPr>
        <w:t xml:space="preserve">disconnection from the grid. If this trend were to accelerate or become a reality, the NEM would lose some of its most flexible </w:t>
      </w:r>
      <w:r>
        <w:rPr>
          <w:lang w:val="en"/>
        </w:rPr>
        <w:t>and substantial demand-side assets,</w:t>
      </w:r>
      <w:r w:rsidRPr="005C5618">
        <w:rPr>
          <w:lang w:val="en"/>
        </w:rPr>
        <w:t xml:space="preserve"> reducing system inertia, limiting management flexibility, and concentrating grid infrastructure costs on a smaller remaining customer base.</w:t>
      </w:r>
      <w:r>
        <w:rPr>
          <w:lang w:val="en"/>
        </w:rPr>
        <w:t xml:space="preserve"> </w:t>
      </w:r>
      <w:r w:rsidRPr="005C5618">
        <w:rPr>
          <w:lang w:val="en"/>
        </w:rPr>
        <w:t>Establishing clear and accessible pathways for industrial participation in demand response addresses one of the key economic drivers of this trend and, in doing so, contributes to the broader goal of system stability</w:t>
      </w:r>
      <w:r>
        <w:rPr>
          <w:lang w:val="en"/>
        </w:rPr>
        <w:t>.</w:t>
      </w:r>
    </w:p>
    <w:p w14:paraId="4553FFC8" w14:textId="77777777" w:rsidR="00337564" w:rsidRPr="00E96544" w:rsidRDefault="00337564" w:rsidP="00E96544">
      <w:pPr>
        <w:pStyle w:val="Heading1NoNumbering"/>
      </w:pPr>
      <w:r w:rsidRPr="007713DD">
        <w:t>Roadmap</w:t>
      </w:r>
    </w:p>
    <w:p w14:paraId="4E025364" w14:textId="498E26E5" w:rsidR="00360948" w:rsidRDefault="008C7DA0" w:rsidP="008C7DA0">
      <w:r w:rsidRPr="008C7DA0">
        <w:t>This project is conducted under the Australian Research in Power System Transformation (AR-PST) Stage 5 program, specifically Topic 6: Essential System Services. It builds directly on the body of work established under AR-PST Topics 4, 6, and 8 in preceding stages, and is positioned as the applied, industry-engaged complement to the more computational and theoretical research conducted across those topics</w:t>
      </w:r>
      <w:r>
        <w:t>.</w:t>
      </w:r>
    </w:p>
    <w:p w14:paraId="4D7F38CB" w14:textId="769E9B79" w:rsidR="005A64E5" w:rsidRDefault="0081509A" w:rsidP="008C7DA0">
      <w:r w:rsidRPr="0081509A">
        <w:t>The AR</w:t>
      </w:r>
      <w:r w:rsidR="00E634D2">
        <w:t>-</w:t>
      </w:r>
      <w:r w:rsidRPr="0081509A">
        <w:t>PST roadmap includes significant focus on demand-side participation and</w:t>
      </w:r>
      <w:r w:rsidR="006F4878">
        <w:t xml:space="preserve"> the future provision of system services by</w:t>
      </w:r>
      <w:r w:rsidRPr="0081509A">
        <w:t xml:space="preserve"> distributed </w:t>
      </w:r>
      <w:r w:rsidR="00F816AD">
        <w:t>assets</w:t>
      </w:r>
      <w:r w:rsidRPr="0081509A">
        <w:t xml:space="preserve">.  To the knowledge of the authors, this primary research reflects the first recorded engagement with diverse industrial loads regarding their ability to unlock additional </w:t>
      </w:r>
      <w:r w:rsidR="00814295">
        <w:t>DR</w:t>
      </w:r>
      <w:r w:rsidRPr="0081509A">
        <w:t xml:space="preserve"> flexibility.  It is expected that the data that is collated as the result of this project will form an important basis for any future work regarding incentive schemes for load shifting.  Concretely, the research meaningfully progresses open question 1.3 from </w:t>
      </w:r>
      <w:r w:rsidR="005A64E5">
        <w:t xml:space="preserve">the </w:t>
      </w:r>
      <w:r w:rsidRPr="0081509A">
        <w:t>Roadmap Topic 6 research plan</w:t>
      </w:r>
      <w:r w:rsidR="005A64E5">
        <w:t xml:space="preserve">, </w:t>
      </w:r>
      <w:r w:rsidR="005A64E5" w:rsidRPr="005A64E5">
        <w:t>which concerns the characterisation and coordination of flexible loads as contributors to essential system services.</w:t>
      </w:r>
    </w:p>
    <w:p w14:paraId="7784453F" w14:textId="2CBFDA31" w:rsidR="009259BF" w:rsidRDefault="005A64E5" w:rsidP="008C7DA0">
      <w:r w:rsidRPr="005A64E5">
        <w:t>Earlier AR-PST stages tended to frame industrial demand-side participation as a long-horizon possibility, something achievable within ten to fifteen years, contingent on technological change and market reform. This project shifts that frame. By engaging directly with industrial companies operating today, characterising their loads as they currently exist, and assessing their DR capability against market mechanisms that are already in place, the research focuses on what is achievable over the next one to ten years</w:t>
      </w:r>
      <w:r w:rsidR="007713DD">
        <w:t xml:space="preserve">, </w:t>
      </w:r>
      <w:r w:rsidRPr="005A64E5">
        <w:t>and what is required to unlock it</w:t>
      </w:r>
      <w:r>
        <w:t>.</w:t>
      </w:r>
    </w:p>
    <w:p w14:paraId="68AAEF11" w14:textId="21A696C0" w:rsidR="009259BF" w:rsidRDefault="00D536C2" w:rsidP="008C7DA0">
      <w:r>
        <w:fldChar w:fldCharType="begin"/>
      </w:r>
      <w:r>
        <w:instrText xml:space="preserve"> REF _Ref230832948 \h </w:instrText>
      </w:r>
      <w:r>
        <w:fldChar w:fldCharType="separate"/>
      </w:r>
      <w:r w:rsidR="00036C9A" w:rsidRPr="003A401F">
        <w:t xml:space="preserve">Table </w:t>
      </w:r>
      <w:r w:rsidR="00036C9A">
        <w:rPr>
          <w:noProof/>
        </w:rPr>
        <w:t>1</w:t>
      </w:r>
      <w:r>
        <w:fldChar w:fldCharType="end"/>
      </w:r>
      <w:r>
        <w:t xml:space="preserve"> </w:t>
      </w:r>
      <w:r w:rsidR="009259BF" w:rsidRPr="003219EF">
        <w:t>summarises progress against the key roadmap tasks and</w:t>
      </w:r>
      <w:r w:rsidR="003219EF">
        <w:t xml:space="preserve"> the</w:t>
      </w:r>
      <w:r w:rsidR="009259BF" w:rsidRPr="003219EF">
        <w:t xml:space="preserve"> open questions addressed by this stage of the research.</w:t>
      </w:r>
    </w:p>
    <w:p w14:paraId="0C0F42F6" w14:textId="77777777" w:rsidR="004B726D" w:rsidRDefault="004B726D" w:rsidP="008C7DA0"/>
    <w:p w14:paraId="28D90D1A" w14:textId="1F9EBD3C" w:rsidR="005811F9" w:rsidRDefault="005811F9" w:rsidP="005811F9">
      <w:pPr>
        <w:pStyle w:val="Caption"/>
        <w:keepNext/>
      </w:pPr>
      <w:bookmarkStart w:id="2" w:name="_Ref230832948"/>
      <w:bookmarkStart w:id="3" w:name="_Toc233788354"/>
      <w:r w:rsidRPr="003A401F">
        <w:lastRenderedPageBreak/>
        <w:t xml:space="preserve">Table </w:t>
      </w:r>
      <w:fldSimple w:instr=" SEQ Table \* ARABIC ">
        <w:r w:rsidR="00036C9A">
          <w:rPr>
            <w:noProof/>
          </w:rPr>
          <w:t>1</w:t>
        </w:r>
      </w:fldSimple>
      <w:bookmarkEnd w:id="2"/>
      <w:r w:rsidRPr="003A401F">
        <w:t>:</w:t>
      </w:r>
      <w:r>
        <w:t xml:space="preserve"> Progress against ART-PST Topic 6 Roadmap - Stage 5</w:t>
      </w:r>
      <w:bookmarkEnd w:id="3"/>
    </w:p>
    <w:tbl>
      <w:tblPr>
        <w:tblStyle w:val="AdvitechTable"/>
        <w:tblW w:w="0" w:type="auto"/>
        <w:tblLook w:val="0420" w:firstRow="1" w:lastRow="0" w:firstColumn="0" w:lastColumn="0" w:noHBand="0" w:noVBand="1"/>
      </w:tblPr>
      <w:tblGrid>
        <w:gridCol w:w="2694"/>
        <w:gridCol w:w="3398"/>
        <w:gridCol w:w="3546"/>
      </w:tblGrid>
      <w:tr w:rsidR="004B726D" w:rsidRPr="00814295" w14:paraId="791786B5" w14:textId="45D3D764" w:rsidTr="00036C9A">
        <w:trPr>
          <w:cnfStyle w:val="100000000000" w:firstRow="1" w:lastRow="0" w:firstColumn="0" w:lastColumn="0" w:oddVBand="0" w:evenVBand="0" w:oddHBand="0" w:evenHBand="0" w:firstRowFirstColumn="0" w:firstRowLastColumn="0" w:lastRowFirstColumn="0" w:lastRowLastColumn="0"/>
          <w:tblHeader/>
        </w:trPr>
        <w:tc>
          <w:tcPr>
            <w:tcW w:w="2694" w:type="dxa"/>
          </w:tcPr>
          <w:p w14:paraId="71C4E8D7" w14:textId="6FE584D7" w:rsidR="004B726D" w:rsidRPr="00814295" w:rsidRDefault="004B726D" w:rsidP="008C7DA0">
            <w:pPr>
              <w:rPr>
                <w:b/>
                <w:bCs/>
              </w:rPr>
            </w:pPr>
            <w:r w:rsidRPr="00814295">
              <w:rPr>
                <w:b/>
                <w:bCs/>
              </w:rPr>
              <w:t>Roadmap Task</w:t>
            </w:r>
          </w:p>
        </w:tc>
        <w:tc>
          <w:tcPr>
            <w:tcW w:w="3398" w:type="dxa"/>
          </w:tcPr>
          <w:p w14:paraId="2A256EC7" w14:textId="6DB757BE" w:rsidR="004B726D" w:rsidRPr="00814295" w:rsidRDefault="004B726D" w:rsidP="008C7DA0">
            <w:pPr>
              <w:rPr>
                <w:b/>
                <w:bCs/>
              </w:rPr>
            </w:pPr>
            <w:r w:rsidRPr="00814295">
              <w:rPr>
                <w:b/>
                <w:bCs/>
              </w:rPr>
              <w:t>Progress in This Stage</w:t>
            </w:r>
          </w:p>
        </w:tc>
        <w:tc>
          <w:tcPr>
            <w:tcW w:w="3546" w:type="dxa"/>
          </w:tcPr>
          <w:p w14:paraId="6AFAF942" w14:textId="7677EA07" w:rsidR="004B726D" w:rsidRPr="00814295" w:rsidRDefault="004B726D" w:rsidP="008C7DA0">
            <w:pPr>
              <w:rPr>
                <w:b/>
                <w:bCs/>
              </w:rPr>
            </w:pPr>
            <w:r>
              <w:rPr>
                <w:b/>
                <w:bCs/>
              </w:rPr>
              <w:t>Progress</w:t>
            </w:r>
          </w:p>
        </w:tc>
      </w:tr>
      <w:tr w:rsidR="004B726D" w14:paraId="2D394C0E" w14:textId="39394254" w:rsidTr="00036C9A">
        <w:tc>
          <w:tcPr>
            <w:tcW w:w="2694" w:type="dxa"/>
          </w:tcPr>
          <w:p w14:paraId="1697B35C" w14:textId="110D3108" w:rsidR="004B726D" w:rsidRDefault="004B726D" w:rsidP="005811F9">
            <w:r>
              <w:t>Load Flexibility and Characterisation</w:t>
            </w:r>
          </w:p>
        </w:tc>
        <w:tc>
          <w:tcPr>
            <w:tcW w:w="3398" w:type="dxa"/>
          </w:tcPr>
          <w:p w14:paraId="54C88F96" w14:textId="04492F39" w:rsidR="004B726D" w:rsidRDefault="004B726D" w:rsidP="005811F9">
            <w:r>
              <w:t>Directly addressed through the engagement of industrial stakeholders and developed a taxonomy across the industrial participants.</w:t>
            </w:r>
          </w:p>
        </w:tc>
        <w:tc>
          <w:tcPr>
            <w:tcW w:w="3546" w:type="dxa"/>
          </w:tcPr>
          <w:p w14:paraId="64B252FA" w14:textId="29528B54" w:rsidR="004B726D" w:rsidRDefault="00C82AEE" w:rsidP="005811F9">
            <w:r>
              <w:rPr>
                <w:noProof/>
              </w:rPr>
              <w:drawing>
                <wp:inline distT="0" distB="0" distL="0" distR="0" wp14:anchorId="5EB7EB4F" wp14:editId="6BEA3B7A">
                  <wp:extent cx="2114550" cy="1352550"/>
                  <wp:effectExtent l="0" t="0" r="0" b="0"/>
                  <wp:docPr id="14539018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4B726D" w14:paraId="0EDCC50A" w14:textId="28261F15" w:rsidTr="00036C9A">
        <w:tc>
          <w:tcPr>
            <w:tcW w:w="2694" w:type="dxa"/>
          </w:tcPr>
          <w:p w14:paraId="0A277168" w14:textId="1D8E25B6" w:rsidR="004B726D" w:rsidRDefault="004B726D" w:rsidP="005811F9">
            <w:r>
              <w:t>Industrial taxonomy of load and service classification</w:t>
            </w:r>
          </w:p>
        </w:tc>
        <w:tc>
          <w:tcPr>
            <w:tcW w:w="3398" w:type="dxa"/>
          </w:tcPr>
          <w:p w14:paraId="26365EBA" w14:textId="7B6B0A00" w:rsidR="004B726D" w:rsidRDefault="004B726D" w:rsidP="005811F9">
            <w:r>
              <w:t>Taxonomy of 53 load types across 9 categories developed; operational characteristics and flexibility potential rated for each.</w:t>
            </w:r>
          </w:p>
        </w:tc>
        <w:tc>
          <w:tcPr>
            <w:tcW w:w="3546" w:type="dxa"/>
          </w:tcPr>
          <w:p w14:paraId="59832F6F" w14:textId="43A674E2" w:rsidR="004B726D" w:rsidRDefault="00C82AEE" w:rsidP="005811F9">
            <w:r>
              <w:rPr>
                <w:noProof/>
              </w:rPr>
              <w:drawing>
                <wp:inline distT="0" distB="0" distL="0" distR="0" wp14:anchorId="63DED066" wp14:editId="3FEA3A04">
                  <wp:extent cx="2114550" cy="1352550"/>
                  <wp:effectExtent l="0" t="0" r="0" b="0"/>
                  <wp:docPr id="202064002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4B726D" w14:paraId="35A45947" w14:textId="18BFA81E" w:rsidTr="00036C9A">
        <w:tc>
          <w:tcPr>
            <w:tcW w:w="2694" w:type="dxa"/>
          </w:tcPr>
          <w:p w14:paraId="467FBE57" w14:textId="482A46DC" w:rsidR="004B726D" w:rsidRDefault="004B726D" w:rsidP="005811F9">
            <w:r>
              <w:t>Barriers to demand-side participation</w:t>
            </w:r>
          </w:p>
        </w:tc>
        <w:tc>
          <w:tcPr>
            <w:tcW w:w="3398" w:type="dxa"/>
          </w:tcPr>
          <w:p w14:paraId="2DB5E1CE" w14:textId="73F538A2" w:rsidR="004B726D" w:rsidRDefault="004B726D" w:rsidP="005811F9">
            <w:r>
              <w:t>Development of a scoring framework for barriers and capabilities and applied across the full participant cohort.</w:t>
            </w:r>
          </w:p>
        </w:tc>
        <w:tc>
          <w:tcPr>
            <w:tcW w:w="3546" w:type="dxa"/>
          </w:tcPr>
          <w:p w14:paraId="0BA144DE" w14:textId="77359580" w:rsidR="004B726D" w:rsidRDefault="00C82AEE" w:rsidP="005811F9">
            <w:r>
              <w:rPr>
                <w:noProof/>
              </w:rPr>
              <w:drawing>
                <wp:inline distT="0" distB="0" distL="0" distR="0" wp14:anchorId="5DB549EE" wp14:editId="0D032915">
                  <wp:extent cx="2114550" cy="1352550"/>
                  <wp:effectExtent l="0" t="0" r="0" b="0"/>
                  <wp:docPr id="118956021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4B726D" w14:paraId="15EEF349" w14:textId="44DBB471" w:rsidTr="00036C9A">
        <w:tc>
          <w:tcPr>
            <w:tcW w:w="2694" w:type="dxa"/>
          </w:tcPr>
          <w:p w14:paraId="7D01D088" w14:textId="531D7FAB" w:rsidR="004B726D" w:rsidRDefault="004B726D" w:rsidP="005811F9">
            <w:r>
              <w:t>Quantification of Industrial demand-response capacity</w:t>
            </w:r>
          </w:p>
        </w:tc>
        <w:tc>
          <w:tcPr>
            <w:tcW w:w="3398" w:type="dxa"/>
          </w:tcPr>
          <w:p w14:paraId="49A9E625" w14:textId="17EFFE95" w:rsidR="004B726D" w:rsidRDefault="004B726D" w:rsidP="005811F9">
            <w:r>
              <w:t>The level of DR potential from each participant was assessed via normalised scoring, and the aggregated capacity characterised by sector and load type.</w:t>
            </w:r>
          </w:p>
        </w:tc>
        <w:tc>
          <w:tcPr>
            <w:tcW w:w="3546" w:type="dxa"/>
          </w:tcPr>
          <w:p w14:paraId="3BA62AF1" w14:textId="70D88962" w:rsidR="004B726D" w:rsidRDefault="00C82AEE" w:rsidP="005811F9">
            <w:r>
              <w:rPr>
                <w:noProof/>
              </w:rPr>
              <w:drawing>
                <wp:inline distT="0" distB="0" distL="0" distR="0" wp14:anchorId="3E1B563C" wp14:editId="4966ECBD">
                  <wp:extent cx="2114550" cy="1352550"/>
                  <wp:effectExtent l="0" t="0" r="0" b="0"/>
                  <wp:docPr id="123066827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4B726D" w14:paraId="56403C01" w14:textId="70CA3BDC" w:rsidTr="00036C9A">
        <w:tc>
          <w:tcPr>
            <w:tcW w:w="2694" w:type="dxa"/>
          </w:tcPr>
          <w:p w14:paraId="0AF7E2D5" w14:textId="35210E20" w:rsidR="004B726D" w:rsidRDefault="004B726D" w:rsidP="005811F9">
            <w:r>
              <w:t>Incentives and implementation</w:t>
            </w:r>
          </w:p>
        </w:tc>
        <w:tc>
          <w:tcPr>
            <w:tcW w:w="3398" w:type="dxa"/>
          </w:tcPr>
          <w:p w14:paraId="62C5B867" w14:textId="48F41845" w:rsidR="004B726D" w:rsidRDefault="004B726D" w:rsidP="005811F9">
            <w:r>
              <w:t>Identified through stakeholders’ engagement; forms the basis for the recommended future research work.</w:t>
            </w:r>
          </w:p>
        </w:tc>
        <w:tc>
          <w:tcPr>
            <w:tcW w:w="3546" w:type="dxa"/>
          </w:tcPr>
          <w:p w14:paraId="19675EBC" w14:textId="6B766654" w:rsidR="004B726D" w:rsidRDefault="00C82AEE" w:rsidP="005811F9">
            <w:r>
              <w:rPr>
                <w:noProof/>
              </w:rPr>
              <w:drawing>
                <wp:inline distT="0" distB="0" distL="0" distR="0" wp14:anchorId="38408D6B" wp14:editId="4ABB0390">
                  <wp:extent cx="2114550" cy="1352550"/>
                  <wp:effectExtent l="0" t="0" r="0" b="0"/>
                  <wp:docPr id="18155107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2F5166DF" w14:textId="77777777" w:rsidR="00EE0766" w:rsidRDefault="00EE0766" w:rsidP="008C7DA0"/>
    <w:p w14:paraId="1F18C4D2" w14:textId="3AD763DD" w:rsidR="008B5C57" w:rsidRDefault="008B5C57" w:rsidP="00D536C2">
      <w:r>
        <w:br w:type="page"/>
      </w:r>
    </w:p>
    <w:p w14:paraId="7D23FB54" w14:textId="2E9B83B7" w:rsidR="009259BF" w:rsidRDefault="003219EF" w:rsidP="00F74DD6">
      <w:pPr>
        <w:pStyle w:val="Heading1NoNumbering"/>
      </w:pPr>
      <w:r w:rsidRPr="007713DD">
        <w:lastRenderedPageBreak/>
        <w:t>Analytical Framework</w:t>
      </w:r>
      <w:r>
        <w:t xml:space="preserve"> </w:t>
      </w:r>
    </w:p>
    <w:p w14:paraId="2376301A" w14:textId="5B8B0D23" w:rsidR="003219EF" w:rsidRDefault="003219EF" w:rsidP="003219EF">
      <w:r>
        <w:t xml:space="preserve">Central to this research is the recognition that a </w:t>
      </w:r>
      <w:r w:rsidR="00D96C4E">
        <w:t>business's</w:t>
      </w:r>
      <w:r>
        <w:t xml:space="preserve"> capacity to participate in </w:t>
      </w:r>
      <w:r w:rsidR="00814295">
        <w:t>DR</w:t>
      </w:r>
      <w:r>
        <w:t xml:space="preserve"> is not determined by a single factor, but by the interplay between conditions that constrain participation and conditions that enable it. The study therefore adopts a dual-axis analytical framework, distinguishing between barriers</w:t>
      </w:r>
      <w:r w:rsidR="000776AF">
        <w:t xml:space="preserve">, </w:t>
      </w:r>
      <w:r>
        <w:t>factors that reduce the likelihood or feasibility of DR participation</w:t>
      </w:r>
      <w:r w:rsidR="000776AF">
        <w:t xml:space="preserve">, </w:t>
      </w:r>
      <w:r>
        <w:t>and capabilit</w:t>
      </w:r>
      <w:r w:rsidR="000776AF">
        <w:t>ies</w:t>
      </w:r>
      <w:r>
        <w:t xml:space="preserve"> factors, which reflect characteristics that enhance a site's practical ability to respond. Critically, these two sets of factors are not independent: removing a barrier can unlock a latent capability, and building a capability can neutralise a barrier. A company lacking in-house energy expertise, for example, faces both an educational barrier and a data deficiency; addressing the former through targeted support can directly improve the latter, creating a compounding improvement in DR readiness.</w:t>
      </w:r>
    </w:p>
    <w:p w14:paraId="0940FEA3" w14:textId="0B0C7A19" w:rsidR="003219EF" w:rsidRDefault="003219EF" w:rsidP="003219EF">
      <w:r>
        <w:t>Six</w:t>
      </w:r>
      <w:r w:rsidR="00E337B6">
        <w:t xml:space="preserve"> (6)</w:t>
      </w:r>
      <w:r>
        <w:t xml:space="preserve"> barriers and five</w:t>
      </w:r>
      <w:r w:rsidR="00E337B6">
        <w:t xml:space="preserve"> (5)</w:t>
      </w:r>
      <w:r>
        <w:t xml:space="preserve"> capabilit</w:t>
      </w:r>
      <w:r w:rsidR="000776AF">
        <w:t>y</w:t>
      </w:r>
      <w:r>
        <w:t xml:space="preserve"> factors were identified through the stakeholder engagement process and structured into a weighted scoring framework applied consistently across all </w:t>
      </w:r>
      <w:r w:rsidR="00D44FF4">
        <w:t>22</w:t>
      </w:r>
      <w:r>
        <w:t xml:space="preserve"> participating companies. The barriers</w:t>
      </w:r>
      <w:r w:rsidR="000776AF">
        <w:t xml:space="preserve">, </w:t>
      </w:r>
      <w:r>
        <w:t>ranging from continuous process constraints, which received the highest negative weighting, through to labour cost considerations</w:t>
      </w:r>
      <w:r w:rsidR="000776AF">
        <w:t>,</w:t>
      </w:r>
      <w:r>
        <w:t xml:space="preserve"> reflect conditions that are largely structural and may require targeted intervention to address. The capability factors</w:t>
      </w:r>
      <w:r w:rsidR="000776AF">
        <w:t xml:space="preserve">, </w:t>
      </w:r>
      <w:r>
        <w:t>led by existing DR participation and dynamic operational flexibility</w:t>
      </w:r>
      <w:r w:rsidR="000776AF">
        <w:t xml:space="preserve">, </w:t>
      </w:r>
      <w:r>
        <w:t>reflect conditions that are more immediately actionable and that signal a company's proximity to active participation. In addition to these binary assessments, the framework incorporates a graduated score for a company's minimum required notice period prior to a curtailment event, acknowledging that response speed is as operationally significant as response availability.</w:t>
      </w:r>
    </w:p>
    <w:p w14:paraId="22F11CB4" w14:textId="07CEF5FF" w:rsidR="003219EF" w:rsidRDefault="00EF2A88" w:rsidP="003219EF">
      <w:r>
        <w:fldChar w:fldCharType="begin"/>
      </w:r>
      <w:r>
        <w:instrText xml:space="preserve"> REF _Ref230701011 \h </w:instrText>
      </w:r>
      <w:r>
        <w:fldChar w:fldCharType="separate"/>
      </w:r>
      <w:r w:rsidR="00036C9A">
        <w:t xml:space="preserve">Figure </w:t>
      </w:r>
      <w:r w:rsidR="00036C9A">
        <w:rPr>
          <w:noProof/>
        </w:rPr>
        <w:t>1</w:t>
      </w:r>
      <w:r>
        <w:fldChar w:fldCharType="end"/>
      </w:r>
      <w:r>
        <w:t xml:space="preserve"> </w:t>
      </w:r>
      <w:r w:rsidR="000776AF" w:rsidRPr="000776AF">
        <w:t xml:space="preserve">presents this conceptual framework schematically. The framework is described in full, with </w:t>
      </w:r>
      <w:r w:rsidR="00B45FC6">
        <w:t xml:space="preserve">the </w:t>
      </w:r>
      <w:r w:rsidR="000776AF" w:rsidRPr="000776AF">
        <w:t>weighting rationale</w:t>
      </w:r>
      <w:r w:rsidR="00B45FC6">
        <w:t xml:space="preserve"> </w:t>
      </w:r>
      <w:r w:rsidR="000776AF" w:rsidRPr="000776AF">
        <w:t xml:space="preserve">of its application across the participant cohort </w:t>
      </w:r>
      <w:r w:rsidR="000776AF" w:rsidRPr="00B45FC6">
        <w:t xml:space="preserve">in Section </w:t>
      </w:r>
      <w:r w:rsidR="00B45FC6">
        <w:fldChar w:fldCharType="begin"/>
      </w:r>
      <w:r w:rsidR="00B45FC6">
        <w:instrText xml:space="preserve"> REF _Ref230802809 \r \h </w:instrText>
      </w:r>
      <w:r w:rsidR="00B45FC6">
        <w:fldChar w:fldCharType="separate"/>
      </w:r>
      <w:r w:rsidR="00036C9A">
        <w:t>4.2</w:t>
      </w:r>
      <w:r w:rsidR="00B45FC6">
        <w:fldChar w:fldCharType="end"/>
      </w:r>
      <w:r w:rsidR="00B45FC6">
        <w:t xml:space="preserve"> </w:t>
      </w:r>
      <w:r w:rsidR="00B45FC6">
        <w:fldChar w:fldCharType="begin"/>
      </w:r>
      <w:r w:rsidR="00B45FC6">
        <w:instrText xml:space="preserve"> REF _Ref230802816 \h </w:instrText>
      </w:r>
      <w:r w:rsidR="00B45FC6">
        <w:fldChar w:fldCharType="separate"/>
      </w:r>
      <w:r w:rsidR="00036C9A" w:rsidRPr="00351E60">
        <w:rPr>
          <w:bCs/>
        </w:rPr>
        <w:t>Taxonomy of Loads</w:t>
      </w:r>
      <w:r w:rsidR="00B45FC6">
        <w:fldChar w:fldCharType="end"/>
      </w:r>
      <w:r w:rsidR="000776AF">
        <w:t>.</w:t>
      </w:r>
    </w:p>
    <w:p w14:paraId="7D30D114" w14:textId="7E8F1E36" w:rsidR="00D15BBA" w:rsidRDefault="00D15BBA" w:rsidP="003219EF"/>
    <w:p w14:paraId="3D94E372" w14:textId="77777777" w:rsidR="00B45FC6" w:rsidRDefault="00B45FC6" w:rsidP="003219EF"/>
    <w:p w14:paraId="7DD3F0A9" w14:textId="5EDFF1DE" w:rsidR="00EF2A88" w:rsidRDefault="003045D3" w:rsidP="008B5C57">
      <w:pPr>
        <w:keepNext/>
        <w:jc w:val="center"/>
      </w:pPr>
      <w:r>
        <w:rPr>
          <w:noProof/>
          <w:szCs w:val="19"/>
        </w:rPr>
        <w:drawing>
          <wp:inline distT="0" distB="0" distL="0" distR="0" wp14:anchorId="1ECB5BE3" wp14:editId="55728A1A">
            <wp:extent cx="6052185" cy="4053205"/>
            <wp:effectExtent l="0" t="0" r="5715" b="4445"/>
            <wp:docPr id="2115901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01952"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b="-8"/>
                    <a:stretch>
                      <a:fillRect/>
                    </a:stretch>
                  </pic:blipFill>
                  <pic:spPr bwMode="auto">
                    <a:xfrm>
                      <a:off x="0" y="0"/>
                      <a:ext cx="6052771" cy="4053597"/>
                    </a:xfrm>
                    <a:prstGeom prst="rect">
                      <a:avLst/>
                    </a:prstGeom>
                    <a:noFill/>
                    <a:ln>
                      <a:noFill/>
                    </a:ln>
                    <a:extLst>
                      <a:ext uri="{53640926-AAD7-44D8-BBD7-CCE9431645EC}">
                        <a14:shadowObscured xmlns:a14="http://schemas.microsoft.com/office/drawing/2010/main"/>
                      </a:ext>
                    </a:extLst>
                  </pic:spPr>
                </pic:pic>
              </a:graphicData>
            </a:graphic>
          </wp:inline>
        </w:drawing>
      </w:r>
    </w:p>
    <w:p w14:paraId="3E253BEF" w14:textId="25E46987" w:rsidR="000776AF" w:rsidRDefault="00EF2A88" w:rsidP="00EF2A88">
      <w:pPr>
        <w:pStyle w:val="Caption"/>
      </w:pPr>
      <w:bookmarkStart w:id="4" w:name="_Ref230701011"/>
      <w:bookmarkStart w:id="5" w:name="_Toc233788338"/>
      <w:r>
        <w:t xml:space="preserve">Figure </w:t>
      </w:r>
      <w:fldSimple w:instr=" SEQ Figure \* ARABIC ">
        <w:r w:rsidR="00036C9A">
          <w:rPr>
            <w:noProof/>
          </w:rPr>
          <w:t>1</w:t>
        </w:r>
      </w:fldSimple>
      <w:bookmarkEnd w:id="4"/>
      <w:r>
        <w:t>: Barriers and Capability Factors for Industrial Demand Response Participation</w:t>
      </w:r>
      <w:bookmarkEnd w:id="5"/>
    </w:p>
    <w:p w14:paraId="5F2EA0FC" w14:textId="1FBC5DE9" w:rsidR="008B5C57" w:rsidRDefault="00F74DD6" w:rsidP="008B5C57">
      <w:r w:rsidRPr="00EF2A88">
        <w:lastRenderedPageBreak/>
        <w:t xml:space="preserve">In </w:t>
      </w:r>
      <w:r w:rsidR="00EF2A88" w:rsidRPr="00EF2A88">
        <w:fldChar w:fldCharType="begin"/>
      </w:r>
      <w:r w:rsidR="00EF2A88" w:rsidRPr="00EF2A88">
        <w:instrText xml:space="preserve"> REF _Ref230701011 \h </w:instrText>
      </w:r>
      <w:r w:rsidR="00EF2A88">
        <w:instrText xml:space="preserve"> \* MERGEFORMAT </w:instrText>
      </w:r>
      <w:r w:rsidR="00EF2A88" w:rsidRPr="00EF2A88">
        <w:fldChar w:fldCharType="separate"/>
      </w:r>
      <w:r w:rsidR="00036C9A">
        <w:t>Figure 1</w:t>
      </w:r>
      <w:r w:rsidR="00EF2A88" w:rsidRPr="00EF2A88">
        <w:fldChar w:fldCharType="end"/>
      </w:r>
      <w:r w:rsidRPr="00EF2A88">
        <w:t xml:space="preserve">, the left column identifies the </w:t>
      </w:r>
      <w:r w:rsidR="00D30294">
        <w:t>six (</w:t>
      </w:r>
      <w:r w:rsidR="004049B0">
        <w:t>6</w:t>
      </w:r>
      <w:r w:rsidR="00D30294">
        <w:t>)</w:t>
      </w:r>
      <w:r w:rsidRPr="00EF2A88">
        <w:t xml:space="preserve"> barriers assessed for each participating company, each associated with a negative score weighting reflecting its materiality as a constraint. The right column identifies the </w:t>
      </w:r>
      <w:r w:rsidR="00D30294">
        <w:t>five (</w:t>
      </w:r>
      <w:r w:rsidR="004049B0">
        <w:t>5</w:t>
      </w:r>
      <w:r w:rsidR="00D30294">
        <w:t>)</w:t>
      </w:r>
      <w:r w:rsidRPr="00EF2A88">
        <w:t xml:space="preserve"> capability </w:t>
      </w:r>
      <w:r w:rsidR="00BE4CE9" w:rsidRPr="00EF2A88">
        <w:t>factors;</w:t>
      </w:r>
      <w:r w:rsidRPr="00EF2A88">
        <w:t xml:space="preserve"> each associated with a positive weighting. The notice period assessment, in the centres, provides a graduated score based on the minimum lead time a company requires before a demand response event can be initiated. These three inputs are combined into a composite raw score, which is subsequently normalised to produce a relative DR participation potential index across the cohort. The scoring weights are not arbitrary: they reflect considered judgements about the relative significance of each factor to actual DR outcomes, informed by the engagement process and validated against participant responses</w:t>
      </w:r>
      <w:r w:rsidR="00FD69B0">
        <w:t>.</w:t>
      </w:r>
      <w:r w:rsidR="008B5C57">
        <w:br w:type="page"/>
      </w:r>
    </w:p>
    <w:sdt>
      <w:sdtPr>
        <w:rPr>
          <w:rFonts w:eastAsiaTheme="minorHAnsi" w:cs="Times New Roman (Body CS)"/>
          <w:b w:val="0"/>
          <w:spacing w:val="4"/>
          <w:kern w:val="0"/>
          <w:sz w:val="18"/>
          <w:szCs w:val="22"/>
        </w:rPr>
        <w:id w:val="1159203173"/>
        <w:docPartObj>
          <w:docPartGallery w:val="Table of Contents"/>
          <w:docPartUnique/>
        </w:docPartObj>
      </w:sdtPr>
      <w:sdtEndPr>
        <w:rPr>
          <w:rFonts w:eastAsiaTheme="majorEastAsia" w:cstheme="majorBidi"/>
          <w:b/>
          <w:spacing w:val="-10"/>
          <w:kern w:val="28"/>
          <w:sz w:val="72"/>
          <w:szCs w:val="56"/>
        </w:rPr>
      </w:sdtEndPr>
      <w:sdtContent>
        <w:p w14:paraId="5DD14F84" w14:textId="0635E484" w:rsidR="000B4B9E" w:rsidRDefault="000B4B9E" w:rsidP="00EC482D">
          <w:pPr>
            <w:pStyle w:val="TitleBlack"/>
          </w:pPr>
          <w:r>
            <w:t>Contents</w:t>
          </w:r>
        </w:p>
      </w:sdtContent>
    </w:sdt>
    <w:p w14:paraId="5DF9D842" w14:textId="295FADDD" w:rsidR="003C7BF4" w:rsidRDefault="000B4B9E">
      <w:pPr>
        <w:pStyle w:val="TOC1"/>
        <w:rPr>
          <w:rFonts w:asciiTheme="minorHAnsi" w:eastAsiaTheme="minorEastAsia" w:hAnsiTheme="minorHAnsi" w:cstheme="minorBidi"/>
          <w:b w:val="0"/>
          <w:bCs w:val="0"/>
          <w:spacing w:val="0"/>
          <w:kern w:val="2"/>
          <w:sz w:val="24"/>
          <w:szCs w:val="24"/>
          <w:lang w:eastAsia="en-AU"/>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33788282" w:history="1">
        <w:r w:rsidR="003C7BF4" w:rsidRPr="009969F8">
          <w:rPr>
            <w:rStyle w:val="Hyperlink"/>
          </w:rPr>
          <w:t>1.</w:t>
        </w:r>
        <w:r w:rsidR="003C7BF4">
          <w:rPr>
            <w:rFonts w:asciiTheme="minorHAnsi" w:eastAsiaTheme="minorEastAsia" w:hAnsiTheme="minorHAnsi" w:cstheme="minorBidi"/>
            <w:b w:val="0"/>
            <w:bCs w:val="0"/>
            <w:spacing w:val="0"/>
            <w:kern w:val="2"/>
            <w:sz w:val="24"/>
            <w:szCs w:val="24"/>
            <w:lang w:eastAsia="en-AU"/>
            <w14:ligatures w14:val="standardContextual"/>
          </w:rPr>
          <w:tab/>
        </w:r>
        <w:r w:rsidR="003C7BF4" w:rsidRPr="009969F8">
          <w:rPr>
            <w:rStyle w:val="Hyperlink"/>
          </w:rPr>
          <w:t>Introduction</w:t>
        </w:r>
        <w:r w:rsidR="003C7BF4">
          <w:rPr>
            <w:webHidden/>
          </w:rPr>
          <w:tab/>
        </w:r>
        <w:r w:rsidR="003C7BF4">
          <w:rPr>
            <w:webHidden/>
          </w:rPr>
          <w:fldChar w:fldCharType="begin"/>
        </w:r>
        <w:r w:rsidR="003C7BF4">
          <w:rPr>
            <w:webHidden/>
          </w:rPr>
          <w:instrText xml:space="preserve"> PAGEREF _Toc233788282 \h </w:instrText>
        </w:r>
        <w:r w:rsidR="003C7BF4">
          <w:rPr>
            <w:webHidden/>
          </w:rPr>
        </w:r>
        <w:r w:rsidR="003C7BF4">
          <w:rPr>
            <w:webHidden/>
          </w:rPr>
          <w:fldChar w:fldCharType="separate"/>
        </w:r>
        <w:r w:rsidR="003C7BF4">
          <w:rPr>
            <w:webHidden/>
          </w:rPr>
          <w:t>1</w:t>
        </w:r>
        <w:r w:rsidR="003C7BF4">
          <w:rPr>
            <w:webHidden/>
          </w:rPr>
          <w:fldChar w:fldCharType="end"/>
        </w:r>
      </w:hyperlink>
    </w:p>
    <w:p w14:paraId="54EA46E6" w14:textId="7CC908AF"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283" w:history="1">
        <w:r w:rsidRPr="009969F8">
          <w:rPr>
            <w:rStyle w:val="Hyperlink"/>
          </w:rPr>
          <w:t>2.</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Research</w:t>
        </w:r>
        <w:r>
          <w:rPr>
            <w:webHidden/>
          </w:rPr>
          <w:tab/>
        </w:r>
        <w:r>
          <w:rPr>
            <w:webHidden/>
          </w:rPr>
          <w:fldChar w:fldCharType="begin"/>
        </w:r>
        <w:r>
          <w:rPr>
            <w:webHidden/>
          </w:rPr>
          <w:instrText xml:space="preserve"> PAGEREF _Toc233788283 \h </w:instrText>
        </w:r>
        <w:r>
          <w:rPr>
            <w:webHidden/>
          </w:rPr>
        </w:r>
        <w:r>
          <w:rPr>
            <w:webHidden/>
          </w:rPr>
          <w:fldChar w:fldCharType="separate"/>
        </w:r>
        <w:r>
          <w:rPr>
            <w:webHidden/>
          </w:rPr>
          <w:t>4</w:t>
        </w:r>
        <w:r>
          <w:rPr>
            <w:webHidden/>
          </w:rPr>
          <w:fldChar w:fldCharType="end"/>
        </w:r>
      </w:hyperlink>
    </w:p>
    <w:p w14:paraId="3AAEC71D" w14:textId="28F5B1BA"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84" w:history="1">
        <w:r w:rsidRPr="009969F8">
          <w:rPr>
            <w:rStyle w:val="Hyperlink"/>
          </w:rPr>
          <w:t>2.1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Literature Review</w:t>
        </w:r>
        <w:r>
          <w:rPr>
            <w:webHidden/>
          </w:rPr>
          <w:tab/>
        </w:r>
        <w:r>
          <w:rPr>
            <w:webHidden/>
          </w:rPr>
          <w:fldChar w:fldCharType="begin"/>
        </w:r>
        <w:r>
          <w:rPr>
            <w:webHidden/>
          </w:rPr>
          <w:instrText xml:space="preserve"> PAGEREF _Toc233788284 \h </w:instrText>
        </w:r>
        <w:r>
          <w:rPr>
            <w:webHidden/>
          </w:rPr>
        </w:r>
        <w:r>
          <w:rPr>
            <w:webHidden/>
          </w:rPr>
          <w:fldChar w:fldCharType="separate"/>
        </w:r>
        <w:r>
          <w:rPr>
            <w:webHidden/>
          </w:rPr>
          <w:t>4</w:t>
        </w:r>
        <w:r>
          <w:rPr>
            <w:webHidden/>
          </w:rPr>
          <w:fldChar w:fldCharType="end"/>
        </w:r>
      </w:hyperlink>
    </w:p>
    <w:p w14:paraId="5E196A0B" w14:textId="1D777866" w:rsidR="003C7BF4" w:rsidRDefault="003C7BF4">
      <w:pPr>
        <w:pStyle w:val="TOC3"/>
        <w:rPr>
          <w:rFonts w:asciiTheme="minorHAnsi" w:eastAsiaTheme="minorEastAsia" w:hAnsiTheme="minorHAnsi" w:cstheme="minorBidi"/>
          <w:color w:val="auto"/>
          <w:spacing w:val="0"/>
          <w:kern w:val="2"/>
          <w:sz w:val="24"/>
          <w:szCs w:val="24"/>
          <w:lang w:eastAsia="en-AU"/>
          <w14:ligatures w14:val="standardContextual"/>
        </w:rPr>
      </w:pPr>
      <w:hyperlink w:anchor="_Toc233788285" w:history="1">
        <w:r w:rsidRPr="009969F8">
          <w:rPr>
            <w:rStyle w:val="Hyperlink"/>
          </w:rPr>
          <w:t>2.1.1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System Services</w:t>
        </w:r>
        <w:r>
          <w:rPr>
            <w:webHidden/>
          </w:rPr>
          <w:tab/>
        </w:r>
        <w:r>
          <w:rPr>
            <w:webHidden/>
          </w:rPr>
          <w:fldChar w:fldCharType="begin"/>
        </w:r>
        <w:r>
          <w:rPr>
            <w:webHidden/>
          </w:rPr>
          <w:instrText xml:space="preserve"> PAGEREF _Toc233788285 \h </w:instrText>
        </w:r>
        <w:r>
          <w:rPr>
            <w:webHidden/>
          </w:rPr>
        </w:r>
        <w:r>
          <w:rPr>
            <w:webHidden/>
          </w:rPr>
          <w:fldChar w:fldCharType="separate"/>
        </w:r>
        <w:r>
          <w:rPr>
            <w:webHidden/>
          </w:rPr>
          <w:t>4</w:t>
        </w:r>
        <w:r>
          <w:rPr>
            <w:webHidden/>
          </w:rPr>
          <w:fldChar w:fldCharType="end"/>
        </w:r>
      </w:hyperlink>
    </w:p>
    <w:p w14:paraId="1005FEEB" w14:textId="7E4C06B5" w:rsidR="003C7BF4" w:rsidRDefault="003C7BF4">
      <w:pPr>
        <w:pStyle w:val="TOC3"/>
        <w:rPr>
          <w:rFonts w:asciiTheme="minorHAnsi" w:eastAsiaTheme="minorEastAsia" w:hAnsiTheme="minorHAnsi" w:cstheme="minorBidi"/>
          <w:color w:val="auto"/>
          <w:spacing w:val="0"/>
          <w:kern w:val="2"/>
          <w:sz w:val="24"/>
          <w:szCs w:val="24"/>
          <w:lang w:eastAsia="en-AU"/>
          <w14:ligatures w14:val="standardContextual"/>
        </w:rPr>
      </w:pPr>
      <w:hyperlink w:anchor="_Toc233788286" w:history="1">
        <w:r w:rsidRPr="009969F8">
          <w:rPr>
            <w:rStyle w:val="Hyperlink"/>
          </w:rPr>
          <w:t>2.1.2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Load Management</w:t>
        </w:r>
        <w:r>
          <w:rPr>
            <w:webHidden/>
          </w:rPr>
          <w:tab/>
        </w:r>
        <w:r>
          <w:rPr>
            <w:webHidden/>
          </w:rPr>
          <w:fldChar w:fldCharType="begin"/>
        </w:r>
        <w:r>
          <w:rPr>
            <w:webHidden/>
          </w:rPr>
          <w:instrText xml:space="preserve"> PAGEREF _Toc233788286 \h </w:instrText>
        </w:r>
        <w:r>
          <w:rPr>
            <w:webHidden/>
          </w:rPr>
        </w:r>
        <w:r>
          <w:rPr>
            <w:webHidden/>
          </w:rPr>
          <w:fldChar w:fldCharType="separate"/>
        </w:r>
        <w:r>
          <w:rPr>
            <w:webHidden/>
          </w:rPr>
          <w:t>4</w:t>
        </w:r>
        <w:r>
          <w:rPr>
            <w:webHidden/>
          </w:rPr>
          <w:fldChar w:fldCharType="end"/>
        </w:r>
      </w:hyperlink>
    </w:p>
    <w:p w14:paraId="51112575" w14:textId="30698E2B" w:rsidR="003C7BF4" w:rsidRDefault="003C7BF4">
      <w:pPr>
        <w:pStyle w:val="TOC3"/>
        <w:rPr>
          <w:rFonts w:asciiTheme="minorHAnsi" w:eastAsiaTheme="minorEastAsia" w:hAnsiTheme="minorHAnsi" w:cstheme="minorBidi"/>
          <w:color w:val="auto"/>
          <w:spacing w:val="0"/>
          <w:kern w:val="2"/>
          <w:sz w:val="24"/>
          <w:szCs w:val="24"/>
          <w:lang w:eastAsia="en-AU"/>
          <w14:ligatures w14:val="standardContextual"/>
        </w:rPr>
      </w:pPr>
      <w:hyperlink w:anchor="_Toc233788287" w:history="1">
        <w:r w:rsidRPr="009969F8">
          <w:rPr>
            <w:rStyle w:val="Hyperlink"/>
          </w:rPr>
          <w:t>2.1.3</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Demand-Side Management (DSM)</w:t>
        </w:r>
        <w:r>
          <w:rPr>
            <w:webHidden/>
          </w:rPr>
          <w:tab/>
        </w:r>
        <w:r>
          <w:rPr>
            <w:webHidden/>
          </w:rPr>
          <w:fldChar w:fldCharType="begin"/>
        </w:r>
        <w:r>
          <w:rPr>
            <w:webHidden/>
          </w:rPr>
          <w:instrText xml:space="preserve"> PAGEREF _Toc233788287 \h </w:instrText>
        </w:r>
        <w:r>
          <w:rPr>
            <w:webHidden/>
          </w:rPr>
        </w:r>
        <w:r>
          <w:rPr>
            <w:webHidden/>
          </w:rPr>
          <w:fldChar w:fldCharType="separate"/>
        </w:r>
        <w:r>
          <w:rPr>
            <w:webHidden/>
          </w:rPr>
          <w:t>5</w:t>
        </w:r>
        <w:r>
          <w:rPr>
            <w:webHidden/>
          </w:rPr>
          <w:fldChar w:fldCharType="end"/>
        </w:r>
      </w:hyperlink>
    </w:p>
    <w:p w14:paraId="19D6DA2A" w14:textId="2DFF7FD0"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288" w:history="1">
        <w:r w:rsidRPr="009969F8">
          <w:rPr>
            <w:rStyle w:val="Hyperlink"/>
          </w:rPr>
          <w:t>2.1.4</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Demand Response</w:t>
        </w:r>
        <w:r>
          <w:rPr>
            <w:webHidden/>
          </w:rPr>
          <w:tab/>
        </w:r>
        <w:r>
          <w:rPr>
            <w:webHidden/>
          </w:rPr>
          <w:fldChar w:fldCharType="begin"/>
        </w:r>
        <w:r>
          <w:rPr>
            <w:webHidden/>
          </w:rPr>
          <w:instrText xml:space="preserve"> PAGEREF _Toc233788288 \h </w:instrText>
        </w:r>
        <w:r>
          <w:rPr>
            <w:webHidden/>
          </w:rPr>
        </w:r>
        <w:r>
          <w:rPr>
            <w:webHidden/>
          </w:rPr>
          <w:fldChar w:fldCharType="separate"/>
        </w:r>
        <w:r>
          <w:rPr>
            <w:webHidden/>
          </w:rPr>
          <w:t>7</w:t>
        </w:r>
        <w:r>
          <w:rPr>
            <w:webHidden/>
          </w:rPr>
          <w:fldChar w:fldCharType="end"/>
        </w:r>
      </w:hyperlink>
    </w:p>
    <w:p w14:paraId="627C3CDF" w14:textId="7F13CD2B"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89" w:history="1">
        <w:r w:rsidRPr="009969F8">
          <w:rPr>
            <w:rStyle w:val="Hyperlink"/>
          </w:rPr>
          <w:t>2.2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Literature Gap</w:t>
        </w:r>
        <w:r>
          <w:rPr>
            <w:webHidden/>
          </w:rPr>
          <w:tab/>
        </w:r>
        <w:r>
          <w:rPr>
            <w:webHidden/>
          </w:rPr>
          <w:fldChar w:fldCharType="begin"/>
        </w:r>
        <w:r>
          <w:rPr>
            <w:webHidden/>
          </w:rPr>
          <w:instrText xml:space="preserve"> PAGEREF _Toc233788289 \h </w:instrText>
        </w:r>
        <w:r>
          <w:rPr>
            <w:webHidden/>
          </w:rPr>
        </w:r>
        <w:r>
          <w:rPr>
            <w:webHidden/>
          </w:rPr>
          <w:fldChar w:fldCharType="separate"/>
        </w:r>
        <w:r>
          <w:rPr>
            <w:webHidden/>
          </w:rPr>
          <w:t>8</w:t>
        </w:r>
        <w:r>
          <w:rPr>
            <w:webHidden/>
          </w:rPr>
          <w:fldChar w:fldCharType="end"/>
        </w:r>
      </w:hyperlink>
    </w:p>
    <w:p w14:paraId="53381904" w14:textId="2BAB1531"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290" w:history="1">
        <w:r w:rsidRPr="009969F8">
          <w:rPr>
            <w:rStyle w:val="Hyperlink"/>
          </w:rPr>
          <w:t>3.</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Background</w:t>
        </w:r>
        <w:r>
          <w:rPr>
            <w:webHidden/>
          </w:rPr>
          <w:tab/>
        </w:r>
        <w:r>
          <w:rPr>
            <w:webHidden/>
          </w:rPr>
          <w:fldChar w:fldCharType="begin"/>
        </w:r>
        <w:r>
          <w:rPr>
            <w:webHidden/>
          </w:rPr>
          <w:instrText xml:space="preserve"> PAGEREF _Toc233788290 \h </w:instrText>
        </w:r>
        <w:r>
          <w:rPr>
            <w:webHidden/>
          </w:rPr>
        </w:r>
        <w:r>
          <w:rPr>
            <w:webHidden/>
          </w:rPr>
          <w:fldChar w:fldCharType="separate"/>
        </w:r>
        <w:r>
          <w:rPr>
            <w:webHidden/>
          </w:rPr>
          <w:t>10</w:t>
        </w:r>
        <w:r>
          <w:rPr>
            <w:webHidden/>
          </w:rPr>
          <w:fldChar w:fldCharType="end"/>
        </w:r>
      </w:hyperlink>
    </w:p>
    <w:p w14:paraId="2A249EC6" w14:textId="3153E93F"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91" w:history="1">
        <w:r w:rsidRPr="009969F8">
          <w:rPr>
            <w:rStyle w:val="Hyperlink"/>
          </w:rPr>
          <w:t>3.1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Research Design</w:t>
        </w:r>
        <w:r>
          <w:rPr>
            <w:webHidden/>
          </w:rPr>
          <w:tab/>
        </w:r>
        <w:r>
          <w:rPr>
            <w:webHidden/>
          </w:rPr>
          <w:fldChar w:fldCharType="begin"/>
        </w:r>
        <w:r>
          <w:rPr>
            <w:webHidden/>
          </w:rPr>
          <w:instrText xml:space="preserve"> PAGEREF _Toc233788291 \h </w:instrText>
        </w:r>
        <w:r>
          <w:rPr>
            <w:webHidden/>
          </w:rPr>
        </w:r>
        <w:r>
          <w:rPr>
            <w:webHidden/>
          </w:rPr>
          <w:fldChar w:fldCharType="separate"/>
        </w:r>
        <w:r>
          <w:rPr>
            <w:webHidden/>
          </w:rPr>
          <w:t>10</w:t>
        </w:r>
        <w:r>
          <w:rPr>
            <w:webHidden/>
          </w:rPr>
          <w:fldChar w:fldCharType="end"/>
        </w:r>
      </w:hyperlink>
    </w:p>
    <w:p w14:paraId="59EBD01E" w14:textId="43BA800C"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92" w:history="1">
        <w:r w:rsidRPr="009969F8">
          <w:rPr>
            <w:rStyle w:val="Hyperlink"/>
          </w:rPr>
          <w:t>3.2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Focus Area</w:t>
        </w:r>
        <w:r>
          <w:rPr>
            <w:webHidden/>
          </w:rPr>
          <w:tab/>
        </w:r>
        <w:r>
          <w:rPr>
            <w:webHidden/>
          </w:rPr>
          <w:fldChar w:fldCharType="begin"/>
        </w:r>
        <w:r>
          <w:rPr>
            <w:webHidden/>
          </w:rPr>
          <w:instrText xml:space="preserve"> PAGEREF _Toc233788292 \h </w:instrText>
        </w:r>
        <w:r>
          <w:rPr>
            <w:webHidden/>
          </w:rPr>
        </w:r>
        <w:r>
          <w:rPr>
            <w:webHidden/>
          </w:rPr>
          <w:fldChar w:fldCharType="separate"/>
        </w:r>
        <w:r>
          <w:rPr>
            <w:webHidden/>
          </w:rPr>
          <w:t>10</w:t>
        </w:r>
        <w:r>
          <w:rPr>
            <w:webHidden/>
          </w:rPr>
          <w:fldChar w:fldCharType="end"/>
        </w:r>
      </w:hyperlink>
    </w:p>
    <w:p w14:paraId="469C05F6" w14:textId="7A77BE81"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93" w:history="1">
        <w:r w:rsidRPr="009969F8">
          <w:rPr>
            <w:rStyle w:val="Hyperlink"/>
          </w:rPr>
          <w:t>3.3</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Stakeholder Engagement Sampling Strategy</w:t>
        </w:r>
        <w:r>
          <w:rPr>
            <w:webHidden/>
          </w:rPr>
          <w:tab/>
        </w:r>
        <w:r>
          <w:rPr>
            <w:webHidden/>
          </w:rPr>
          <w:fldChar w:fldCharType="begin"/>
        </w:r>
        <w:r>
          <w:rPr>
            <w:webHidden/>
          </w:rPr>
          <w:instrText xml:space="preserve"> PAGEREF _Toc233788293 \h </w:instrText>
        </w:r>
        <w:r>
          <w:rPr>
            <w:webHidden/>
          </w:rPr>
        </w:r>
        <w:r>
          <w:rPr>
            <w:webHidden/>
          </w:rPr>
          <w:fldChar w:fldCharType="separate"/>
        </w:r>
        <w:r>
          <w:rPr>
            <w:webHidden/>
          </w:rPr>
          <w:t>11</w:t>
        </w:r>
        <w:r>
          <w:rPr>
            <w:webHidden/>
          </w:rPr>
          <w:fldChar w:fldCharType="end"/>
        </w:r>
      </w:hyperlink>
    </w:p>
    <w:p w14:paraId="6A9D79E5" w14:textId="15379B99"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294" w:history="1">
        <w:r w:rsidRPr="009969F8">
          <w:rPr>
            <w:rStyle w:val="Hyperlink"/>
          </w:rPr>
          <w:t>4.</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Methodology</w:t>
        </w:r>
        <w:r>
          <w:rPr>
            <w:webHidden/>
          </w:rPr>
          <w:tab/>
        </w:r>
        <w:r>
          <w:rPr>
            <w:webHidden/>
          </w:rPr>
          <w:fldChar w:fldCharType="begin"/>
        </w:r>
        <w:r>
          <w:rPr>
            <w:webHidden/>
          </w:rPr>
          <w:instrText xml:space="preserve"> PAGEREF _Toc233788294 \h </w:instrText>
        </w:r>
        <w:r>
          <w:rPr>
            <w:webHidden/>
          </w:rPr>
        </w:r>
        <w:r>
          <w:rPr>
            <w:webHidden/>
          </w:rPr>
          <w:fldChar w:fldCharType="separate"/>
        </w:r>
        <w:r>
          <w:rPr>
            <w:webHidden/>
          </w:rPr>
          <w:t>12</w:t>
        </w:r>
        <w:r>
          <w:rPr>
            <w:webHidden/>
          </w:rPr>
          <w:fldChar w:fldCharType="end"/>
        </w:r>
      </w:hyperlink>
    </w:p>
    <w:p w14:paraId="365A23A1" w14:textId="1AB3AFFF"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295" w:history="1">
        <w:r w:rsidRPr="009969F8">
          <w:rPr>
            <w:rStyle w:val="Hyperlink"/>
          </w:rPr>
          <w:t>4.1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Stakeholder Engagement</w:t>
        </w:r>
        <w:r>
          <w:rPr>
            <w:webHidden/>
          </w:rPr>
          <w:tab/>
        </w:r>
        <w:r>
          <w:rPr>
            <w:webHidden/>
          </w:rPr>
          <w:fldChar w:fldCharType="begin"/>
        </w:r>
        <w:r>
          <w:rPr>
            <w:webHidden/>
          </w:rPr>
          <w:instrText xml:space="preserve"> PAGEREF _Toc233788295 \h </w:instrText>
        </w:r>
        <w:r>
          <w:rPr>
            <w:webHidden/>
          </w:rPr>
        </w:r>
        <w:r>
          <w:rPr>
            <w:webHidden/>
          </w:rPr>
          <w:fldChar w:fldCharType="separate"/>
        </w:r>
        <w:r>
          <w:rPr>
            <w:webHidden/>
          </w:rPr>
          <w:t>12</w:t>
        </w:r>
        <w:r>
          <w:rPr>
            <w:webHidden/>
          </w:rPr>
          <w:fldChar w:fldCharType="end"/>
        </w:r>
      </w:hyperlink>
    </w:p>
    <w:p w14:paraId="3B159E5F" w14:textId="3D8A9C93" w:rsidR="003C7BF4" w:rsidRDefault="003C7BF4">
      <w:pPr>
        <w:pStyle w:val="TOC3"/>
        <w:rPr>
          <w:rFonts w:asciiTheme="minorHAnsi" w:eastAsiaTheme="minorEastAsia" w:hAnsiTheme="minorHAnsi" w:cstheme="minorBidi"/>
          <w:color w:val="auto"/>
          <w:spacing w:val="0"/>
          <w:kern w:val="2"/>
          <w:sz w:val="24"/>
          <w:szCs w:val="24"/>
          <w:lang w:eastAsia="en-AU"/>
          <w14:ligatures w14:val="standardContextual"/>
        </w:rPr>
      </w:pPr>
      <w:hyperlink w:anchor="_Toc233788296" w:history="1">
        <w:r w:rsidRPr="009969F8">
          <w:rPr>
            <w:rStyle w:val="Hyperlink"/>
          </w:rPr>
          <w:t>4.1.1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Preliminary Data Acquisition</w:t>
        </w:r>
        <w:r>
          <w:rPr>
            <w:webHidden/>
          </w:rPr>
          <w:tab/>
        </w:r>
        <w:r>
          <w:rPr>
            <w:webHidden/>
          </w:rPr>
          <w:fldChar w:fldCharType="begin"/>
        </w:r>
        <w:r>
          <w:rPr>
            <w:webHidden/>
          </w:rPr>
          <w:instrText xml:space="preserve"> PAGEREF _Toc233788296 \h </w:instrText>
        </w:r>
        <w:r>
          <w:rPr>
            <w:webHidden/>
          </w:rPr>
        </w:r>
        <w:r>
          <w:rPr>
            <w:webHidden/>
          </w:rPr>
          <w:fldChar w:fldCharType="separate"/>
        </w:r>
        <w:r>
          <w:rPr>
            <w:webHidden/>
          </w:rPr>
          <w:t>14</w:t>
        </w:r>
        <w:r>
          <w:rPr>
            <w:webHidden/>
          </w:rPr>
          <w:fldChar w:fldCharType="end"/>
        </w:r>
      </w:hyperlink>
    </w:p>
    <w:p w14:paraId="476975E8" w14:textId="30420886"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297" w:history="1">
        <w:r w:rsidRPr="009969F8">
          <w:rPr>
            <w:rStyle w:val="Hyperlink"/>
          </w:rPr>
          <w:t>4.1.2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Industry Sectors Participation</w:t>
        </w:r>
        <w:r>
          <w:rPr>
            <w:webHidden/>
          </w:rPr>
          <w:tab/>
        </w:r>
        <w:r>
          <w:rPr>
            <w:webHidden/>
          </w:rPr>
          <w:fldChar w:fldCharType="begin"/>
        </w:r>
        <w:r>
          <w:rPr>
            <w:webHidden/>
          </w:rPr>
          <w:instrText xml:space="preserve"> PAGEREF _Toc233788297 \h </w:instrText>
        </w:r>
        <w:r>
          <w:rPr>
            <w:webHidden/>
          </w:rPr>
        </w:r>
        <w:r>
          <w:rPr>
            <w:webHidden/>
          </w:rPr>
          <w:fldChar w:fldCharType="separate"/>
        </w:r>
        <w:r>
          <w:rPr>
            <w:webHidden/>
          </w:rPr>
          <w:t>14</w:t>
        </w:r>
        <w:r>
          <w:rPr>
            <w:webHidden/>
          </w:rPr>
          <w:fldChar w:fldCharType="end"/>
        </w:r>
      </w:hyperlink>
    </w:p>
    <w:p w14:paraId="33DD257E" w14:textId="721221AE"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298" w:history="1">
        <w:r w:rsidRPr="009969F8">
          <w:rPr>
            <w:rStyle w:val="Hyperlink"/>
          </w:rPr>
          <w:t>4.1.3</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Stakeholder Data Collection Methods</w:t>
        </w:r>
        <w:r>
          <w:rPr>
            <w:webHidden/>
          </w:rPr>
          <w:tab/>
        </w:r>
        <w:r>
          <w:rPr>
            <w:webHidden/>
          </w:rPr>
          <w:fldChar w:fldCharType="begin"/>
        </w:r>
        <w:r>
          <w:rPr>
            <w:webHidden/>
          </w:rPr>
          <w:instrText xml:space="preserve"> PAGEREF _Toc233788298 \h </w:instrText>
        </w:r>
        <w:r>
          <w:rPr>
            <w:webHidden/>
          </w:rPr>
        </w:r>
        <w:r>
          <w:rPr>
            <w:webHidden/>
          </w:rPr>
          <w:fldChar w:fldCharType="separate"/>
        </w:r>
        <w:r>
          <w:rPr>
            <w:webHidden/>
          </w:rPr>
          <w:t>15</w:t>
        </w:r>
        <w:r>
          <w:rPr>
            <w:webHidden/>
          </w:rPr>
          <w:fldChar w:fldCharType="end"/>
        </w:r>
      </w:hyperlink>
    </w:p>
    <w:p w14:paraId="45F40EF1" w14:textId="54A89C0D"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299" w:history="1">
        <w:r w:rsidRPr="009969F8">
          <w:rPr>
            <w:rStyle w:val="Hyperlink"/>
          </w:rPr>
          <w:t>4.1.4</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Validity and Reliability</w:t>
        </w:r>
        <w:r>
          <w:rPr>
            <w:webHidden/>
          </w:rPr>
          <w:tab/>
        </w:r>
        <w:r>
          <w:rPr>
            <w:webHidden/>
          </w:rPr>
          <w:fldChar w:fldCharType="begin"/>
        </w:r>
        <w:r>
          <w:rPr>
            <w:webHidden/>
          </w:rPr>
          <w:instrText xml:space="preserve"> PAGEREF _Toc233788299 \h </w:instrText>
        </w:r>
        <w:r>
          <w:rPr>
            <w:webHidden/>
          </w:rPr>
        </w:r>
        <w:r>
          <w:rPr>
            <w:webHidden/>
          </w:rPr>
          <w:fldChar w:fldCharType="separate"/>
        </w:r>
        <w:r>
          <w:rPr>
            <w:webHidden/>
          </w:rPr>
          <w:t>16</w:t>
        </w:r>
        <w:r>
          <w:rPr>
            <w:webHidden/>
          </w:rPr>
          <w:fldChar w:fldCharType="end"/>
        </w:r>
      </w:hyperlink>
    </w:p>
    <w:p w14:paraId="3EEE07EC" w14:textId="78FA2240"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0" w:history="1">
        <w:r w:rsidRPr="009969F8">
          <w:rPr>
            <w:rStyle w:val="Hyperlink"/>
          </w:rPr>
          <w:t>4.1.5</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Ethical Considerations</w:t>
        </w:r>
        <w:r>
          <w:rPr>
            <w:webHidden/>
          </w:rPr>
          <w:tab/>
        </w:r>
        <w:r>
          <w:rPr>
            <w:webHidden/>
          </w:rPr>
          <w:fldChar w:fldCharType="begin"/>
        </w:r>
        <w:r>
          <w:rPr>
            <w:webHidden/>
          </w:rPr>
          <w:instrText xml:space="preserve"> PAGEREF _Toc233788300 \h </w:instrText>
        </w:r>
        <w:r>
          <w:rPr>
            <w:webHidden/>
          </w:rPr>
        </w:r>
        <w:r>
          <w:rPr>
            <w:webHidden/>
          </w:rPr>
          <w:fldChar w:fldCharType="separate"/>
        </w:r>
        <w:r>
          <w:rPr>
            <w:webHidden/>
          </w:rPr>
          <w:t>16</w:t>
        </w:r>
        <w:r>
          <w:rPr>
            <w:webHidden/>
          </w:rPr>
          <w:fldChar w:fldCharType="end"/>
        </w:r>
      </w:hyperlink>
    </w:p>
    <w:p w14:paraId="4CB2B071" w14:textId="4F8CBFB9"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1" w:history="1">
        <w:r w:rsidRPr="009969F8">
          <w:rPr>
            <w:rStyle w:val="Hyperlink"/>
          </w:rPr>
          <w:t>4.1.6</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Limitations</w:t>
        </w:r>
        <w:r>
          <w:rPr>
            <w:webHidden/>
          </w:rPr>
          <w:tab/>
        </w:r>
        <w:r>
          <w:rPr>
            <w:webHidden/>
          </w:rPr>
          <w:fldChar w:fldCharType="begin"/>
        </w:r>
        <w:r>
          <w:rPr>
            <w:webHidden/>
          </w:rPr>
          <w:instrText xml:space="preserve"> PAGEREF _Toc233788301 \h </w:instrText>
        </w:r>
        <w:r>
          <w:rPr>
            <w:webHidden/>
          </w:rPr>
        </w:r>
        <w:r>
          <w:rPr>
            <w:webHidden/>
          </w:rPr>
          <w:fldChar w:fldCharType="separate"/>
        </w:r>
        <w:r>
          <w:rPr>
            <w:webHidden/>
          </w:rPr>
          <w:t>17</w:t>
        </w:r>
        <w:r>
          <w:rPr>
            <w:webHidden/>
          </w:rPr>
          <w:fldChar w:fldCharType="end"/>
        </w:r>
      </w:hyperlink>
    </w:p>
    <w:p w14:paraId="7E27B25E" w14:textId="5C31B267"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02" w:history="1">
        <w:r w:rsidRPr="009969F8">
          <w:rPr>
            <w:rStyle w:val="Hyperlink"/>
            <w:bCs/>
          </w:rPr>
          <w:t>4.2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bCs/>
          </w:rPr>
          <w:t>Taxonomy of Loads</w:t>
        </w:r>
        <w:r>
          <w:rPr>
            <w:webHidden/>
          </w:rPr>
          <w:tab/>
        </w:r>
        <w:r>
          <w:rPr>
            <w:webHidden/>
          </w:rPr>
          <w:fldChar w:fldCharType="begin"/>
        </w:r>
        <w:r>
          <w:rPr>
            <w:webHidden/>
          </w:rPr>
          <w:instrText xml:space="preserve"> PAGEREF _Toc233788302 \h </w:instrText>
        </w:r>
        <w:r>
          <w:rPr>
            <w:webHidden/>
          </w:rPr>
        </w:r>
        <w:r>
          <w:rPr>
            <w:webHidden/>
          </w:rPr>
          <w:fldChar w:fldCharType="separate"/>
        </w:r>
        <w:r>
          <w:rPr>
            <w:webHidden/>
          </w:rPr>
          <w:t>18</w:t>
        </w:r>
        <w:r>
          <w:rPr>
            <w:webHidden/>
          </w:rPr>
          <w:fldChar w:fldCharType="end"/>
        </w:r>
      </w:hyperlink>
    </w:p>
    <w:p w14:paraId="53F2BFC0" w14:textId="0BEC36C2"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3" w:history="1">
        <w:r w:rsidRPr="009969F8">
          <w:rPr>
            <w:rStyle w:val="Hyperlink"/>
          </w:rPr>
          <w:t>4.2.1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Survey Data Analysis</w:t>
        </w:r>
        <w:r>
          <w:rPr>
            <w:webHidden/>
          </w:rPr>
          <w:tab/>
        </w:r>
        <w:r>
          <w:rPr>
            <w:webHidden/>
          </w:rPr>
          <w:fldChar w:fldCharType="begin"/>
        </w:r>
        <w:r>
          <w:rPr>
            <w:webHidden/>
          </w:rPr>
          <w:instrText xml:space="preserve"> PAGEREF _Toc233788303 \h </w:instrText>
        </w:r>
        <w:r>
          <w:rPr>
            <w:webHidden/>
          </w:rPr>
        </w:r>
        <w:r>
          <w:rPr>
            <w:webHidden/>
          </w:rPr>
          <w:fldChar w:fldCharType="separate"/>
        </w:r>
        <w:r>
          <w:rPr>
            <w:webHidden/>
          </w:rPr>
          <w:t>19</w:t>
        </w:r>
        <w:r>
          <w:rPr>
            <w:webHidden/>
          </w:rPr>
          <w:fldChar w:fldCharType="end"/>
        </w:r>
      </w:hyperlink>
    </w:p>
    <w:p w14:paraId="22B30F7B" w14:textId="39E7372C"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4" w:history="1">
        <w:r w:rsidRPr="009969F8">
          <w:rPr>
            <w:rStyle w:val="Hyperlink"/>
          </w:rPr>
          <w:t>4.2.2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Constraints Assessment</w:t>
        </w:r>
        <w:r>
          <w:rPr>
            <w:webHidden/>
          </w:rPr>
          <w:tab/>
        </w:r>
        <w:r>
          <w:rPr>
            <w:webHidden/>
          </w:rPr>
          <w:fldChar w:fldCharType="begin"/>
        </w:r>
        <w:r>
          <w:rPr>
            <w:webHidden/>
          </w:rPr>
          <w:instrText xml:space="preserve"> PAGEREF _Toc233788304 \h </w:instrText>
        </w:r>
        <w:r>
          <w:rPr>
            <w:webHidden/>
          </w:rPr>
        </w:r>
        <w:r>
          <w:rPr>
            <w:webHidden/>
          </w:rPr>
          <w:fldChar w:fldCharType="separate"/>
        </w:r>
        <w:r>
          <w:rPr>
            <w:webHidden/>
          </w:rPr>
          <w:t>20</w:t>
        </w:r>
        <w:r>
          <w:rPr>
            <w:webHidden/>
          </w:rPr>
          <w:fldChar w:fldCharType="end"/>
        </w:r>
      </w:hyperlink>
    </w:p>
    <w:p w14:paraId="4A659648" w14:textId="050B44A4"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5" w:history="1">
        <w:r w:rsidRPr="009969F8">
          <w:rPr>
            <w:rStyle w:val="Hyperlink"/>
          </w:rPr>
          <w:t>4.2.3</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Scoring Approach</w:t>
        </w:r>
        <w:r>
          <w:rPr>
            <w:webHidden/>
          </w:rPr>
          <w:tab/>
        </w:r>
        <w:r>
          <w:rPr>
            <w:webHidden/>
          </w:rPr>
          <w:fldChar w:fldCharType="begin"/>
        </w:r>
        <w:r>
          <w:rPr>
            <w:webHidden/>
          </w:rPr>
          <w:instrText xml:space="preserve"> PAGEREF _Toc233788305 \h </w:instrText>
        </w:r>
        <w:r>
          <w:rPr>
            <w:webHidden/>
          </w:rPr>
        </w:r>
        <w:r>
          <w:rPr>
            <w:webHidden/>
          </w:rPr>
          <w:fldChar w:fldCharType="separate"/>
        </w:r>
        <w:r>
          <w:rPr>
            <w:webHidden/>
          </w:rPr>
          <w:t>23</w:t>
        </w:r>
        <w:r>
          <w:rPr>
            <w:webHidden/>
          </w:rPr>
          <w:fldChar w:fldCharType="end"/>
        </w:r>
      </w:hyperlink>
    </w:p>
    <w:p w14:paraId="364335A1" w14:textId="04440D59"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06" w:history="1">
        <w:r w:rsidRPr="009969F8">
          <w:rPr>
            <w:rStyle w:val="Hyperlink"/>
          </w:rPr>
          <w:t>4.2.4</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Load Categories &amp; Characterisation</w:t>
        </w:r>
        <w:r>
          <w:rPr>
            <w:webHidden/>
          </w:rPr>
          <w:tab/>
        </w:r>
        <w:r>
          <w:rPr>
            <w:webHidden/>
          </w:rPr>
          <w:fldChar w:fldCharType="begin"/>
        </w:r>
        <w:r>
          <w:rPr>
            <w:webHidden/>
          </w:rPr>
          <w:instrText xml:space="preserve"> PAGEREF _Toc233788306 \h </w:instrText>
        </w:r>
        <w:r>
          <w:rPr>
            <w:webHidden/>
          </w:rPr>
        </w:r>
        <w:r>
          <w:rPr>
            <w:webHidden/>
          </w:rPr>
          <w:fldChar w:fldCharType="separate"/>
        </w:r>
        <w:r>
          <w:rPr>
            <w:webHidden/>
          </w:rPr>
          <w:t>24</w:t>
        </w:r>
        <w:r>
          <w:rPr>
            <w:webHidden/>
          </w:rPr>
          <w:fldChar w:fldCharType="end"/>
        </w:r>
      </w:hyperlink>
    </w:p>
    <w:p w14:paraId="4B6D236D" w14:textId="19212658"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307" w:history="1">
        <w:r w:rsidRPr="009969F8">
          <w:rPr>
            <w:rStyle w:val="Hyperlink"/>
          </w:rPr>
          <w:t>5.</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Results</w:t>
        </w:r>
        <w:r>
          <w:rPr>
            <w:webHidden/>
          </w:rPr>
          <w:tab/>
        </w:r>
        <w:r>
          <w:rPr>
            <w:webHidden/>
          </w:rPr>
          <w:fldChar w:fldCharType="begin"/>
        </w:r>
        <w:r>
          <w:rPr>
            <w:webHidden/>
          </w:rPr>
          <w:instrText xml:space="preserve"> PAGEREF _Toc233788307 \h </w:instrText>
        </w:r>
        <w:r>
          <w:rPr>
            <w:webHidden/>
          </w:rPr>
        </w:r>
        <w:r>
          <w:rPr>
            <w:webHidden/>
          </w:rPr>
          <w:fldChar w:fldCharType="separate"/>
        </w:r>
        <w:r>
          <w:rPr>
            <w:webHidden/>
          </w:rPr>
          <w:t>25</w:t>
        </w:r>
        <w:r>
          <w:rPr>
            <w:webHidden/>
          </w:rPr>
          <w:fldChar w:fldCharType="end"/>
        </w:r>
      </w:hyperlink>
    </w:p>
    <w:p w14:paraId="34F4E072" w14:textId="5843BFFC"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08" w:history="1">
        <w:r w:rsidRPr="009969F8">
          <w:rPr>
            <w:rStyle w:val="Hyperlink"/>
          </w:rPr>
          <w:t>5.1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Barriers &amp; Classification</w:t>
        </w:r>
        <w:r>
          <w:rPr>
            <w:webHidden/>
          </w:rPr>
          <w:tab/>
        </w:r>
        <w:r>
          <w:rPr>
            <w:webHidden/>
          </w:rPr>
          <w:fldChar w:fldCharType="begin"/>
        </w:r>
        <w:r>
          <w:rPr>
            <w:webHidden/>
          </w:rPr>
          <w:instrText xml:space="preserve"> PAGEREF _Toc233788308 \h </w:instrText>
        </w:r>
        <w:r>
          <w:rPr>
            <w:webHidden/>
          </w:rPr>
        </w:r>
        <w:r>
          <w:rPr>
            <w:webHidden/>
          </w:rPr>
          <w:fldChar w:fldCharType="separate"/>
        </w:r>
        <w:r>
          <w:rPr>
            <w:webHidden/>
          </w:rPr>
          <w:t>25</w:t>
        </w:r>
        <w:r>
          <w:rPr>
            <w:webHidden/>
          </w:rPr>
          <w:fldChar w:fldCharType="end"/>
        </w:r>
      </w:hyperlink>
    </w:p>
    <w:p w14:paraId="315332B5" w14:textId="5142F02C"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09" w:history="1">
        <w:r w:rsidRPr="009969F8">
          <w:rPr>
            <w:rStyle w:val="Hyperlink"/>
          </w:rPr>
          <w:t>5.2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Capability Factors</w:t>
        </w:r>
        <w:r>
          <w:rPr>
            <w:webHidden/>
          </w:rPr>
          <w:tab/>
        </w:r>
        <w:r>
          <w:rPr>
            <w:webHidden/>
          </w:rPr>
          <w:fldChar w:fldCharType="begin"/>
        </w:r>
        <w:r>
          <w:rPr>
            <w:webHidden/>
          </w:rPr>
          <w:instrText xml:space="preserve"> PAGEREF _Toc233788309 \h </w:instrText>
        </w:r>
        <w:r>
          <w:rPr>
            <w:webHidden/>
          </w:rPr>
        </w:r>
        <w:r>
          <w:rPr>
            <w:webHidden/>
          </w:rPr>
          <w:fldChar w:fldCharType="separate"/>
        </w:r>
        <w:r>
          <w:rPr>
            <w:webHidden/>
          </w:rPr>
          <w:t>28</w:t>
        </w:r>
        <w:r>
          <w:rPr>
            <w:webHidden/>
          </w:rPr>
          <w:fldChar w:fldCharType="end"/>
        </w:r>
      </w:hyperlink>
    </w:p>
    <w:p w14:paraId="5FCD138F" w14:textId="1D33E827"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10" w:history="1">
        <w:r w:rsidRPr="009969F8">
          <w:rPr>
            <w:rStyle w:val="Hyperlink"/>
          </w:rPr>
          <w:t>5.3</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Scoring</w:t>
        </w:r>
        <w:r>
          <w:rPr>
            <w:webHidden/>
          </w:rPr>
          <w:tab/>
        </w:r>
        <w:r>
          <w:rPr>
            <w:webHidden/>
          </w:rPr>
          <w:fldChar w:fldCharType="begin"/>
        </w:r>
        <w:r>
          <w:rPr>
            <w:webHidden/>
          </w:rPr>
          <w:instrText xml:space="preserve"> PAGEREF _Toc233788310 \h </w:instrText>
        </w:r>
        <w:r>
          <w:rPr>
            <w:webHidden/>
          </w:rPr>
        </w:r>
        <w:r>
          <w:rPr>
            <w:webHidden/>
          </w:rPr>
          <w:fldChar w:fldCharType="separate"/>
        </w:r>
        <w:r>
          <w:rPr>
            <w:webHidden/>
          </w:rPr>
          <w:t>31</w:t>
        </w:r>
        <w:r>
          <w:rPr>
            <w:webHidden/>
          </w:rPr>
          <w:fldChar w:fldCharType="end"/>
        </w:r>
      </w:hyperlink>
    </w:p>
    <w:p w14:paraId="59742B91" w14:textId="0D86C4D6" w:rsidR="003C7BF4" w:rsidRDefault="003C7BF4">
      <w:pPr>
        <w:pStyle w:val="TOC3"/>
        <w:rPr>
          <w:rFonts w:asciiTheme="minorHAnsi" w:eastAsiaTheme="minorEastAsia" w:hAnsiTheme="minorHAnsi" w:cstheme="minorBidi"/>
          <w:color w:val="auto"/>
          <w:spacing w:val="0"/>
          <w:kern w:val="2"/>
          <w:sz w:val="24"/>
          <w:szCs w:val="24"/>
          <w:lang w:eastAsia="en-AU"/>
          <w14:ligatures w14:val="standardContextual"/>
        </w:rPr>
      </w:pPr>
      <w:hyperlink w:anchor="_Toc233788311" w:history="1">
        <w:r w:rsidRPr="009969F8">
          <w:rPr>
            <w:rStyle w:val="Hyperlink"/>
          </w:rPr>
          <w:t>5.3.1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Score Distribution</w:t>
        </w:r>
        <w:r>
          <w:rPr>
            <w:webHidden/>
          </w:rPr>
          <w:tab/>
        </w:r>
        <w:r>
          <w:rPr>
            <w:webHidden/>
          </w:rPr>
          <w:fldChar w:fldCharType="begin"/>
        </w:r>
        <w:r>
          <w:rPr>
            <w:webHidden/>
          </w:rPr>
          <w:instrText xml:space="preserve"> PAGEREF _Toc233788311 \h </w:instrText>
        </w:r>
        <w:r>
          <w:rPr>
            <w:webHidden/>
          </w:rPr>
        </w:r>
        <w:r>
          <w:rPr>
            <w:webHidden/>
          </w:rPr>
          <w:fldChar w:fldCharType="separate"/>
        </w:r>
        <w:r>
          <w:rPr>
            <w:webHidden/>
          </w:rPr>
          <w:t>32</w:t>
        </w:r>
        <w:r>
          <w:rPr>
            <w:webHidden/>
          </w:rPr>
          <w:fldChar w:fldCharType="end"/>
        </w:r>
      </w:hyperlink>
    </w:p>
    <w:p w14:paraId="58B8329D" w14:textId="78E12D99"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2" w:history="1">
        <w:r w:rsidRPr="009969F8">
          <w:rPr>
            <w:rStyle w:val="Hyperlink"/>
          </w:rPr>
          <w:t>5.3.2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Sector-Level Patterns</w:t>
        </w:r>
        <w:r>
          <w:rPr>
            <w:webHidden/>
          </w:rPr>
          <w:tab/>
        </w:r>
        <w:r>
          <w:rPr>
            <w:webHidden/>
          </w:rPr>
          <w:fldChar w:fldCharType="begin"/>
        </w:r>
        <w:r>
          <w:rPr>
            <w:webHidden/>
          </w:rPr>
          <w:instrText xml:space="preserve"> PAGEREF _Toc233788312 \h </w:instrText>
        </w:r>
        <w:r>
          <w:rPr>
            <w:webHidden/>
          </w:rPr>
        </w:r>
        <w:r>
          <w:rPr>
            <w:webHidden/>
          </w:rPr>
          <w:fldChar w:fldCharType="separate"/>
        </w:r>
        <w:r>
          <w:rPr>
            <w:webHidden/>
          </w:rPr>
          <w:t>33</w:t>
        </w:r>
        <w:r>
          <w:rPr>
            <w:webHidden/>
          </w:rPr>
          <w:fldChar w:fldCharType="end"/>
        </w:r>
      </w:hyperlink>
    </w:p>
    <w:p w14:paraId="2D7AA22E" w14:textId="073495B8"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3" w:history="1">
        <w:r w:rsidRPr="009969F8">
          <w:rPr>
            <w:rStyle w:val="Hyperlink"/>
          </w:rPr>
          <w:t>5.3.3</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Notice Period Results</w:t>
        </w:r>
        <w:r>
          <w:rPr>
            <w:webHidden/>
          </w:rPr>
          <w:tab/>
        </w:r>
        <w:r>
          <w:rPr>
            <w:webHidden/>
          </w:rPr>
          <w:fldChar w:fldCharType="begin"/>
        </w:r>
        <w:r>
          <w:rPr>
            <w:webHidden/>
          </w:rPr>
          <w:instrText xml:space="preserve"> PAGEREF _Toc233788313 \h </w:instrText>
        </w:r>
        <w:r>
          <w:rPr>
            <w:webHidden/>
          </w:rPr>
        </w:r>
        <w:r>
          <w:rPr>
            <w:webHidden/>
          </w:rPr>
          <w:fldChar w:fldCharType="separate"/>
        </w:r>
        <w:r>
          <w:rPr>
            <w:webHidden/>
          </w:rPr>
          <w:t>33</w:t>
        </w:r>
        <w:r>
          <w:rPr>
            <w:webHidden/>
          </w:rPr>
          <w:fldChar w:fldCharType="end"/>
        </w:r>
      </w:hyperlink>
    </w:p>
    <w:p w14:paraId="54AC7CD3" w14:textId="1668DD7C"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14" w:history="1">
        <w:r w:rsidRPr="009969F8">
          <w:rPr>
            <w:rStyle w:val="Hyperlink"/>
          </w:rPr>
          <w:t>5.4</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Load Identification &amp; Characterisation</w:t>
        </w:r>
        <w:r>
          <w:rPr>
            <w:webHidden/>
          </w:rPr>
          <w:tab/>
        </w:r>
        <w:r>
          <w:rPr>
            <w:webHidden/>
          </w:rPr>
          <w:fldChar w:fldCharType="begin"/>
        </w:r>
        <w:r>
          <w:rPr>
            <w:webHidden/>
          </w:rPr>
          <w:instrText xml:space="preserve"> PAGEREF _Toc233788314 \h </w:instrText>
        </w:r>
        <w:r>
          <w:rPr>
            <w:webHidden/>
          </w:rPr>
        </w:r>
        <w:r>
          <w:rPr>
            <w:webHidden/>
          </w:rPr>
          <w:fldChar w:fldCharType="separate"/>
        </w:r>
        <w:r>
          <w:rPr>
            <w:webHidden/>
          </w:rPr>
          <w:t>34</w:t>
        </w:r>
        <w:r>
          <w:rPr>
            <w:webHidden/>
          </w:rPr>
          <w:fldChar w:fldCharType="end"/>
        </w:r>
      </w:hyperlink>
    </w:p>
    <w:p w14:paraId="783D9ABE" w14:textId="014D8C1D"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5" w:history="1">
        <w:r w:rsidRPr="009969F8">
          <w:rPr>
            <w:rStyle w:val="Hyperlink"/>
          </w:rPr>
          <w:t>5.4.1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Characterisation</w:t>
        </w:r>
        <w:r>
          <w:rPr>
            <w:webHidden/>
          </w:rPr>
          <w:tab/>
        </w:r>
        <w:r>
          <w:rPr>
            <w:webHidden/>
          </w:rPr>
          <w:fldChar w:fldCharType="begin"/>
        </w:r>
        <w:r>
          <w:rPr>
            <w:webHidden/>
          </w:rPr>
          <w:instrText xml:space="preserve"> PAGEREF _Toc233788315 \h </w:instrText>
        </w:r>
        <w:r>
          <w:rPr>
            <w:webHidden/>
          </w:rPr>
        </w:r>
        <w:r>
          <w:rPr>
            <w:webHidden/>
          </w:rPr>
          <w:fldChar w:fldCharType="separate"/>
        </w:r>
        <w:r>
          <w:rPr>
            <w:webHidden/>
          </w:rPr>
          <w:t>34</w:t>
        </w:r>
        <w:r>
          <w:rPr>
            <w:webHidden/>
          </w:rPr>
          <w:fldChar w:fldCharType="end"/>
        </w:r>
      </w:hyperlink>
    </w:p>
    <w:p w14:paraId="6E666108" w14:textId="321D4E93"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6" w:history="1">
        <w:r w:rsidRPr="009969F8">
          <w:rPr>
            <w:rStyle w:val="Hyperlink"/>
          </w:rPr>
          <w:t>5.4.2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Taxonomy of Load Categories and Industrial Loads</w:t>
        </w:r>
        <w:r>
          <w:rPr>
            <w:webHidden/>
          </w:rPr>
          <w:tab/>
        </w:r>
        <w:r>
          <w:rPr>
            <w:webHidden/>
          </w:rPr>
          <w:fldChar w:fldCharType="begin"/>
        </w:r>
        <w:r>
          <w:rPr>
            <w:webHidden/>
          </w:rPr>
          <w:instrText xml:space="preserve"> PAGEREF _Toc233788316 \h </w:instrText>
        </w:r>
        <w:r>
          <w:rPr>
            <w:webHidden/>
          </w:rPr>
        </w:r>
        <w:r>
          <w:rPr>
            <w:webHidden/>
          </w:rPr>
          <w:fldChar w:fldCharType="separate"/>
        </w:r>
        <w:r>
          <w:rPr>
            <w:webHidden/>
          </w:rPr>
          <w:t>36</w:t>
        </w:r>
        <w:r>
          <w:rPr>
            <w:webHidden/>
          </w:rPr>
          <w:fldChar w:fldCharType="end"/>
        </w:r>
      </w:hyperlink>
    </w:p>
    <w:p w14:paraId="68A57367" w14:textId="508DF4F8"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17" w:history="1">
        <w:r w:rsidRPr="009969F8">
          <w:rPr>
            <w:rStyle w:val="Hyperlink"/>
          </w:rPr>
          <w:t>5.5</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Findings and Discussion</w:t>
        </w:r>
        <w:r>
          <w:rPr>
            <w:webHidden/>
          </w:rPr>
          <w:tab/>
        </w:r>
        <w:r>
          <w:rPr>
            <w:webHidden/>
          </w:rPr>
          <w:fldChar w:fldCharType="begin"/>
        </w:r>
        <w:r>
          <w:rPr>
            <w:webHidden/>
          </w:rPr>
          <w:instrText xml:space="preserve"> PAGEREF _Toc233788317 \h </w:instrText>
        </w:r>
        <w:r>
          <w:rPr>
            <w:webHidden/>
          </w:rPr>
        </w:r>
        <w:r>
          <w:rPr>
            <w:webHidden/>
          </w:rPr>
          <w:fldChar w:fldCharType="separate"/>
        </w:r>
        <w:r>
          <w:rPr>
            <w:webHidden/>
          </w:rPr>
          <w:t>40</w:t>
        </w:r>
        <w:r>
          <w:rPr>
            <w:webHidden/>
          </w:rPr>
          <w:fldChar w:fldCharType="end"/>
        </w:r>
      </w:hyperlink>
    </w:p>
    <w:p w14:paraId="2E492E3B" w14:textId="00FD6242"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8" w:history="1">
        <w:r w:rsidRPr="009969F8">
          <w:rPr>
            <w:rStyle w:val="Hyperlink"/>
          </w:rPr>
          <w:t>5.5.1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Classification Results and DR Participation Potential</w:t>
        </w:r>
        <w:r>
          <w:rPr>
            <w:webHidden/>
          </w:rPr>
          <w:tab/>
        </w:r>
        <w:r>
          <w:rPr>
            <w:webHidden/>
          </w:rPr>
          <w:fldChar w:fldCharType="begin"/>
        </w:r>
        <w:r>
          <w:rPr>
            <w:webHidden/>
          </w:rPr>
          <w:instrText xml:space="preserve"> PAGEREF _Toc233788318 \h </w:instrText>
        </w:r>
        <w:r>
          <w:rPr>
            <w:webHidden/>
          </w:rPr>
        </w:r>
        <w:r>
          <w:rPr>
            <w:webHidden/>
          </w:rPr>
          <w:fldChar w:fldCharType="separate"/>
        </w:r>
        <w:r>
          <w:rPr>
            <w:webHidden/>
          </w:rPr>
          <w:t>40</w:t>
        </w:r>
        <w:r>
          <w:rPr>
            <w:webHidden/>
          </w:rPr>
          <w:fldChar w:fldCharType="end"/>
        </w:r>
      </w:hyperlink>
    </w:p>
    <w:p w14:paraId="487F51EB" w14:textId="430900D0"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19" w:history="1">
        <w:r w:rsidRPr="009969F8">
          <w:rPr>
            <w:rStyle w:val="Hyperlink"/>
          </w:rPr>
          <w:t>5.5.2</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DR Suitability is Site-Specific, Not Sector-Specific</w:t>
        </w:r>
        <w:r>
          <w:rPr>
            <w:webHidden/>
          </w:rPr>
          <w:tab/>
        </w:r>
        <w:r>
          <w:rPr>
            <w:webHidden/>
          </w:rPr>
          <w:fldChar w:fldCharType="begin"/>
        </w:r>
        <w:r>
          <w:rPr>
            <w:webHidden/>
          </w:rPr>
          <w:instrText xml:space="preserve"> PAGEREF _Toc233788319 \h </w:instrText>
        </w:r>
        <w:r>
          <w:rPr>
            <w:webHidden/>
          </w:rPr>
        </w:r>
        <w:r>
          <w:rPr>
            <w:webHidden/>
          </w:rPr>
          <w:fldChar w:fldCharType="separate"/>
        </w:r>
        <w:r>
          <w:rPr>
            <w:webHidden/>
          </w:rPr>
          <w:t>41</w:t>
        </w:r>
        <w:r>
          <w:rPr>
            <w:webHidden/>
          </w:rPr>
          <w:fldChar w:fldCharType="end"/>
        </w:r>
      </w:hyperlink>
    </w:p>
    <w:p w14:paraId="57767EF5" w14:textId="4B910F0D"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0" w:history="1">
        <w:r w:rsidRPr="009969F8">
          <w:rPr>
            <w:rStyle w:val="Hyperlink"/>
          </w:rPr>
          <w:t>5.5.3</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Data Deficiency, Energy Auditing, and the Path to DR Readiness</w:t>
        </w:r>
        <w:r>
          <w:rPr>
            <w:webHidden/>
          </w:rPr>
          <w:tab/>
        </w:r>
        <w:r>
          <w:rPr>
            <w:webHidden/>
          </w:rPr>
          <w:fldChar w:fldCharType="begin"/>
        </w:r>
        <w:r>
          <w:rPr>
            <w:webHidden/>
          </w:rPr>
          <w:instrText xml:space="preserve"> PAGEREF _Toc233788320 \h </w:instrText>
        </w:r>
        <w:r>
          <w:rPr>
            <w:webHidden/>
          </w:rPr>
        </w:r>
        <w:r>
          <w:rPr>
            <w:webHidden/>
          </w:rPr>
          <w:fldChar w:fldCharType="separate"/>
        </w:r>
        <w:r>
          <w:rPr>
            <w:webHidden/>
          </w:rPr>
          <w:t>42</w:t>
        </w:r>
        <w:r>
          <w:rPr>
            <w:webHidden/>
          </w:rPr>
          <w:fldChar w:fldCharType="end"/>
        </w:r>
      </w:hyperlink>
    </w:p>
    <w:p w14:paraId="77F16DFE" w14:textId="411B3977"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1" w:history="1">
        <w:r w:rsidRPr="009969F8">
          <w:rPr>
            <w:rStyle w:val="Hyperlink"/>
          </w:rPr>
          <w:t>5.5.4</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Continuous Processes, Separable Loads, and Accessible DR Capacity</w:t>
        </w:r>
        <w:r>
          <w:rPr>
            <w:webHidden/>
          </w:rPr>
          <w:tab/>
        </w:r>
        <w:r>
          <w:rPr>
            <w:webHidden/>
          </w:rPr>
          <w:fldChar w:fldCharType="begin"/>
        </w:r>
        <w:r>
          <w:rPr>
            <w:webHidden/>
          </w:rPr>
          <w:instrText xml:space="preserve"> PAGEREF _Toc233788321 \h </w:instrText>
        </w:r>
        <w:r>
          <w:rPr>
            <w:webHidden/>
          </w:rPr>
        </w:r>
        <w:r>
          <w:rPr>
            <w:webHidden/>
          </w:rPr>
          <w:fldChar w:fldCharType="separate"/>
        </w:r>
        <w:r>
          <w:rPr>
            <w:webHidden/>
          </w:rPr>
          <w:t>42</w:t>
        </w:r>
        <w:r>
          <w:rPr>
            <w:webHidden/>
          </w:rPr>
          <w:fldChar w:fldCharType="end"/>
        </w:r>
      </w:hyperlink>
    </w:p>
    <w:p w14:paraId="0415A62F" w14:textId="423391BF"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2" w:history="1">
        <w:r w:rsidRPr="009969F8">
          <w:rPr>
            <w:rStyle w:val="Hyperlink"/>
          </w:rPr>
          <w:t>5.5.5</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Labour Cost, Incentive Thresholds, and the Economics of Industrial DR</w:t>
        </w:r>
        <w:r>
          <w:rPr>
            <w:webHidden/>
          </w:rPr>
          <w:tab/>
        </w:r>
        <w:r>
          <w:rPr>
            <w:webHidden/>
          </w:rPr>
          <w:fldChar w:fldCharType="begin"/>
        </w:r>
        <w:r>
          <w:rPr>
            <w:webHidden/>
          </w:rPr>
          <w:instrText xml:space="preserve"> PAGEREF _Toc233788322 \h </w:instrText>
        </w:r>
        <w:r>
          <w:rPr>
            <w:webHidden/>
          </w:rPr>
        </w:r>
        <w:r>
          <w:rPr>
            <w:webHidden/>
          </w:rPr>
          <w:fldChar w:fldCharType="separate"/>
        </w:r>
        <w:r>
          <w:rPr>
            <w:webHidden/>
          </w:rPr>
          <w:t>43</w:t>
        </w:r>
        <w:r>
          <w:rPr>
            <w:webHidden/>
          </w:rPr>
          <w:fldChar w:fldCharType="end"/>
        </w:r>
      </w:hyperlink>
    </w:p>
    <w:p w14:paraId="4D9504C2" w14:textId="5A72EA17"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3" w:history="1">
        <w:r w:rsidRPr="009969F8">
          <w:rPr>
            <w:rStyle w:val="Hyperlink"/>
          </w:rPr>
          <w:t>5.5.6</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Seasonal Consumption Patterns</w:t>
        </w:r>
        <w:r>
          <w:rPr>
            <w:webHidden/>
          </w:rPr>
          <w:tab/>
        </w:r>
        <w:r>
          <w:rPr>
            <w:webHidden/>
          </w:rPr>
          <w:fldChar w:fldCharType="begin"/>
        </w:r>
        <w:r>
          <w:rPr>
            <w:webHidden/>
          </w:rPr>
          <w:instrText xml:space="preserve"> PAGEREF _Toc233788323 \h </w:instrText>
        </w:r>
        <w:r>
          <w:rPr>
            <w:webHidden/>
          </w:rPr>
        </w:r>
        <w:r>
          <w:rPr>
            <w:webHidden/>
          </w:rPr>
          <w:fldChar w:fldCharType="separate"/>
        </w:r>
        <w:r>
          <w:rPr>
            <w:webHidden/>
          </w:rPr>
          <w:t>44</w:t>
        </w:r>
        <w:r>
          <w:rPr>
            <w:webHidden/>
          </w:rPr>
          <w:fldChar w:fldCharType="end"/>
        </w:r>
      </w:hyperlink>
    </w:p>
    <w:p w14:paraId="68E45C58" w14:textId="4C82E2FE"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4" w:history="1">
        <w:r w:rsidRPr="009969F8">
          <w:rPr>
            <w:rStyle w:val="Hyperlink"/>
          </w:rPr>
          <w:t>5.5.7</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DR Program Engagement and Notice Requirements</w:t>
        </w:r>
        <w:r>
          <w:rPr>
            <w:webHidden/>
          </w:rPr>
          <w:tab/>
        </w:r>
        <w:r>
          <w:rPr>
            <w:webHidden/>
          </w:rPr>
          <w:fldChar w:fldCharType="begin"/>
        </w:r>
        <w:r>
          <w:rPr>
            <w:webHidden/>
          </w:rPr>
          <w:instrText xml:space="preserve"> PAGEREF _Toc233788324 \h </w:instrText>
        </w:r>
        <w:r>
          <w:rPr>
            <w:webHidden/>
          </w:rPr>
        </w:r>
        <w:r>
          <w:rPr>
            <w:webHidden/>
          </w:rPr>
          <w:fldChar w:fldCharType="separate"/>
        </w:r>
        <w:r>
          <w:rPr>
            <w:webHidden/>
          </w:rPr>
          <w:t>44</w:t>
        </w:r>
        <w:r>
          <w:rPr>
            <w:webHidden/>
          </w:rPr>
          <w:fldChar w:fldCharType="end"/>
        </w:r>
      </w:hyperlink>
    </w:p>
    <w:p w14:paraId="1BB77BF4" w14:textId="5AC1B709"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5" w:history="1">
        <w:r w:rsidRPr="009969F8">
          <w:rPr>
            <w:rStyle w:val="Hyperlink"/>
          </w:rPr>
          <w:t>5.5.8</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Distributed Energy Resources and On-Site Generation</w:t>
        </w:r>
        <w:r>
          <w:rPr>
            <w:webHidden/>
          </w:rPr>
          <w:tab/>
        </w:r>
        <w:r>
          <w:rPr>
            <w:webHidden/>
          </w:rPr>
          <w:fldChar w:fldCharType="begin"/>
        </w:r>
        <w:r>
          <w:rPr>
            <w:webHidden/>
          </w:rPr>
          <w:instrText xml:space="preserve"> PAGEREF _Toc233788325 \h </w:instrText>
        </w:r>
        <w:r>
          <w:rPr>
            <w:webHidden/>
          </w:rPr>
        </w:r>
        <w:r>
          <w:rPr>
            <w:webHidden/>
          </w:rPr>
          <w:fldChar w:fldCharType="separate"/>
        </w:r>
        <w:r>
          <w:rPr>
            <w:webHidden/>
          </w:rPr>
          <w:t>45</w:t>
        </w:r>
        <w:r>
          <w:rPr>
            <w:webHidden/>
          </w:rPr>
          <w:fldChar w:fldCharType="end"/>
        </w:r>
      </w:hyperlink>
    </w:p>
    <w:p w14:paraId="691B0D44" w14:textId="5D85D13C"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6" w:history="1">
        <w:r w:rsidRPr="009969F8">
          <w:rPr>
            <w:rStyle w:val="Hyperlink"/>
          </w:rPr>
          <w:t>5.5.9</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Thermal Buffer Loads and Regulatory Constraints</w:t>
        </w:r>
        <w:r>
          <w:rPr>
            <w:webHidden/>
          </w:rPr>
          <w:tab/>
        </w:r>
        <w:r>
          <w:rPr>
            <w:webHidden/>
          </w:rPr>
          <w:fldChar w:fldCharType="begin"/>
        </w:r>
        <w:r>
          <w:rPr>
            <w:webHidden/>
          </w:rPr>
          <w:instrText xml:space="preserve"> PAGEREF _Toc233788326 \h </w:instrText>
        </w:r>
        <w:r>
          <w:rPr>
            <w:webHidden/>
          </w:rPr>
        </w:r>
        <w:r>
          <w:rPr>
            <w:webHidden/>
          </w:rPr>
          <w:fldChar w:fldCharType="separate"/>
        </w:r>
        <w:r>
          <w:rPr>
            <w:webHidden/>
          </w:rPr>
          <w:t>45</w:t>
        </w:r>
        <w:r>
          <w:rPr>
            <w:webHidden/>
          </w:rPr>
          <w:fldChar w:fldCharType="end"/>
        </w:r>
      </w:hyperlink>
    </w:p>
    <w:p w14:paraId="4DD8CA6F" w14:textId="59D7E1D0"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7" w:history="1">
        <w:r w:rsidRPr="009969F8">
          <w:rPr>
            <w:rStyle w:val="Hyperlink"/>
          </w:rPr>
          <w:t>5.5.10</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Load Categories with the Highest Near-Term DR Potential</w:t>
        </w:r>
        <w:r>
          <w:rPr>
            <w:webHidden/>
          </w:rPr>
          <w:tab/>
        </w:r>
        <w:r>
          <w:rPr>
            <w:webHidden/>
          </w:rPr>
          <w:fldChar w:fldCharType="begin"/>
        </w:r>
        <w:r>
          <w:rPr>
            <w:webHidden/>
          </w:rPr>
          <w:instrText xml:space="preserve"> PAGEREF _Toc233788327 \h </w:instrText>
        </w:r>
        <w:r>
          <w:rPr>
            <w:webHidden/>
          </w:rPr>
        </w:r>
        <w:r>
          <w:rPr>
            <w:webHidden/>
          </w:rPr>
          <w:fldChar w:fldCharType="separate"/>
        </w:r>
        <w:r>
          <w:rPr>
            <w:webHidden/>
          </w:rPr>
          <w:t>45</w:t>
        </w:r>
        <w:r>
          <w:rPr>
            <w:webHidden/>
          </w:rPr>
          <w:fldChar w:fldCharType="end"/>
        </w:r>
      </w:hyperlink>
    </w:p>
    <w:p w14:paraId="10DAF146" w14:textId="5220854A" w:rsidR="003C7BF4" w:rsidRDefault="003C7BF4">
      <w:pPr>
        <w:pStyle w:val="TOC3"/>
        <w:tabs>
          <w:tab w:val="left" w:pos="1083"/>
        </w:tabs>
        <w:rPr>
          <w:rFonts w:asciiTheme="minorHAnsi" w:eastAsiaTheme="minorEastAsia" w:hAnsiTheme="minorHAnsi" w:cstheme="minorBidi"/>
          <w:color w:val="auto"/>
          <w:spacing w:val="0"/>
          <w:kern w:val="2"/>
          <w:sz w:val="24"/>
          <w:szCs w:val="24"/>
          <w:lang w:eastAsia="en-AU"/>
          <w14:ligatures w14:val="standardContextual"/>
        </w:rPr>
      </w:pPr>
      <w:hyperlink w:anchor="_Toc233788328" w:history="1">
        <w:r w:rsidRPr="009969F8">
          <w:rPr>
            <w:rStyle w:val="Hyperlink"/>
          </w:rPr>
          <w:t>5.5.11</w:t>
        </w:r>
        <w:r>
          <w:rPr>
            <w:rFonts w:asciiTheme="minorHAnsi" w:eastAsiaTheme="minorEastAsia" w:hAnsiTheme="minorHAnsi" w:cstheme="minorBidi"/>
            <w:color w:val="auto"/>
            <w:spacing w:val="0"/>
            <w:kern w:val="2"/>
            <w:sz w:val="24"/>
            <w:szCs w:val="24"/>
            <w:lang w:eastAsia="en-AU"/>
            <w14:ligatures w14:val="standardContextual"/>
          </w:rPr>
          <w:tab/>
        </w:r>
        <w:r w:rsidRPr="009969F8">
          <w:rPr>
            <w:rStyle w:val="Hyperlink"/>
          </w:rPr>
          <w:t>The Standardisation Gap and Implications for Future Research</w:t>
        </w:r>
        <w:r>
          <w:rPr>
            <w:webHidden/>
          </w:rPr>
          <w:tab/>
        </w:r>
        <w:r>
          <w:rPr>
            <w:webHidden/>
          </w:rPr>
          <w:fldChar w:fldCharType="begin"/>
        </w:r>
        <w:r>
          <w:rPr>
            <w:webHidden/>
          </w:rPr>
          <w:instrText xml:space="preserve"> PAGEREF _Toc233788328 \h </w:instrText>
        </w:r>
        <w:r>
          <w:rPr>
            <w:webHidden/>
          </w:rPr>
        </w:r>
        <w:r>
          <w:rPr>
            <w:webHidden/>
          </w:rPr>
          <w:fldChar w:fldCharType="separate"/>
        </w:r>
        <w:r>
          <w:rPr>
            <w:webHidden/>
          </w:rPr>
          <w:t>46</w:t>
        </w:r>
        <w:r>
          <w:rPr>
            <w:webHidden/>
          </w:rPr>
          <w:fldChar w:fldCharType="end"/>
        </w:r>
      </w:hyperlink>
    </w:p>
    <w:p w14:paraId="3A66C1F4" w14:textId="3AEED3F7"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329" w:history="1">
        <w:r w:rsidRPr="009969F8">
          <w:rPr>
            <w:rStyle w:val="Hyperlink"/>
          </w:rPr>
          <w:t>6.</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Conclusion</w:t>
        </w:r>
        <w:r>
          <w:rPr>
            <w:webHidden/>
          </w:rPr>
          <w:tab/>
        </w:r>
        <w:r>
          <w:rPr>
            <w:webHidden/>
          </w:rPr>
          <w:fldChar w:fldCharType="begin"/>
        </w:r>
        <w:r>
          <w:rPr>
            <w:webHidden/>
          </w:rPr>
          <w:instrText xml:space="preserve"> PAGEREF _Toc233788329 \h </w:instrText>
        </w:r>
        <w:r>
          <w:rPr>
            <w:webHidden/>
          </w:rPr>
        </w:r>
        <w:r>
          <w:rPr>
            <w:webHidden/>
          </w:rPr>
          <w:fldChar w:fldCharType="separate"/>
        </w:r>
        <w:r>
          <w:rPr>
            <w:webHidden/>
          </w:rPr>
          <w:t>46</w:t>
        </w:r>
        <w:r>
          <w:rPr>
            <w:webHidden/>
          </w:rPr>
          <w:fldChar w:fldCharType="end"/>
        </w:r>
      </w:hyperlink>
    </w:p>
    <w:p w14:paraId="132B77F9" w14:textId="64284B70"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330" w:history="1">
        <w:r w:rsidRPr="009969F8">
          <w:rPr>
            <w:rStyle w:val="Hyperlink"/>
          </w:rPr>
          <w:t>7.</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Knowledge Sharing</w:t>
        </w:r>
        <w:r>
          <w:rPr>
            <w:webHidden/>
          </w:rPr>
          <w:tab/>
        </w:r>
        <w:r>
          <w:rPr>
            <w:webHidden/>
          </w:rPr>
          <w:fldChar w:fldCharType="begin"/>
        </w:r>
        <w:r>
          <w:rPr>
            <w:webHidden/>
          </w:rPr>
          <w:instrText xml:space="preserve"> PAGEREF _Toc233788330 \h </w:instrText>
        </w:r>
        <w:r>
          <w:rPr>
            <w:webHidden/>
          </w:rPr>
        </w:r>
        <w:r>
          <w:rPr>
            <w:webHidden/>
          </w:rPr>
          <w:fldChar w:fldCharType="separate"/>
        </w:r>
        <w:r>
          <w:rPr>
            <w:webHidden/>
          </w:rPr>
          <w:t>48</w:t>
        </w:r>
        <w:r>
          <w:rPr>
            <w:webHidden/>
          </w:rPr>
          <w:fldChar w:fldCharType="end"/>
        </w:r>
      </w:hyperlink>
    </w:p>
    <w:p w14:paraId="05A64621" w14:textId="35D2A89C"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31" w:history="1">
        <w:r w:rsidRPr="009969F8">
          <w:rPr>
            <w:rStyle w:val="Hyperlink"/>
          </w:rPr>
          <w:t>7.1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The Overarching Message</w:t>
        </w:r>
        <w:r>
          <w:rPr>
            <w:webHidden/>
          </w:rPr>
          <w:tab/>
        </w:r>
        <w:r>
          <w:rPr>
            <w:webHidden/>
          </w:rPr>
          <w:fldChar w:fldCharType="begin"/>
        </w:r>
        <w:r>
          <w:rPr>
            <w:webHidden/>
          </w:rPr>
          <w:instrText xml:space="preserve"> PAGEREF _Toc233788331 \h </w:instrText>
        </w:r>
        <w:r>
          <w:rPr>
            <w:webHidden/>
          </w:rPr>
        </w:r>
        <w:r>
          <w:rPr>
            <w:webHidden/>
          </w:rPr>
          <w:fldChar w:fldCharType="separate"/>
        </w:r>
        <w:r>
          <w:rPr>
            <w:webHidden/>
          </w:rPr>
          <w:t>48</w:t>
        </w:r>
        <w:r>
          <w:rPr>
            <w:webHidden/>
          </w:rPr>
          <w:fldChar w:fldCharType="end"/>
        </w:r>
      </w:hyperlink>
    </w:p>
    <w:p w14:paraId="56DD1C14" w14:textId="75680EE2"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32" w:history="1">
        <w:r w:rsidRPr="009969F8">
          <w:rPr>
            <w:rStyle w:val="Hyperlink"/>
          </w:rPr>
          <w:t>7.2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Dissemination and Engagement</w:t>
        </w:r>
        <w:r>
          <w:rPr>
            <w:webHidden/>
          </w:rPr>
          <w:tab/>
        </w:r>
        <w:r>
          <w:rPr>
            <w:webHidden/>
          </w:rPr>
          <w:fldChar w:fldCharType="begin"/>
        </w:r>
        <w:r>
          <w:rPr>
            <w:webHidden/>
          </w:rPr>
          <w:instrText xml:space="preserve"> PAGEREF _Toc233788332 \h </w:instrText>
        </w:r>
        <w:r>
          <w:rPr>
            <w:webHidden/>
          </w:rPr>
        </w:r>
        <w:r>
          <w:rPr>
            <w:webHidden/>
          </w:rPr>
          <w:fldChar w:fldCharType="separate"/>
        </w:r>
        <w:r>
          <w:rPr>
            <w:webHidden/>
          </w:rPr>
          <w:t>48</w:t>
        </w:r>
        <w:r>
          <w:rPr>
            <w:webHidden/>
          </w:rPr>
          <w:fldChar w:fldCharType="end"/>
        </w:r>
      </w:hyperlink>
    </w:p>
    <w:p w14:paraId="7B8B1F07" w14:textId="62A92B41"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333" w:history="1">
        <w:r w:rsidRPr="009969F8">
          <w:rPr>
            <w:rStyle w:val="Hyperlink"/>
          </w:rPr>
          <w:t>8.</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Future Work</w:t>
        </w:r>
        <w:r>
          <w:rPr>
            <w:webHidden/>
          </w:rPr>
          <w:tab/>
        </w:r>
        <w:r>
          <w:rPr>
            <w:webHidden/>
          </w:rPr>
          <w:fldChar w:fldCharType="begin"/>
        </w:r>
        <w:r>
          <w:rPr>
            <w:webHidden/>
          </w:rPr>
          <w:instrText xml:space="preserve"> PAGEREF _Toc233788333 \h </w:instrText>
        </w:r>
        <w:r>
          <w:rPr>
            <w:webHidden/>
          </w:rPr>
        </w:r>
        <w:r>
          <w:rPr>
            <w:webHidden/>
          </w:rPr>
          <w:fldChar w:fldCharType="separate"/>
        </w:r>
        <w:r>
          <w:rPr>
            <w:webHidden/>
          </w:rPr>
          <w:t>49</w:t>
        </w:r>
        <w:r>
          <w:rPr>
            <w:webHidden/>
          </w:rPr>
          <w:fldChar w:fldCharType="end"/>
        </w:r>
      </w:hyperlink>
    </w:p>
    <w:p w14:paraId="233241BC" w14:textId="3FFDD2E7"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34" w:history="1">
        <w:r w:rsidRPr="009969F8">
          <w:rPr>
            <w:rStyle w:val="Hyperlink"/>
          </w:rPr>
          <w:t>8.1</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Discovery and Estimation of Demand-Side Inertia Sources in the NEM</w:t>
        </w:r>
        <w:r>
          <w:rPr>
            <w:webHidden/>
          </w:rPr>
          <w:tab/>
        </w:r>
        <w:r>
          <w:rPr>
            <w:webHidden/>
          </w:rPr>
          <w:fldChar w:fldCharType="begin"/>
        </w:r>
        <w:r>
          <w:rPr>
            <w:webHidden/>
          </w:rPr>
          <w:instrText xml:space="preserve"> PAGEREF _Toc233788334 \h </w:instrText>
        </w:r>
        <w:r>
          <w:rPr>
            <w:webHidden/>
          </w:rPr>
        </w:r>
        <w:r>
          <w:rPr>
            <w:webHidden/>
          </w:rPr>
          <w:fldChar w:fldCharType="separate"/>
        </w:r>
        <w:r>
          <w:rPr>
            <w:webHidden/>
          </w:rPr>
          <w:t>49</w:t>
        </w:r>
        <w:r>
          <w:rPr>
            <w:webHidden/>
          </w:rPr>
          <w:fldChar w:fldCharType="end"/>
        </w:r>
      </w:hyperlink>
    </w:p>
    <w:p w14:paraId="5A109C3E" w14:textId="5934CC53"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35" w:history="1">
        <w:r w:rsidRPr="009969F8">
          <w:rPr>
            <w:rStyle w:val="Hyperlink"/>
          </w:rPr>
          <w:t>8.2</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Unlocking Industrial Demand-Side Management: A Customer-Centric Study</w:t>
        </w:r>
        <w:r>
          <w:rPr>
            <w:webHidden/>
          </w:rPr>
          <w:tab/>
        </w:r>
        <w:r>
          <w:rPr>
            <w:webHidden/>
          </w:rPr>
          <w:fldChar w:fldCharType="begin"/>
        </w:r>
        <w:r>
          <w:rPr>
            <w:webHidden/>
          </w:rPr>
          <w:instrText xml:space="preserve"> PAGEREF _Toc233788335 \h </w:instrText>
        </w:r>
        <w:r>
          <w:rPr>
            <w:webHidden/>
          </w:rPr>
        </w:r>
        <w:r>
          <w:rPr>
            <w:webHidden/>
          </w:rPr>
          <w:fldChar w:fldCharType="separate"/>
        </w:r>
        <w:r>
          <w:rPr>
            <w:webHidden/>
          </w:rPr>
          <w:t>49</w:t>
        </w:r>
        <w:r>
          <w:rPr>
            <w:webHidden/>
          </w:rPr>
          <w:fldChar w:fldCharType="end"/>
        </w:r>
      </w:hyperlink>
    </w:p>
    <w:p w14:paraId="4A46D349" w14:textId="71450508" w:rsidR="003C7BF4" w:rsidRDefault="003C7BF4">
      <w:pPr>
        <w:pStyle w:val="TOC2"/>
        <w:rPr>
          <w:rFonts w:asciiTheme="minorHAnsi" w:eastAsiaTheme="minorEastAsia" w:hAnsiTheme="minorHAnsi" w:cstheme="minorBidi"/>
          <w:spacing w:val="0"/>
          <w:kern w:val="2"/>
          <w:sz w:val="24"/>
          <w:szCs w:val="24"/>
          <w:lang w:eastAsia="en-AU"/>
          <w14:ligatures w14:val="standardContextual"/>
        </w:rPr>
      </w:pPr>
      <w:hyperlink w:anchor="_Toc233788336" w:history="1">
        <w:r w:rsidRPr="009969F8">
          <w:rPr>
            <w:rStyle w:val="Hyperlink"/>
          </w:rPr>
          <w:t>8.3</w:t>
        </w:r>
        <w:r>
          <w:rPr>
            <w:rFonts w:asciiTheme="minorHAnsi" w:eastAsiaTheme="minorEastAsia" w:hAnsiTheme="minorHAnsi" w:cstheme="minorBidi"/>
            <w:spacing w:val="0"/>
            <w:kern w:val="2"/>
            <w:sz w:val="24"/>
            <w:szCs w:val="24"/>
            <w:lang w:eastAsia="en-AU"/>
            <w14:ligatures w14:val="standardContextual"/>
          </w:rPr>
          <w:tab/>
        </w:r>
        <w:r w:rsidRPr="009969F8">
          <w:rPr>
            <w:rStyle w:val="Hyperlink"/>
          </w:rPr>
          <w:t>Foundation for an Industrial Demand Response Standard In the NEM</w:t>
        </w:r>
        <w:r>
          <w:rPr>
            <w:webHidden/>
          </w:rPr>
          <w:tab/>
        </w:r>
        <w:r>
          <w:rPr>
            <w:webHidden/>
          </w:rPr>
          <w:fldChar w:fldCharType="begin"/>
        </w:r>
        <w:r>
          <w:rPr>
            <w:webHidden/>
          </w:rPr>
          <w:instrText xml:space="preserve"> PAGEREF _Toc233788336 \h </w:instrText>
        </w:r>
        <w:r>
          <w:rPr>
            <w:webHidden/>
          </w:rPr>
        </w:r>
        <w:r>
          <w:rPr>
            <w:webHidden/>
          </w:rPr>
          <w:fldChar w:fldCharType="separate"/>
        </w:r>
        <w:r>
          <w:rPr>
            <w:webHidden/>
          </w:rPr>
          <w:t>50</w:t>
        </w:r>
        <w:r>
          <w:rPr>
            <w:webHidden/>
          </w:rPr>
          <w:fldChar w:fldCharType="end"/>
        </w:r>
      </w:hyperlink>
    </w:p>
    <w:p w14:paraId="1A246C6A" w14:textId="28D5E18B" w:rsidR="003C7BF4" w:rsidRDefault="003C7BF4">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8337" w:history="1">
        <w:r w:rsidRPr="009969F8">
          <w:rPr>
            <w:rStyle w:val="Hyperlink"/>
          </w:rPr>
          <w:t>9.</w:t>
        </w:r>
        <w:r>
          <w:rPr>
            <w:rFonts w:asciiTheme="minorHAnsi" w:eastAsiaTheme="minorEastAsia" w:hAnsiTheme="minorHAnsi" w:cstheme="minorBidi"/>
            <w:b w:val="0"/>
            <w:bCs w:val="0"/>
            <w:spacing w:val="0"/>
            <w:kern w:val="2"/>
            <w:sz w:val="24"/>
            <w:szCs w:val="24"/>
            <w:lang w:eastAsia="en-AU"/>
            <w14:ligatures w14:val="standardContextual"/>
          </w:rPr>
          <w:tab/>
        </w:r>
        <w:r w:rsidRPr="009969F8">
          <w:rPr>
            <w:rStyle w:val="Hyperlink"/>
          </w:rPr>
          <w:t>References</w:t>
        </w:r>
        <w:r>
          <w:rPr>
            <w:webHidden/>
          </w:rPr>
          <w:tab/>
        </w:r>
        <w:r>
          <w:rPr>
            <w:webHidden/>
          </w:rPr>
          <w:fldChar w:fldCharType="begin"/>
        </w:r>
        <w:r>
          <w:rPr>
            <w:webHidden/>
          </w:rPr>
          <w:instrText xml:space="preserve"> PAGEREF _Toc233788337 \h </w:instrText>
        </w:r>
        <w:r>
          <w:rPr>
            <w:webHidden/>
          </w:rPr>
        </w:r>
        <w:r>
          <w:rPr>
            <w:webHidden/>
          </w:rPr>
          <w:fldChar w:fldCharType="separate"/>
        </w:r>
        <w:r>
          <w:rPr>
            <w:webHidden/>
          </w:rPr>
          <w:t>51</w:t>
        </w:r>
        <w:r>
          <w:rPr>
            <w:webHidden/>
          </w:rPr>
          <w:fldChar w:fldCharType="end"/>
        </w:r>
      </w:hyperlink>
    </w:p>
    <w:p w14:paraId="39229041" w14:textId="025FF0A2" w:rsidR="000B4B9E" w:rsidRDefault="000B4B9E" w:rsidP="00EC482D">
      <w:r>
        <w:fldChar w:fldCharType="end"/>
      </w:r>
    </w:p>
    <w:p w14:paraId="302890DB" w14:textId="77777777" w:rsidR="001D7698" w:rsidRPr="00477B5A" w:rsidRDefault="001D7698" w:rsidP="001D7698">
      <w:pPr>
        <w:pStyle w:val="Heading2NoNumbering"/>
      </w:pPr>
      <w:r w:rsidRPr="00477B5A">
        <w:t>Appendices</w:t>
      </w:r>
    </w:p>
    <w:p w14:paraId="1A8906A1" w14:textId="77777777" w:rsidR="00036C9A" w:rsidRDefault="001D7698">
      <w:pPr>
        <w:pStyle w:val="TOC1"/>
        <w:rPr>
          <w:rFonts w:asciiTheme="minorHAnsi" w:eastAsiaTheme="minorEastAsia" w:hAnsiTheme="minorHAnsi" w:cstheme="minorBidi"/>
          <w:b w:val="0"/>
          <w:bCs w:val="0"/>
          <w:spacing w:val="0"/>
          <w:kern w:val="2"/>
          <w:sz w:val="24"/>
          <w:szCs w:val="24"/>
          <w:lang w:eastAsia="en-AU"/>
          <w14:ligatures w14:val="standardContextual"/>
        </w:rPr>
      </w:pPr>
      <w:r w:rsidRPr="00477B5A">
        <w:rPr>
          <w:sz w:val="22"/>
        </w:rPr>
        <w:fldChar w:fldCharType="begin"/>
      </w:r>
      <w:r w:rsidRPr="00477B5A">
        <w:instrText xml:space="preserve"> TOC \n \h \z \t "Appendix Heading 2,1" </w:instrText>
      </w:r>
      <w:r w:rsidRPr="00477B5A">
        <w:rPr>
          <w:sz w:val="22"/>
        </w:rPr>
        <w:fldChar w:fldCharType="separate"/>
      </w:r>
      <w:hyperlink w:anchor="_Toc233787135" w:history="1">
        <w:r w:rsidR="00036C9A" w:rsidRPr="003E2888">
          <w:rPr>
            <w:rStyle w:val="Hyperlink"/>
          </w:rPr>
          <w:t>A:</w:t>
        </w:r>
        <w:r w:rsidR="00036C9A">
          <w:rPr>
            <w:rFonts w:asciiTheme="minorHAnsi" w:eastAsiaTheme="minorEastAsia" w:hAnsiTheme="minorHAnsi" w:cstheme="minorBidi"/>
            <w:b w:val="0"/>
            <w:bCs w:val="0"/>
            <w:spacing w:val="0"/>
            <w:kern w:val="2"/>
            <w:sz w:val="24"/>
            <w:szCs w:val="24"/>
            <w:lang w:eastAsia="en-AU"/>
            <w14:ligatures w14:val="standardContextual"/>
          </w:rPr>
          <w:tab/>
        </w:r>
        <w:r w:rsidR="00036C9A" w:rsidRPr="003E2888">
          <w:rPr>
            <w:rStyle w:val="Hyperlink"/>
          </w:rPr>
          <w:t>Source Data – Interview Questionnaire</w:t>
        </w:r>
      </w:hyperlink>
    </w:p>
    <w:p w14:paraId="15D00FD4" w14:textId="77777777" w:rsidR="00036C9A" w:rsidRDefault="00036C9A">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7136" w:history="1">
        <w:r w:rsidRPr="003E2888">
          <w:rPr>
            <w:rStyle w:val="Hyperlink"/>
          </w:rPr>
          <w:t>B:</w:t>
        </w:r>
        <w:r>
          <w:rPr>
            <w:rFonts w:asciiTheme="minorHAnsi" w:eastAsiaTheme="minorEastAsia" w:hAnsiTheme="minorHAnsi" w:cstheme="minorBidi"/>
            <w:b w:val="0"/>
            <w:bCs w:val="0"/>
            <w:spacing w:val="0"/>
            <w:kern w:val="2"/>
            <w:sz w:val="24"/>
            <w:szCs w:val="24"/>
            <w:lang w:eastAsia="en-AU"/>
            <w14:ligatures w14:val="standardContextual"/>
          </w:rPr>
          <w:tab/>
        </w:r>
        <w:r w:rsidRPr="003E2888">
          <w:rPr>
            <w:rStyle w:val="Hyperlink"/>
          </w:rPr>
          <w:t>Questionnaire Data Analysis</w:t>
        </w:r>
      </w:hyperlink>
    </w:p>
    <w:p w14:paraId="69FBFA7A" w14:textId="77777777" w:rsidR="00036C9A" w:rsidRDefault="00036C9A">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7137" w:history="1">
        <w:r w:rsidRPr="003E2888">
          <w:rPr>
            <w:rStyle w:val="Hyperlink"/>
          </w:rPr>
          <w:t>C:</w:t>
        </w:r>
        <w:r>
          <w:rPr>
            <w:rFonts w:asciiTheme="minorHAnsi" w:eastAsiaTheme="minorEastAsia" w:hAnsiTheme="minorHAnsi" w:cstheme="minorBidi"/>
            <w:b w:val="0"/>
            <w:bCs w:val="0"/>
            <w:spacing w:val="0"/>
            <w:kern w:val="2"/>
            <w:sz w:val="24"/>
            <w:szCs w:val="24"/>
            <w:lang w:eastAsia="en-AU"/>
            <w14:ligatures w14:val="standardContextual"/>
          </w:rPr>
          <w:tab/>
        </w:r>
        <w:r w:rsidRPr="003E2888">
          <w:rPr>
            <w:rStyle w:val="Hyperlink"/>
          </w:rPr>
          <w:t>Taxonomy of Load</w:t>
        </w:r>
      </w:hyperlink>
    </w:p>
    <w:p w14:paraId="02C4F896" w14:textId="77777777" w:rsidR="00036C9A" w:rsidRDefault="00036C9A">
      <w:pPr>
        <w:pStyle w:val="TOC1"/>
        <w:rPr>
          <w:rFonts w:asciiTheme="minorHAnsi" w:eastAsiaTheme="minorEastAsia" w:hAnsiTheme="minorHAnsi" w:cstheme="minorBidi"/>
          <w:b w:val="0"/>
          <w:bCs w:val="0"/>
          <w:spacing w:val="0"/>
          <w:kern w:val="2"/>
          <w:sz w:val="24"/>
          <w:szCs w:val="24"/>
          <w:lang w:eastAsia="en-AU"/>
          <w14:ligatures w14:val="standardContextual"/>
        </w:rPr>
      </w:pPr>
      <w:hyperlink w:anchor="_Toc233787138" w:history="1">
        <w:r w:rsidRPr="003E2888">
          <w:rPr>
            <w:rStyle w:val="Hyperlink"/>
          </w:rPr>
          <w:t>D:</w:t>
        </w:r>
        <w:r>
          <w:rPr>
            <w:rFonts w:asciiTheme="minorHAnsi" w:eastAsiaTheme="minorEastAsia" w:hAnsiTheme="minorHAnsi" w:cstheme="minorBidi"/>
            <w:b w:val="0"/>
            <w:bCs w:val="0"/>
            <w:spacing w:val="0"/>
            <w:kern w:val="2"/>
            <w:sz w:val="24"/>
            <w:szCs w:val="24"/>
            <w:lang w:eastAsia="en-AU"/>
            <w14:ligatures w14:val="standardContextual"/>
          </w:rPr>
          <w:tab/>
        </w:r>
        <w:r w:rsidRPr="003E2888">
          <w:rPr>
            <w:rStyle w:val="Hyperlink"/>
          </w:rPr>
          <w:t>Barrier and Capability Assessment Framework</w:t>
        </w:r>
      </w:hyperlink>
    </w:p>
    <w:p w14:paraId="73585412" w14:textId="31CCE1DF" w:rsidR="001D7698" w:rsidRPr="00477B5A" w:rsidRDefault="001D7698" w:rsidP="00AF60F1">
      <w:r w:rsidRPr="00477B5A">
        <w:fldChar w:fldCharType="end"/>
      </w:r>
    </w:p>
    <w:p w14:paraId="7600866C" w14:textId="77777777" w:rsidR="00A909BB" w:rsidRDefault="00A909BB">
      <w:pPr>
        <w:spacing w:after="0" w:line="240" w:lineRule="auto"/>
      </w:pPr>
      <w:r>
        <w:br w:type="page"/>
      </w:r>
    </w:p>
    <w:p w14:paraId="63273B05" w14:textId="77777777" w:rsidR="00B46F77" w:rsidRPr="00F5384D" w:rsidRDefault="00B46F77" w:rsidP="00F5384D">
      <w:pPr>
        <w:pStyle w:val="Heading1NoNumbering"/>
      </w:pPr>
      <w:r w:rsidRPr="00F5384D">
        <w:lastRenderedPageBreak/>
        <w:t>List of Figures</w:t>
      </w:r>
    </w:p>
    <w:p w14:paraId="3DA11053" w14:textId="661E93E1" w:rsidR="003C7BF4" w:rsidRDefault="00B46F77">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r>
        <w:fldChar w:fldCharType="begin"/>
      </w:r>
      <w:r>
        <w:instrText xml:space="preserve"> TOC \h \z \c "Figure" </w:instrText>
      </w:r>
      <w:r>
        <w:fldChar w:fldCharType="separate"/>
      </w:r>
      <w:hyperlink w:anchor="_Toc233788338" w:history="1">
        <w:r w:rsidR="003C7BF4" w:rsidRPr="004E4416">
          <w:rPr>
            <w:rStyle w:val="Hyperlink"/>
            <w:noProof/>
          </w:rPr>
          <w:t>Figure 1: Barriers and Capability Factors for Industrial Demand Response Participation</w:t>
        </w:r>
        <w:r w:rsidR="003C7BF4">
          <w:rPr>
            <w:noProof/>
            <w:webHidden/>
          </w:rPr>
          <w:tab/>
        </w:r>
        <w:r w:rsidR="003C7BF4">
          <w:rPr>
            <w:noProof/>
            <w:webHidden/>
          </w:rPr>
          <w:fldChar w:fldCharType="begin"/>
        </w:r>
        <w:r w:rsidR="003C7BF4">
          <w:rPr>
            <w:noProof/>
            <w:webHidden/>
          </w:rPr>
          <w:instrText xml:space="preserve"> PAGEREF _Toc233788338 \h </w:instrText>
        </w:r>
        <w:r w:rsidR="003C7BF4">
          <w:rPr>
            <w:noProof/>
            <w:webHidden/>
          </w:rPr>
        </w:r>
        <w:r w:rsidR="003C7BF4">
          <w:rPr>
            <w:noProof/>
            <w:webHidden/>
          </w:rPr>
          <w:fldChar w:fldCharType="separate"/>
        </w:r>
        <w:r w:rsidR="003C7BF4">
          <w:rPr>
            <w:noProof/>
            <w:webHidden/>
          </w:rPr>
          <w:t>8</w:t>
        </w:r>
        <w:r w:rsidR="003C7BF4">
          <w:rPr>
            <w:noProof/>
            <w:webHidden/>
          </w:rPr>
          <w:fldChar w:fldCharType="end"/>
        </w:r>
      </w:hyperlink>
    </w:p>
    <w:p w14:paraId="66FC0F94" w14:textId="56914418"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39" w:history="1">
        <w:r w:rsidRPr="004E4416">
          <w:rPr>
            <w:rStyle w:val="Hyperlink"/>
            <w:noProof/>
          </w:rPr>
          <w:t>Figure 2: Annual NEM electricity generation 2008-2026 and forecast to 2050 (AEMO, 2026)</w:t>
        </w:r>
        <w:r>
          <w:rPr>
            <w:noProof/>
            <w:webHidden/>
          </w:rPr>
          <w:tab/>
        </w:r>
        <w:r>
          <w:rPr>
            <w:noProof/>
            <w:webHidden/>
          </w:rPr>
          <w:fldChar w:fldCharType="begin"/>
        </w:r>
        <w:r>
          <w:rPr>
            <w:noProof/>
            <w:webHidden/>
          </w:rPr>
          <w:instrText xml:space="preserve"> PAGEREF _Toc233788339 \h </w:instrText>
        </w:r>
        <w:r>
          <w:rPr>
            <w:noProof/>
            <w:webHidden/>
          </w:rPr>
        </w:r>
        <w:r>
          <w:rPr>
            <w:noProof/>
            <w:webHidden/>
          </w:rPr>
          <w:fldChar w:fldCharType="separate"/>
        </w:r>
        <w:r>
          <w:rPr>
            <w:noProof/>
            <w:webHidden/>
          </w:rPr>
          <w:t>2</w:t>
        </w:r>
        <w:r>
          <w:rPr>
            <w:noProof/>
            <w:webHidden/>
          </w:rPr>
          <w:fldChar w:fldCharType="end"/>
        </w:r>
      </w:hyperlink>
    </w:p>
    <w:p w14:paraId="6EEE7FEC" w14:textId="564116FD"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0" w:history="1">
        <w:r w:rsidRPr="004E4416">
          <w:rPr>
            <w:rStyle w:val="Hyperlink"/>
            <w:noProof/>
          </w:rPr>
          <w:t>Figure 3: Projected NEM load growth by sector: industrial electrification vs. residential EV and electrification (AEMO, 2026)</w:t>
        </w:r>
        <w:r>
          <w:rPr>
            <w:noProof/>
            <w:webHidden/>
          </w:rPr>
          <w:tab/>
        </w:r>
        <w:r>
          <w:rPr>
            <w:noProof/>
            <w:webHidden/>
          </w:rPr>
          <w:fldChar w:fldCharType="begin"/>
        </w:r>
        <w:r>
          <w:rPr>
            <w:noProof/>
            <w:webHidden/>
          </w:rPr>
          <w:instrText xml:space="preserve"> PAGEREF _Toc233788340 \h </w:instrText>
        </w:r>
        <w:r>
          <w:rPr>
            <w:noProof/>
            <w:webHidden/>
          </w:rPr>
        </w:r>
        <w:r>
          <w:rPr>
            <w:noProof/>
            <w:webHidden/>
          </w:rPr>
          <w:fldChar w:fldCharType="separate"/>
        </w:r>
        <w:r>
          <w:rPr>
            <w:noProof/>
            <w:webHidden/>
          </w:rPr>
          <w:t>2</w:t>
        </w:r>
        <w:r>
          <w:rPr>
            <w:noProof/>
            <w:webHidden/>
          </w:rPr>
          <w:fldChar w:fldCharType="end"/>
        </w:r>
      </w:hyperlink>
    </w:p>
    <w:p w14:paraId="4EAE74CC" w14:textId="36FB87E1"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1" w:history="1">
        <w:r w:rsidRPr="004E4416">
          <w:rPr>
            <w:rStyle w:val="Hyperlink"/>
            <w:noProof/>
          </w:rPr>
          <w:t>Figure 4: Energy Consumption by Industrial Participants</w:t>
        </w:r>
        <w:r>
          <w:rPr>
            <w:noProof/>
            <w:webHidden/>
          </w:rPr>
          <w:tab/>
        </w:r>
        <w:r>
          <w:rPr>
            <w:noProof/>
            <w:webHidden/>
          </w:rPr>
          <w:fldChar w:fldCharType="begin"/>
        </w:r>
        <w:r>
          <w:rPr>
            <w:noProof/>
            <w:webHidden/>
          </w:rPr>
          <w:instrText xml:space="preserve"> PAGEREF _Toc233788341 \h </w:instrText>
        </w:r>
        <w:r>
          <w:rPr>
            <w:noProof/>
            <w:webHidden/>
          </w:rPr>
        </w:r>
        <w:r>
          <w:rPr>
            <w:noProof/>
            <w:webHidden/>
          </w:rPr>
          <w:fldChar w:fldCharType="separate"/>
        </w:r>
        <w:r>
          <w:rPr>
            <w:noProof/>
            <w:webHidden/>
          </w:rPr>
          <w:t>11</w:t>
        </w:r>
        <w:r>
          <w:rPr>
            <w:noProof/>
            <w:webHidden/>
          </w:rPr>
          <w:fldChar w:fldCharType="end"/>
        </w:r>
      </w:hyperlink>
    </w:p>
    <w:p w14:paraId="15C39DE3" w14:textId="79406804"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2" w:history="1">
        <w:r w:rsidRPr="004E4416">
          <w:rPr>
            <w:rStyle w:val="Hyperlink"/>
            <w:noProof/>
          </w:rPr>
          <w:t>Figure 5: Energy Consumption by Industrial participants Without Major Users: Company G and M.</w:t>
        </w:r>
        <w:r>
          <w:rPr>
            <w:noProof/>
            <w:webHidden/>
          </w:rPr>
          <w:tab/>
        </w:r>
        <w:r>
          <w:rPr>
            <w:noProof/>
            <w:webHidden/>
          </w:rPr>
          <w:fldChar w:fldCharType="begin"/>
        </w:r>
        <w:r>
          <w:rPr>
            <w:noProof/>
            <w:webHidden/>
          </w:rPr>
          <w:instrText xml:space="preserve"> PAGEREF _Toc233788342 \h </w:instrText>
        </w:r>
        <w:r>
          <w:rPr>
            <w:noProof/>
            <w:webHidden/>
          </w:rPr>
        </w:r>
        <w:r>
          <w:rPr>
            <w:noProof/>
            <w:webHidden/>
          </w:rPr>
          <w:fldChar w:fldCharType="separate"/>
        </w:r>
        <w:r>
          <w:rPr>
            <w:noProof/>
            <w:webHidden/>
          </w:rPr>
          <w:t>12</w:t>
        </w:r>
        <w:r>
          <w:rPr>
            <w:noProof/>
            <w:webHidden/>
          </w:rPr>
          <w:fldChar w:fldCharType="end"/>
        </w:r>
      </w:hyperlink>
    </w:p>
    <w:p w14:paraId="0C8CD6E6" w14:textId="4A96ADAE"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3" w:history="1">
        <w:r w:rsidRPr="004E4416">
          <w:rPr>
            <w:rStyle w:val="Hyperlink"/>
            <w:noProof/>
          </w:rPr>
          <w:t>Figure 6: Annual Energy Consumption by Sector in MWh</w:t>
        </w:r>
        <w:r>
          <w:rPr>
            <w:noProof/>
            <w:webHidden/>
          </w:rPr>
          <w:tab/>
        </w:r>
        <w:r>
          <w:rPr>
            <w:noProof/>
            <w:webHidden/>
          </w:rPr>
          <w:fldChar w:fldCharType="begin"/>
        </w:r>
        <w:r>
          <w:rPr>
            <w:noProof/>
            <w:webHidden/>
          </w:rPr>
          <w:instrText xml:space="preserve"> PAGEREF _Toc233788343 \h </w:instrText>
        </w:r>
        <w:r>
          <w:rPr>
            <w:noProof/>
            <w:webHidden/>
          </w:rPr>
        </w:r>
        <w:r>
          <w:rPr>
            <w:noProof/>
            <w:webHidden/>
          </w:rPr>
          <w:fldChar w:fldCharType="separate"/>
        </w:r>
        <w:r>
          <w:rPr>
            <w:noProof/>
            <w:webHidden/>
          </w:rPr>
          <w:t>12</w:t>
        </w:r>
        <w:r>
          <w:rPr>
            <w:noProof/>
            <w:webHidden/>
          </w:rPr>
          <w:fldChar w:fldCharType="end"/>
        </w:r>
      </w:hyperlink>
    </w:p>
    <w:p w14:paraId="121CE955" w14:textId="1FF1D7B3"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4" w:history="1">
        <w:r w:rsidRPr="004E4416">
          <w:rPr>
            <w:rStyle w:val="Hyperlink"/>
            <w:noProof/>
          </w:rPr>
          <w:t>Figure 7: Distribution and Characterisation of Industrial Loads</w:t>
        </w:r>
        <w:r>
          <w:rPr>
            <w:noProof/>
            <w:webHidden/>
          </w:rPr>
          <w:tab/>
        </w:r>
        <w:r>
          <w:rPr>
            <w:noProof/>
            <w:webHidden/>
          </w:rPr>
          <w:fldChar w:fldCharType="begin"/>
        </w:r>
        <w:r>
          <w:rPr>
            <w:noProof/>
            <w:webHidden/>
          </w:rPr>
          <w:instrText xml:space="preserve"> PAGEREF _Toc233788344 \h </w:instrText>
        </w:r>
        <w:r>
          <w:rPr>
            <w:noProof/>
            <w:webHidden/>
          </w:rPr>
        </w:r>
        <w:r>
          <w:rPr>
            <w:noProof/>
            <w:webHidden/>
          </w:rPr>
          <w:fldChar w:fldCharType="separate"/>
        </w:r>
        <w:r>
          <w:rPr>
            <w:noProof/>
            <w:webHidden/>
          </w:rPr>
          <w:t>25</w:t>
        </w:r>
        <w:r>
          <w:rPr>
            <w:noProof/>
            <w:webHidden/>
          </w:rPr>
          <w:fldChar w:fldCharType="end"/>
        </w:r>
      </w:hyperlink>
    </w:p>
    <w:p w14:paraId="7A30290F" w14:textId="623E698A"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5" w:history="1">
        <w:r w:rsidRPr="004E4416">
          <w:rPr>
            <w:rStyle w:val="Hyperlink"/>
            <w:noProof/>
          </w:rPr>
          <w:t>Figure 8: Barriers of each Participant Group Cohort</w:t>
        </w:r>
        <w:r>
          <w:rPr>
            <w:noProof/>
            <w:webHidden/>
          </w:rPr>
          <w:tab/>
        </w:r>
        <w:r>
          <w:rPr>
            <w:noProof/>
            <w:webHidden/>
          </w:rPr>
          <w:fldChar w:fldCharType="begin"/>
        </w:r>
        <w:r>
          <w:rPr>
            <w:noProof/>
            <w:webHidden/>
          </w:rPr>
          <w:instrText xml:space="preserve"> PAGEREF _Toc233788345 \h </w:instrText>
        </w:r>
        <w:r>
          <w:rPr>
            <w:noProof/>
            <w:webHidden/>
          </w:rPr>
        </w:r>
        <w:r>
          <w:rPr>
            <w:noProof/>
            <w:webHidden/>
          </w:rPr>
          <w:fldChar w:fldCharType="separate"/>
        </w:r>
        <w:r>
          <w:rPr>
            <w:noProof/>
            <w:webHidden/>
          </w:rPr>
          <w:t>27</w:t>
        </w:r>
        <w:r>
          <w:rPr>
            <w:noProof/>
            <w:webHidden/>
          </w:rPr>
          <w:fldChar w:fldCharType="end"/>
        </w:r>
      </w:hyperlink>
    </w:p>
    <w:p w14:paraId="24A413B8" w14:textId="003723E1"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6" w:history="1">
        <w:r w:rsidRPr="004E4416">
          <w:rPr>
            <w:rStyle w:val="Hyperlink"/>
            <w:noProof/>
          </w:rPr>
          <w:t>Figure 9: Barriers for Individual Primary Cohort</w:t>
        </w:r>
        <w:r>
          <w:rPr>
            <w:noProof/>
            <w:webHidden/>
          </w:rPr>
          <w:tab/>
        </w:r>
        <w:r>
          <w:rPr>
            <w:noProof/>
            <w:webHidden/>
          </w:rPr>
          <w:fldChar w:fldCharType="begin"/>
        </w:r>
        <w:r>
          <w:rPr>
            <w:noProof/>
            <w:webHidden/>
          </w:rPr>
          <w:instrText xml:space="preserve"> PAGEREF _Toc233788346 \h </w:instrText>
        </w:r>
        <w:r>
          <w:rPr>
            <w:noProof/>
            <w:webHidden/>
          </w:rPr>
        </w:r>
        <w:r>
          <w:rPr>
            <w:noProof/>
            <w:webHidden/>
          </w:rPr>
          <w:fldChar w:fldCharType="separate"/>
        </w:r>
        <w:r>
          <w:rPr>
            <w:noProof/>
            <w:webHidden/>
          </w:rPr>
          <w:t>27</w:t>
        </w:r>
        <w:r>
          <w:rPr>
            <w:noProof/>
            <w:webHidden/>
          </w:rPr>
          <w:fldChar w:fldCharType="end"/>
        </w:r>
      </w:hyperlink>
    </w:p>
    <w:p w14:paraId="459549A4" w14:textId="5D00BDA0"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7" w:history="1">
        <w:r w:rsidRPr="004E4416">
          <w:rPr>
            <w:rStyle w:val="Hyperlink"/>
            <w:noProof/>
          </w:rPr>
          <w:t>Figure 10: Barriers for Individual Supplementary Cohort</w:t>
        </w:r>
        <w:r>
          <w:rPr>
            <w:noProof/>
            <w:webHidden/>
          </w:rPr>
          <w:tab/>
        </w:r>
        <w:r>
          <w:rPr>
            <w:noProof/>
            <w:webHidden/>
          </w:rPr>
          <w:fldChar w:fldCharType="begin"/>
        </w:r>
        <w:r>
          <w:rPr>
            <w:noProof/>
            <w:webHidden/>
          </w:rPr>
          <w:instrText xml:space="preserve"> PAGEREF _Toc233788347 \h </w:instrText>
        </w:r>
        <w:r>
          <w:rPr>
            <w:noProof/>
            <w:webHidden/>
          </w:rPr>
        </w:r>
        <w:r>
          <w:rPr>
            <w:noProof/>
            <w:webHidden/>
          </w:rPr>
          <w:fldChar w:fldCharType="separate"/>
        </w:r>
        <w:r>
          <w:rPr>
            <w:noProof/>
            <w:webHidden/>
          </w:rPr>
          <w:t>28</w:t>
        </w:r>
        <w:r>
          <w:rPr>
            <w:noProof/>
            <w:webHidden/>
          </w:rPr>
          <w:fldChar w:fldCharType="end"/>
        </w:r>
      </w:hyperlink>
    </w:p>
    <w:p w14:paraId="0B370394" w14:textId="0526E8B4"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8" w:history="1">
        <w:r w:rsidRPr="004E4416">
          <w:rPr>
            <w:rStyle w:val="Hyperlink"/>
            <w:noProof/>
          </w:rPr>
          <w:t>Figure 11: Aggregated Capability Factors for Participant Group Cohort</w:t>
        </w:r>
        <w:r>
          <w:rPr>
            <w:noProof/>
            <w:webHidden/>
          </w:rPr>
          <w:tab/>
        </w:r>
        <w:r>
          <w:rPr>
            <w:noProof/>
            <w:webHidden/>
          </w:rPr>
          <w:fldChar w:fldCharType="begin"/>
        </w:r>
        <w:r>
          <w:rPr>
            <w:noProof/>
            <w:webHidden/>
          </w:rPr>
          <w:instrText xml:space="preserve"> PAGEREF _Toc233788348 \h </w:instrText>
        </w:r>
        <w:r>
          <w:rPr>
            <w:noProof/>
            <w:webHidden/>
          </w:rPr>
        </w:r>
        <w:r>
          <w:rPr>
            <w:noProof/>
            <w:webHidden/>
          </w:rPr>
          <w:fldChar w:fldCharType="separate"/>
        </w:r>
        <w:r>
          <w:rPr>
            <w:noProof/>
            <w:webHidden/>
          </w:rPr>
          <w:t>29</w:t>
        </w:r>
        <w:r>
          <w:rPr>
            <w:noProof/>
            <w:webHidden/>
          </w:rPr>
          <w:fldChar w:fldCharType="end"/>
        </w:r>
      </w:hyperlink>
    </w:p>
    <w:p w14:paraId="589106ED" w14:textId="3BA886A6"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49" w:history="1">
        <w:r w:rsidRPr="004E4416">
          <w:rPr>
            <w:rStyle w:val="Hyperlink"/>
            <w:noProof/>
          </w:rPr>
          <w:t>Figure 12: Capability Factor for Individual Primary Cohort</w:t>
        </w:r>
        <w:r>
          <w:rPr>
            <w:noProof/>
            <w:webHidden/>
          </w:rPr>
          <w:tab/>
        </w:r>
        <w:r>
          <w:rPr>
            <w:noProof/>
            <w:webHidden/>
          </w:rPr>
          <w:fldChar w:fldCharType="begin"/>
        </w:r>
        <w:r>
          <w:rPr>
            <w:noProof/>
            <w:webHidden/>
          </w:rPr>
          <w:instrText xml:space="preserve"> PAGEREF _Toc233788349 \h </w:instrText>
        </w:r>
        <w:r>
          <w:rPr>
            <w:noProof/>
            <w:webHidden/>
          </w:rPr>
        </w:r>
        <w:r>
          <w:rPr>
            <w:noProof/>
            <w:webHidden/>
          </w:rPr>
          <w:fldChar w:fldCharType="separate"/>
        </w:r>
        <w:r>
          <w:rPr>
            <w:noProof/>
            <w:webHidden/>
          </w:rPr>
          <w:t>30</w:t>
        </w:r>
        <w:r>
          <w:rPr>
            <w:noProof/>
            <w:webHidden/>
          </w:rPr>
          <w:fldChar w:fldCharType="end"/>
        </w:r>
      </w:hyperlink>
    </w:p>
    <w:p w14:paraId="4EC39AD9" w14:textId="4F42F25C"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0" w:history="1">
        <w:r w:rsidRPr="004E4416">
          <w:rPr>
            <w:rStyle w:val="Hyperlink"/>
            <w:noProof/>
          </w:rPr>
          <w:t>Figure 13: Capability Factor for Individual Supplementary Cohort</w:t>
        </w:r>
        <w:r>
          <w:rPr>
            <w:noProof/>
            <w:webHidden/>
          </w:rPr>
          <w:tab/>
        </w:r>
        <w:r>
          <w:rPr>
            <w:noProof/>
            <w:webHidden/>
          </w:rPr>
          <w:fldChar w:fldCharType="begin"/>
        </w:r>
        <w:r>
          <w:rPr>
            <w:noProof/>
            <w:webHidden/>
          </w:rPr>
          <w:instrText xml:space="preserve"> PAGEREF _Toc233788350 \h </w:instrText>
        </w:r>
        <w:r>
          <w:rPr>
            <w:noProof/>
            <w:webHidden/>
          </w:rPr>
        </w:r>
        <w:r>
          <w:rPr>
            <w:noProof/>
            <w:webHidden/>
          </w:rPr>
          <w:fldChar w:fldCharType="separate"/>
        </w:r>
        <w:r>
          <w:rPr>
            <w:noProof/>
            <w:webHidden/>
          </w:rPr>
          <w:t>30</w:t>
        </w:r>
        <w:r>
          <w:rPr>
            <w:noProof/>
            <w:webHidden/>
          </w:rPr>
          <w:fldChar w:fldCharType="end"/>
        </w:r>
      </w:hyperlink>
    </w:p>
    <w:p w14:paraId="41184E20" w14:textId="208E99BA"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1" w:history="1">
        <w:r w:rsidRPr="004E4416">
          <w:rPr>
            <w:rStyle w:val="Hyperlink"/>
            <w:noProof/>
          </w:rPr>
          <w:t>Figure 14: Hourly Notice Period per Participating Company</w:t>
        </w:r>
        <w:r>
          <w:rPr>
            <w:noProof/>
            <w:webHidden/>
          </w:rPr>
          <w:tab/>
        </w:r>
        <w:r>
          <w:rPr>
            <w:noProof/>
            <w:webHidden/>
          </w:rPr>
          <w:fldChar w:fldCharType="begin"/>
        </w:r>
        <w:r>
          <w:rPr>
            <w:noProof/>
            <w:webHidden/>
          </w:rPr>
          <w:instrText xml:space="preserve"> PAGEREF _Toc233788351 \h </w:instrText>
        </w:r>
        <w:r>
          <w:rPr>
            <w:noProof/>
            <w:webHidden/>
          </w:rPr>
        </w:r>
        <w:r>
          <w:rPr>
            <w:noProof/>
            <w:webHidden/>
          </w:rPr>
          <w:fldChar w:fldCharType="separate"/>
        </w:r>
        <w:r>
          <w:rPr>
            <w:noProof/>
            <w:webHidden/>
          </w:rPr>
          <w:t>34</w:t>
        </w:r>
        <w:r>
          <w:rPr>
            <w:noProof/>
            <w:webHidden/>
          </w:rPr>
          <w:fldChar w:fldCharType="end"/>
        </w:r>
      </w:hyperlink>
    </w:p>
    <w:p w14:paraId="5C79EC8D" w14:textId="7E6370B0"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2" w:history="1">
        <w:r w:rsidRPr="004E4416">
          <w:rPr>
            <w:rStyle w:val="Hyperlink"/>
            <w:noProof/>
          </w:rPr>
          <w:t>Figure 15: Load Characterisation in Primary Industrial Sectors</w:t>
        </w:r>
        <w:r>
          <w:rPr>
            <w:noProof/>
            <w:webHidden/>
          </w:rPr>
          <w:tab/>
        </w:r>
        <w:r>
          <w:rPr>
            <w:noProof/>
            <w:webHidden/>
          </w:rPr>
          <w:fldChar w:fldCharType="begin"/>
        </w:r>
        <w:r>
          <w:rPr>
            <w:noProof/>
            <w:webHidden/>
          </w:rPr>
          <w:instrText xml:space="preserve"> PAGEREF _Toc233788352 \h </w:instrText>
        </w:r>
        <w:r>
          <w:rPr>
            <w:noProof/>
            <w:webHidden/>
          </w:rPr>
        </w:r>
        <w:r>
          <w:rPr>
            <w:noProof/>
            <w:webHidden/>
          </w:rPr>
          <w:fldChar w:fldCharType="separate"/>
        </w:r>
        <w:r>
          <w:rPr>
            <w:noProof/>
            <w:webHidden/>
          </w:rPr>
          <w:t>39</w:t>
        </w:r>
        <w:r>
          <w:rPr>
            <w:noProof/>
            <w:webHidden/>
          </w:rPr>
          <w:fldChar w:fldCharType="end"/>
        </w:r>
      </w:hyperlink>
    </w:p>
    <w:p w14:paraId="4C74CFA3" w14:textId="07E71572"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3" w:history="1">
        <w:r w:rsidRPr="004E4416">
          <w:rPr>
            <w:rStyle w:val="Hyperlink"/>
            <w:noProof/>
          </w:rPr>
          <w:t>Figure 16: Load Characterisation in the Supplementary Industrial Sectors</w:t>
        </w:r>
        <w:r>
          <w:rPr>
            <w:noProof/>
            <w:webHidden/>
          </w:rPr>
          <w:tab/>
        </w:r>
        <w:r>
          <w:rPr>
            <w:noProof/>
            <w:webHidden/>
          </w:rPr>
          <w:fldChar w:fldCharType="begin"/>
        </w:r>
        <w:r>
          <w:rPr>
            <w:noProof/>
            <w:webHidden/>
          </w:rPr>
          <w:instrText xml:space="preserve"> PAGEREF _Toc233788353 \h </w:instrText>
        </w:r>
        <w:r>
          <w:rPr>
            <w:noProof/>
            <w:webHidden/>
          </w:rPr>
        </w:r>
        <w:r>
          <w:rPr>
            <w:noProof/>
            <w:webHidden/>
          </w:rPr>
          <w:fldChar w:fldCharType="separate"/>
        </w:r>
        <w:r>
          <w:rPr>
            <w:noProof/>
            <w:webHidden/>
          </w:rPr>
          <w:t>39</w:t>
        </w:r>
        <w:r>
          <w:rPr>
            <w:noProof/>
            <w:webHidden/>
          </w:rPr>
          <w:fldChar w:fldCharType="end"/>
        </w:r>
      </w:hyperlink>
    </w:p>
    <w:p w14:paraId="4CD525C3" w14:textId="384E8811" w:rsidR="00A909BB" w:rsidRDefault="00B46F77" w:rsidP="00B46F77">
      <w:pPr>
        <w:spacing w:after="0" w:line="240" w:lineRule="auto"/>
      </w:pPr>
      <w:r>
        <w:fldChar w:fldCharType="end"/>
      </w:r>
    </w:p>
    <w:p w14:paraId="6EC24403" w14:textId="77777777" w:rsidR="004049B0" w:rsidRDefault="004049B0" w:rsidP="00B46F77">
      <w:pPr>
        <w:spacing w:after="0" w:line="240" w:lineRule="auto"/>
      </w:pPr>
    </w:p>
    <w:p w14:paraId="21C89625" w14:textId="77777777" w:rsidR="00A909BB" w:rsidRDefault="00A909BB" w:rsidP="00A909BB">
      <w:pPr>
        <w:pStyle w:val="Heading1NoNumbering"/>
      </w:pPr>
      <w:r>
        <w:t>List of Tables</w:t>
      </w:r>
    </w:p>
    <w:p w14:paraId="2978A1CC" w14:textId="7FD91329" w:rsidR="003C7BF4" w:rsidRDefault="00A909BB">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r>
        <w:fldChar w:fldCharType="begin"/>
      </w:r>
      <w:r>
        <w:instrText xml:space="preserve"> TOC \h \z \c "Table" </w:instrText>
      </w:r>
      <w:r>
        <w:fldChar w:fldCharType="separate"/>
      </w:r>
      <w:hyperlink w:anchor="_Toc233788354" w:history="1">
        <w:r w:rsidR="003C7BF4" w:rsidRPr="00447EB3">
          <w:rPr>
            <w:rStyle w:val="Hyperlink"/>
            <w:noProof/>
          </w:rPr>
          <w:t>Table 1: Progress against ART-PST Topic 6 Roadmap - Stage 5</w:t>
        </w:r>
        <w:r w:rsidR="003C7BF4">
          <w:rPr>
            <w:noProof/>
            <w:webHidden/>
          </w:rPr>
          <w:tab/>
        </w:r>
        <w:r w:rsidR="003C7BF4">
          <w:rPr>
            <w:noProof/>
            <w:webHidden/>
          </w:rPr>
          <w:fldChar w:fldCharType="begin"/>
        </w:r>
        <w:r w:rsidR="003C7BF4">
          <w:rPr>
            <w:noProof/>
            <w:webHidden/>
          </w:rPr>
          <w:instrText xml:space="preserve"> PAGEREF _Toc233788354 \h </w:instrText>
        </w:r>
        <w:r w:rsidR="003C7BF4">
          <w:rPr>
            <w:noProof/>
            <w:webHidden/>
          </w:rPr>
        </w:r>
        <w:r w:rsidR="003C7BF4">
          <w:rPr>
            <w:noProof/>
            <w:webHidden/>
          </w:rPr>
          <w:fldChar w:fldCharType="separate"/>
        </w:r>
        <w:r w:rsidR="003C7BF4">
          <w:rPr>
            <w:noProof/>
            <w:webHidden/>
          </w:rPr>
          <w:t>7</w:t>
        </w:r>
        <w:r w:rsidR="003C7BF4">
          <w:rPr>
            <w:noProof/>
            <w:webHidden/>
          </w:rPr>
          <w:fldChar w:fldCharType="end"/>
        </w:r>
      </w:hyperlink>
    </w:p>
    <w:p w14:paraId="13E3E9B3" w14:textId="181CC24D"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5" w:history="1">
        <w:r w:rsidRPr="00447EB3">
          <w:rPr>
            <w:rStyle w:val="Hyperlink"/>
            <w:noProof/>
          </w:rPr>
          <w:t>Table 2: DSM Strategies: Purpose, Trigger, and Enabling Conditions</w:t>
        </w:r>
        <w:r>
          <w:rPr>
            <w:noProof/>
            <w:webHidden/>
          </w:rPr>
          <w:tab/>
        </w:r>
        <w:r>
          <w:rPr>
            <w:noProof/>
            <w:webHidden/>
          </w:rPr>
          <w:fldChar w:fldCharType="begin"/>
        </w:r>
        <w:r>
          <w:rPr>
            <w:noProof/>
            <w:webHidden/>
          </w:rPr>
          <w:instrText xml:space="preserve"> PAGEREF _Toc233788355 \h </w:instrText>
        </w:r>
        <w:r>
          <w:rPr>
            <w:noProof/>
            <w:webHidden/>
          </w:rPr>
        </w:r>
        <w:r>
          <w:rPr>
            <w:noProof/>
            <w:webHidden/>
          </w:rPr>
          <w:fldChar w:fldCharType="separate"/>
        </w:r>
        <w:r>
          <w:rPr>
            <w:noProof/>
            <w:webHidden/>
          </w:rPr>
          <w:t>5</w:t>
        </w:r>
        <w:r>
          <w:rPr>
            <w:noProof/>
            <w:webHidden/>
          </w:rPr>
          <w:fldChar w:fldCharType="end"/>
        </w:r>
      </w:hyperlink>
    </w:p>
    <w:p w14:paraId="298942A8" w14:textId="73CB6851"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6" w:history="1">
        <w:r w:rsidRPr="00447EB3">
          <w:rPr>
            <w:rStyle w:val="Hyperlink"/>
            <w:noProof/>
          </w:rPr>
          <w:t>Table 3: Summary of Participating Companies by Industry Sector</w:t>
        </w:r>
        <w:r>
          <w:rPr>
            <w:noProof/>
            <w:webHidden/>
          </w:rPr>
          <w:tab/>
        </w:r>
        <w:r>
          <w:rPr>
            <w:noProof/>
            <w:webHidden/>
          </w:rPr>
          <w:fldChar w:fldCharType="begin"/>
        </w:r>
        <w:r>
          <w:rPr>
            <w:noProof/>
            <w:webHidden/>
          </w:rPr>
          <w:instrText xml:space="preserve"> PAGEREF _Toc233788356 \h </w:instrText>
        </w:r>
        <w:r>
          <w:rPr>
            <w:noProof/>
            <w:webHidden/>
          </w:rPr>
        </w:r>
        <w:r>
          <w:rPr>
            <w:noProof/>
            <w:webHidden/>
          </w:rPr>
          <w:fldChar w:fldCharType="separate"/>
        </w:r>
        <w:r>
          <w:rPr>
            <w:noProof/>
            <w:webHidden/>
          </w:rPr>
          <w:t>14</w:t>
        </w:r>
        <w:r>
          <w:rPr>
            <w:noProof/>
            <w:webHidden/>
          </w:rPr>
          <w:fldChar w:fldCharType="end"/>
        </w:r>
      </w:hyperlink>
    </w:p>
    <w:p w14:paraId="11CEFD94" w14:textId="5C45F933"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7" w:history="1">
        <w:r w:rsidRPr="00447EB3">
          <w:rPr>
            <w:rStyle w:val="Hyperlink"/>
            <w:noProof/>
          </w:rPr>
          <w:t>Table 4: Barriers to Demand Response Classification Scoring Framework</w:t>
        </w:r>
        <w:r>
          <w:rPr>
            <w:noProof/>
            <w:webHidden/>
          </w:rPr>
          <w:tab/>
        </w:r>
        <w:r>
          <w:rPr>
            <w:noProof/>
            <w:webHidden/>
          </w:rPr>
          <w:fldChar w:fldCharType="begin"/>
        </w:r>
        <w:r>
          <w:rPr>
            <w:noProof/>
            <w:webHidden/>
          </w:rPr>
          <w:instrText xml:space="preserve"> PAGEREF _Toc233788357 \h </w:instrText>
        </w:r>
        <w:r>
          <w:rPr>
            <w:noProof/>
            <w:webHidden/>
          </w:rPr>
        </w:r>
        <w:r>
          <w:rPr>
            <w:noProof/>
            <w:webHidden/>
          </w:rPr>
          <w:fldChar w:fldCharType="separate"/>
        </w:r>
        <w:r>
          <w:rPr>
            <w:noProof/>
            <w:webHidden/>
          </w:rPr>
          <w:t>23</w:t>
        </w:r>
        <w:r>
          <w:rPr>
            <w:noProof/>
            <w:webHidden/>
          </w:rPr>
          <w:fldChar w:fldCharType="end"/>
        </w:r>
      </w:hyperlink>
    </w:p>
    <w:p w14:paraId="4CE2C260" w14:textId="5E795528"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8" w:history="1">
        <w:r w:rsidRPr="00447EB3">
          <w:rPr>
            <w:rStyle w:val="Hyperlink"/>
            <w:noProof/>
          </w:rPr>
          <w:t>Table 5: Capability Factor Enabling Demand Response Participation Scoring Framework</w:t>
        </w:r>
        <w:r>
          <w:rPr>
            <w:noProof/>
            <w:webHidden/>
          </w:rPr>
          <w:tab/>
        </w:r>
        <w:r>
          <w:rPr>
            <w:noProof/>
            <w:webHidden/>
          </w:rPr>
          <w:fldChar w:fldCharType="begin"/>
        </w:r>
        <w:r>
          <w:rPr>
            <w:noProof/>
            <w:webHidden/>
          </w:rPr>
          <w:instrText xml:space="preserve"> PAGEREF _Toc233788358 \h </w:instrText>
        </w:r>
        <w:r>
          <w:rPr>
            <w:noProof/>
            <w:webHidden/>
          </w:rPr>
        </w:r>
        <w:r>
          <w:rPr>
            <w:noProof/>
            <w:webHidden/>
          </w:rPr>
          <w:fldChar w:fldCharType="separate"/>
        </w:r>
        <w:r>
          <w:rPr>
            <w:noProof/>
            <w:webHidden/>
          </w:rPr>
          <w:t>24</w:t>
        </w:r>
        <w:r>
          <w:rPr>
            <w:noProof/>
            <w:webHidden/>
          </w:rPr>
          <w:fldChar w:fldCharType="end"/>
        </w:r>
      </w:hyperlink>
    </w:p>
    <w:p w14:paraId="3247ABC7" w14:textId="6A7B1280"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59" w:history="1">
        <w:r w:rsidRPr="00447EB3">
          <w:rPr>
            <w:rStyle w:val="Hyperlink"/>
            <w:noProof/>
          </w:rPr>
          <w:t>Table 6: Notice period Scoring Criteria</w:t>
        </w:r>
        <w:r>
          <w:rPr>
            <w:noProof/>
            <w:webHidden/>
          </w:rPr>
          <w:tab/>
        </w:r>
        <w:r>
          <w:rPr>
            <w:noProof/>
            <w:webHidden/>
          </w:rPr>
          <w:fldChar w:fldCharType="begin"/>
        </w:r>
        <w:r>
          <w:rPr>
            <w:noProof/>
            <w:webHidden/>
          </w:rPr>
          <w:instrText xml:space="preserve"> PAGEREF _Toc233788359 \h </w:instrText>
        </w:r>
        <w:r>
          <w:rPr>
            <w:noProof/>
            <w:webHidden/>
          </w:rPr>
        </w:r>
        <w:r>
          <w:rPr>
            <w:noProof/>
            <w:webHidden/>
          </w:rPr>
          <w:fldChar w:fldCharType="separate"/>
        </w:r>
        <w:r>
          <w:rPr>
            <w:noProof/>
            <w:webHidden/>
          </w:rPr>
          <w:t>24</w:t>
        </w:r>
        <w:r>
          <w:rPr>
            <w:noProof/>
            <w:webHidden/>
          </w:rPr>
          <w:fldChar w:fldCharType="end"/>
        </w:r>
      </w:hyperlink>
    </w:p>
    <w:p w14:paraId="0295AF0A" w14:textId="1C9B5C7C"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0" w:history="1">
        <w:r w:rsidRPr="00447EB3">
          <w:rPr>
            <w:rStyle w:val="Hyperlink"/>
            <w:noProof/>
          </w:rPr>
          <w:t>Table 7: Barrier prevalence and weighting across the 22-company cohort.</w:t>
        </w:r>
        <w:r>
          <w:rPr>
            <w:noProof/>
            <w:webHidden/>
          </w:rPr>
          <w:tab/>
        </w:r>
        <w:r>
          <w:rPr>
            <w:noProof/>
            <w:webHidden/>
          </w:rPr>
          <w:fldChar w:fldCharType="begin"/>
        </w:r>
        <w:r>
          <w:rPr>
            <w:noProof/>
            <w:webHidden/>
          </w:rPr>
          <w:instrText xml:space="preserve"> PAGEREF _Toc233788360 \h </w:instrText>
        </w:r>
        <w:r>
          <w:rPr>
            <w:noProof/>
            <w:webHidden/>
          </w:rPr>
        </w:r>
        <w:r>
          <w:rPr>
            <w:noProof/>
            <w:webHidden/>
          </w:rPr>
          <w:fldChar w:fldCharType="separate"/>
        </w:r>
        <w:r>
          <w:rPr>
            <w:noProof/>
            <w:webHidden/>
          </w:rPr>
          <w:t>25</w:t>
        </w:r>
        <w:r>
          <w:rPr>
            <w:noProof/>
            <w:webHidden/>
          </w:rPr>
          <w:fldChar w:fldCharType="end"/>
        </w:r>
      </w:hyperlink>
    </w:p>
    <w:p w14:paraId="4368B985" w14:textId="6B035D16"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1" w:history="1">
        <w:r w:rsidRPr="00447EB3">
          <w:rPr>
            <w:rStyle w:val="Hyperlink"/>
            <w:noProof/>
          </w:rPr>
          <w:t>Table 8: Capability factor prevalence and weighting across the 22-company cohort</w:t>
        </w:r>
        <w:r>
          <w:rPr>
            <w:noProof/>
            <w:webHidden/>
          </w:rPr>
          <w:tab/>
        </w:r>
        <w:r>
          <w:rPr>
            <w:noProof/>
            <w:webHidden/>
          </w:rPr>
          <w:fldChar w:fldCharType="begin"/>
        </w:r>
        <w:r>
          <w:rPr>
            <w:noProof/>
            <w:webHidden/>
          </w:rPr>
          <w:instrText xml:space="preserve"> PAGEREF _Toc233788361 \h </w:instrText>
        </w:r>
        <w:r>
          <w:rPr>
            <w:noProof/>
            <w:webHidden/>
          </w:rPr>
        </w:r>
        <w:r>
          <w:rPr>
            <w:noProof/>
            <w:webHidden/>
          </w:rPr>
          <w:fldChar w:fldCharType="separate"/>
        </w:r>
        <w:r>
          <w:rPr>
            <w:noProof/>
            <w:webHidden/>
          </w:rPr>
          <w:t>28</w:t>
        </w:r>
        <w:r>
          <w:rPr>
            <w:noProof/>
            <w:webHidden/>
          </w:rPr>
          <w:fldChar w:fldCharType="end"/>
        </w:r>
      </w:hyperlink>
    </w:p>
    <w:p w14:paraId="23A20793" w14:textId="3C141943"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2" w:history="1">
        <w:r w:rsidRPr="00447EB3">
          <w:rPr>
            <w:rStyle w:val="Hyperlink"/>
            <w:noProof/>
          </w:rPr>
          <w:t>Table 9: Industrial Participants, Annual Energy Consumption and Score</w:t>
        </w:r>
        <w:r>
          <w:rPr>
            <w:noProof/>
            <w:webHidden/>
          </w:rPr>
          <w:tab/>
        </w:r>
        <w:r>
          <w:rPr>
            <w:noProof/>
            <w:webHidden/>
          </w:rPr>
          <w:fldChar w:fldCharType="begin"/>
        </w:r>
        <w:r>
          <w:rPr>
            <w:noProof/>
            <w:webHidden/>
          </w:rPr>
          <w:instrText xml:space="preserve"> PAGEREF _Toc233788362 \h </w:instrText>
        </w:r>
        <w:r>
          <w:rPr>
            <w:noProof/>
            <w:webHidden/>
          </w:rPr>
        </w:r>
        <w:r>
          <w:rPr>
            <w:noProof/>
            <w:webHidden/>
          </w:rPr>
          <w:fldChar w:fldCharType="separate"/>
        </w:r>
        <w:r>
          <w:rPr>
            <w:noProof/>
            <w:webHidden/>
          </w:rPr>
          <w:t>31</w:t>
        </w:r>
        <w:r>
          <w:rPr>
            <w:noProof/>
            <w:webHidden/>
          </w:rPr>
          <w:fldChar w:fldCharType="end"/>
        </w:r>
      </w:hyperlink>
    </w:p>
    <w:p w14:paraId="1A095E3B" w14:textId="7FAD4012"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3" w:history="1">
        <w:r w:rsidRPr="00447EB3">
          <w:rPr>
            <w:rStyle w:val="Hyperlink"/>
            <w:noProof/>
          </w:rPr>
          <w:t>Table 10: Taxonomy of Industrial Loads Identified Across Participating Industries with Medium and High Flexibility Potential</w:t>
        </w:r>
        <w:r>
          <w:rPr>
            <w:noProof/>
            <w:webHidden/>
          </w:rPr>
          <w:tab/>
        </w:r>
        <w:r>
          <w:rPr>
            <w:noProof/>
            <w:webHidden/>
          </w:rPr>
          <w:fldChar w:fldCharType="begin"/>
        </w:r>
        <w:r>
          <w:rPr>
            <w:noProof/>
            <w:webHidden/>
          </w:rPr>
          <w:instrText xml:space="preserve"> PAGEREF _Toc233788363 \h </w:instrText>
        </w:r>
        <w:r>
          <w:rPr>
            <w:noProof/>
            <w:webHidden/>
          </w:rPr>
        </w:r>
        <w:r>
          <w:rPr>
            <w:noProof/>
            <w:webHidden/>
          </w:rPr>
          <w:fldChar w:fldCharType="separate"/>
        </w:r>
        <w:r>
          <w:rPr>
            <w:noProof/>
            <w:webHidden/>
          </w:rPr>
          <w:t>37</w:t>
        </w:r>
        <w:r>
          <w:rPr>
            <w:noProof/>
            <w:webHidden/>
          </w:rPr>
          <w:fldChar w:fldCharType="end"/>
        </w:r>
      </w:hyperlink>
    </w:p>
    <w:p w14:paraId="7470D060" w14:textId="2C92E922"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4" w:history="1">
        <w:r w:rsidRPr="00447EB3">
          <w:rPr>
            <w:rStyle w:val="Hyperlink"/>
            <w:noProof/>
          </w:rPr>
          <w:t>Table 11: DR Participation Potential Score Bands Across Participating Cohort</w:t>
        </w:r>
        <w:r>
          <w:rPr>
            <w:noProof/>
            <w:webHidden/>
          </w:rPr>
          <w:tab/>
        </w:r>
        <w:r>
          <w:rPr>
            <w:noProof/>
            <w:webHidden/>
          </w:rPr>
          <w:fldChar w:fldCharType="begin"/>
        </w:r>
        <w:r>
          <w:rPr>
            <w:noProof/>
            <w:webHidden/>
          </w:rPr>
          <w:instrText xml:space="preserve"> PAGEREF _Toc233788364 \h </w:instrText>
        </w:r>
        <w:r>
          <w:rPr>
            <w:noProof/>
            <w:webHidden/>
          </w:rPr>
        </w:r>
        <w:r>
          <w:rPr>
            <w:noProof/>
            <w:webHidden/>
          </w:rPr>
          <w:fldChar w:fldCharType="separate"/>
        </w:r>
        <w:r>
          <w:rPr>
            <w:noProof/>
            <w:webHidden/>
          </w:rPr>
          <w:t>41</w:t>
        </w:r>
        <w:r>
          <w:rPr>
            <w:noProof/>
            <w:webHidden/>
          </w:rPr>
          <w:fldChar w:fldCharType="end"/>
        </w:r>
      </w:hyperlink>
    </w:p>
    <w:p w14:paraId="26F6F600" w14:textId="64060573" w:rsidR="003C7BF4" w:rsidRDefault="003C7BF4">
      <w:pPr>
        <w:pStyle w:val="TableofFigures"/>
        <w:tabs>
          <w:tab w:val="right" w:pos="9628"/>
        </w:tabs>
        <w:rPr>
          <w:rFonts w:asciiTheme="minorHAnsi" w:eastAsiaTheme="minorEastAsia" w:hAnsiTheme="minorHAnsi" w:cstheme="minorBidi"/>
          <w:noProof/>
          <w:spacing w:val="0"/>
          <w:kern w:val="2"/>
          <w:sz w:val="24"/>
          <w:lang w:eastAsia="en-AU"/>
          <w14:ligatures w14:val="standardContextual"/>
        </w:rPr>
      </w:pPr>
      <w:hyperlink w:anchor="_Toc233788365" w:history="1">
        <w:r w:rsidRPr="00447EB3">
          <w:rPr>
            <w:rStyle w:val="Hyperlink"/>
            <w:noProof/>
          </w:rPr>
          <w:t>Table 12: Full Taxonomy of Industrial Loads Identified Across Participating Industries</w:t>
        </w:r>
        <w:r>
          <w:rPr>
            <w:noProof/>
            <w:webHidden/>
          </w:rPr>
          <w:tab/>
        </w:r>
        <w:r>
          <w:rPr>
            <w:noProof/>
            <w:webHidden/>
          </w:rPr>
          <w:fldChar w:fldCharType="begin"/>
        </w:r>
        <w:r>
          <w:rPr>
            <w:noProof/>
            <w:webHidden/>
          </w:rPr>
          <w:instrText xml:space="preserve"> PAGEREF _Toc233788365 \h </w:instrText>
        </w:r>
        <w:r>
          <w:rPr>
            <w:noProof/>
            <w:webHidden/>
          </w:rPr>
        </w:r>
        <w:r>
          <w:rPr>
            <w:noProof/>
            <w:webHidden/>
          </w:rPr>
          <w:fldChar w:fldCharType="separate"/>
        </w:r>
        <w:r>
          <w:rPr>
            <w:noProof/>
            <w:webHidden/>
          </w:rPr>
          <w:t>57</w:t>
        </w:r>
        <w:r>
          <w:rPr>
            <w:noProof/>
            <w:webHidden/>
          </w:rPr>
          <w:fldChar w:fldCharType="end"/>
        </w:r>
      </w:hyperlink>
    </w:p>
    <w:p w14:paraId="035ED508" w14:textId="6B48330B" w:rsidR="00A909BB" w:rsidRDefault="00A909BB" w:rsidP="00A909BB">
      <w:pPr>
        <w:spacing w:after="0" w:line="240" w:lineRule="auto"/>
      </w:pPr>
      <w:r>
        <w:fldChar w:fldCharType="end"/>
      </w:r>
      <w:r>
        <w:br w:type="page"/>
      </w:r>
    </w:p>
    <w:p w14:paraId="5F9C730F" w14:textId="443C0626" w:rsidR="000B3E15" w:rsidRPr="000B3E15" w:rsidRDefault="009A2035" w:rsidP="00A6599E">
      <w:pPr>
        <w:pStyle w:val="Heading1NoNumbering"/>
      </w:pPr>
      <w:r>
        <w:lastRenderedPageBreak/>
        <w:t>Nomenclature</w:t>
      </w:r>
    </w:p>
    <w:tbl>
      <w:tblPr>
        <w:tblStyle w:val="AdvitechTable"/>
        <w:tblW w:w="8222" w:type="dxa"/>
        <w:tblLook w:val="0420" w:firstRow="1" w:lastRow="0" w:firstColumn="0" w:lastColumn="0" w:noHBand="0" w:noVBand="1"/>
      </w:tblPr>
      <w:tblGrid>
        <w:gridCol w:w="1701"/>
        <w:gridCol w:w="6521"/>
      </w:tblGrid>
      <w:tr w:rsidR="009A2035" w:rsidRPr="005A16B8" w14:paraId="041E10AE" w14:textId="1200FBAD" w:rsidTr="00D973C3">
        <w:trPr>
          <w:cnfStyle w:val="100000000000" w:firstRow="1" w:lastRow="0" w:firstColumn="0" w:lastColumn="0" w:oddVBand="0" w:evenVBand="0" w:oddHBand="0" w:evenHBand="0" w:firstRowFirstColumn="0" w:firstRowLastColumn="0" w:lastRowFirstColumn="0" w:lastRowLastColumn="0"/>
          <w:trHeight w:val="340"/>
          <w:tblHeader/>
        </w:trPr>
        <w:tc>
          <w:tcPr>
            <w:tcW w:w="1701" w:type="dxa"/>
            <w:noWrap/>
          </w:tcPr>
          <w:p w14:paraId="7CB90ACF" w14:textId="1A4B4758" w:rsidR="009A2035" w:rsidRPr="00D30294" w:rsidRDefault="005A16B8" w:rsidP="00D30294">
            <w:pPr>
              <w:spacing w:before="0" w:after="0" w:line="240" w:lineRule="auto"/>
              <w:rPr>
                <w:rFonts w:eastAsia="Times New Roman" w:cs="Times New Roman"/>
                <w:b/>
                <w:bCs/>
                <w:lang w:eastAsia="en-AU"/>
              </w:rPr>
            </w:pPr>
            <w:r w:rsidRPr="00D30294">
              <w:rPr>
                <w:rFonts w:eastAsia="Times New Roman" w:cs="Times New Roman"/>
                <w:b/>
                <w:bCs/>
                <w:lang w:eastAsia="en-AU"/>
              </w:rPr>
              <w:t>Abbreviation</w:t>
            </w:r>
          </w:p>
        </w:tc>
        <w:tc>
          <w:tcPr>
            <w:tcW w:w="6521" w:type="dxa"/>
            <w:noWrap/>
            <w:hideMark/>
          </w:tcPr>
          <w:p w14:paraId="61E0B21E" w14:textId="5BB67A02" w:rsidR="009A2035" w:rsidRPr="00D30294" w:rsidRDefault="005A16B8" w:rsidP="00D30294">
            <w:pPr>
              <w:spacing w:before="0" w:after="0" w:line="240" w:lineRule="auto"/>
              <w:rPr>
                <w:rFonts w:eastAsia="Times New Roman" w:cs="Times New Roman"/>
                <w:b/>
                <w:bCs/>
                <w:lang w:eastAsia="en-AU"/>
              </w:rPr>
            </w:pPr>
            <w:r w:rsidRPr="00D30294">
              <w:rPr>
                <w:rFonts w:eastAsia="Times New Roman" w:cs="Times New Roman"/>
                <w:b/>
                <w:bCs/>
                <w:lang w:eastAsia="en-AU"/>
              </w:rPr>
              <w:t>Definition</w:t>
            </w:r>
          </w:p>
        </w:tc>
      </w:tr>
      <w:tr w:rsidR="005A16B8" w:rsidRPr="00FA37DE" w14:paraId="4BCC751D" w14:textId="77777777" w:rsidTr="00D30294">
        <w:trPr>
          <w:trHeight w:val="340"/>
        </w:trPr>
        <w:tc>
          <w:tcPr>
            <w:tcW w:w="1701" w:type="dxa"/>
            <w:noWrap/>
          </w:tcPr>
          <w:p w14:paraId="6D92D5F9" w14:textId="47B8A23E" w:rsidR="005A16B8"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ABS</w:t>
            </w:r>
          </w:p>
        </w:tc>
        <w:tc>
          <w:tcPr>
            <w:tcW w:w="6521" w:type="dxa"/>
            <w:noWrap/>
          </w:tcPr>
          <w:p w14:paraId="35279D5B" w14:textId="17D45FC0" w:rsidR="005A16B8"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Bureau of Statistics</w:t>
            </w:r>
          </w:p>
        </w:tc>
      </w:tr>
      <w:tr w:rsidR="009A2035" w:rsidRPr="00FA37DE" w14:paraId="60203701" w14:textId="0381B16A" w:rsidTr="00D30294">
        <w:trPr>
          <w:trHeight w:val="340"/>
        </w:trPr>
        <w:tc>
          <w:tcPr>
            <w:tcW w:w="1701" w:type="dxa"/>
            <w:noWrap/>
          </w:tcPr>
          <w:p w14:paraId="10728648" w14:textId="08394EE4"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AECOM</w:t>
            </w:r>
          </w:p>
        </w:tc>
        <w:tc>
          <w:tcPr>
            <w:tcW w:w="6521" w:type="dxa"/>
            <w:noWrap/>
          </w:tcPr>
          <w:p w14:paraId="14962BEF" w14:textId="3B6C4D2C"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AECOM Australia Pty Ltd</w:t>
            </w:r>
          </w:p>
        </w:tc>
      </w:tr>
      <w:tr w:rsidR="009A2035" w:rsidRPr="00FA37DE" w14:paraId="6A3F796E" w14:textId="73833C01" w:rsidTr="00D30294">
        <w:trPr>
          <w:trHeight w:val="340"/>
        </w:trPr>
        <w:tc>
          <w:tcPr>
            <w:tcW w:w="1701" w:type="dxa"/>
            <w:noWrap/>
          </w:tcPr>
          <w:p w14:paraId="4EEB10A2" w14:textId="38591E7D"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AEMO</w:t>
            </w:r>
          </w:p>
        </w:tc>
        <w:tc>
          <w:tcPr>
            <w:tcW w:w="6521" w:type="dxa"/>
            <w:noWrap/>
          </w:tcPr>
          <w:p w14:paraId="2AE9E694" w14:textId="219185FD"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Energy Market Operator</w:t>
            </w:r>
          </w:p>
        </w:tc>
      </w:tr>
      <w:tr w:rsidR="009A2035" w:rsidRPr="00FA37DE" w14:paraId="50F77363" w14:textId="18B6E120" w:rsidTr="00D30294">
        <w:trPr>
          <w:trHeight w:val="340"/>
        </w:trPr>
        <w:tc>
          <w:tcPr>
            <w:tcW w:w="1701" w:type="dxa"/>
            <w:noWrap/>
          </w:tcPr>
          <w:p w14:paraId="20225D9C" w14:textId="2981CB5F"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AEMC</w:t>
            </w:r>
          </w:p>
        </w:tc>
        <w:tc>
          <w:tcPr>
            <w:tcW w:w="6521" w:type="dxa"/>
            <w:noWrap/>
          </w:tcPr>
          <w:p w14:paraId="616DEBAF" w14:textId="6AA59360"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Energy Market Commission</w:t>
            </w:r>
          </w:p>
        </w:tc>
      </w:tr>
      <w:tr w:rsidR="009A2035" w:rsidRPr="00FA37DE" w14:paraId="2CA35A4F" w14:textId="3D4C64E6" w:rsidTr="00D30294">
        <w:trPr>
          <w:trHeight w:val="340"/>
        </w:trPr>
        <w:tc>
          <w:tcPr>
            <w:tcW w:w="1701" w:type="dxa"/>
            <w:noWrap/>
          </w:tcPr>
          <w:p w14:paraId="40127C80" w14:textId="7BB00375"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AR-PST</w:t>
            </w:r>
          </w:p>
        </w:tc>
        <w:tc>
          <w:tcPr>
            <w:tcW w:w="6521" w:type="dxa"/>
            <w:noWrap/>
          </w:tcPr>
          <w:p w14:paraId="203F04AE" w14:textId="0AA9493C"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Research in Power System Transformation</w:t>
            </w:r>
          </w:p>
        </w:tc>
      </w:tr>
      <w:tr w:rsidR="009A2035" w:rsidRPr="00FA37DE" w14:paraId="4A13169B" w14:textId="5259A479" w:rsidTr="00D30294">
        <w:trPr>
          <w:trHeight w:val="340"/>
        </w:trPr>
        <w:tc>
          <w:tcPr>
            <w:tcW w:w="1701" w:type="dxa"/>
            <w:noWrap/>
          </w:tcPr>
          <w:p w14:paraId="11CC4D09" w14:textId="3EB42DE9"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ARENA</w:t>
            </w:r>
          </w:p>
        </w:tc>
        <w:tc>
          <w:tcPr>
            <w:tcW w:w="6521" w:type="dxa"/>
            <w:noWrap/>
          </w:tcPr>
          <w:p w14:paraId="65B41EEB" w14:textId="79A5101D"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Renewable Energy Agency</w:t>
            </w:r>
          </w:p>
        </w:tc>
      </w:tr>
      <w:tr w:rsidR="009A2035" w:rsidRPr="00FA37DE" w14:paraId="4917849D" w14:textId="7B81BBDB" w:rsidTr="00D30294">
        <w:trPr>
          <w:trHeight w:val="340"/>
        </w:trPr>
        <w:tc>
          <w:tcPr>
            <w:tcW w:w="1701" w:type="dxa"/>
            <w:noWrap/>
          </w:tcPr>
          <w:p w14:paraId="59570E1A" w14:textId="55C8BAD6"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CSIRO</w:t>
            </w:r>
          </w:p>
        </w:tc>
        <w:tc>
          <w:tcPr>
            <w:tcW w:w="6521" w:type="dxa"/>
            <w:noWrap/>
          </w:tcPr>
          <w:p w14:paraId="7BC4D475" w14:textId="4BC63C7B"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Commonwealth Scientific and Industrial Research Organisation</w:t>
            </w:r>
          </w:p>
        </w:tc>
      </w:tr>
      <w:tr w:rsidR="009A2035" w:rsidRPr="00FA37DE" w14:paraId="28D3F721" w14:textId="4AB571DE" w:rsidTr="00D30294">
        <w:trPr>
          <w:trHeight w:val="340"/>
        </w:trPr>
        <w:tc>
          <w:tcPr>
            <w:tcW w:w="1701" w:type="dxa"/>
            <w:noWrap/>
          </w:tcPr>
          <w:p w14:paraId="26475B78" w14:textId="48D05397"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DCCEEW</w:t>
            </w:r>
          </w:p>
        </w:tc>
        <w:tc>
          <w:tcPr>
            <w:tcW w:w="6521" w:type="dxa"/>
            <w:noWrap/>
          </w:tcPr>
          <w:p w14:paraId="1A8CDBAB" w14:textId="0A7CDAD1"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Department of Climate Change, Energy, the Environment and Water</w:t>
            </w:r>
          </w:p>
        </w:tc>
      </w:tr>
      <w:tr w:rsidR="009A2035" w:rsidRPr="00FA37DE" w14:paraId="23210826" w14:textId="2B219165" w:rsidTr="00D30294">
        <w:trPr>
          <w:trHeight w:val="340"/>
        </w:trPr>
        <w:tc>
          <w:tcPr>
            <w:tcW w:w="1701" w:type="dxa"/>
            <w:noWrap/>
          </w:tcPr>
          <w:p w14:paraId="66BC75D1" w14:textId="66F50A35"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IEEE</w:t>
            </w:r>
          </w:p>
        </w:tc>
        <w:tc>
          <w:tcPr>
            <w:tcW w:w="6521" w:type="dxa"/>
            <w:noWrap/>
          </w:tcPr>
          <w:p w14:paraId="6700C20B" w14:textId="11D530FC"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Institute of Electrical and Electronics Engineers</w:t>
            </w:r>
          </w:p>
        </w:tc>
      </w:tr>
      <w:tr w:rsidR="009A2035" w:rsidRPr="00FA37DE" w14:paraId="32532382" w14:textId="0590660B" w:rsidTr="00D30294">
        <w:trPr>
          <w:trHeight w:val="340"/>
        </w:trPr>
        <w:tc>
          <w:tcPr>
            <w:tcW w:w="1701" w:type="dxa"/>
            <w:noWrap/>
          </w:tcPr>
          <w:p w14:paraId="45425FB6" w14:textId="221D784B"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ISO</w:t>
            </w:r>
          </w:p>
        </w:tc>
        <w:tc>
          <w:tcPr>
            <w:tcW w:w="6521" w:type="dxa"/>
            <w:noWrap/>
          </w:tcPr>
          <w:p w14:paraId="1E5EB504" w14:textId="7346B2ED"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International Organisation for Standardisation</w:t>
            </w:r>
          </w:p>
        </w:tc>
      </w:tr>
      <w:tr w:rsidR="009A2035" w:rsidRPr="00FA37DE" w14:paraId="0DB2ABA6" w14:textId="12FDEA24" w:rsidTr="00D30294">
        <w:trPr>
          <w:trHeight w:val="340"/>
        </w:trPr>
        <w:tc>
          <w:tcPr>
            <w:tcW w:w="1701" w:type="dxa"/>
            <w:noWrap/>
          </w:tcPr>
          <w:p w14:paraId="3A860FE3" w14:textId="6A9957BF"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RMIT</w:t>
            </w:r>
          </w:p>
        </w:tc>
        <w:tc>
          <w:tcPr>
            <w:tcW w:w="6521" w:type="dxa"/>
            <w:noWrap/>
          </w:tcPr>
          <w:p w14:paraId="441C5341" w14:textId="792421A3"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RMIT University</w:t>
            </w:r>
          </w:p>
        </w:tc>
      </w:tr>
      <w:tr w:rsidR="009A2035" w:rsidRPr="00FA37DE" w14:paraId="6D3EF0F8" w14:textId="16919D41" w:rsidTr="00D30294">
        <w:trPr>
          <w:trHeight w:val="340"/>
        </w:trPr>
        <w:tc>
          <w:tcPr>
            <w:tcW w:w="1701" w:type="dxa"/>
            <w:noWrap/>
          </w:tcPr>
          <w:p w14:paraId="1A6FBA47" w14:textId="39DE6877"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FCAS</w:t>
            </w:r>
          </w:p>
        </w:tc>
        <w:tc>
          <w:tcPr>
            <w:tcW w:w="6521" w:type="dxa"/>
            <w:noWrap/>
          </w:tcPr>
          <w:p w14:paraId="4B49E765" w14:textId="62451C60"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Frequency Control Ancillary Services</w:t>
            </w:r>
          </w:p>
        </w:tc>
      </w:tr>
      <w:tr w:rsidR="009A2035" w:rsidRPr="00FA37DE" w14:paraId="71F17ACD" w14:textId="489681ED" w:rsidTr="00D30294">
        <w:trPr>
          <w:trHeight w:val="340"/>
        </w:trPr>
        <w:tc>
          <w:tcPr>
            <w:tcW w:w="1701" w:type="dxa"/>
            <w:noWrap/>
          </w:tcPr>
          <w:p w14:paraId="22AF4DC9" w14:textId="731D0ABB"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ISP</w:t>
            </w:r>
          </w:p>
        </w:tc>
        <w:tc>
          <w:tcPr>
            <w:tcW w:w="6521" w:type="dxa"/>
            <w:noWrap/>
          </w:tcPr>
          <w:p w14:paraId="3A47DCE1" w14:textId="669A4024"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Integrated System Plan</w:t>
            </w:r>
          </w:p>
        </w:tc>
      </w:tr>
      <w:tr w:rsidR="009A2035" w:rsidRPr="00FA37DE" w14:paraId="30F797DC" w14:textId="69EC84D0" w:rsidTr="00D30294">
        <w:trPr>
          <w:trHeight w:val="340"/>
        </w:trPr>
        <w:tc>
          <w:tcPr>
            <w:tcW w:w="1701" w:type="dxa"/>
            <w:noWrap/>
          </w:tcPr>
          <w:p w14:paraId="58010D39" w14:textId="2FAE4BDB"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NEM</w:t>
            </w:r>
          </w:p>
        </w:tc>
        <w:tc>
          <w:tcPr>
            <w:tcW w:w="6521" w:type="dxa"/>
            <w:noWrap/>
          </w:tcPr>
          <w:p w14:paraId="3B651C33" w14:textId="1596C624"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National Electricity Market</w:t>
            </w:r>
          </w:p>
        </w:tc>
      </w:tr>
      <w:tr w:rsidR="009A2035" w:rsidRPr="00FA37DE" w14:paraId="6CF59D5A" w14:textId="1469D6EE" w:rsidTr="00D30294">
        <w:trPr>
          <w:trHeight w:val="340"/>
        </w:trPr>
        <w:tc>
          <w:tcPr>
            <w:tcW w:w="1701" w:type="dxa"/>
            <w:noWrap/>
          </w:tcPr>
          <w:p w14:paraId="2589A9C4" w14:textId="111B1269"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ANZSIC</w:t>
            </w:r>
          </w:p>
        </w:tc>
        <w:tc>
          <w:tcPr>
            <w:tcW w:w="6521" w:type="dxa"/>
            <w:noWrap/>
          </w:tcPr>
          <w:p w14:paraId="2D428BB0" w14:textId="6CB9C797"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and New Zealand Standard Industrial Classification</w:t>
            </w:r>
          </w:p>
        </w:tc>
      </w:tr>
      <w:tr w:rsidR="009A2035" w:rsidRPr="00FA37DE" w14:paraId="583FA546" w14:textId="0EF215A7" w:rsidTr="00D30294">
        <w:trPr>
          <w:trHeight w:val="340"/>
        </w:trPr>
        <w:tc>
          <w:tcPr>
            <w:tcW w:w="1701" w:type="dxa"/>
            <w:noWrap/>
          </w:tcPr>
          <w:p w14:paraId="25A26B4D" w14:textId="2E2AD0B6"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 xml:space="preserve">AS </w:t>
            </w:r>
          </w:p>
        </w:tc>
        <w:tc>
          <w:tcPr>
            <w:tcW w:w="6521" w:type="dxa"/>
            <w:noWrap/>
          </w:tcPr>
          <w:p w14:paraId="62FB2823" w14:textId="3DECEF4F"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Australian Standard</w:t>
            </w:r>
          </w:p>
        </w:tc>
      </w:tr>
      <w:tr w:rsidR="009A2035" w:rsidRPr="00FA37DE" w14:paraId="11AC0B27" w14:textId="29294E54" w:rsidTr="00D30294">
        <w:trPr>
          <w:trHeight w:val="340"/>
        </w:trPr>
        <w:tc>
          <w:tcPr>
            <w:tcW w:w="1701" w:type="dxa"/>
            <w:noWrap/>
          </w:tcPr>
          <w:p w14:paraId="1CB4511D" w14:textId="1BE42FD9"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AS/NZS</w:t>
            </w:r>
          </w:p>
        </w:tc>
        <w:tc>
          <w:tcPr>
            <w:tcW w:w="6521" w:type="dxa"/>
            <w:noWrap/>
          </w:tcPr>
          <w:p w14:paraId="4C98817A" w14:textId="4DC33D28"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 xml:space="preserve">Australian and New Zealand Standard </w:t>
            </w:r>
          </w:p>
        </w:tc>
      </w:tr>
      <w:tr w:rsidR="009A2035" w:rsidRPr="00FA37DE" w14:paraId="585E5FD8" w14:textId="74F134EB" w:rsidTr="00D30294">
        <w:trPr>
          <w:trHeight w:val="340"/>
        </w:trPr>
        <w:tc>
          <w:tcPr>
            <w:tcW w:w="1701" w:type="dxa"/>
            <w:noWrap/>
          </w:tcPr>
          <w:p w14:paraId="103484E1" w14:textId="488A6412"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BESS</w:t>
            </w:r>
          </w:p>
        </w:tc>
        <w:tc>
          <w:tcPr>
            <w:tcW w:w="6521" w:type="dxa"/>
            <w:noWrap/>
          </w:tcPr>
          <w:p w14:paraId="49DA5792" w14:textId="6CBDD1DB"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Battery Energy Storage System</w:t>
            </w:r>
          </w:p>
        </w:tc>
      </w:tr>
      <w:tr w:rsidR="009A2035" w:rsidRPr="00FA37DE" w14:paraId="4E355BF6" w14:textId="44B653A2" w:rsidTr="00D30294">
        <w:trPr>
          <w:trHeight w:val="340"/>
        </w:trPr>
        <w:tc>
          <w:tcPr>
            <w:tcW w:w="1701" w:type="dxa"/>
            <w:noWrap/>
          </w:tcPr>
          <w:p w14:paraId="378FB936" w14:textId="125EF8F9"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CER</w:t>
            </w:r>
          </w:p>
        </w:tc>
        <w:tc>
          <w:tcPr>
            <w:tcW w:w="6521" w:type="dxa"/>
            <w:noWrap/>
          </w:tcPr>
          <w:p w14:paraId="1FC11AFF" w14:textId="48362EE7"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Consumer Energy Resources</w:t>
            </w:r>
          </w:p>
        </w:tc>
      </w:tr>
      <w:tr w:rsidR="009A2035" w:rsidRPr="00FA37DE" w14:paraId="4E7D0FD6" w14:textId="211268D9" w:rsidTr="00D30294">
        <w:trPr>
          <w:trHeight w:val="340"/>
        </w:trPr>
        <w:tc>
          <w:tcPr>
            <w:tcW w:w="1701" w:type="dxa"/>
            <w:noWrap/>
          </w:tcPr>
          <w:p w14:paraId="7015D677" w14:textId="53BECA96"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DER</w:t>
            </w:r>
          </w:p>
        </w:tc>
        <w:tc>
          <w:tcPr>
            <w:tcW w:w="6521" w:type="dxa"/>
            <w:noWrap/>
          </w:tcPr>
          <w:p w14:paraId="10D174DE" w14:textId="151713A6"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Distributed Energy Resources</w:t>
            </w:r>
          </w:p>
        </w:tc>
      </w:tr>
      <w:tr w:rsidR="00ED21FE" w:rsidRPr="00FA37DE" w14:paraId="35735A67" w14:textId="77777777" w:rsidTr="00D30294">
        <w:trPr>
          <w:trHeight w:val="340"/>
        </w:trPr>
        <w:tc>
          <w:tcPr>
            <w:tcW w:w="1701" w:type="dxa"/>
            <w:noWrap/>
          </w:tcPr>
          <w:p w14:paraId="7277719B" w14:textId="43A02E7C" w:rsidR="00ED21FE" w:rsidRDefault="00ED21FE" w:rsidP="00EC482D">
            <w:pPr>
              <w:spacing w:after="0" w:line="240" w:lineRule="auto"/>
              <w:rPr>
                <w:rFonts w:eastAsia="Times New Roman" w:cs="Times New Roman"/>
                <w:color w:val="000000"/>
                <w:lang w:eastAsia="en-AU"/>
              </w:rPr>
            </w:pPr>
            <w:r>
              <w:rPr>
                <w:rFonts w:eastAsia="Times New Roman" w:cs="Times New Roman"/>
                <w:color w:val="000000"/>
                <w:lang w:eastAsia="en-AU"/>
              </w:rPr>
              <w:t>DNSP</w:t>
            </w:r>
          </w:p>
        </w:tc>
        <w:tc>
          <w:tcPr>
            <w:tcW w:w="6521" w:type="dxa"/>
            <w:noWrap/>
          </w:tcPr>
          <w:p w14:paraId="6B4E49D5" w14:textId="0F291052" w:rsidR="00ED21FE" w:rsidRDefault="00ED21FE" w:rsidP="00EC482D">
            <w:pPr>
              <w:spacing w:after="0" w:line="240" w:lineRule="auto"/>
              <w:rPr>
                <w:rFonts w:eastAsia="Times New Roman" w:cs="Times New Roman"/>
                <w:color w:val="000000"/>
                <w:lang w:eastAsia="en-AU"/>
              </w:rPr>
            </w:pPr>
            <w:r>
              <w:rPr>
                <w:rFonts w:eastAsia="Times New Roman" w:cs="Times New Roman"/>
                <w:color w:val="000000"/>
                <w:lang w:eastAsia="en-AU"/>
              </w:rPr>
              <w:t>Distributed Network Service Provider</w:t>
            </w:r>
          </w:p>
        </w:tc>
      </w:tr>
      <w:tr w:rsidR="009A2035" w:rsidRPr="00FA37DE" w14:paraId="2E1466F9" w14:textId="6F1A5C01" w:rsidTr="00D30294">
        <w:trPr>
          <w:trHeight w:val="340"/>
        </w:trPr>
        <w:tc>
          <w:tcPr>
            <w:tcW w:w="1701" w:type="dxa"/>
            <w:noWrap/>
          </w:tcPr>
          <w:p w14:paraId="2ED55E82" w14:textId="07589A49"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DR</w:t>
            </w:r>
          </w:p>
        </w:tc>
        <w:tc>
          <w:tcPr>
            <w:tcW w:w="6521" w:type="dxa"/>
            <w:noWrap/>
          </w:tcPr>
          <w:p w14:paraId="4A976BEE" w14:textId="7A66EB4B"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Demand Response</w:t>
            </w:r>
          </w:p>
        </w:tc>
      </w:tr>
      <w:tr w:rsidR="009A2035" w:rsidRPr="00FA37DE" w14:paraId="4039AE0A" w14:textId="6187A49C" w:rsidTr="00D30294">
        <w:trPr>
          <w:trHeight w:val="340"/>
        </w:trPr>
        <w:tc>
          <w:tcPr>
            <w:tcW w:w="1701" w:type="dxa"/>
            <w:noWrap/>
          </w:tcPr>
          <w:p w14:paraId="5FBF2C4E" w14:textId="0C2ED39D"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DRED</w:t>
            </w:r>
          </w:p>
        </w:tc>
        <w:tc>
          <w:tcPr>
            <w:tcW w:w="6521" w:type="dxa"/>
            <w:noWrap/>
          </w:tcPr>
          <w:p w14:paraId="4413A1F9" w14:textId="6C988814"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Demand Response Enabling Device</w:t>
            </w:r>
          </w:p>
        </w:tc>
      </w:tr>
      <w:tr w:rsidR="009A2035" w:rsidRPr="00FA37DE" w14:paraId="3E791269" w14:textId="6A6C9833" w:rsidTr="00D30294">
        <w:trPr>
          <w:trHeight w:val="340"/>
        </w:trPr>
        <w:tc>
          <w:tcPr>
            <w:tcW w:w="1701" w:type="dxa"/>
            <w:noWrap/>
          </w:tcPr>
          <w:p w14:paraId="7FD694A3" w14:textId="2902B331"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DRM</w:t>
            </w:r>
          </w:p>
        </w:tc>
        <w:tc>
          <w:tcPr>
            <w:tcW w:w="6521" w:type="dxa"/>
            <w:noWrap/>
          </w:tcPr>
          <w:p w14:paraId="66113DB4" w14:textId="52F0AB0C"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Demand Response Mode</w:t>
            </w:r>
          </w:p>
        </w:tc>
      </w:tr>
      <w:tr w:rsidR="009A2035" w:rsidRPr="00FA37DE" w14:paraId="0C75FCC6" w14:textId="7B4CC624" w:rsidTr="00D30294">
        <w:trPr>
          <w:trHeight w:val="340"/>
        </w:trPr>
        <w:tc>
          <w:tcPr>
            <w:tcW w:w="1701" w:type="dxa"/>
            <w:noWrap/>
          </w:tcPr>
          <w:p w14:paraId="45C40ED3" w14:textId="24D069F0"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DSM</w:t>
            </w:r>
          </w:p>
        </w:tc>
        <w:tc>
          <w:tcPr>
            <w:tcW w:w="6521" w:type="dxa"/>
            <w:noWrap/>
          </w:tcPr>
          <w:p w14:paraId="0D7995D6" w14:textId="371D9B15"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Demand-Side Management</w:t>
            </w:r>
          </w:p>
        </w:tc>
      </w:tr>
      <w:tr w:rsidR="009A2035" w:rsidRPr="00FA37DE" w14:paraId="7138C7B9" w14:textId="657CA22E" w:rsidTr="00D30294">
        <w:trPr>
          <w:trHeight w:val="340"/>
        </w:trPr>
        <w:tc>
          <w:tcPr>
            <w:tcW w:w="1701" w:type="dxa"/>
            <w:noWrap/>
          </w:tcPr>
          <w:p w14:paraId="256EFD17" w14:textId="540BDDD7"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EV</w:t>
            </w:r>
          </w:p>
        </w:tc>
        <w:tc>
          <w:tcPr>
            <w:tcW w:w="6521" w:type="dxa"/>
            <w:noWrap/>
          </w:tcPr>
          <w:p w14:paraId="2DF027EF" w14:textId="175489CE"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Electric Vehicle</w:t>
            </w:r>
          </w:p>
        </w:tc>
      </w:tr>
      <w:tr w:rsidR="0054438C" w:rsidRPr="00FA37DE" w14:paraId="22ABF9AB" w14:textId="77777777" w:rsidTr="00D30294">
        <w:trPr>
          <w:trHeight w:val="340"/>
        </w:trPr>
        <w:tc>
          <w:tcPr>
            <w:tcW w:w="1701" w:type="dxa"/>
            <w:noWrap/>
          </w:tcPr>
          <w:p w14:paraId="0B3C2D59" w14:textId="4BD0366B"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GW</w:t>
            </w:r>
          </w:p>
        </w:tc>
        <w:tc>
          <w:tcPr>
            <w:tcW w:w="6521" w:type="dxa"/>
            <w:noWrap/>
          </w:tcPr>
          <w:p w14:paraId="1EA45DB7" w14:textId="183904A2"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Gigawatt</w:t>
            </w:r>
          </w:p>
        </w:tc>
      </w:tr>
      <w:tr w:rsidR="0054438C" w:rsidRPr="00FA37DE" w14:paraId="5230D3F5" w14:textId="77777777" w:rsidTr="00D30294">
        <w:trPr>
          <w:trHeight w:val="340"/>
        </w:trPr>
        <w:tc>
          <w:tcPr>
            <w:tcW w:w="1701" w:type="dxa"/>
            <w:noWrap/>
          </w:tcPr>
          <w:p w14:paraId="2EF10D9B" w14:textId="6B6E3F95"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GWh</w:t>
            </w:r>
          </w:p>
        </w:tc>
        <w:tc>
          <w:tcPr>
            <w:tcW w:w="6521" w:type="dxa"/>
            <w:noWrap/>
          </w:tcPr>
          <w:p w14:paraId="70A3AD00" w14:textId="2ED68DFE"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Gigawatt-hour</w:t>
            </w:r>
          </w:p>
        </w:tc>
      </w:tr>
      <w:tr w:rsidR="0054438C" w:rsidRPr="00FA37DE" w14:paraId="6814ABED" w14:textId="77777777" w:rsidTr="00D30294">
        <w:trPr>
          <w:trHeight w:val="340"/>
        </w:trPr>
        <w:tc>
          <w:tcPr>
            <w:tcW w:w="1701" w:type="dxa"/>
            <w:noWrap/>
          </w:tcPr>
          <w:p w14:paraId="6D85C5C0" w14:textId="39DBAB6B"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kW</w:t>
            </w:r>
          </w:p>
        </w:tc>
        <w:tc>
          <w:tcPr>
            <w:tcW w:w="6521" w:type="dxa"/>
            <w:noWrap/>
          </w:tcPr>
          <w:p w14:paraId="400056F4" w14:textId="7CCF6C5E"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Kilowatt</w:t>
            </w:r>
          </w:p>
        </w:tc>
      </w:tr>
      <w:tr w:rsidR="0054438C" w:rsidRPr="00FA37DE" w14:paraId="6B49B28E" w14:textId="77777777" w:rsidTr="00D30294">
        <w:trPr>
          <w:trHeight w:val="340"/>
        </w:trPr>
        <w:tc>
          <w:tcPr>
            <w:tcW w:w="1701" w:type="dxa"/>
            <w:noWrap/>
          </w:tcPr>
          <w:p w14:paraId="447DFFB3" w14:textId="020CC2BD"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kWh</w:t>
            </w:r>
          </w:p>
        </w:tc>
        <w:tc>
          <w:tcPr>
            <w:tcW w:w="6521" w:type="dxa"/>
            <w:noWrap/>
          </w:tcPr>
          <w:p w14:paraId="30C75D0E" w14:textId="094DD9D1"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Kilowatt-hour</w:t>
            </w:r>
          </w:p>
        </w:tc>
      </w:tr>
      <w:tr w:rsidR="009A2035" w:rsidRPr="00FA37DE" w14:paraId="20E1F235" w14:textId="56D59F62" w:rsidTr="00D30294">
        <w:trPr>
          <w:trHeight w:val="340"/>
        </w:trPr>
        <w:tc>
          <w:tcPr>
            <w:tcW w:w="1701" w:type="dxa"/>
            <w:noWrap/>
          </w:tcPr>
          <w:p w14:paraId="2A53047C" w14:textId="4D170D04" w:rsidR="009A2035"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LM</w:t>
            </w:r>
          </w:p>
        </w:tc>
        <w:tc>
          <w:tcPr>
            <w:tcW w:w="6521" w:type="dxa"/>
            <w:noWrap/>
          </w:tcPr>
          <w:p w14:paraId="4DDFE1B0" w14:textId="0C8DAD93"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Load Management</w:t>
            </w:r>
          </w:p>
        </w:tc>
      </w:tr>
      <w:tr w:rsidR="005A16B8" w:rsidRPr="00FA37DE" w14:paraId="579E8C85" w14:textId="77777777" w:rsidTr="00D30294">
        <w:trPr>
          <w:trHeight w:val="340"/>
        </w:trPr>
        <w:tc>
          <w:tcPr>
            <w:tcW w:w="1701" w:type="dxa"/>
            <w:noWrap/>
          </w:tcPr>
          <w:p w14:paraId="0FD8A292" w14:textId="7CE8F80A"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M&amp;V</w:t>
            </w:r>
          </w:p>
        </w:tc>
        <w:tc>
          <w:tcPr>
            <w:tcW w:w="6521" w:type="dxa"/>
            <w:noWrap/>
          </w:tcPr>
          <w:p w14:paraId="04E17051" w14:textId="439B06C8"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Measurement and Verification</w:t>
            </w:r>
          </w:p>
        </w:tc>
      </w:tr>
      <w:tr w:rsidR="0054438C" w:rsidRPr="00FA37DE" w14:paraId="72FE3D2E" w14:textId="77777777" w:rsidTr="00D30294">
        <w:trPr>
          <w:trHeight w:val="340"/>
        </w:trPr>
        <w:tc>
          <w:tcPr>
            <w:tcW w:w="1701" w:type="dxa"/>
            <w:noWrap/>
          </w:tcPr>
          <w:p w14:paraId="7135B1C9" w14:textId="15BD7380"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MW</w:t>
            </w:r>
          </w:p>
        </w:tc>
        <w:tc>
          <w:tcPr>
            <w:tcW w:w="6521" w:type="dxa"/>
            <w:noWrap/>
          </w:tcPr>
          <w:p w14:paraId="33F256F1" w14:textId="05779B4B"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Megawatt</w:t>
            </w:r>
          </w:p>
        </w:tc>
      </w:tr>
      <w:tr w:rsidR="0054438C" w:rsidRPr="00FA37DE" w14:paraId="05ADF18A" w14:textId="77777777" w:rsidTr="00D30294">
        <w:trPr>
          <w:trHeight w:val="340"/>
        </w:trPr>
        <w:tc>
          <w:tcPr>
            <w:tcW w:w="1701" w:type="dxa"/>
            <w:noWrap/>
          </w:tcPr>
          <w:p w14:paraId="006F306E" w14:textId="31923067"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MWh</w:t>
            </w:r>
          </w:p>
        </w:tc>
        <w:tc>
          <w:tcPr>
            <w:tcW w:w="6521" w:type="dxa"/>
            <w:noWrap/>
          </w:tcPr>
          <w:p w14:paraId="44A193BF" w14:textId="3E0A0BBF"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Megawatt-hour</w:t>
            </w:r>
          </w:p>
        </w:tc>
      </w:tr>
      <w:tr w:rsidR="005A16B8" w:rsidRPr="00FA37DE" w14:paraId="616AD551" w14:textId="77777777" w:rsidTr="00D30294">
        <w:trPr>
          <w:trHeight w:val="340"/>
        </w:trPr>
        <w:tc>
          <w:tcPr>
            <w:tcW w:w="1701" w:type="dxa"/>
            <w:noWrap/>
          </w:tcPr>
          <w:p w14:paraId="7881B3E3" w14:textId="5782D0E3"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PV</w:t>
            </w:r>
          </w:p>
        </w:tc>
        <w:tc>
          <w:tcPr>
            <w:tcW w:w="6521" w:type="dxa"/>
            <w:noWrap/>
          </w:tcPr>
          <w:p w14:paraId="22DF090C" w14:textId="25759A4C"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Photovoltaic</w:t>
            </w:r>
          </w:p>
        </w:tc>
      </w:tr>
      <w:tr w:rsidR="0054438C" w:rsidRPr="00FA37DE" w14:paraId="0D6EB0F0" w14:textId="77777777" w:rsidTr="00D30294">
        <w:trPr>
          <w:trHeight w:val="340"/>
        </w:trPr>
        <w:tc>
          <w:tcPr>
            <w:tcW w:w="1701" w:type="dxa"/>
            <w:noWrap/>
          </w:tcPr>
          <w:p w14:paraId="2DE5D7CC" w14:textId="7BC08656"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p.a.</w:t>
            </w:r>
          </w:p>
        </w:tc>
        <w:tc>
          <w:tcPr>
            <w:tcW w:w="6521" w:type="dxa"/>
            <w:noWrap/>
          </w:tcPr>
          <w:p w14:paraId="659482E6" w14:textId="711FD41C"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Per annum</w:t>
            </w:r>
          </w:p>
        </w:tc>
      </w:tr>
      <w:tr w:rsidR="005A16B8" w:rsidRPr="00FA37DE" w14:paraId="4F665297" w14:textId="77777777" w:rsidTr="00D30294">
        <w:trPr>
          <w:trHeight w:val="340"/>
        </w:trPr>
        <w:tc>
          <w:tcPr>
            <w:tcW w:w="1701" w:type="dxa"/>
            <w:noWrap/>
          </w:tcPr>
          <w:p w14:paraId="60B21D81" w14:textId="6A4CCD03"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RO</w:t>
            </w:r>
          </w:p>
        </w:tc>
        <w:tc>
          <w:tcPr>
            <w:tcW w:w="6521" w:type="dxa"/>
            <w:noWrap/>
          </w:tcPr>
          <w:p w14:paraId="2C22D586" w14:textId="22D2D80C"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Reverse Osmosis</w:t>
            </w:r>
          </w:p>
        </w:tc>
      </w:tr>
      <w:tr w:rsidR="005A16B8" w:rsidRPr="00FA37DE" w14:paraId="1F248983" w14:textId="77777777" w:rsidTr="00D30294">
        <w:trPr>
          <w:trHeight w:val="340"/>
        </w:trPr>
        <w:tc>
          <w:tcPr>
            <w:tcW w:w="1701" w:type="dxa"/>
            <w:noWrap/>
          </w:tcPr>
          <w:p w14:paraId="237B4DB0" w14:textId="160B40BF"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lastRenderedPageBreak/>
              <w:t>RTP</w:t>
            </w:r>
          </w:p>
        </w:tc>
        <w:tc>
          <w:tcPr>
            <w:tcW w:w="6521" w:type="dxa"/>
            <w:noWrap/>
          </w:tcPr>
          <w:p w14:paraId="4C6022D1" w14:textId="088B39EE"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Real-Time Pricing</w:t>
            </w:r>
          </w:p>
        </w:tc>
      </w:tr>
      <w:tr w:rsidR="005A16B8" w:rsidRPr="00FA37DE" w14:paraId="1F4419F6" w14:textId="77777777" w:rsidTr="00D30294">
        <w:trPr>
          <w:trHeight w:val="340"/>
        </w:trPr>
        <w:tc>
          <w:tcPr>
            <w:tcW w:w="1701" w:type="dxa"/>
            <w:noWrap/>
          </w:tcPr>
          <w:p w14:paraId="3BA2F2CD" w14:textId="555BB644"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ToU</w:t>
            </w:r>
          </w:p>
        </w:tc>
        <w:tc>
          <w:tcPr>
            <w:tcW w:w="6521" w:type="dxa"/>
            <w:noWrap/>
          </w:tcPr>
          <w:p w14:paraId="75497CC2" w14:textId="25C98F28"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Time of Use</w:t>
            </w:r>
          </w:p>
        </w:tc>
      </w:tr>
      <w:tr w:rsidR="0054438C" w:rsidRPr="00FA37DE" w14:paraId="7B58E459" w14:textId="77777777" w:rsidTr="00D30294">
        <w:trPr>
          <w:trHeight w:val="340"/>
        </w:trPr>
        <w:tc>
          <w:tcPr>
            <w:tcW w:w="1701" w:type="dxa"/>
            <w:noWrap/>
          </w:tcPr>
          <w:p w14:paraId="72321FAB" w14:textId="01F81562"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TWh</w:t>
            </w:r>
          </w:p>
        </w:tc>
        <w:tc>
          <w:tcPr>
            <w:tcW w:w="6521" w:type="dxa"/>
            <w:noWrap/>
          </w:tcPr>
          <w:p w14:paraId="07F5CA27" w14:textId="4B0E7744"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Terawatt-hour</w:t>
            </w:r>
          </w:p>
        </w:tc>
      </w:tr>
      <w:tr w:rsidR="005A16B8" w:rsidRPr="00FA37DE" w14:paraId="4C1C0839" w14:textId="77777777" w:rsidTr="00D30294">
        <w:trPr>
          <w:trHeight w:val="340"/>
        </w:trPr>
        <w:tc>
          <w:tcPr>
            <w:tcW w:w="1701" w:type="dxa"/>
            <w:noWrap/>
          </w:tcPr>
          <w:p w14:paraId="12A4B309" w14:textId="00DB8A3F"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CNC</w:t>
            </w:r>
          </w:p>
        </w:tc>
        <w:tc>
          <w:tcPr>
            <w:tcW w:w="6521" w:type="dxa"/>
            <w:noWrap/>
          </w:tcPr>
          <w:p w14:paraId="53750A61" w14:textId="19068E55"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Computer Numerical Control</w:t>
            </w:r>
          </w:p>
        </w:tc>
      </w:tr>
      <w:tr w:rsidR="005A16B8" w:rsidRPr="00FA37DE" w14:paraId="5ABF4A5B" w14:textId="77777777" w:rsidTr="00D30294">
        <w:trPr>
          <w:trHeight w:val="340"/>
        </w:trPr>
        <w:tc>
          <w:tcPr>
            <w:tcW w:w="1701" w:type="dxa"/>
            <w:noWrap/>
          </w:tcPr>
          <w:p w14:paraId="501D663A" w14:textId="29C4B970"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DOL</w:t>
            </w:r>
          </w:p>
        </w:tc>
        <w:tc>
          <w:tcPr>
            <w:tcW w:w="6521" w:type="dxa"/>
            <w:noWrap/>
          </w:tcPr>
          <w:p w14:paraId="12E79EAF" w14:textId="456CBB74"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Direct-On-Line (motor starting method)</w:t>
            </w:r>
          </w:p>
        </w:tc>
      </w:tr>
      <w:tr w:rsidR="005A16B8" w:rsidRPr="00FA37DE" w14:paraId="25EEAB69" w14:textId="77777777" w:rsidTr="00D30294">
        <w:trPr>
          <w:trHeight w:val="340"/>
        </w:trPr>
        <w:tc>
          <w:tcPr>
            <w:tcW w:w="1701" w:type="dxa"/>
            <w:noWrap/>
          </w:tcPr>
          <w:p w14:paraId="77947A65" w14:textId="5B2114EC"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HEPA</w:t>
            </w:r>
          </w:p>
        </w:tc>
        <w:tc>
          <w:tcPr>
            <w:tcW w:w="6521" w:type="dxa"/>
            <w:noWrap/>
          </w:tcPr>
          <w:p w14:paraId="16285FC4" w14:textId="5130922E"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High-Efficiency Particulate Air</w:t>
            </w:r>
          </w:p>
        </w:tc>
      </w:tr>
      <w:tr w:rsidR="005A16B8" w:rsidRPr="00FA37DE" w14:paraId="2FE2B58E" w14:textId="77777777" w:rsidTr="00D30294">
        <w:trPr>
          <w:trHeight w:val="340"/>
        </w:trPr>
        <w:tc>
          <w:tcPr>
            <w:tcW w:w="1701" w:type="dxa"/>
            <w:noWrap/>
          </w:tcPr>
          <w:p w14:paraId="0DA4E63A" w14:textId="0A5F3321"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HV</w:t>
            </w:r>
          </w:p>
        </w:tc>
        <w:tc>
          <w:tcPr>
            <w:tcW w:w="6521" w:type="dxa"/>
            <w:noWrap/>
          </w:tcPr>
          <w:p w14:paraId="0A2105A8" w14:textId="0DF9C258"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High Voltage</w:t>
            </w:r>
          </w:p>
        </w:tc>
      </w:tr>
      <w:tr w:rsidR="005A16B8" w:rsidRPr="00FA37DE" w14:paraId="78872E16" w14:textId="77777777" w:rsidTr="00D30294">
        <w:trPr>
          <w:trHeight w:val="340"/>
        </w:trPr>
        <w:tc>
          <w:tcPr>
            <w:tcW w:w="1701" w:type="dxa"/>
            <w:noWrap/>
          </w:tcPr>
          <w:p w14:paraId="275BD2EB" w14:textId="070A3E53" w:rsidR="005A16B8" w:rsidRPr="00FA37DE" w:rsidRDefault="005A16B8" w:rsidP="00EC482D">
            <w:pPr>
              <w:spacing w:after="0" w:line="240" w:lineRule="auto"/>
              <w:rPr>
                <w:rFonts w:eastAsia="Times New Roman" w:cs="Times New Roman"/>
                <w:color w:val="000000"/>
                <w:lang w:eastAsia="en-AU"/>
              </w:rPr>
            </w:pPr>
            <w:r>
              <w:rPr>
                <w:rFonts w:eastAsia="Times New Roman" w:cs="Times New Roman"/>
                <w:color w:val="000000"/>
                <w:lang w:eastAsia="en-AU"/>
              </w:rPr>
              <w:t>LV</w:t>
            </w:r>
          </w:p>
        </w:tc>
        <w:tc>
          <w:tcPr>
            <w:tcW w:w="6521" w:type="dxa"/>
            <w:noWrap/>
          </w:tcPr>
          <w:p w14:paraId="08B73C0B" w14:textId="579B1C84" w:rsidR="005A16B8"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Low Voltage</w:t>
            </w:r>
          </w:p>
        </w:tc>
      </w:tr>
      <w:tr w:rsidR="009A2035" w:rsidRPr="00FA37DE" w14:paraId="7438691E" w14:textId="49F11DAF" w:rsidTr="00D30294">
        <w:trPr>
          <w:trHeight w:val="340"/>
        </w:trPr>
        <w:tc>
          <w:tcPr>
            <w:tcW w:w="1701" w:type="dxa"/>
            <w:noWrap/>
          </w:tcPr>
          <w:p w14:paraId="1715A9DB" w14:textId="3CBBF229" w:rsidR="009A2035" w:rsidRPr="00FA37DE"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HVAC</w:t>
            </w:r>
          </w:p>
        </w:tc>
        <w:tc>
          <w:tcPr>
            <w:tcW w:w="6521" w:type="dxa"/>
            <w:noWrap/>
          </w:tcPr>
          <w:p w14:paraId="3521FECA" w14:textId="72261B8C" w:rsidR="009A2035"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Heating, Ventilation, and Air Conditioning</w:t>
            </w:r>
          </w:p>
        </w:tc>
      </w:tr>
      <w:tr w:rsidR="0054438C" w:rsidRPr="00FA37DE" w14:paraId="633EB95F" w14:textId="77777777" w:rsidTr="00D30294">
        <w:trPr>
          <w:trHeight w:val="340"/>
        </w:trPr>
        <w:tc>
          <w:tcPr>
            <w:tcW w:w="1701" w:type="dxa"/>
            <w:noWrap/>
          </w:tcPr>
          <w:p w14:paraId="290B120A" w14:textId="2982CB92"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UPS</w:t>
            </w:r>
          </w:p>
        </w:tc>
        <w:tc>
          <w:tcPr>
            <w:tcW w:w="6521" w:type="dxa"/>
            <w:noWrap/>
          </w:tcPr>
          <w:p w14:paraId="28BFDAEF" w14:textId="7819DCB6"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Uninterruptible Power Supply</w:t>
            </w:r>
          </w:p>
        </w:tc>
      </w:tr>
      <w:tr w:rsidR="0054438C" w:rsidRPr="00FA37DE" w14:paraId="4D17F921" w14:textId="77777777" w:rsidTr="00D30294">
        <w:trPr>
          <w:trHeight w:val="340"/>
        </w:trPr>
        <w:tc>
          <w:tcPr>
            <w:tcW w:w="1701" w:type="dxa"/>
            <w:noWrap/>
          </w:tcPr>
          <w:p w14:paraId="1B5F70B0" w14:textId="1FFDCC81"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VSD</w:t>
            </w:r>
          </w:p>
        </w:tc>
        <w:tc>
          <w:tcPr>
            <w:tcW w:w="6521" w:type="dxa"/>
            <w:noWrap/>
          </w:tcPr>
          <w:p w14:paraId="3772E069" w14:textId="4EFCC397"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Variable Speed Drive</w:t>
            </w:r>
          </w:p>
        </w:tc>
      </w:tr>
      <w:tr w:rsidR="0054438C" w:rsidRPr="00FA37DE" w14:paraId="33DCAFF1" w14:textId="77777777" w:rsidTr="00D30294">
        <w:trPr>
          <w:trHeight w:val="340"/>
        </w:trPr>
        <w:tc>
          <w:tcPr>
            <w:tcW w:w="1701" w:type="dxa"/>
            <w:noWrap/>
          </w:tcPr>
          <w:p w14:paraId="37119958" w14:textId="17290B97"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NSW</w:t>
            </w:r>
          </w:p>
        </w:tc>
        <w:tc>
          <w:tcPr>
            <w:tcW w:w="6521" w:type="dxa"/>
            <w:noWrap/>
          </w:tcPr>
          <w:p w14:paraId="3934A64D" w14:textId="665D7F09"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New South Wales</w:t>
            </w:r>
          </w:p>
        </w:tc>
      </w:tr>
      <w:tr w:rsidR="0054438C" w:rsidRPr="00FA37DE" w14:paraId="40635F98" w14:textId="77777777" w:rsidTr="00D30294">
        <w:trPr>
          <w:trHeight w:val="340"/>
        </w:trPr>
        <w:tc>
          <w:tcPr>
            <w:tcW w:w="1701" w:type="dxa"/>
            <w:noWrap/>
          </w:tcPr>
          <w:p w14:paraId="34566D78" w14:textId="60A57FF8"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w:t>
            </w:r>
          </w:p>
        </w:tc>
        <w:tc>
          <w:tcPr>
            <w:tcW w:w="6521" w:type="dxa"/>
            <w:noWrap/>
          </w:tcPr>
          <w:p w14:paraId="72B261EB" w14:textId="1CB610D0"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Percent</w:t>
            </w:r>
          </w:p>
        </w:tc>
      </w:tr>
      <w:tr w:rsidR="0054438C" w:rsidRPr="00FA37DE" w14:paraId="71D7E645" w14:textId="77777777" w:rsidTr="00D30294">
        <w:trPr>
          <w:trHeight w:val="340"/>
        </w:trPr>
        <w:tc>
          <w:tcPr>
            <w:tcW w:w="1701" w:type="dxa"/>
            <w:noWrap/>
          </w:tcPr>
          <w:p w14:paraId="3E77C298" w14:textId="482B286E"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w:t>
            </w:r>
          </w:p>
        </w:tc>
        <w:tc>
          <w:tcPr>
            <w:tcW w:w="6521" w:type="dxa"/>
            <w:noWrap/>
          </w:tcPr>
          <w:p w14:paraId="137104F5" w14:textId="43CCE841"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Positive</w:t>
            </w:r>
          </w:p>
        </w:tc>
      </w:tr>
      <w:tr w:rsidR="0054438C" w:rsidRPr="00FA37DE" w14:paraId="2FC787D9" w14:textId="77777777" w:rsidTr="00D30294">
        <w:trPr>
          <w:trHeight w:val="340"/>
        </w:trPr>
        <w:tc>
          <w:tcPr>
            <w:tcW w:w="1701" w:type="dxa"/>
            <w:noWrap/>
          </w:tcPr>
          <w:p w14:paraId="2F9C00D6" w14:textId="3ABAEDE9"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w:t>
            </w:r>
          </w:p>
        </w:tc>
        <w:tc>
          <w:tcPr>
            <w:tcW w:w="6521" w:type="dxa"/>
            <w:noWrap/>
          </w:tcPr>
          <w:p w14:paraId="0ED8D747" w14:textId="0EB9A92C"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Negative</w:t>
            </w:r>
          </w:p>
        </w:tc>
      </w:tr>
      <w:tr w:rsidR="0054438C" w:rsidRPr="00FA37DE" w14:paraId="7E7BF3EF" w14:textId="77777777" w:rsidTr="00D30294">
        <w:trPr>
          <w:trHeight w:val="340"/>
        </w:trPr>
        <w:tc>
          <w:tcPr>
            <w:tcW w:w="1701" w:type="dxa"/>
            <w:noWrap/>
          </w:tcPr>
          <w:p w14:paraId="4D97A51E" w14:textId="0262FA54" w:rsidR="0054438C" w:rsidRDefault="0054438C" w:rsidP="00EC482D">
            <w:pPr>
              <w:spacing w:after="0" w:line="240" w:lineRule="auto"/>
              <w:rPr>
                <w:rFonts w:eastAsia="Times New Roman" w:cs="Times New Roman"/>
                <w:color w:val="000000"/>
                <w:lang w:eastAsia="en-AU"/>
              </w:rPr>
            </w:pPr>
            <w:r>
              <w:rPr>
                <w:rFonts w:eastAsia="Times New Roman" w:cs="Times New Roman"/>
                <w:color w:val="000000"/>
                <w:lang w:eastAsia="en-AU"/>
              </w:rPr>
              <w:t>°C</w:t>
            </w:r>
          </w:p>
        </w:tc>
        <w:tc>
          <w:tcPr>
            <w:tcW w:w="6521" w:type="dxa"/>
            <w:noWrap/>
          </w:tcPr>
          <w:p w14:paraId="4DA64398" w14:textId="23770E6C" w:rsidR="0054438C" w:rsidRPr="00FA37DE" w:rsidRDefault="00181294" w:rsidP="00EC482D">
            <w:pPr>
              <w:spacing w:after="0" w:line="240" w:lineRule="auto"/>
              <w:rPr>
                <w:rFonts w:eastAsia="Times New Roman" w:cs="Times New Roman"/>
                <w:color w:val="000000"/>
                <w:lang w:eastAsia="en-AU"/>
              </w:rPr>
            </w:pPr>
            <w:r>
              <w:rPr>
                <w:rFonts w:eastAsia="Times New Roman" w:cs="Times New Roman"/>
                <w:color w:val="000000"/>
                <w:lang w:eastAsia="en-AU"/>
              </w:rPr>
              <w:t>Degree Celsius</w:t>
            </w:r>
          </w:p>
        </w:tc>
      </w:tr>
    </w:tbl>
    <w:p w14:paraId="74DD5237" w14:textId="00B16FD9" w:rsidR="00DD314E" w:rsidRDefault="00DD314E" w:rsidP="00AF60F1">
      <w:pPr>
        <w:sectPr w:rsidR="00DD314E" w:rsidSect="00DD314E">
          <w:footerReference w:type="default" r:id="rId29"/>
          <w:pgSz w:w="11906" w:h="16838" w:code="9"/>
          <w:pgMar w:top="1440" w:right="1134" w:bottom="1440" w:left="1134" w:header="709" w:footer="709" w:gutter="0"/>
          <w:pgNumType w:start="0"/>
          <w:cols w:space="708"/>
          <w:titlePg/>
          <w:docGrid w:linePitch="360"/>
        </w:sectPr>
      </w:pPr>
    </w:p>
    <w:p w14:paraId="343FC472" w14:textId="340DDF2F" w:rsidR="008F1AA2" w:rsidRPr="007713DD" w:rsidRDefault="00C57C82" w:rsidP="008F1AA2">
      <w:pPr>
        <w:pStyle w:val="Heading1"/>
      </w:pPr>
      <w:bookmarkStart w:id="6" w:name="_Toc79416358"/>
      <w:bookmarkStart w:id="7" w:name="_Toc79502979"/>
      <w:bookmarkStart w:id="8" w:name="_Ref233679900"/>
      <w:bookmarkStart w:id="9" w:name="_Toc233788282"/>
      <w:r w:rsidRPr="007713DD">
        <w:lastRenderedPageBreak/>
        <w:t>Introduction</w:t>
      </w:r>
      <w:bookmarkEnd w:id="6"/>
      <w:bookmarkEnd w:id="7"/>
      <w:bookmarkEnd w:id="8"/>
      <w:bookmarkEnd w:id="9"/>
      <w:r w:rsidR="00655AD7" w:rsidRPr="007713DD">
        <w:t xml:space="preserve"> </w:t>
      </w:r>
    </w:p>
    <w:p w14:paraId="69700D19" w14:textId="64FA4D78" w:rsidR="00153057" w:rsidRDefault="00153057" w:rsidP="006A0D7C">
      <w:r w:rsidRPr="00153057">
        <w:t>Increased</w:t>
      </w:r>
      <w:r w:rsidRPr="00153057">
        <w:rPr>
          <w:rFonts w:ascii="Calibri" w:hAnsi="Calibri" w:cs="Calibri"/>
        </w:rPr>
        <w:t> </w:t>
      </w:r>
      <w:r w:rsidRPr="00153057">
        <w:t>electricity generation</w:t>
      </w:r>
      <w:r w:rsidRPr="00153057">
        <w:rPr>
          <w:rFonts w:ascii="Calibri" w:hAnsi="Calibri" w:cs="Calibri"/>
        </w:rPr>
        <w:t> </w:t>
      </w:r>
      <w:r w:rsidRPr="00153057">
        <w:t>from renewable sources, such as wind and solar, is considered a key part of the clean energy transition</w:t>
      </w:r>
      <w:r>
        <w:t xml:space="preserve">. </w:t>
      </w:r>
      <w:r w:rsidRPr="00153057">
        <w:t>However, unlike</w:t>
      </w:r>
      <w:r w:rsidRPr="00153057">
        <w:rPr>
          <w:rFonts w:ascii="Calibri" w:hAnsi="Calibri" w:cs="Calibri"/>
        </w:rPr>
        <w:t> </w:t>
      </w:r>
      <w:r w:rsidRPr="00153057">
        <w:t>fossil fuel</w:t>
      </w:r>
      <w:r w:rsidRPr="00153057">
        <w:rPr>
          <w:rFonts w:ascii="Calibri" w:hAnsi="Calibri" w:cs="Calibri"/>
        </w:rPr>
        <w:t> </w:t>
      </w:r>
      <w:r w:rsidRPr="00153057">
        <w:t>power plants, these renewable sources are intermittent and cannot generate electricity on request. Without effective management, the amount of intermittent</w:t>
      </w:r>
      <w:r w:rsidRPr="00153057">
        <w:rPr>
          <w:rFonts w:ascii="Calibri" w:hAnsi="Calibri" w:cs="Calibri"/>
        </w:rPr>
        <w:t> </w:t>
      </w:r>
      <w:r w:rsidRPr="00153057">
        <w:t>renewable generation</w:t>
      </w:r>
      <w:r w:rsidRPr="00153057">
        <w:rPr>
          <w:rFonts w:ascii="Calibri" w:hAnsi="Calibri" w:cs="Calibri"/>
        </w:rPr>
        <w:t> </w:t>
      </w:r>
      <w:r w:rsidRPr="00153057">
        <w:t>in a</w:t>
      </w:r>
      <w:r w:rsidRPr="00153057">
        <w:rPr>
          <w:rFonts w:ascii="Calibri" w:hAnsi="Calibri" w:cs="Calibri"/>
        </w:rPr>
        <w:t> </w:t>
      </w:r>
      <w:r w:rsidRPr="00153057">
        <w:t>power system</w:t>
      </w:r>
      <w:r w:rsidRPr="00153057">
        <w:rPr>
          <w:rFonts w:ascii="Calibri" w:hAnsi="Calibri" w:cs="Calibri"/>
        </w:rPr>
        <w:t> </w:t>
      </w:r>
      <w:r w:rsidRPr="00153057">
        <w:t xml:space="preserve">must be limited to ensure reliable </w:t>
      </w:r>
      <w:r w:rsidR="00DD21F0">
        <w:t>fulfilment</w:t>
      </w:r>
      <w:r w:rsidRPr="00153057">
        <w:t xml:space="preserve"> of electricity demand</w:t>
      </w:r>
      <w:r w:rsidR="006A0D7C">
        <w:rPr>
          <w:rFonts w:ascii="Calibri" w:hAnsi="Calibri" w:cs="Calibri"/>
        </w:rPr>
        <w:t xml:space="preserve"> </w:t>
      </w:r>
      <w:sdt>
        <w:sdtPr>
          <w:id w:val="184496799"/>
          <w:citation/>
        </w:sdtPr>
        <w:sdtEndPr/>
        <w:sdtContent>
          <w:r w:rsidR="005A17BF">
            <w:fldChar w:fldCharType="begin"/>
          </w:r>
          <w:r w:rsidR="005A17BF">
            <w:instrText xml:space="preserve"> CITATION Kam24 \l 3081 </w:instrText>
          </w:r>
          <w:r w:rsidR="005A17BF">
            <w:fldChar w:fldCharType="separate"/>
          </w:r>
          <w:r w:rsidR="00036C9A">
            <w:rPr>
              <w:noProof/>
            </w:rPr>
            <w:t>(Kamana-Williams &amp; Bishop, 2024)</w:t>
          </w:r>
          <w:r w:rsidR="005A17BF">
            <w:fldChar w:fldCharType="end"/>
          </w:r>
        </w:sdtContent>
      </w:sdt>
      <w:r w:rsidR="003228E7">
        <w:t>.</w:t>
      </w:r>
    </w:p>
    <w:p w14:paraId="25E48102" w14:textId="3F2AC9EF" w:rsidR="000D3FCD" w:rsidRDefault="000D3FCD" w:rsidP="006A0D7C">
      <w:r>
        <w:t xml:space="preserve">The Australian power network is currently undergoing one of its most significant engineering transformations since the Industrial Revolution. Historically, electricity was generated at a small number of large power stations and delivered to consumers via long-distance transmission systems. Now, the current trajectory is towards a decentralised power system that generates energy from numerous </w:t>
      </w:r>
      <w:r w:rsidR="006C641C">
        <w:t>Distributed Energy Resources (</w:t>
      </w:r>
      <w:r>
        <w:t>DER</w:t>
      </w:r>
      <w:r w:rsidR="006C641C">
        <w:t xml:space="preserve">), </w:t>
      </w:r>
      <w:r>
        <w:t xml:space="preserve">such as community batteries, utility-scale solar, home rooftop solar, batteries, and electric vehicles, located throughout the network. This transformation is being driven by the national transition to net zero emissions and the ongoing need for secure, reliable energy.  By 2050, almost half of Australia’s electricity supply is expected to come from millions of privately owned distributed generators.  A coordinated and well-planned approach is therefore essential to ensure energy security as these new sources are integrated into the system </w:t>
      </w:r>
      <w:sdt>
        <w:sdtPr>
          <w:id w:val="541873091"/>
          <w:citation/>
        </w:sdtPr>
        <w:sdtEndPr/>
        <w:sdtContent>
          <w:r>
            <w:fldChar w:fldCharType="begin"/>
          </w:r>
          <w:r>
            <w:instrText xml:space="preserve"> CITATION Har23 \l 3081  \m Rac23</w:instrText>
          </w:r>
          <w:r>
            <w:fldChar w:fldCharType="separate"/>
          </w:r>
          <w:r w:rsidR="00036C9A">
            <w:rPr>
              <w:noProof/>
            </w:rPr>
            <w:t>(Hargroves, et al., 2023; Race for 2030, 2023)</w:t>
          </w:r>
          <w:r>
            <w:fldChar w:fldCharType="end"/>
          </w:r>
        </w:sdtContent>
      </w:sdt>
      <w:r w:rsidR="003228E7">
        <w:t>.</w:t>
      </w:r>
    </w:p>
    <w:p w14:paraId="678BD498" w14:textId="6EFEE4D0" w:rsidR="00751CAB" w:rsidRDefault="000D3FCD" w:rsidP="00360948">
      <w:r w:rsidRPr="000D3FCD">
        <w:t>The past fifteen years have seen annual electricity demand in the NEM decline by approximately 18%, driven primarily by the uptake of behind-the-meter rooftop solar and improved energy efficiency across industries and households. This trend is now reversing. The</w:t>
      </w:r>
      <w:r w:rsidR="007713DD">
        <w:t xml:space="preserve"> </w:t>
      </w:r>
      <w:r w:rsidRPr="000D3FCD">
        <w:t>electrification of transport, industrial processes, and residential heating is projected to drive a significant net increase in electricity demand over the coming decades. The pace and scale of this increase will depend on the speed of electrification across sectors, but industrial and commercial loads are expected to account for the majority of NEM-supplied electricity well into the future</w:t>
      </w:r>
      <w:r>
        <w:t xml:space="preserve"> </w:t>
      </w:r>
      <w:sdt>
        <w:sdtPr>
          <w:id w:val="2004622379"/>
          <w:citation/>
        </w:sdtPr>
        <w:sdtEndPr/>
        <w:sdtContent>
          <w:r>
            <w:fldChar w:fldCharType="begin"/>
          </w:r>
          <w:r>
            <w:instrText xml:space="preserve"> CITATION AEM24 \l 3081  \m Wil23</w:instrText>
          </w:r>
          <w:r w:rsidR="00951F38">
            <w:instrText xml:space="preserve"> \m Ene25</w:instrText>
          </w:r>
          <w:r>
            <w:fldChar w:fldCharType="separate"/>
          </w:r>
          <w:r w:rsidR="00036C9A">
            <w:rPr>
              <w:noProof/>
            </w:rPr>
            <w:t>(AEMO, 2024; Williams, et al., 2023; Energy consumption - NSW State of the Environment Report, 2025)</w:t>
          </w:r>
          <w:r>
            <w:fldChar w:fldCharType="end"/>
          </w:r>
        </w:sdtContent>
      </w:sdt>
      <w:r w:rsidR="003228E7">
        <w:t>.</w:t>
      </w:r>
      <w:r>
        <w:t xml:space="preserve"> </w:t>
      </w:r>
    </w:p>
    <w:p w14:paraId="69035284" w14:textId="49BA5DC5" w:rsidR="000D3FCD" w:rsidRDefault="000D3FCD" w:rsidP="00360948">
      <w:r w:rsidRPr="000D3FCD">
        <w:t>As the electricity system transitions from centralised to decentralised</w:t>
      </w:r>
      <w:r>
        <w:t xml:space="preserve"> and as renewable generation introduces inherent variability in supply, the grid will experience periods of stress in which the balance between demand and supply approaches or exceeds</w:t>
      </w:r>
      <w:r w:rsidRPr="000D3FCD">
        <w:t xml:space="preserve"> the boundaries of system stability. Traditional grid management strategies, designed for a system dominated by dispatchable synchronous generation, are not adequate for this environment. DSM now plays a critical role in forecasting and balancing short-term energy needs</w:t>
      </w:r>
      <w:r>
        <w:t>,</w:t>
      </w:r>
      <w:r w:rsidRPr="000D3FCD">
        <w:t xml:space="preserve"> helping to maintain system stability by aligning demand with available supply, relieving local network congestion, and supporting frequency and voltage stability and overall power quality. Beyond system security, DSM</w:t>
      </w:r>
      <w:r w:rsidR="007713DD">
        <w:t>, in particular demand response,</w:t>
      </w:r>
      <w:r w:rsidRPr="000D3FCD">
        <w:t xml:space="preserve"> enables market-responsive behaviour: reducing load during high-price periods and increasing consumption to absorb surplus renewable generation that would otherwise be curtailed</w:t>
      </w:r>
      <w:r>
        <w:t xml:space="preserve"> </w:t>
      </w:r>
      <w:sdt>
        <w:sdtPr>
          <w:id w:val="-2088457545"/>
          <w:citation/>
        </w:sdtPr>
        <w:sdtEndPr/>
        <w:sdtContent>
          <w:r>
            <w:fldChar w:fldCharType="begin"/>
          </w:r>
          <w:r>
            <w:instrText xml:space="preserve"> CITATION AEM25 \l 3081  \m ARE251 \m CSI17 \m Rac23</w:instrText>
          </w:r>
          <w:r>
            <w:fldChar w:fldCharType="separate"/>
          </w:r>
          <w:r w:rsidR="00036C9A">
            <w:rPr>
              <w:noProof/>
            </w:rPr>
            <w:t>(AEMO, 2025; ARENA, 2025; CSIRO and Energy Network Australia, 2017; Race for 2030, 2023)</w:t>
          </w:r>
          <w:r>
            <w:fldChar w:fldCharType="end"/>
          </w:r>
        </w:sdtContent>
      </w:sdt>
      <w:r w:rsidR="003228E7">
        <w:t>.</w:t>
      </w:r>
    </w:p>
    <w:p w14:paraId="0D7194E9" w14:textId="77777777" w:rsidR="006671CF" w:rsidRPr="006671CF" w:rsidRDefault="006671CF" w:rsidP="006671CF"/>
    <w:p w14:paraId="603A9CD4" w14:textId="77777777" w:rsidR="006671CF" w:rsidRPr="006671CF" w:rsidRDefault="006671CF" w:rsidP="006671CF"/>
    <w:p w14:paraId="56098B8D" w14:textId="77777777" w:rsidR="006671CF" w:rsidRPr="006671CF" w:rsidRDefault="006671CF" w:rsidP="006671CF"/>
    <w:p w14:paraId="50398450" w14:textId="77777777" w:rsidR="006671CF" w:rsidRPr="006671CF" w:rsidRDefault="006671CF" w:rsidP="006671CF"/>
    <w:p w14:paraId="10CFA607" w14:textId="77777777" w:rsidR="006671CF" w:rsidRPr="006671CF" w:rsidRDefault="006671CF" w:rsidP="006671CF"/>
    <w:p w14:paraId="53EA2A13" w14:textId="77777777" w:rsidR="006671CF" w:rsidRDefault="006671CF" w:rsidP="006671CF"/>
    <w:p w14:paraId="5EEF25A4" w14:textId="2AF2F97B" w:rsidR="006671CF" w:rsidRPr="006671CF" w:rsidRDefault="006671CF" w:rsidP="006671CF">
      <w:pPr>
        <w:tabs>
          <w:tab w:val="left" w:pos="7526"/>
        </w:tabs>
      </w:pPr>
    </w:p>
    <w:p w14:paraId="1E16C99B" w14:textId="77777777" w:rsidR="000D3FCD" w:rsidRDefault="000D3FCD" w:rsidP="000D3FCD">
      <w:pPr>
        <w:keepNext/>
        <w:jc w:val="center"/>
      </w:pPr>
      <w:r w:rsidRPr="0006464A">
        <w:rPr>
          <w:noProof/>
        </w:rPr>
        <w:lastRenderedPageBreak/>
        <w:drawing>
          <wp:inline distT="0" distB="0" distL="0" distR="0" wp14:anchorId="59E0AD09" wp14:editId="12C92721">
            <wp:extent cx="4341360" cy="2743200"/>
            <wp:effectExtent l="0" t="0" r="2540" b="0"/>
            <wp:docPr id="1699110938" name="Content Placeholder 5">
              <a:extLst xmlns:a="http://schemas.openxmlformats.org/drawingml/2006/main">
                <a:ext uri="{FF2B5EF4-FFF2-40B4-BE49-F238E27FC236}">
                  <a16:creationId xmlns:a16="http://schemas.microsoft.com/office/drawing/2014/main" id="{C88B9AD9-9AE5-28FB-3161-7198C81DAA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99110938" name="Content Placeholder 5">
                      <a:extLst>
                        <a:ext uri="{FF2B5EF4-FFF2-40B4-BE49-F238E27FC236}">
                          <a16:creationId xmlns:a16="http://schemas.microsoft.com/office/drawing/2014/main" id="{C88B9AD9-9AE5-28FB-3161-7198C81DAA11}"/>
                        </a:ext>
                      </a:extLst>
                    </pic:cNvPr>
                    <pic:cNvPicPr>
                      <a:picLocks noGrp="1"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343588" cy="2744608"/>
                    </a:xfrm>
                    <a:prstGeom prst="rect">
                      <a:avLst/>
                    </a:prstGeom>
                  </pic:spPr>
                </pic:pic>
              </a:graphicData>
            </a:graphic>
          </wp:inline>
        </w:drawing>
      </w:r>
    </w:p>
    <w:p w14:paraId="136843D5" w14:textId="191BAB0C" w:rsidR="000D3FCD" w:rsidRDefault="000D3FCD" w:rsidP="000D3FCD">
      <w:pPr>
        <w:pStyle w:val="Caption"/>
      </w:pPr>
      <w:bookmarkStart w:id="10" w:name="_Ref231039270"/>
      <w:bookmarkStart w:id="11" w:name="_Toc233788339"/>
      <w:r w:rsidRPr="00BC2930">
        <w:t xml:space="preserve">Figure </w:t>
      </w:r>
      <w:fldSimple w:instr=" SEQ Figure \* ARABIC ">
        <w:r w:rsidR="00036C9A">
          <w:rPr>
            <w:noProof/>
          </w:rPr>
          <w:t>2</w:t>
        </w:r>
      </w:fldSimple>
      <w:bookmarkEnd w:id="10"/>
      <w:r w:rsidRPr="00BC2930">
        <w:t>:</w:t>
      </w:r>
      <w:r>
        <w:t xml:space="preserve"> Annual NEM electricity </w:t>
      </w:r>
      <w:r w:rsidR="00F32283">
        <w:t xml:space="preserve">generation </w:t>
      </w:r>
      <w:r>
        <w:t>2008-202</w:t>
      </w:r>
      <w:r w:rsidR="00F32283">
        <w:t>6</w:t>
      </w:r>
      <w:r>
        <w:t xml:space="preserve"> and forecast to 2050</w:t>
      </w:r>
      <w:r w:rsidR="00FB5ECD">
        <w:t xml:space="preserve"> </w:t>
      </w:r>
      <w:sdt>
        <w:sdtPr>
          <w:id w:val="188426599"/>
          <w:citation/>
        </w:sdtPr>
        <w:sdtEndPr/>
        <w:sdtContent>
          <w:r w:rsidR="00FB5ECD">
            <w:fldChar w:fldCharType="begin"/>
          </w:r>
          <w:r w:rsidR="00FB5ECD">
            <w:instrText xml:space="preserve"> CITATION AEM26 \l 3081 </w:instrText>
          </w:r>
          <w:r w:rsidR="00FB5ECD">
            <w:fldChar w:fldCharType="separate"/>
          </w:r>
          <w:r w:rsidR="00036C9A">
            <w:rPr>
              <w:noProof/>
            </w:rPr>
            <w:t>(AEMO, 2026)</w:t>
          </w:r>
          <w:r w:rsidR="00FB5ECD">
            <w:fldChar w:fldCharType="end"/>
          </w:r>
        </w:sdtContent>
      </w:sdt>
      <w:bookmarkEnd w:id="11"/>
    </w:p>
    <w:p w14:paraId="43D38EC1" w14:textId="665FA70C" w:rsidR="00316396" w:rsidRDefault="00BC2930" w:rsidP="00360948">
      <w:r>
        <w:fldChar w:fldCharType="begin"/>
      </w:r>
      <w:r>
        <w:instrText xml:space="preserve"> REF _Ref231039270 \h </w:instrText>
      </w:r>
      <w:r>
        <w:fldChar w:fldCharType="separate"/>
      </w:r>
      <w:r w:rsidR="00036C9A" w:rsidRPr="00BC2930">
        <w:t xml:space="preserve">Figure </w:t>
      </w:r>
      <w:r w:rsidR="00036C9A">
        <w:rPr>
          <w:noProof/>
        </w:rPr>
        <w:t>2</w:t>
      </w:r>
      <w:r>
        <w:fldChar w:fldCharType="end"/>
      </w:r>
      <w:r w:rsidR="002A31AF">
        <w:t xml:space="preserve"> from </w:t>
      </w:r>
      <w:r w:rsidR="00805BDF" w:rsidRPr="00805BDF">
        <w:t>AEMO's 202</w:t>
      </w:r>
      <w:r w:rsidR="00FB5ECD">
        <w:t>6</w:t>
      </w:r>
      <w:r w:rsidR="00805BDF" w:rsidRPr="00805BDF">
        <w:t xml:space="preserve"> Integrated System Plan projects that </w:t>
      </w:r>
      <w:r w:rsidR="008F22A0">
        <w:t xml:space="preserve">the total capacity </w:t>
      </w:r>
      <w:r w:rsidR="002A31AF">
        <w:t xml:space="preserve">will grow dramatically to nearly 300 GW by 2050. This growth is almost entirely driven by rooftop and </w:t>
      </w:r>
      <w:r w:rsidR="00FB5ECD">
        <w:t xml:space="preserve">small-scale </w:t>
      </w:r>
      <w:r w:rsidR="002A31AF">
        <w:t xml:space="preserve">solar, utility-scale solar, </w:t>
      </w:r>
      <w:r w:rsidR="00B426A4">
        <w:t xml:space="preserve">and </w:t>
      </w:r>
      <w:r w:rsidR="002A31AF">
        <w:t xml:space="preserve">onshore and offshore wind. </w:t>
      </w:r>
      <w:r w:rsidR="00B426A4">
        <w:t xml:space="preserve">It is important to note that this figure represents projected investment in each technology under the least-cost optimal development path, not the power actually delivered at any given time, as no technology produces power continuously due to weather conditions, outages, fuel availability, and other operational constraints. </w:t>
      </w:r>
      <w:r w:rsidR="002A31AF">
        <w:t xml:space="preserve">Figure </w:t>
      </w:r>
      <w:r w:rsidR="00B426A4">
        <w:t xml:space="preserve">2 </w:t>
      </w:r>
      <w:r w:rsidR="002A31AF">
        <w:t xml:space="preserve">also </w:t>
      </w:r>
      <w:r w:rsidR="00A0728B">
        <w:t>shows</w:t>
      </w:r>
      <w:r w:rsidR="002A31AF">
        <w:t xml:space="preserve"> </w:t>
      </w:r>
      <w:r w:rsidR="002A31AF" w:rsidRPr="002A31AF">
        <w:t>demand-side participation appear</w:t>
      </w:r>
      <w:r w:rsidR="00B426A4">
        <w:t>ing</w:t>
      </w:r>
      <w:r w:rsidR="002A31AF" w:rsidRPr="002A31AF">
        <w:t xml:space="preserve"> as a distinct category in the projected years. While </w:t>
      </w:r>
      <w:r w:rsidR="00B426A4">
        <w:t>it accounts for only 1% of the total capacity by 2050, small in absolute GW terms relative to the total,</w:t>
      </w:r>
      <w:r w:rsidR="002A31AF" w:rsidRPr="002A31AF">
        <w:t xml:space="preserve"> its presence as a formal capacity category in AEMO's planning framework is significant</w:t>
      </w:r>
      <w:r w:rsidR="00A0728B">
        <w:t xml:space="preserve">, </w:t>
      </w:r>
      <w:r w:rsidR="00A0728B" w:rsidRPr="00A0728B">
        <w:t>confirming that demand-side assets are expected to contribute as a recognised system resource rather than as passive consumers</w:t>
      </w:r>
      <w:r w:rsidR="002A31AF">
        <w:t>. Furthermore, c</w:t>
      </w:r>
      <w:r w:rsidR="002A31AF" w:rsidRPr="002A31AF">
        <w:t xml:space="preserve">oordinated and passive CER storage </w:t>
      </w:r>
      <w:r w:rsidR="00746C54">
        <w:t xml:space="preserve">also </w:t>
      </w:r>
      <w:r w:rsidR="002A31AF" w:rsidRPr="002A31AF">
        <w:t>appear as growing categories from the 2030s onward, reflecting the expectation that residential and small commercial assets will be progressively integrated into grid management</w:t>
      </w:r>
      <w:r w:rsidR="00746C54">
        <w:t>.</w:t>
      </w:r>
      <w:r w:rsidR="002A31AF">
        <w:t xml:space="preserve"> </w:t>
      </w:r>
      <w:r w:rsidR="00746C54">
        <w:t>H</w:t>
      </w:r>
      <w:r w:rsidR="002A31AF">
        <w:t>owever,</w:t>
      </w:r>
      <w:r w:rsidR="00836010">
        <w:t xml:space="preserve"> the comparative scale</w:t>
      </w:r>
      <w:r w:rsidR="002A31AF">
        <w:t xml:space="preserve"> </w:t>
      </w:r>
      <w:r w:rsidR="00836010">
        <w:t xml:space="preserve">of industrial loads, which are absent from this chart as a distinct named category, </w:t>
      </w:r>
      <w:r w:rsidR="00A0728B">
        <w:t>is</w:t>
      </w:r>
      <w:r w:rsidR="00836010">
        <w:t xml:space="preserve"> much greater to the commercial and residential assets, representing an underutilised and under-characterised resource that deserves equivalent recognition in system planning</w:t>
      </w:r>
      <w:r w:rsidR="00805BDF" w:rsidRPr="00805BDF">
        <w:t xml:space="preserve"> </w:t>
      </w:r>
      <w:sdt>
        <w:sdtPr>
          <w:id w:val="1971938843"/>
          <w:citation/>
        </w:sdtPr>
        <w:sdtEndPr/>
        <w:sdtContent>
          <w:r w:rsidR="00316396">
            <w:fldChar w:fldCharType="begin"/>
          </w:r>
          <w:r w:rsidR="0011162D">
            <w:instrText xml:space="preserve">CITATION ARE25 \m AEM24 \m AEM20 \m Con25 \m Wil23 \l 3081 </w:instrText>
          </w:r>
          <w:r w:rsidR="00746C54">
            <w:instrText xml:space="preserve"> \m AEM26</w:instrText>
          </w:r>
          <w:r w:rsidR="00316396">
            <w:fldChar w:fldCharType="separate"/>
          </w:r>
          <w:r w:rsidR="00036C9A">
            <w:rPr>
              <w:noProof/>
            </w:rPr>
            <w:t>(ARENA, 2025; AEMO, 2024; AEMO, 2020; Consumer Energy Resources sub-Working Group, 2025; Williams, et al., 2023; AEMO, 2026)</w:t>
          </w:r>
          <w:r w:rsidR="00316396">
            <w:fldChar w:fldCharType="end"/>
          </w:r>
        </w:sdtContent>
      </w:sdt>
      <w:r w:rsidR="003228E7">
        <w:t>.</w:t>
      </w:r>
    </w:p>
    <w:p w14:paraId="6C679F80" w14:textId="7735FE17" w:rsidR="0006464A" w:rsidRDefault="0006464A">
      <w:pPr>
        <w:spacing w:after="0" w:line="240" w:lineRule="auto"/>
      </w:pPr>
    </w:p>
    <w:p w14:paraId="07A0AEE7" w14:textId="77777777" w:rsidR="00805BDF" w:rsidRDefault="0006464A" w:rsidP="00805BDF">
      <w:pPr>
        <w:keepNext/>
        <w:spacing w:after="0" w:line="240" w:lineRule="auto"/>
        <w:jc w:val="center"/>
      </w:pPr>
      <w:r w:rsidRPr="0006464A">
        <w:rPr>
          <w:noProof/>
        </w:rPr>
        <w:drawing>
          <wp:inline distT="0" distB="0" distL="0" distR="0" wp14:anchorId="61C48A2C" wp14:editId="01EC0FC8">
            <wp:extent cx="4691640" cy="2333625"/>
            <wp:effectExtent l="0" t="0" r="0" b="0"/>
            <wp:docPr id="14" name="Content Placeholder 13">
              <a:extLst xmlns:a="http://schemas.openxmlformats.org/drawingml/2006/main">
                <a:ext uri="{FF2B5EF4-FFF2-40B4-BE49-F238E27FC236}">
                  <a16:creationId xmlns:a16="http://schemas.microsoft.com/office/drawing/2014/main" id="{7C70EDC9-AFD8-C0AB-4F5F-C61B4B28E48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Content Placeholder 13">
                      <a:extLst>
                        <a:ext uri="{FF2B5EF4-FFF2-40B4-BE49-F238E27FC236}">
                          <a16:creationId xmlns:a16="http://schemas.microsoft.com/office/drawing/2014/main" id="{7C70EDC9-AFD8-C0AB-4F5F-C61B4B28E485}"/>
                        </a:ext>
                      </a:extLst>
                    </pic:cNvPr>
                    <pic:cNvPicPr>
                      <a:picLocks noGrp="1" noChangeAspect="1"/>
                    </pic:cNvPicPr>
                  </pic:nvPicPr>
                  <pic:blipFill>
                    <a:blip r:embed="rId31">
                      <a:extLst>
                        <a:ext uri="{28A0092B-C50C-407E-A947-70E740481C1C}">
                          <a14:useLocalDpi xmlns:a14="http://schemas.microsoft.com/office/drawing/2010/main" val="0"/>
                        </a:ext>
                      </a:extLst>
                    </a:blip>
                    <a:srcRect t="4912" b="4912"/>
                    <a:stretch>
                      <a:fillRect/>
                    </a:stretch>
                  </pic:blipFill>
                  <pic:spPr bwMode="auto">
                    <a:xfrm>
                      <a:off x="0" y="0"/>
                      <a:ext cx="4696026" cy="2335807"/>
                    </a:xfrm>
                    <a:prstGeom prst="rect">
                      <a:avLst/>
                    </a:prstGeom>
                    <a:noFill/>
                    <a:ln>
                      <a:noFill/>
                    </a:ln>
                    <a:extLst>
                      <a:ext uri="{53640926-AAD7-44D8-BBD7-CCE9431645EC}">
                        <a14:shadowObscured xmlns:a14="http://schemas.microsoft.com/office/drawing/2010/main"/>
                      </a:ext>
                    </a:extLst>
                  </pic:spPr>
                </pic:pic>
              </a:graphicData>
            </a:graphic>
          </wp:inline>
        </w:drawing>
      </w:r>
    </w:p>
    <w:p w14:paraId="3A62927C" w14:textId="21CF8262" w:rsidR="00805BDF" w:rsidRDefault="00805BDF" w:rsidP="00805BDF">
      <w:pPr>
        <w:pStyle w:val="Caption"/>
      </w:pPr>
      <w:bookmarkStart w:id="12" w:name="_Ref230961266"/>
      <w:bookmarkStart w:id="13" w:name="_Toc233788340"/>
      <w:r>
        <w:t xml:space="preserve">Figure </w:t>
      </w:r>
      <w:fldSimple w:instr=" SEQ Figure \* ARABIC ">
        <w:r w:rsidR="00036C9A">
          <w:rPr>
            <w:noProof/>
          </w:rPr>
          <w:t>3</w:t>
        </w:r>
      </w:fldSimple>
      <w:bookmarkEnd w:id="12"/>
      <w:r>
        <w:t xml:space="preserve">: </w:t>
      </w:r>
      <w:r w:rsidRPr="00805BDF">
        <w:t>Projected NEM load growth by sector: industrial electrification vs. residential EV and electrification</w:t>
      </w:r>
      <w:r w:rsidR="00746C54">
        <w:t xml:space="preserve"> </w:t>
      </w:r>
      <w:sdt>
        <w:sdtPr>
          <w:id w:val="-1783025954"/>
          <w:citation/>
        </w:sdtPr>
        <w:sdtEndPr/>
        <w:sdtContent>
          <w:r w:rsidR="004B726D">
            <w:fldChar w:fldCharType="begin"/>
          </w:r>
          <w:r w:rsidR="004B726D">
            <w:instrText xml:space="preserve"> CITATION AEM26 \l 3081 </w:instrText>
          </w:r>
          <w:r w:rsidR="004B726D">
            <w:fldChar w:fldCharType="separate"/>
          </w:r>
          <w:r w:rsidR="00036C9A">
            <w:rPr>
              <w:noProof/>
            </w:rPr>
            <w:t>(AEMO, 2026)</w:t>
          </w:r>
          <w:r w:rsidR="004B726D">
            <w:fldChar w:fldCharType="end"/>
          </w:r>
        </w:sdtContent>
      </w:sdt>
      <w:bookmarkEnd w:id="13"/>
    </w:p>
    <w:p w14:paraId="54009662" w14:textId="77777777" w:rsidR="00BC2930" w:rsidRDefault="00BC2930" w:rsidP="00805BDF"/>
    <w:p w14:paraId="5B909EB7" w14:textId="77777777" w:rsidR="00BC2930" w:rsidRDefault="00BC2930" w:rsidP="00805BDF"/>
    <w:p w14:paraId="01CBAF60" w14:textId="084C6721" w:rsidR="00BC2930" w:rsidRDefault="00A0728B" w:rsidP="00805BDF">
      <w:r>
        <w:t>Where</w:t>
      </w:r>
      <w:r w:rsidR="00BC2930">
        <w:t xml:space="preserve"> </w:t>
      </w:r>
      <w:r w:rsidR="00BC2930">
        <w:fldChar w:fldCharType="begin"/>
      </w:r>
      <w:r w:rsidR="00BC2930">
        <w:instrText xml:space="preserve"> REF _Ref231039270 \h </w:instrText>
      </w:r>
      <w:r w:rsidR="00BC2930">
        <w:fldChar w:fldCharType="separate"/>
      </w:r>
      <w:r w:rsidR="00036C9A" w:rsidRPr="00BC2930">
        <w:t xml:space="preserve">Figure </w:t>
      </w:r>
      <w:r w:rsidR="00036C9A">
        <w:rPr>
          <w:noProof/>
        </w:rPr>
        <w:t>2</w:t>
      </w:r>
      <w:r w:rsidR="00BC2930">
        <w:fldChar w:fldCharType="end"/>
      </w:r>
      <w:r>
        <w:t xml:space="preserve"> illustrates the transformation of Australia’s generation capacity,</w:t>
      </w:r>
      <w:r w:rsidR="00BC2930">
        <w:t xml:space="preserve"> </w:t>
      </w:r>
      <w:r>
        <w:fldChar w:fldCharType="begin"/>
      </w:r>
      <w:r>
        <w:instrText xml:space="preserve"> REF _Ref230961266 \h </w:instrText>
      </w:r>
      <w:r>
        <w:fldChar w:fldCharType="separate"/>
      </w:r>
      <w:r w:rsidR="00036C9A">
        <w:t xml:space="preserve">Figure </w:t>
      </w:r>
      <w:r w:rsidR="00036C9A">
        <w:rPr>
          <w:noProof/>
        </w:rPr>
        <w:t>3</w:t>
      </w:r>
      <w:r>
        <w:fldChar w:fldCharType="end"/>
      </w:r>
      <w:r w:rsidR="00BC2930">
        <w:t xml:space="preserve"> </w:t>
      </w:r>
      <w:r>
        <w:t>presents the demand-side counterpart, showing projected annual electricity consumption in the NEM through to 2050, and split across business and industry, residential and offset categories.</w:t>
      </w:r>
      <w:r w:rsidR="00BC2930">
        <w:t xml:space="preserve"> </w:t>
      </w:r>
      <w:r w:rsidR="00191340" w:rsidRPr="00191340">
        <w:t>The figure makes clear that business and industrial consumption is projected to grow substantially and to dominate total NEM demand throughout the forecast period, far exceeding the residential sector in absolute terms.</w:t>
      </w:r>
      <w:r w:rsidR="00BC2930">
        <w:t xml:space="preserve"> </w:t>
      </w:r>
      <w:r w:rsidR="00BC2930" w:rsidRPr="00805BDF">
        <w:t>While improved energy efficiency and rooftop solar generation will partially offset this growth, industrial and commercial loads are still projected to account for the majority of NEM-supplied electricity for the foreseeable future. Understanding the nature and controllability of these loads is therefore a vital step in delivering a least-cost energy transition</w:t>
      </w:r>
      <w:r w:rsidR="00BC2930">
        <w:t xml:space="preserve"> and ensuring that the system services required for grid stability remain</w:t>
      </w:r>
      <w:r w:rsidR="00BC2930" w:rsidRPr="00805BDF">
        <w:t xml:space="preserve"> available as synchronous generation retires</w:t>
      </w:r>
      <w:sdt>
        <w:sdtPr>
          <w:id w:val="803280093"/>
          <w:citation/>
        </w:sdtPr>
        <w:sdtEndPr/>
        <w:sdtContent>
          <w:r w:rsidR="00BC2930">
            <w:fldChar w:fldCharType="begin"/>
          </w:r>
          <w:r w:rsidR="00BC2930">
            <w:instrText xml:space="preserve"> CITATION AEM24 \l 3081 </w:instrText>
          </w:r>
          <w:r w:rsidR="00BC2930">
            <w:fldChar w:fldCharType="separate"/>
          </w:r>
          <w:r w:rsidR="00036C9A">
            <w:rPr>
              <w:noProof/>
            </w:rPr>
            <w:t xml:space="preserve"> (AEMO, 2024)</w:t>
          </w:r>
          <w:r w:rsidR="00BC2930">
            <w:fldChar w:fldCharType="end"/>
          </w:r>
        </w:sdtContent>
      </w:sdt>
      <w:r w:rsidR="00BC2930">
        <w:t xml:space="preserve">. </w:t>
      </w:r>
    </w:p>
    <w:p w14:paraId="7E8C9745" w14:textId="40E9CCF3" w:rsidR="00805BDF" w:rsidRDefault="00254AEB" w:rsidP="00805BDF">
      <w:r w:rsidRPr="00254AEB">
        <w:t xml:space="preserve">Despite their scale and significance, industrial loads have received comparatively little structured attention as candidates for demand response. Most load management and DR programs have been designed and implemented for residential and small commercial consumers, and industrial energy users are </w:t>
      </w:r>
      <w:r>
        <w:t>often</w:t>
      </w:r>
      <w:r w:rsidRPr="00254AEB">
        <w:t xml:space="preserve"> regarded as too operationally complex, too commercially reluctant, or too diverse to engage practically. Real-world evidence has begun to challenge these assumptions. An ARENA-AEMO trial conducted over three years demonstrated that more than 200 MW of controllable load could be sourced from </w:t>
      </w:r>
      <w:r>
        <w:t xml:space="preserve">small- to medium-sized industrial facilities, exceeding the </w:t>
      </w:r>
      <w:r w:rsidRPr="00254AEB">
        <w:t>equivalent results from residential programs</w:t>
      </w:r>
      <w:sdt>
        <w:sdtPr>
          <w:id w:val="-1637400684"/>
          <w:citation/>
        </w:sdtPr>
        <w:sdtEndPr/>
        <w:sdtContent>
          <w:r w:rsidR="00BC2930">
            <w:fldChar w:fldCharType="begin"/>
          </w:r>
          <w:r w:rsidR="00BC2930">
            <w:instrText xml:space="preserve"> CITATION ARE25 \l 3081 </w:instrText>
          </w:r>
          <w:r w:rsidR="00BC2930">
            <w:fldChar w:fldCharType="separate"/>
          </w:r>
          <w:r w:rsidR="00036C9A">
            <w:rPr>
              <w:noProof/>
            </w:rPr>
            <w:t xml:space="preserve"> (ARENA, 2025)</w:t>
          </w:r>
          <w:r w:rsidR="00BC2930">
            <w:fldChar w:fldCharType="end"/>
          </w:r>
        </w:sdtContent>
      </w:sdt>
      <w:r>
        <w:t xml:space="preserve">. </w:t>
      </w:r>
      <w:r w:rsidR="000656E0" w:rsidRPr="000656E0">
        <w:t xml:space="preserve">For the purposes of this study, mid-sized industrial loads were defined as those with an annual energy demand not exceeding 100,000 MWh, </w:t>
      </w:r>
      <w:r w:rsidR="000656E0">
        <w:t>thereby distinguishing them from the large energy-user</w:t>
      </w:r>
      <w:r w:rsidR="000656E0" w:rsidRPr="000656E0">
        <w:t xml:space="preserve"> tier typically engaged through existing bespoke DR arrangements</w:t>
      </w:r>
      <w:r w:rsidR="000656E0">
        <w:t xml:space="preserve">. </w:t>
      </w:r>
      <w:r w:rsidRPr="00254AEB">
        <w:t>This potential remains largely untapped, not because industrial loads are technically incapable of responding, but because the organisational, informational and structural barriers that prevent participation are compounded by the absence of a consistent, standardised framework that would make industrial DR accessible, measurable and reliable at scale</w:t>
      </w:r>
      <w:r>
        <w:t xml:space="preserve"> </w:t>
      </w:r>
      <w:sdt>
        <w:sdtPr>
          <w:id w:val="-1494786930"/>
          <w:citation/>
        </w:sdtPr>
        <w:sdtEndPr/>
        <w:sdtContent>
          <w:r>
            <w:fldChar w:fldCharType="begin"/>
          </w:r>
          <w:r>
            <w:instrText xml:space="preserve"> CITATION Sch24 \l 3081  \m Ran24</w:instrText>
          </w:r>
          <w:r>
            <w:fldChar w:fldCharType="separate"/>
          </w:r>
          <w:r w:rsidR="00036C9A">
            <w:rPr>
              <w:noProof/>
            </w:rPr>
            <w:t>(Scharnhorst, et al., 2024; Ranaboldo, et al., 2024)</w:t>
          </w:r>
          <w:r>
            <w:fldChar w:fldCharType="end"/>
          </w:r>
        </w:sdtContent>
      </w:sdt>
      <w:r w:rsidR="006C641C">
        <w:t>.</w:t>
      </w:r>
    </w:p>
    <w:p w14:paraId="72943C9B" w14:textId="6762CD65" w:rsidR="00805BDF" w:rsidRDefault="00805BDF" w:rsidP="00805BDF">
      <w:r>
        <w:t xml:space="preserve">This project is designed to address that gap directly. Conducted under the Australian Research in Power System Transformation (AR-PST) Stage 5 program, Topic 6: Essential System Services, </w:t>
      </w:r>
      <w:r w:rsidR="00254AEB">
        <w:t>this study investigates the potential for existing mid-sized industrial companies in the Hunter Valley region of New South Wales to participate in demand response and provide system services to</w:t>
      </w:r>
      <w:r>
        <w:t xml:space="preserve"> the NEM. Through direct engagement with </w:t>
      </w:r>
      <w:r w:rsidR="00AE17B5">
        <w:t>22</w:t>
      </w:r>
      <w:r>
        <w:t xml:space="preserve"> industrial participants spanning multiple sectors, the research develops a taxonomy of industrial load types and their inherent flexibility, a classification framework assessing barriers and capability factors, and a set of findings intended to inform power system planners, market operators, regulators, and future researchers </w:t>
      </w:r>
      <w:sdt>
        <w:sdtPr>
          <w:id w:val="-932204076"/>
          <w:citation/>
        </w:sdtPr>
        <w:sdtEndPr/>
        <w:sdtContent>
          <w:r>
            <w:fldChar w:fldCharType="begin"/>
          </w:r>
          <w:r>
            <w:instrText xml:space="preserve"> CITATION RMI21 \l 3081  \m Har23</w:instrText>
          </w:r>
          <w:r>
            <w:fldChar w:fldCharType="separate"/>
          </w:r>
          <w:r w:rsidR="00036C9A">
            <w:rPr>
              <w:noProof/>
            </w:rPr>
            <w:t>(RMIT University, 2021; Hargroves, et al., 2023)</w:t>
          </w:r>
          <w:r>
            <w:fldChar w:fldCharType="end"/>
          </w:r>
        </w:sdtContent>
      </w:sdt>
      <w:r w:rsidR="006C641C">
        <w:t>.</w:t>
      </w:r>
    </w:p>
    <w:p w14:paraId="3910612C" w14:textId="7D45EE22" w:rsidR="00254AEB" w:rsidRDefault="00254AEB" w:rsidP="00805BDF">
      <w:r w:rsidRPr="00254AEB">
        <w:t>The engineering challenge ahead is not solely one of supply-side planning. Effectively integrating renewable generation into a reliable and stable grid requires a parallel investment in the digital and regulatory infrastructure that enables real-time coordination between supply and demand. This includes the metering, telemetry and data management capability needed to identify, commit and verify demand-side response at the equipment level</w:t>
      </w:r>
      <w:r>
        <w:t xml:space="preserve"> </w:t>
      </w:r>
      <w:sdt>
        <w:sdtPr>
          <w:id w:val="-1433671848"/>
          <w:citation/>
        </w:sdtPr>
        <w:sdtEndPr/>
        <w:sdtContent>
          <w:r w:rsidR="00AE376F">
            <w:fldChar w:fldCharType="begin"/>
          </w:r>
          <w:r w:rsidR="00AE376F">
            <w:instrText xml:space="preserve"> CITATION Zha25 \l 3081  \m Rac23 \m Wil23</w:instrText>
          </w:r>
          <w:r w:rsidR="00AE376F">
            <w:fldChar w:fldCharType="separate"/>
          </w:r>
          <w:r w:rsidR="00036C9A">
            <w:rPr>
              <w:noProof/>
            </w:rPr>
            <w:t>(Zhang, et al., 2025; Race for 2030, 2023; Williams, et al., 2023)</w:t>
          </w:r>
          <w:r w:rsidR="00AE376F">
            <w:fldChar w:fldCharType="end"/>
          </w:r>
        </w:sdtContent>
      </w:sdt>
      <w:r w:rsidR="006C641C">
        <w:t>.</w:t>
      </w:r>
    </w:p>
    <w:p w14:paraId="1C1E6C7B" w14:textId="5DC6995B" w:rsidR="00E2727A" w:rsidRDefault="00254AEB" w:rsidP="006C641C">
      <w:r w:rsidRPr="00254AEB">
        <w:t>In this context, one of the most significant findings of this study is that 88% of participating companies had no submetering or equipment-level energy data. This is not a peripheral limitation of the research. It reflects a structural gap between the infrastructure that currently exists across mid-sized Australian industry and the infrastructure that meaningful industrial DR participation requires.</w:t>
      </w:r>
      <w:r w:rsidR="00E2727A">
        <w:br w:type="page"/>
      </w:r>
    </w:p>
    <w:p w14:paraId="5A51144B" w14:textId="3286B262" w:rsidR="00C57C82" w:rsidRPr="00CE1E3F" w:rsidRDefault="00F8171E" w:rsidP="00C57C82">
      <w:pPr>
        <w:pStyle w:val="Heading1"/>
      </w:pPr>
      <w:bookmarkStart w:id="14" w:name="_Toc233788283"/>
      <w:r w:rsidRPr="00CE1E3F">
        <w:lastRenderedPageBreak/>
        <w:t>Research</w:t>
      </w:r>
      <w:bookmarkEnd w:id="14"/>
      <w:r w:rsidR="004D5E13" w:rsidRPr="00CE1E3F">
        <w:t xml:space="preserve"> </w:t>
      </w:r>
    </w:p>
    <w:p w14:paraId="37F46AEE" w14:textId="03F6E225" w:rsidR="00312BA0" w:rsidRDefault="001E3650" w:rsidP="00360948">
      <w:pPr>
        <w:rPr>
          <w:rStyle w:val="normaltextrun"/>
          <w:rFonts w:cstheme="minorHAnsi"/>
          <w:szCs w:val="19"/>
          <w:lang w:val="en-GB"/>
        </w:rPr>
      </w:pPr>
      <w:bookmarkStart w:id="15" w:name="_Hlk216950153"/>
      <w:bookmarkStart w:id="16" w:name="_Hlk216948885"/>
      <w:r>
        <w:rPr>
          <w:rStyle w:val="normaltextrun"/>
          <w:rFonts w:cstheme="minorHAnsi"/>
          <w:szCs w:val="19"/>
          <w:lang w:val="en-GB"/>
        </w:rPr>
        <w:t>Industrial loads</w:t>
      </w:r>
      <w:r w:rsidR="00312BA0">
        <w:rPr>
          <w:rStyle w:val="normaltextrun"/>
          <w:rFonts w:cstheme="minorHAnsi"/>
          <w:szCs w:val="19"/>
          <w:lang w:val="en-GB"/>
        </w:rPr>
        <w:t xml:space="preserve"> can provide system services, such as voltage and frequency stability, to the power grid through various load management strategies.</w:t>
      </w:r>
      <w:r>
        <w:rPr>
          <w:rStyle w:val="normaltextrun"/>
          <w:rFonts w:cstheme="minorHAnsi"/>
          <w:szCs w:val="19"/>
          <w:lang w:val="en-GB"/>
        </w:rPr>
        <w:t xml:space="preserve"> </w:t>
      </w:r>
      <w:r w:rsidR="0048218E">
        <w:rPr>
          <w:rStyle w:val="normaltextrun"/>
          <w:rFonts w:cstheme="minorHAnsi"/>
          <w:szCs w:val="19"/>
          <w:lang w:val="en-GB"/>
        </w:rPr>
        <w:t>These strategies also benefit the company by flattening its energy profile through shifting consumption</w:t>
      </w:r>
      <w:r w:rsidR="00D973C3">
        <w:rPr>
          <w:rStyle w:val="normaltextrun"/>
          <w:rFonts w:cstheme="minorHAnsi"/>
          <w:szCs w:val="19"/>
          <w:lang w:val="en-GB"/>
        </w:rPr>
        <w:t xml:space="preserve"> </w:t>
      </w:r>
      <w:r w:rsidR="0048218E">
        <w:rPr>
          <w:rStyle w:val="normaltextrun"/>
          <w:rFonts w:cstheme="minorHAnsi"/>
          <w:szCs w:val="19"/>
          <w:lang w:val="en-GB"/>
        </w:rPr>
        <w:t xml:space="preserve">and thereby avoiding peak demand penalties. </w:t>
      </w:r>
      <w:r w:rsidR="00E645A3">
        <w:rPr>
          <w:rStyle w:val="normaltextrun"/>
          <w:rFonts w:cstheme="minorHAnsi"/>
          <w:szCs w:val="19"/>
          <w:lang w:val="en-GB"/>
        </w:rPr>
        <w:t>By avoiding, delaying or advancing planned consumption, such as shifting load utilisation time, the end-consumer can provide the supply side a valuable and cost-effective alternative to increas</w:t>
      </w:r>
      <w:r w:rsidR="00E6623F">
        <w:rPr>
          <w:rStyle w:val="normaltextrun"/>
          <w:rFonts w:cstheme="minorHAnsi"/>
          <w:szCs w:val="19"/>
          <w:lang w:val="en-GB"/>
        </w:rPr>
        <w:t>ing</w:t>
      </w:r>
      <w:r w:rsidR="00E645A3">
        <w:rPr>
          <w:rStyle w:val="normaltextrun"/>
          <w:rFonts w:cstheme="minorHAnsi"/>
          <w:szCs w:val="19"/>
          <w:lang w:val="en-GB"/>
        </w:rPr>
        <w:t xml:space="preserve"> or decreas</w:t>
      </w:r>
      <w:r w:rsidR="00E6623F">
        <w:rPr>
          <w:rStyle w:val="normaltextrun"/>
          <w:rFonts w:cstheme="minorHAnsi"/>
          <w:szCs w:val="19"/>
          <w:lang w:val="en-GB"/>
        </w:rPr>
        <w:t>ing</w:t>
      </w:r>
      <w:r w:rsidR="00E645A3">
        <w:rPr>
          <w:rStyle w:val="normaltextrun"/>
          <w:rFonts w:cstheme="minorHAnsi"/>
          <w:szCs w:val="19"/>
          <w:lang w:val="en-GB"/>
        </w:rPr>
        <w:t xml:space="preserve"> </w:t>
      </w:r>
      <w:r w:rsidR="00EE1CE4">
        <w:rPr>
          <w:rStyle w:val="normaltextrun"/>
          <w:rFonts w:cstheme="minorHAnsi"/>
          <w:szCs w:val="19"/>
          <w:lang w:val="en-GB"/>
        </w:rPr>
        <w:t>electricity production.</w:t>
      </w:r>
      <w:r w:rsidR="00D973C3">
        <w:rPr>
          <w:rStyle w:val="normaltextrun"/>
          <w:rFonts w:cstheme="minorHAnsi"/>
          <w:szCs w:val="19"/>
          <w:lang w:val="en-GB"/>
        </w:rPr>
        <w:t xml:space="preserve"> The below sections discuss state-of-the-art in such methodologies. </w:t>
      </w:r>
    </w:p>
    <w:p w14:paraId="527B1AC4" w14:textId="77777777" w:rsidR="00DF3798" w:rsidRDefault="00DF3798" w:rsidP="00DF3798">
      <w:pPr>
        <w:pStyle w:val="Heading2"/>
      </w:pPr>
      <w:bookmarkStart w:id="17" w:name="_Toc233788284"/>
      <w:bookmarkEnd w:id="15"/>
      <w:bookmarkEnd w:id="16"/>
      <w:r w:rsidRPr="00477B5A">
        <w:t>Literature Review</w:t>
      </w:r>
      <w:bookmarkEnd w:id="17"/>
    </w:p>
    <w:p w14:paraId="5714F26E" w14:textId="44005511" w:rsidR="00DB7793" w:rsidRPr="0048218E" w:rsidRDefault="00DB7793" w:rsidP="00DB7793">
      <w:pPr>
        <w:pStyle w:val="Heading3"/>
      </w:pPr>
      <w:bookmarkStart w:id="18" w:name="_Toc233788285"/>
      <w:bookmarkStart w:id="19" w:name="_Toc217028628"/>
      <w:r w:rsidRPr="0048218E">
        <w:t>System Services</w:t>
      </w:r>
      <w:bookmarkEnd w:id="18"/>
    </w:p>
    <w:p w14:paraId="1F86E6A9" w14:textId="7C235A0C" w:rsidR="00236D66" w:rsidRDefault="00236D66" w:rsidP="00236D66">
      <w:r>
        <w:t>System services, also referred to as ancillary services, are the range of technical capabilities that electricity networks require to maintain safe and reliable operation beyond the simple balance of supply and demand. In the National Electricity Market, these include frequency control ancillary services (FCAS), inertia</w:t>
      </w:r>
      <w:r w:rsidR="000656E0">
        <w:t xml:space="preserve"> (rate of change of frequency), system strength</w:t>
      </w:r>
      <w:r>
        <w:t xml:space="preserve">, voltage support, and system restart capability. Historically, these services were provided as a by-product of large synchronous generators: coal, gas, and hydro power </w:t>
      </w:r>
      <w:r w:rsidR="0048218E">
        <w:t>plants</w:t>
      </w:r>
      <w:r>
        <w:t>, which inherently contributed inertia, voltage regulation,</w:t>
      </w:r>
      <w:r w:rsidR="000656E0">
        <w:t xml:space="preserve"> system strength,</w:t>
      </w:r>
      <w:r>
        <w:t xml:space="preserve"> and frequency response simply by being connected to the grid and operating.</w:t>
      </w:r>
    </w:p>
    <w:p w14:paraId="154B9F4A" w14:textId="05490745" w:rsidR="00236D66" w:rsidRDefault="00236D66" w:rsidP="00236D66">
      <w:r>
        <w:t xml:space="preserve">The progressive retirement of coal-fired generation and the rapid expansion of non-synchronous renewable sources are fundamentally altering the system services landscape. AEMO's Integrated System Plan projects that by 2050, close to half of Australia's electricity supply will come from distributed </w:t>
      </w:r>
      <w:r w:rsidR="005728AB">
        <w:t xml:space="preserve">renewable </w:t>
      </w:r>
      <w:r>
        <w:t>generators, creating an urgent need to identify and develop new sources of system services from the demand side of the market</w:t>
      </w:r>
      <w:sdt>
        <w:sdtPr>
          <w:id w:val="-1473050917"/>
          <w:citation/>
        </w:sdtPr>
        <w:sdtEndPr/>
        <w:sdtContent>
          <w:r>
            <w:fldChar w:fldCharType="begin"/>
          </w:r>
          <w:r>
            <w:instrText xml:space="preserve"> CITATION AEM24 \l 3081 </w:instrText>
          </w:r>
          <w:r>
            <w:fldChar w:fldCharType="separate"/>
          </w:r>
          <w:r w:rsidR="00036C9A">
            <w:rPr>
              <w:noProof/>
            </w:rPr>
            <w:t xml:space="preserve"> (AEMO, 2024)</w:t>
          </w:r>
          <w:r>
            <w:fldChar w:fldCharType="end"/>
          </w:r>
        </w:sdtContent>
      </w:sdt>
      <w:r w:rsidR="005242E6">
        <w:t>.</w:t>
      </w:r>
    </w:p>
    <w:p w14:paraId="1066196E" w14:textId="3B3F4681" w:rsidR="00236D66" w:rsidRPr="00236D66" w:rsidRDefault="00236D66" w:rsidP="00236D66">
      <w:r>
        <w:t>Despite this, demand-side assets have historically provided a negligible fraction of the system services capacity in the NEM. This gap between the theoretical potential of demand-side resources and their actual commercial participation has been consistently noted in the literature. Golmohamadi</w:t>
      </w:r>
      <w:r w:rsidR="005728AB">
        <w:t>’s international review of heavy industries</w:t>
      </w:r>
      <w:r>
        <w:t xml:space="preserve"> identifies industrial loads as carrying adjustable potential exceeding 25% of their total energy consumption, </w:t>
      </w:r>
      <w:r w:rsidR="005728AB">
        <w:t xml:space="preserve">drawing primarily on case studies from cement, aluminium smelting, and oil refining. While this figure is from </w:t>
      </w:r>
      <w:r w:rsidR="00B60766">
        <w:t>an international case study, it</w:t>
      </w:r>
      <w:r w:rsidR="005728AB">
        <w:t xml:space="preserve"> indicates </w:t>
      </w:r>
      <w:r>
        <w:t xml:space="preserve">a substantial reserve that remains largely untapped due to structural, commercial, and technical barriers. The challenge of realising this potential, rather than its existence, is the central problem this study addresses </w:t>
      </w:r>
      <w:sdt>
        <w:sdtPr>
          <w:id w:val="-1091312928"/>
          <w:citation/>
        </w:sdtPr>
        <w:sdtEndPr/>
        <w:sdtContent>
          <w:r>
            <w:fldChar w:fldCharType="begin"/>
          </w:r>
          <w:r>
            <w:instrText xml:space="preserve"> CITATION Gol22 \l 3081 </w:instrText>
          </w:r>
          <w:r>
            <w:fldChar w:fldCharType="separate"/>
          </w:r>
          <w:r w:rsidR="00036C9A">
            <w:rPr>
              <w:noProof/>
            </w:rPr>
            <w:t>(Golmohamadi, 2022)</w:t>
          </w:r>
          <w:r>
            <w:fldChar w:fldCharType="end"/>
          </w:r>
        </w:sdtContent>
      </w:sdt>
      <w:r w:rsidR="005242E6">
        <w:t>.</w:t>
      </w:r>
    </w:p>
    <w:p w14:paraId="7410A3F7" w14:textId="77777777" w:rsidR="00E645A3" w:rsidRPr="0048218E" w:rsidRDefault="00E645A3" w:rsidP="00E645A3">
      <w:pPr>
        <w:pStyle w:val="Heading3"/>
      </w:pPr>
      <w:bookmarkStart w:id="20" w:name="_Toc233788286"/>
      <w:r w:rsidRPr="0048218E">
        <w:t>Load Management</w:t>
      </w:r>
      <w:bookmarkEnd w:id="20"/>
    </w:p>
    <w:p w14:paraId="3D6F219C" w14:textId="1D50CB79" w:rsidR="00E645A3" w:rsidRDefault="00E645A3" w:rsidP="00E645A3">
      <w:r w:rsidRPr="00360948">
        <w:t>Load Management</w:t>
      </w:r>
      <w:r w:rsidR="0030133B">
        <w:t xml:space="preserve"> (LM)</w:t>
      </w:r>
      <w:r w:rsidRPr="00360948">
        <w:t xml:space="preserve"> </w:t>
      </w:r>
      <w:r w:rsidR="00236D66">
        <w:t>refers to</w:t>
      </w:r>
      <w:r w:rsidRPr="00360948">
        <w:t xml:space="preserve"> the practice of </w:t>
      </w:r>
      <w:r w:rsidR="00236D66">
        <w:t>deliberately</w:t>
      </w:r>
      <w:r w:rsidRPr="00360948">
        <w:t xml:space="preserve"> adjusting, increasing or decreasing the electrical energy consumption </w:t>
      </w:r>
      <w:r w:rsidR="00236D66" w:rsidRPr="00236D66">
        <w:t>by end users, typically in response to price signals, system operator instructions, or automated control mechanisms</w:t>
      </w:r>
      <w:r w:rsidR="00236D66">
        <w:t>. Load management requires</w:t>
      </w:r>
      <w:r w:rsidRPr="00360948">
        <w:t xml:space="preserve"> actions to manage the load at all times. Industrial loads with </w:t>
      </w:r>
      <w:r w:rsidR="00B33EEC" w:rsidRPr="00360948">
        <w:t>highly stable and predictable patterns pose a low risk to the electrical distribution network</w:t>
      </w:r>
      <w:r w:rsidRPr="00360948">
        <w:t xml:space="preserve">. On the other hand, companies with </w:t>
      </w:r>
      <w:r w:rsidR="00B33EEC" w:rsidRPr="00360948">
        <w:t>highly unpredictable load profiles and large peaks in demand require both a higher and more costly</w:t>
      </w:r>
      <w:r w:rsidRPr="00360948">
        <w:t xml:space="preserve"> level of flexibility </w:t>
      </w:r>
      <w:r w:rsidR="00B33EEC" w:rsidRPr="00360948">
        <w:t>in</w:t>
      </w:r>
      <w:r w:rsidRPr="00360948">
        <w:t xml:space="preserve"> the distribution network</w:t>
      </w:r>
      <w:r>
        <w:t xml:space="preserve"> </w:t>
      </w:r>
      <w:sdt>
        <w:sdtPr>
          <w:id w:val="2096517255"/>
          <w:citation/>
        </w:sdtPr>
        <w:sdtEndPr/>
        <w:sdtContent>
          <w:r>
            <w:fldChar w:fldCharType="begin"/>
          </w:r>
          <w:r>
            <w:instrText xml:space="preserve"> CITATION Cap16 \l 3081 </w:instrText>
          </w:r>
          <w:r>
            <w:fldChar w:fldCharType="separate"/>
          </w:r>
          <w:r w:rsidR="00036C9A">
            <w:rPr>
              <w:noProof/>
            </w:rPr>
            <w:t>(Capiau &amp; Van Daele, 2016)</w:t>
          </w:r>
          <w:r>
            <w:fldChar w:fldCharType="end"/>
          </w:r>
        </w:sdtContent>
      </w:sdt>
      <w:r w:rsidR="005242E6">
        <w:t>.</w:t>
      </w:r>
    </w:p>
    <w:p w14:paraId="1EF28F32" w14:textId="7A116FED" w:rsidR="0074384C" w:rsidRDefault="0074384C" w:rsidP="0074384C">
      <w:pPr>
        <w:pStyle w:val="Heading4"/>
      </w:pPr>
      <w:bookmarkStart w:id="21" w:name="_Ref233678932"/>
      <w:r>
        <w:t>Types of Load Management &amp; Flexibility Production</w:t>
      </w:r>
      <w:bookmarkEnd w:id="21"/>
    </w:p>
    <w:p w14:paraId="4E09A45F" w14:textId="3F0BA345" w:rsidR="0074384C" w:rsidRPr="0074384C" w:rsidRDefault="0074384C" w:rsidP="00360948">
      <w:r w:rsidRPr="0074384C">
        <w:t xml:space="preserve">Understanding the characteristics of an industrial production process is essential when assessing </w:t>
      </w:r>
      <w:r w:rsidR="0030133B">
        <w:t>LM</w:t>
      </w:r>
      <w:r w:rsidRPr="0074384C">
        <w:t xml:space="preserve"> or </w:t>
      </w:r>
      <w:r w:rsidR="0030133B">
        <w:t>DSM</w:t>
      </w:r>
      <w:r w:rsidRPr="0074384C">
        <w:t xml:space="preserve"> potential. The operational boundaries of each process largely determine how much flexibility can realistically be provided. Several key parameters should be evaluated:</w:t>
      </w:r>
    </w:p>
    <w:p w14:paraId="62F3A10F" w14:textId="4809DF14" w:rsidR="0074384C" w:rsidRPr="0074384C" w:rsidRDefault="0074384C" w:rsidP="0074384C">
      <w:pPr>
        <w:numPr>
          <w:ilvl w:val="0"/>
          <w:numId w:val="26"/>
        </w:numPr>
      </w:pPr>
      <w:r w:rsidRPr="0074384C">
        <w:rPr>
          <w:b/>
          <w:bCs/>
        </w:rPr>
        <w:t>Marginal cost of activation</w:t>
      </w:r>
      <w:r w:rsidR="0061788E">
        <w:rPr>
          <w:b/>
          <w:bCs/>
        </w:rPr>
        <w:t xml:space="preserve"> </w:t>
      </w:r>
      <w:r w:rsidR="0061788E" w:rsidRPr="0061788E">
        <w:t>– particularly where flexibility actions affect production output</w:t>
      </w:r>
      <w:r w:rsidR="0061788E">
        <w:rPr>
          <w:b/>
          <w:bCs/>
        </w:rPr>
        <w:t>;</w:t>
      </w:r>
    </w:p>
    <w:p w14:paraId="3776A068" w14:textId="5197945F" w:rsidR="0074384C" w:rsidRPr="0074384C" w:rsidRDefault="0074384C" w:rsidP="0074384C">
      <w:pPr>
        <w:numPr>
          <w:ilvl w:val="0"/>
          <w:numId w:val="26"/>
        </w:numPr>
      </w:pPr>
      <w:r w:rsidRPr="0074384C">
        <w:rPr>
          <w:b/>
          <w:bCs/>
        </w:rPr>
        <w:t>Storage or buffer capacity</w:t>
      </w:r>
      <w:r w:rsidR="0061788E">
        <w:t xml:space="preserve"> – which allows operations to be shifted in time with minimal production impact</w:t>
      </w:r>
      <w:r w:rsidR="0061788E">
        <w:rPr>
          <w:b/>
          <w:bCs/>
        </w:rPr>
        <w:t>;</w:t>
      </w:r>
      <w:r w:rsidRPr="0074384C">
        <w:t xml:space="preserve"> </w:t>
      </w:r>
    </w:p>
    <w:p w14:paraId="5CF47518" w14:textId="41EA471B" w:rsidR="0074384C" w:rsidRPr="0074384C" w:rsidRDefault="0074384C" w:rsidP="0074384C">
      <w:pPr>
        <w:numPr>
          <w:ilvl w:val="0"/>
          <w:numId w:val="26"/>
        </w:numPr>
      </w:pPr>
      <w:r w:rsidRPr="0074384C">
        <w:rPr>
          <w:b/>
          <w:bCs/>
        </w:rPr>
        <w:t>Reaction time</w:t>
      </w:r>
      <w:r w:rsidR="0061788E">
        <w:rPr>
          <w:b/>
          <w:bCs/>
        </w:rPr>
        <w:t xml:space="preserve"> </w:t>
      </w:r>
      <w:r w:rsidR="0061788E">
        <w:t>– t</w:t>
      </w:r>
      <w:r w:rsidR="0061788E" w:rsidRPr="0061788E">
        <w:t>he speed at which a process can ramp up or down following a control signal</w:t>
      </w:r>
      <w:r w:rsidR="0061788E">
        <w:rPr>
          <w:b/>
          <w:bCs/>
        </w:rPr>
        <w:t>;</w:t>
      </w:r>
    </w:p>
    <w:p w14:paraId="293D0637" w14:textId="47FB5C26" w:rsidR="0074384C" w:rsidRPr="0074384C" w:rsidRDefault="0074384C" w:rsidP="0074384C">
      <w:pPr>
        <w:numPr>
          <w:ilvl w:val="0"/>
          <w:numId w:val="26"/>
        </w:numPr>
      </w:pPr>
      <w:r w:rsidRPr="0074384C">
        <w:rPr>
          <w:b/>
          <w:bCs/>
        </w:rPr>
        <w:t>Maximum activation duration:</w:t>
      </w:r>
      <w:r w:rsidR="003334E8">
        <w:t xml:space="preserve"> – </w:t>
      </w:r>
      <w:r w:rsidRPr="0074384C">
        <w:t xml:space="preserve">Depending on the process, this may range from several minutes to multiple hours. </w:t>
      </w:r>
    </w:p>
    <w:p w14:paraId="2524466C" w14:textId="72166466" w:rsidR="0074384C" w:rsidRPr="0074384C" w:rsidRDefault="0074384C" w:rsidP="0074384C">
      <w:pPr>
        <w:numPr>
          <w:ilvl w:val="0"/>
          <w:numId w:val="26"/>
        </w:numPr>
      </w:pPr>
      <w:r w:rsidRPr="0074384C">
        <w:rPr>
          <w:b/>
          <w:bCs/>
        </w:rPr>
        <w:lastRenderedPageBreak/>
        <w:t>Activation frequency:</w:t>
      </w:r>
      <w:r>
        <w:rPr>
          <w:b/>
          <w:bCs/>
        </w:rPr>
        <w:t xml:space="preserve"> </w:t>
      </w:r>
      <w:r w:rsidR="003334E8">
        <w:t>N</w:t>
      </w:r>
      <w:r w:rsidRPr="0074384C">
        <w:t xml:space="preserve">umber of times flexibility can be deployed within a given timeframe. </w:t>
      </w:r>
    </w:p>
    <w:p w14:paraId="7BAE59EC" w14:textId="5A5EE4D9" w:rsidR="0074384C" w:rsidRPr="0074384C" w:rsidRDefault="0074384C" w:rsidP="0074384C">
      <w:pPr>
        <w:numPr>
          <w:ilvl w:val="0"/>
          <w:numId w:val="26"/>
        </w:numPr>
      </w:pPr>
      <w:r w:rsidRPr="0074384C">
        <w:rPr>
          <w:b/>
          <w:bCs/>
        </w:rPr>
        <w:t>Flexibility volume:</w:t>
      </w:r>
      <w:r>
        <w:rPr>
          <w:b/>
          <w:bCs/>
        </w:rPr>
        <w:t xml:space="preserve"> </w:t>
      </w:r>
      <w:r w:rsidR="003334E8">
        <w:t>–</w:t>
      </w:r>
      <w:r w:rsidRPr="0074384C">
        <w:t xml:space="preserve"> quantity of load that can be shifted or curtailed.  </w:t>
      </w:r>
    </w:p>
    <w:p w14:paraId="6ABCB7E1" w14:textId="51EFFEA4" w:rsidR="0074384C" w:rsidRDefault="0074384C" w:rsidP="0074384C">
      <w:pPr>
        <w:numPr>
          <w:ilvl w:val="0"/>
          <w:numId w:val="26"/>
        </w:numPr>
      </w:pPr>
      <w:r w:rsidRPr="0074384C">
        <w:rPr>
          <w:b/>
          <w:bCs/>
        </w:rPr>
        <w:t>Technical impact on the production process:</w:t>
      </w:r>
      <w:r>
        <w:rPr>
          <w:b/>
          <w:bCs/>
        </w:rPr>
        <w:t xml:space="preserve"> </w:t>
      </w:r>
      <w:r w:rsidR="003334E8">
        <w:t xml:space="preserve">– </w:t>
      </w:r>
      <w:r w:rsidRPr="0074384C">
        <w:t>In some cases, modifying one sub-process may create bottlenecks or operational constraints elsewhere within the production system.</w:t>
      </w:r>
      <w:r w:rsidR="006A0D7C">
        <w:t xml:space="preserve"> </w:t>
      </w:r>
    </w:p>
    <w:p w14:paraId="016B3F5F" w14:textId="2A202245" w:rsidR="00E0249C" w:rsidRDefault="00E0249C" w:rsidP="003334E8">
      <w:r w:rsidRPr="00E0249C">
        <w:t xml:space="preserve">These parameters formed the conceptual basis for the questions developed for the stakeholder engagement conducted in this study, ensuring that each interview systematically captured the information necessary to assess flexibility potential at the individual site level, as described in Section </w:t>
      </w:r>
      <w:r>
        <w:fldChar w:fldCharType="begin"/>
      </w:r>
      <w:r>
        <w:instrText xml:space="preserve"> REF _Ref233679109 \r \h </w:instrText>
      </w:r>
      <w:r>
        <w:fldChar w:fldCharType="separate"/>
      </w:r>
      <w:r w:rsidR="00036C9A">
        <w:t>4.1</w:t>
      </w:r>
      <w:r>
        <w:fldChar w:fldCharType="end"/>
      </w:r>
      <w:r w:rsidRPr="00E0249C">
        <w:t>.</w:t>
      </w:r>
    </w:p>
    <w:p w14:paraId="61550703" w14:textId="77FDE6BE" w:rsidR="003334E8" w:rsidRPr="0074384C" w:rsidRDefault="003334E8" w:rsidP="003334E8">
      <w:r w:rsidRPr="003334E8">
        <w:t xml:space="preserve">The majority of historical </w:t>
      </w:r>
      <w:r w:rsidR="0030133B">
        <w:t>LM</w:t>
      </w:r>
      <w:r w:rsidRPr="003334E8">
        <w:t xml:space="preserve"> programs have targeted large energy users, where load magnitude justifies bespoke technical and contractual arrangements with utilities. Mid-sized industrial consumers have received comparatively little structured attention, despite representing a significant aggregate share of NEM demand. </w:t>
      </w:r>
      <w:r>
        <w:t>Björk</w:t>
      </w:r>
      <w:r w:rsidRPr="003334E8">
        <w:t xml:space="preserve"> and Karlsson noted as early as 1985 that industrial loads were largely overlooked for load management applications due to the perceived complexity of their energy demand and equipment; this characterisation has persisted in the literature for four decades and remains a key motivation for this study</w:t>
      </w:r>
      <w:r>
        <w:t xml:space="preserve"> </w:t>
      </w:r>
      <w:sdt>
        <w:sdtPr>
          <w:id w:val="-1228370893"/>
          <w:citation/>
        </w:sdtPr>
        <w:sdtEndPr/>
        <w:sdtContent>
          <w:r>
            <w:fldChar w:fldCharType="begin"/>
          </w:r>
          <w:r>
            <w:instrText xml:space="preserve"> CITATION Bjo85 \l 3081 </w:instrText>
          </w:r>
          <w:r>
            <w:fldChar w:fldCharType="separate"/>
          </w:r>
          <w:r w:rsidR="00036C9A">
            <w:rPr>
              <w:noProof/>
            </w:rPr>
            <w:t>(Bjork &amp; Karlsson, 1985)</w:t>
          </w:r>
          <w:r>
            <w:fldChar w:fldCharType="end"/>
          </w:r>
        </w:sdtContent>
      </w:sdt>
      <w:r w:rsidR="005242E6">
        <w:t>.</w:t>
      </w:r>
    </w:p>
    <w:p w14:paraId="62AF0B47" w14:textId="1B5F0E91" w:rsidR="006F6FB8" w:rsidRPr="0048218E" w:rsidRDefault="006F6FB8" w:rsidP="00DB7793">
      <w:pPr>
        <w:pStyle w:val="Heading3"/>
      </w:pPr>
      <w:bookmarkStart w:id="22" w:name="_Toc233788287"/>
      <w:r w:rsidRPr="0048218E">
        <w:t>Demand</w:t>
      </w:r>
      <w:r w:rsidR="00845BF7" w:rsidRPr="0048218E">
        <w:t>-</w:t>
      </w:r>
      <w:r w:rsidRPr="0048218E">
        <w:t>Side Management (DSM)</w:t>
      </w:r>
      <w:bookmarkEnd w:id="19"/>
      <w:bookmarkEnd w:id="22"/>
    </w:p>
    <w:p w14:paraId="2C9C5505" w14:textId="33766E21" w:rsidR="003C3E65" w:rsidRPr="0048218E" w:rsidRDefault="00BB7620" w:rsidP="003C3E65">
      <w:pPr>
        <w:pStyle w:val="Heading4"/>
      </w:pPr>
      <w:bookmarkStart w:id="23" w:name="_Ref233680049"/>
      <w:r w:rsidRPr="0048218E">
        <w:t>DSM Strategies and Scope</w:t>
      </w:r>
      <w:bookmarkEnd w:id="23"/>
    </w:p>
    <w:p w14:paraId="60CF6534" w14:textId="186EB607" w:rsidR="003334E8" w:rsidRPr="004C1F7C" w:rsidRDefault="003334E8" w:rsidP="003334E8">
      <w:r w:rsidRPr="004C1F7C">
        <w:t>Demand-side management isn’t new terminology; it was invented in the late 1970s, along with many of the frameworks used to plan and implement it in the years that followed</w:t>
      </w:r>
      <w:r>
        <w:t xml:space="preserve"> </w:t>
      </w:r>
      <w:sdt>
        <w:sdtPr>
          <w:id w:val="-1531650672"/>
          <w:citation/>
        </w:sdtPr>
        <w:sdtEndPr/>
        <w:sdtContent>
          <w:r w:rsidRPr="004C1F7C">
            <w:fldChar w:fldCharType="begin"/>
          </w:r>
          <w:r w:rsidRPr="004C1F7C">
            <w:instrText xml:space="preserve"> CITATION Gel17 \l 3081 </w:instrText>
          </w:r>
          <w:r w:rsidRPr="004C1F7C">
            <w:fldChar w:fldCharType="separate"/>
          </w:r>
          <w:r w:rsidR="00036C9A">
            <w:rPr>
              <w:noProof/>
            </w:rPr>
            <w:t>(Gellings, 2017)</w:t>
          </w:r>
          <w:r w:rsidRPr="004C1F7C">
            <w:fldChar w:fldCharType="end"/>
          </w:r>
        </w:sdtContent>
      </w:sdt>
      <w:r w:rsidRPr="004C1F7C">
        <w:t xml:space="preserve">. </w:t>
      </w:r>
      <w:r w:rsidRPr="00167E71">
        <w:t xml:space="preserve">DSM refers to the planning and execution of measures that influence electricity consumption behaviour on the demand side, with the objective of modifying the </w:t>
      </w:r>
      <w:r w:rsidR="0048218E">
        <w:t>equipment</w:t>
      </w:r>
      <w:r w:rsidRPr="00167E71">
        <w:t xml:space="preserve"> load profile. This is typically achieved by reducing consumption during peak periods or shifting energy use to off-peak hours through changes in the timing and magnitude of demand. Depending on the nature and timing of the measures applied</w:t>
      </w:r>
      <w:r>
        <w:t xml:space="preserve"> </w:t>
      </w:r>
      <w:r w:rsidRPr="004C1F7C">
        <w:t xml:space="preserve">on the </w:t>
      </w:r>
      <w:r>
        <w:t xml:space="preserve">consumer side, </w:t>
      </w:r>
      <w:r w:rsidR="0048218E">
        <w:t xml:space="preserve">DSM </w:t>
      </w:r>
      <w:r>
        <w:t>can be categorised into Energy Efficiency, Time-of-Use</w:t>
      </w:r>
      <w:r w:rsidR="0030133B">
        <w:t xml:space="preserve"> (ToU)</w:t>
      </w:r>
      <w:r>
        <w:t>, Demand Response, and Spinning Reserve</w:t>
      </w:r>
      <w:r w:rsidRPr="004C1F7C">
        <w:t xml:space="preserve"> </w:t>
      </w:r>
      <w:sdt>
        <w:sdtPr>
          <w:id w:val="2063900076"/>
          <w:citation/>
        </w:sdtPr>
        <w:sdtEndPr/>
        <w:sdtContent>
          <w:r w:rsidRPr="004C1F7C">
            <w:fldChar w:fldCharType="begin"/>
          </w:r>
          <w:r w:rsidRPr="004C1F7C">
            <w:instrText xml:space="preserve"> CITATION Gel14 \l 3081 </w:instrText>
          </w:r>
          <w:r w:rsidRPr="004C1F7C">
            <w:fldChar w:fldCharType="separate"/>
          </w:r>
          <w:r w:rsidR="00036C9A">
            <w:rPr>
              <w:noProof/>
            </w:rPr>
            <w:t>(Gelazanskas &amp; Gamage, 2014)</w:t>
          </w:r>
          <w:r w:rsidRPr="004C1F7C">
            <w:fldChar w:fldCharType="end"/>
          </w:r>
        </w:sdtContent>
      </w:sdt>
      <w:sdt>
        <w:sdtPr>
          <w:id w:val="1945503735"/>
          <w:citation/>
        </w:sdtPr>
        <w:sdtEndPr/>
        <w:sdtContent>
          <w:r w:rsidRPr="004C1F7C">
            <w:fldChar w:fldCharType="begin"/>
          </w:r>
          <w:r w:rsidRPr="004C1F7C">
            <w:instrText xml:space="preserve"> CITATION Gel17 \l 3081 </w:instrText>
          </w:r>
          <w:r w:rsidRPr="004C1F7C">
            <w:fldChar w:fldCharType="separate"/>
          </w:r>
          <w:r w:rsidR="00036C9A">
            <w:rPr>
              <w:noProof/>
            </w:rPr>
            <w:t xml:space="preserve"> (Gellings, 2017)</w:t>
          </w:r>
          <w:r w:rsidRPr="004C1F7C">
            <w:fldChar w:fldCharType="end"/>
          </w:r>
        </w:sdtContent>
      </w:sdt>
      <w:r w:rsidR="005242E6">
        <w:t>.</w:t>
      </w:r>
    </w:p>
    <w:p w14:paraId="6E2B3517" w14:textId="386AC653" w:rsidR="001E1396" w:rsidRDefault="00475402" w:rsidP="00360948">
      <w:r>
        <w:t xml:space="preserve">Once the operational boundaries of each process </w:t>
      </w:r>
      <w:r w:rsidR="00845BF7">
        <w:t xml:space="preserve">and the </w:t>
      </w:r>
      <w:r>
        <w:t xml:space="preserve">characteristics of the industrial </w:t>
      </w:r>
      <w:r w:rsidR="00845BF7">
        <w:t xml:space="preserve">facility have been determined, demand-side management </w:t>
      </w:r>
      <w:r w:rsidR="003334E8" w:rsidRPr="003334E8">
        <w:t xml:space="preserve">DSM can be implemented through several distinct strategies, each with a different operational purpose and impact on production. </w:t>
      </w:r>
      <w:r w:rsidR="003334E8">
        <w:fldChar w:fldCharType="begin"/>
      </w:r>
      <w:r w:rsidR="003334E8">
        <w:instrText xml:space="preserve"> REF _Ref230832957 \h </w:instrText>
      </w:r>
      <w:r w:rsidR="003334E8">
        <w:fldChar w:fldCharType="separate"/>
      </w:r>
      <w:r w:rsidR="00036C9A">
        <w:t xml:space="preserve">Table </w:t>
      </w:r>
      <w:r w:rsidR="00036C9A">
        <w:rPr>
          <w:noProof/>
        </w:rPr>
        <w:t>2</w:t>
      </w:r>
      <w:r w:rsidR="003334E8">
        <w:fldChar w:fldCharType="end"/>
      </w:r>
      <w:r w:rsidR="003334E8">
        <w:t xml:space="preserve"> </w:t>
      </w:r>
      <w:r w:rsidR="003334E8" w:rsidRPr="003334E8">
        <w:t>summarises these approaches</w:t>
      </w:r>
      <w:r w:rsidR="005548BD" w:rsidRPr="005548BD">
        <w:t>.</w:t>
      </w:r>
    </w:p>
    <w:p w14:paraId="3BD0E92D" w14:textId="45BEB7F7" w:rsidR="003334E8" w:rsidRDefault="003334E8" w:rsidP="003334E8">
      <w:pPr>
        <w:pStyle w:val="Caption"/>
        <w:keepNext/>
      </w:pPr>
      <w:bookmarkStart w:id="24" w:name="_Ref230832957"/>
      <w:bookmarkStart w:id="25" w:name="_Toc233788355"/>
      <w:r>
        <w:t xml:space="preserve">Table </w:t>
      </w:r>
      <w:fldSimple w:instr=" SEQ Table \* ARABIC ">
        <w:r w:rsidR="00036C9A">
          <w:rPr>
            <w:noProof/>
          </w:rPr>
          <w:t>2</w:t>
        </w:r>
      </w:fldSimple>
      <w:bookmarkEnd w:id="24"/>
      <w:r>
        <w:t>: DSM Strategies: Purpose, Trigger, and Enabling Conditions</w:t>
      </w:r>
      <w:bookmarkEnd w:id="25"/>
    </w:p>
    <w:tbl>
      <w:tblPr>
        <w:tblStyle w:val="AdvitechTable"/>
        <w:tblW w:w="9923" w:type="dxa"/>
        <w:jc w:val="center"/>
        <w:tblLook w:val="0420" w:firstRow="1" w:lastRow="0" w:firstColumn="0" w:lastColumn="0" w:noHBand="0" w:noVBand="1"/>
      </w:tblPr>
      <w:tblGrid>
        <w:gridCol w:w="2407"/>
        <w:gridCol w:w="2838"/>
        <w:gridCol w:w="2268"/>
        <w:gridCol w:w="2410"/>
      </w:tblGrid>
      <w:tr w:rsidR="003334E8" w14:paraId="2AB16258" w14:textId="77777777" w:rsidTr="00036C9A">
        <w:trPr>
          <w:cnfStyle w:val="100000000000" w:firstRow="1" w:lastRow="0" w:firstColumn="0" w:lastColumn="0" w:oddVBand="0" w:evenVBand="0" w:oddHBand="0" w:evenHBand="0" w:firstRowFirstColumn="0" w:firstRowLastColumn="0" w:lastRowFirstColumn="0" w:lastRowLastColumn="0"/>
          <w:jc w:val="center"/>
        </w:trPr>
        <w:tc>
          <w:tcPr>
            <w:tcW w:w="2407" w:type="dxa"/>
            <w:vAlign w:val="top"/>
          </w:tcPr>
          <w:p w14:paraId="10C80267" w14:textId="4C6A9B29" w:rsidR="003334E8" w:rsidRPr="00096C0A" w:rsidRDefault="003334E8" w:rsidP="003334E8">
            <w:pPr>
              <w:rPr>
                <w:rFonts w:ascii="Gilroy Bold" w:hAnsi="Gilroy Bold"/>
              </w:rPr>
            </w:pPr>
            <w:r w:rsidRPr="00096C0A">
              <w:rPr>
                <w:rFonts w:ascii="Gilroy Bold" w:hAnsi="Gilroy Bold"/>
              </w:rPr>
              <w:t>DSM Strategy</w:t>
            </w:r>
          </w:p>
        </w:tc>
        <w:tc>
          <w:tcPr>
            <w:tcW w:w="2838" w:type="dxa"/>
            <w:vAlign w:val="top"/>
          </w:tcPr>
          <w:p w14:paraId="6410E223" w14:textId="30CF57C6" w:rsidR="003334E8" w:rsidRPr="00096C0A" w:rsidRDefault="003334E8" w:rsidP="003334E8">
            <w:pPr>
              <w:rPr>
                <w:rFonts w:ascii="Gilroy Bold" w:hAnsi="Gilroy Bold"/>
              </w:rPr>
            </w:pPr>
            <w:r w:rsidRPr="00096C0A">
              <w:rPr>
                <w:rFonts w:ascii="Gilroy Bold" w:hAnsi="Gilroy Bold"/>
              </w:rPr>
              <w:t>Purpose</w:t>
            </w:r>
          </w:p>
        </w:tc>
        <w:tc>
          <w:tcPr>
            <w:tcW w:w="2268" w:type="dxa"/>
            <w:vAlign w:val="top"/>
          </w:tcPr>
          <w:p w14:paraId="76C045CF" w14:textId="1D6725A4" w:rsidR="003334E8" w:rsidRPr="00096C0A" w:rsidRDefault="003334E8" w:rsidP="003334E8">
            <w:pPr>
              <w:rPr>
                <w:rFonts w:ascii="Gilroy Bold" w:hAnsi="Gilroy Bold"/>
              </w:rPr>
            </w:pPr>
            <w:r w:rsidRPr="00096C0A">
              <w:rPr>
                <w:rFonts w:ascii="Gilroy Bold" w:hAnsi="Gilroy Bold"/>
              </w:rPr>
              <w:t>Signal / Trigger</w:t>
            </w:r>
          </w:p>
        </w:tc>
        <w:tc>
          <w:tcPr>
            <w:tcW w:w="2410" w:type="dxa"/>
            <w:vAlign w:val="top"/>
          </w:tcPr>
          <w:p w14:paraId="49430205" w14:textId="191BCED6" w:rsidR="003334E8" w:rsidRPr="00096C0A" w:rsidRDefault="003334E8" w:rsidP="003334E8">
            <w:pPr>
              <w:rPr>
                <w:rFonts w:ascii="Gilroy Bold" w:hAnsi="Gilroy Bold"/>
              </w:rPr>
            </w:pPr>
            <w:r w:rsidRPr="00096C0A">
              <w:rPr>
                <w:rFonts w:ascii="Gilroy Bold" w:hAnsi="Gilroy Bold"/>
              </w:rPr>
              <w:t>Key Enabling Condition</w:t>
            </w:r>
          </w:p>
        </w:tc>
      </w:tr>
      <w:tr w:rsidR="003334E8" w14:paraId="7DB76B16" w14:textId="77777777" w:rsidTr="00036C9A">
        <w:trPr>
          <w:jc w:val="center"/>
        </w:trPr>
        <w:tc>
          <w:tcPr>
            <w:tcW w:w="2407" w:type="dxa"/>
            <w:vAlign w:val="top"/>
          </w:tcPr>
          <w:p w14:paraId="72168C5A" w14:textId="5ADA9B71" w:rsidR="003334E8" w:rsidRPr="003334E8" w:rsidRDefault="003334E8" w:rsidP="003334E8">
            <w:pPr>
              <w:rPr>
                <w:b/>
                <w:bCs/>
              </w:rPr>
            </w:pPr>
            <w:r w:rsidRPr="003334E8">
              <w:rPr>
                <w:b/>
                <w:bCs/>
              </w:rPr>
              <w:t>Peak Shaving</w:t>
            </w:r>
          </w:p>
        </w:tc>
        <w:tc>
          <w:tcPr>
            <w:tcW w:w="2838" w:type="dxa"/>
            <w:vAlign w:val="top"/>
          </w:tcPr>
          <w:p w14:paraId="66135659" w14:textId="7BDBDDBA" w:rsidR="003334E8" w:rsidRDefault="003334E8" w:rsidP="003334E8">
            <w:r w:rsidRPr="006275DD">
              <w:t>Reduce demand peaks to avoid network tariff penalties</w:t>
            </w:r>
            <w:r>
              <w:t>.</w:t>
            </w:r>
          </w:p>
        </w:tc>
        <w:tc>
          <w:tcPr>
            <w:tcW w:w="2268" w:type="dxa"/>
            <w:vAlign w:val="top"/>
          </w:tcPr>
          <w:p w14:paraId="0EE485B4" w14:textId="2D24E902" w:rsidR="003334E8" w:rsidRDefault="003334E8" w:rsidP="003334E8">
            <w:r w:rsidRPr="006275DD">
              <w:t>Internal; no market signal required</w:t>
            </w:r>
            <w:r>
              <w:t>.</w:t>
            </w:r>
          </w:p>
        </w:tc>
        <w:tc>
          <w:tcPr>
            <w:tcW w:w="2410" w:type="dxa"/>
            <w:vAlign w:val="top"/>
          </w:tcPr>
          <w:p w14:paraId="6FE9F70C" w14:textId="7C0BB1F0" w:rsidR="003334E8" w:rsidRDefault="003334E8" w:rsidP="003334E8">
            <w:r w:rsidRPr="006275DD">
              <w:t>Primarily economic</w:t>
            </w:r>
            <w:r>
              <w:t>;</w:t>
            </w:r>
            <w:r w:rsidRPr="006275DD">
              <w:t xml:space="preserve"> lowers demand charges</w:t>
            </w:r>
            <w:r>
              <w:t>.</w:t>
            </w:r>
          </w:p>
        </w:tc>
      </w:tr>
      <w:tr w:rsidR="003334E8" w14:paraId="4F8BD8A7" w14:textId="77777777" w:rsidTr="00036C9A">
        <w:trPr>
          <w:jc w:val="center"/>
        </w:trPr>
        <w:tc>
          <w:tcPr>
            <w:tcW w:w="2407" w:type="dxa"/>
            <w:vAlign w:val="top"/>
          </w:tcPr>
          <w:p w14:paraId="00942235" w14:textId="18231587" w:rsidR="003334E8" w:rsidRPr="003334E8" w:rsidRDefault="003334E8" w:rsidP="003334E8">
            <w:pPr>
              <w:rPr>
                <w:b/>
                <w:bCs/>
              </w:rPr>
            </w:pPr>
            <w:r w:rsidRPr="003334E8">
              <w:rPr>
                <w:b/>
                <w:bCs/>
              </w:rPr>
              <w:t>Load Shifting</w:t>
            </w:r>
          </w:p>
        </w:tc>
        <w:tc>
          <w:tcPr>
            <w:tcW w:w="2838" w:type="dxa"/>
            <w:vAlign w:val="top"/>
          </w:tcPr>
          <w:p w14:paraId="4DF0FE6E" w14:textId="7D397199" w:rsidR="003334E8" w:rsidRDefault="003334E8" w:rsidP="003334E8">
            <w:r w:rsidRPr="006275DD">
              <w:t xml:space="preserve">Move consumption from </w:t>
            </w:r>
            <w:r w:rsidR="005242E6">
              <w:t>high-price to low-price</w:t>
            </w:r>
            <w:r w:rsidRPr="006275DD">
              <w:t xml:space="preserve"> periods</w:t>
            </w:r>
            <w:r>
              <w:t>.</w:t>
            </w:r>
          </w:p>
        </w:tc>
        <w:tc>
          <w:tcPr>
            <w:tcW w:w="2268" w:type="dxa"/>
            <w:vAlign w:val="top"/>
          </w:tcPr>
          <w:p w14:paraId="315D9E20" w14:textId="5ABD59A5" w:rsidR="003334E8" w:rsidRDefault="003334E8" w:rsidP="003334E8">
            <w:r w:rsidRPr="006275DD">
              <w:t>Price signal or operator instruction</w:t>
            </w:r>
            <w:r>
              <w:t>.</w:t>
            </w:r>
          </w:p>
        </w:tc>
        <w:tc>
          <w:tcPr>
            <w:tcW w:w="2410" w:type="dxa"/>
            <w:vAlign w:val="top"/>
          </w:tcPr>
          <w:p w14:paraId="6F880099" w14:textId="67B63793" w:rsidR="003334E8" w:rsidRDefault="003334E8" w:rsidP="003334E8">
            <w:r w:rsidRPr="006275DD">
              <w:t>Batch or variable-load processes; inventory buffer</w:t>
            </w:r>
            <w:r>
              <w:t>.</w:t>
            </w:r>
          </w:p>
        </w:tc>
      </w:tr>
      <w:tr w:rsidR="003334E8" w14:paraId="3222B7B6" w14:textId="77777777" w:rsidTr="00036C9A">
        <w:trPr>
          <w:jc w:val="center"/>
        </w:trPr>
        <w:tc>
          <w:tcPr>
            <w:tcW w:w="2407" w:type="dxa"/>
            <w:vAlign w:val="top"/>
          </w:tcPr>
          <w:p w14:paraId="43036E3D" w14:textId="12A4F472" w:rsidR="003334E8" w:rsidRPr="003334E8" w:rsidRDefault="003334E8" w:rsidP="003334E8">
            <w:pPr>
              <w:rPr>
                <w:b/>
                <w:bCs/>
              </w:rPr>
            </w:pPr>
            <w:r w:rsidRPr="003334E8">
              <w:rPr>
                <w:b/>
                <w:bCs/>
              </w:rPr>
              <w:t>Load Reduction</w:t>
            </w:r>
          </w:p>
        </w:tc>
        <w:tc>
          <w:tcPr>
            <w:tcW w:w="2838" w:type="dxa"/>
            <w:vAlign w:val="top"/>
          </w:tcPr>
          <w:p w14:paraId="75A8DF64" w14:textId="7D2C5997" w:rsidR="003334E8" w:rsidRDefault="003334E8" w:rsidP="003334E8">
            <w:r w:rsidRPr="006275DD">
              <w:t>Curtail production when prices make it uneconomical</w:t>
            </w:r>
            <w:r>
              <w:t>.</w:t>
            </w:r>
          </w:p>
        </w:tc>
        <w:tc>
          <w:tcPr>
            <w:tcW w:w="2268" w:type="dxa"/>
            <w:vAlign w:val="top"/>
          </w:tcPr>
          <w:p w14:paraId="6A8EF93C" w14:textId="52A68EB3" w:rsidR="003334E8" w:rsidRDefault="003334E8" w:rsidP="003334E8">
            <w:r w:rsidRPr="006275DD">
              <w:t>Sustained high market price</w:t>
            </w:r>
            <w:r>
              <w:t>.</w:t>
            </w:r>
          </w:p>
        </w:tc>
        <w:tc>
          <w:tcPr>
            <w:tcW w:w="2410" w:type="dxa"/>
            <w:vAlign w:val="top"/>
          </w:tcPr>
          <w:p w14:paraId="09FC6105" w14:textId="547EF81D" w:rsidR="003334E8" w:rsidRDefault="003334E8" w:rsidP="003334E8">
            <w:r w:rsidRPr="006275DD">
              <w:t>Flexible production schedule; low order demand</w:t>
            </w:r>
            <w:r>
              <w:t>.</w:t>
            </w:r>
          </w:p>
        </w:tc>
      </w:tr>
      <w:tr w:rsidR="003334E8" w14:paraId="1E78FE0D" w14:textId="77777777" w:rsidTr="00036C9A">
        <w:trPr>
          <w:jc w:val="center"/>
        </w:trPr>
        <w:tc>
          <w:tcPr>
            <w:tcW w:w="2407" w:type="dxa"/>
            <w:vAlign w:val="top"/>
          </w:tcPr>
          <w:p w14:paraId="78EE921D" w14:textId="1281CD17" w:rsidR="003334E8" w:rsidRPr="003334E8" w:rsidRDefault="003334E8" w:rsidP="003334E8">
            <w:pPr>
              <w:rPr>
                <w:b/>
                <w:bCs/>
              </w:rPr>
            </w:pPr>
            <w:r w:rsidRPr="003334E8">
              <w:rPr>
                <w:b/>
                <w:bCs/>
              </w:rPr>
              <w:t>Load Increase / Valley Filling</w:t>
            </w:r>
          </w:p>
        </w:tc>
        <w:tc>
          <w:tcPr>
            <w:tcW w:w="2838" w:type="dxa"/>
            <w:vAlign w:val="top"/>
          </w:tcPr>
          <w:p w14:paraId="736849EF" w14:textId="1C20F2C5" w:rsidR="003334E8" w:rsidRDefault="003334E8" w:rsidP="003334E8">
            <w:r w:rsidRPr="006275DD">
              <w:t xml:space="preserve">Increase consumption during </w:t>
            </w:r>
            <w:r w:rsidR="005242E6">
              <w:t>periods of surplus or low prices</w:t>
            </w:r>
            <w:r>
              <w:t>.</w:t>
            </w:r>
          </w:p>
        </w:tc>
        <w:tc>
          <w:tcPr>
            <w:tcW w:w="2268" w:type="dxa"/>
            <w:vAlign w:val="top"/>
          </w:tcPr>
          <w:p w14:paraId="02E94925" w14:textId="6B41B416" w:rsidR="003334E8" w:rsidRDefault="003334E8" w:rsidP="003334E8">
            <w:r w:rsidRPr="006275DD">
              <w:t>Low wholesale price or renewable surplus signal</w:t>
            </w:r>
            <w:r>
              <w:t>.</w:t>
            </w:r>
          </w:p>
        </w:tc>
        <w:tc>
          <w:tcPr>
            <w:tcW w:w="2410" w:type="dxa"/>
            <w:vAlign w:val="top"/>
          </w:tcPr>
          <w:p w14:paraId="4AA7B289" w14:textId="26015817" w:rsidR="003334E8" w:rsidRDefault="003334E8" w:rsidP="003334E8">
            <w:r w:rsidRPr="006275DD">
              <w:t>Storage or inventory capacity; flexible scheduling</w:t>
            </w:r>
            <w:r>
              <w:t>.</w:t>
            </w:r>
          </w:p>
        </w:tc>
      </w:tr>
      <w:tr w:rsidR="003334E8" w14:paraId="3A8F3CA5" w14:textId="77777777" w:rsidTr="00036C9A">
        <w:trPr>
          <w:jc w:val="center"/>
        </w:trPr>
        <w:tc>
          <w:tcPr>
            <w:tcW w:w="2407" w:type="dxa"/>
            <w:vAlign w:val="top"/>
          </w:tcPr>
          <w:p w14:paraId="22B6FFC2" w14:textId="5253B63B" w:rsidR="003334E8" w:rsidRPr="003334E8" w:rsidRDefault="005242E6" w:rsidP="003334E8">
            <w:pPr>
              <w:rPr>
                <w:b/>
                <w:bCs/>
              </w:rPr>
            </w:pPr>
            <w:r w:rsidRPr="00005715">
              <w:rPr>
                <w:b/>
                <w:bCs/>
              </w:rPr>
              <w:t>Demand Response</w:t>
            </w:r>
          </w:p>
        </w:tc>
        <w:tc>
          <w:tcPr>
            <w:tcW w:w="2838" w:type="dxa"/>
            <w:vAlign w:val="top"/>
          </w:tcPr>
          <w:p w14:paraId="617E7072" w14:textId="15CC2F60" w:rsidR="003334E8" w:rsidRDefault="005242E6" w:rsidP="003334E8">
            <w:r>
              <w:t>T</w:t>
            </w:r>
            <w:r w:rsidRPr="005242E6">
              <w:t>emporarily modify electricity consumption in response to a direct system operator instruction, price incentive, or market signal</w:t>
            </w:r>
          </w:p>
        </w:tc>
        <w:tc>
          <w:tcPr>
            <w:tcW w:w="2268" w:type="dxa"/>
            <w:vAlign w:val="top"/>
          </w:tcPr>
          <w:p w14:paraId="4AAC9D61" w14:textId="13F2C255" w:rsidR="003334E8" w:rsidRDefault="00005715" w:rsidP="003334E8">
            <w:r>
              <w:t>Signal</w:t>
            </w:r>
            <w:r w:rsidR="003334E8" w:rsidRPr="006275DD">
              <w:t xml:space="preserve"> </w:t>
            </w:r>
            <w:r w:rsidR="005242E6">
              <w:t>from a system operator / aggregator</w:t>
            </w:r>
          </w:p>
        </w:tc>
        <w:tc>
          <w:tcPr>
            <w:tcW w:w="2410" w:type="dxa"/>
            <w:vAlign w:val="top"/>
          </w:tcPr>
          <w:p w14:paraId="5B1E7584" w14:textId="1C9D1EE2" w:rsidR="003334E8" w:rsidRDefault="003334E8" w:rsidP="003334E8">
            <w:r w:rsidRPr="006275DD">
              <w:t>On-site storage or buffer; process flexibility</w:t>
            </w:r>
            <w:r>
              <w:t>.</w:t>
            </w:r>
          </w:p>
        </w:tc>
      </w:tr>
    </w:tbl>
    <w:p w14:paraId="3B9F33F6" w14:textId="77777777" w:rsidR="003334E8" w:rsidRDefault="003334E8" w:rsidP="00360948"/>
    <w:p w14:paraId="4798CF99" w14:textId="77777777" w:rsidR="00036C9A" w:rsidRDefault="00036C9A" w:rsidP="00360948">
      <w:r w:rsidRPr="00036C9A">
        <w:t>Demand curtailment, valley filling, and load shifting, presented as DSM strategies in Table 2, also function as the three operational modes through which demand response specifically is delivered.</w:t>
      </w:r>
    </w:p>
    <w:p w14:paraId="3FA9F792" w14:textId="7F2A3A34" w:rsidR="00360948" w:rsidRDefault="008D776F" w:rsidP="00360948">
      <w:r w:rsidRPr="00167E71">
        <w:t xml:space="preserve">Demand response is a specific subset of DSM that focuses on actively adjusting electricity consumption in response to price signals, system conditions, or incentive mechanisms. DR programs encourage end-use consumers to modify demand through enabling technologies such as advanced metering, dynamic pricing, </w:t>
      </w:r>
      <w:r w:rsidR="005242E6">
        <w:t>DER</w:t>
      </w:r>
      <w:r w:rsidRPr="00167E71">
        <w:t xml:space="preserve">, and direct incentive payments during periods of system stress. </w:t>
      </w:r>
      <w:r w:rsidR="00777CAF" w:rsidRPr="00777CAF">
        <w:t>Within a DR context, these three DSM strategies, demand curtailment, valley filling, and load shifting, function as the principal modes of delivery. By managing demand rather than constructing additional generation or storage capacity, DR addresses intermittency at minimal incremental cost</w:t>
      </w:r>
      <w:r w:rsidR="00BB7620" w:rsidRPr="004C1F7C">
        <w:t xml:space="preserve"> </w:t>
      </w:r>
      <w:sdt>
        <w:sdtPr>
          <w:id w:val="-387653302"/>
          <w:citation/>
        </w:sdtPr>
        <w:sdtEndPr/>
        <w:sdtContent>
          <w:r w:rsidR="00BB7620" w:rsidRPr="004C1F7C">
            <w:fldChar w:fldCharType="begin"/>
          </w:r>
          <w:r w:rsidR="00BB7620" w:rsidRPr="004C1F7C">
            <w:instrText xml:space="preserve"> CITATION Zha25 \l 3081 </w:instrText>
          </w:r>
          <w:r w:rsidR="0030133B">
            <w:instrText xml:space="preserve"> \m Gel14 \m Gel17 \m Kam24</w:instrText>
          </w:r>
          <w:r w:rsidR="00BB7620" w:rsidRPr="004C1F7C">
            <w:fldChar w:fldCharType="separate"/>
          </w:r>
          <w:r w:rsidR="00036C9A">
            <w:rPr>
              <w:noProof/>
            </w:rPr>
            <w:t>(Zhang, et al., 2025; Gelazanskas &amp; Gamage, 2014; Gellings, 2017; Kamana-Williams &amp; Bishop, 2024)</w:t>
          </w:r>
          <w:r w:rsidR="00BB7620" w:rsidRPr="004C1F7C">
            <w:fldChar w:fldCharType="end"/>
          </w:r>
        </w:sdtContent>
      </w:sdt>
      <w:r w:rsidR="005242E6">
        <w:t>.</w:t>
      </w:r>
    </w:p>
    <w:p w14:paraId="2DDD03EA" w14:textId="47A8A0FC" w:rsidR="00751CAB" w:rsidRPr="005242E6" w:rsidRDefault="003C3E65" w:rsidP="003C3E65">
      <w:pPr>
        <w:pStyle w:val="Heading4"/>
      </w:pPr>
      <w:r w:rsidRPr="005242E6">
        <w:t xml:space="preserve">DSM in Residential </w:t>
      </w:r>
    </w:p>
    <w:p w14:paraId="257E927B" w14:textId="54513D67" w:rsidR="00BC535F" w:rsidRDefault="00BC535F" w:rsidP="0081509A">
      <w:r w:rsidRPr="00BC535F">
        <w:t>AS/NZS 4755 is Australia's principal demand response standard, establishing a standardised framework for communication and control of demand response capability in electrical appliances. The standard was developed to enable a wide range of appliances and manufacturers to connect and respond to remote signals in a consistent way, and Australia was among the first countries to develop such a national-level capability</w:t>
      </w:r>
      <w:r w:rsidR="0081509A" w:rsidRPr="00E87973">
        <w:t xml:space="preserve"> </w:t>
      </w:r>
      <w:sdt>
        <w:sdtPr>
          <w:id w:val="18752977"/>
          <w:citation/>
        </w:sdtPr>
        <w:sdtEndPr/>
        <w:sdtContent>
          <w:r w:rsidR="0081509A">
            <w:fldChar w:fldCharType="begin"/>
          </w:r>
          <w:r w:rsidR="0081509A">
            <w:rPr>
              <w:rStyle w:val="normaltextrun"/>
            </w:rPr>
            <w:instrText xml:space="preserve"> CITATION AEM20 \l 3081 </w:instrText>
          </w:r>
          <w:r w:rsidR="0081509A">
            <w:fldChar w:fldCharType="separate"/>
          </w:r>
          <w:r w:rsidR="00036C9A">
            <w:rPr>
              <w:noProof/>
            </w:rPr>
            <w:t>(AEMO, 2020)</w:t>
          </w:r>
          <w:r w:rsidR="0081509A">
            <w:fldChar w:fldCharType="end"/>
          </w:r>
        </w:sdtContent>
      </w:sdt>
      <w:r w:rsidR="005242E6">
        <w:rPr>
          <w:rStyle w:val="normaltextrun"/>
        </w:rPr>
        <w:t>.</w:t>
      </w:r>
    </w:p>
    <w:p w14:paraId="072B51B6" w14:textId="509C10CF" w:rsidR="0081509A" w:rsidRDefault="00BC535F" w:rsidP="0081509A">
      <w:r>
        <w:t xml:space="preserve">However, the standard's scope is explicitly residential and small commercial. Its Demand Response Modes, </w:t>
      </w:r>
      <w:r w:rsidR="005242E6">
        <w:t>Demand Response Enabling Device (</w:t>
      </w:r>
      <w:r>
        <w:t>DRED</w:t>
      </w:r>
      <w:r w:rsidR="005242E6">
        <w:t>)</w:t>
      </w:r>
      <w:r>
        <w:t xml:space="preserve"> interface architecture, and communication protocols are designed for single-phase and three-phase appliances, such as air conditioners, hot water heaters, pool pumps, and EV chargers, which operate at the scale of individual households or small businesses. Industrial equipment, with its vastly different control interfaces, process interdependencies, safety obligations, and load magnitudes, lies entirely outside the standard's intended scope</w:t>
      </w:r>
      <w:r w:rsidR="0081509A" w:rsidRPr="00E87973">
        <w:t xml:space="preserve"> </w:t>
      </w:r>
      <w:sdt>
        <w:sdtPr>
          <w:id w:val="1075624991"/>
          <w:citation/>
        </w:sdtPr>
        <w:sdtEndPr/>
        <w:sdtContent>
          <w:r w:rsidR="0081509A">
            <w:fldChar w:fldCharType="begin"/>
          </w:r>
          <w:r w:rsidR="0081509A">
            <w:instrText xml:space="preserve"> CITATION Pea21 \l 3081 </w:instrText>
          </w:r>
          <w:r w:rsidR="0081509A">
            <w:fldChar w:fldCharType="separate"/>
          </w:r>
          <w:r w:rsidR="00036C9A">
            <w:rPr>
              <w:noProof/>
            </w:rPr>
            <w:t>(Pearson, 2021)</w:t>
          </w:r>
          <w:r w:rsidR="0081509A">
            <w:fldChar w:fldCharType="end"/>
          </w:r>
        </w:sdtContent>
      </w:sdt>
      <w:r w:rsidR="0081509A">
        <w:t xml:space="preserve"> </w:t>
      </w:r>
      <w:sdt>
        <w:sdtPr>
          <w:id w:val="1740674484"/>
          <w:citation/>
        </w:sdtPr>
        <w:sdtEndPr/>
        <w:sdtContent>
          <w:r w:rsidR="0081509A">
            <w:fldChar w:fldCharType="begin"/>
          </w:r>
          <w:r w:rsidR="0081509A">
            <w:instrText xml:space="preserve"> CITATION AEM241 \l 3081 </w:instrText>
          </w:r>
          <w:r w:rsidR="0081509A">
            <w:fldChar w:fldCharType="separate"/>
          </w:r>
          <w:r w:rsidR="00036C9A">
            <w:rPr>
              <w:noProof/>
            </w:rPr>
            <w:t>(AEMO, 2024)</w:t>
          </w:r>
          <w:r w:rsidR="0081509A">
            <w:fldChar w:fldCharType="end"/>
          </w:r>
        </w:sdtContent>
      </w:sdt>
      <w:r w:rsidR="0081509A">
        <w:t xml:space="preserve"> </w:t>
      </w:r>
      <w:sdt>
        <w:sdtPr>
          <w:id w:val="1711834714"/>
          <w:citation/>
        </w:sdtPr>
        <w:sdtEndPr/>
        <w:sdtContent>
          <w:r w:rsidR="0081509A">
            <w:fldChar w:fldCharType="begin"/>
          </w:r>
          <w:r w:rsidR="0081509A">
            <w:instrText xml:space="preserve"> CITATION AEC14 \l 3081 </w:instrText>
          </w:r>
          <w:r w:rsidR="0081509A">
            <w:fldChar w:fldCharType="separate"/>
          </w:r>
          <w:r w:rsidR="00036C9A">
            <w:rPr>
              <w:noProof/>
            </w:rPr>
            <w:t>(AECOM, 2014)</w:t>
          </w:r>
          <w:r w:rsidR="0081509A">
            <w:fldChar w:fldCharType="end"/>
          </w:r>
        </w:sdtContent>
      </w:sdt>
      <w:r w:rsidR="005242E6">
        <w:t>.</w:t>
      </w:r>
    </w:p>
    <w:p w14:paraId="4D82DE79" w14:textId="5A42CC8C" w:rsidR="001E1396" w:rsidRDefault="0081509A" w:rsidP="0081509A">
      <w:r w:rsidRPr="0081509A">
        <w:t>Australia has a substantial number of loads that could, in principle, be controlled as DER; however, a range of technical, economic, regulatory, social, and operational barriers must be overcome before this can be realised.  Addressing these challenges will be essential to the development of a robust and practical demand response standard applicable to industrial loads</w:t>
      </w:r>
      <w:r>
        <w:t>.</w:t>
      </w:r>
      <w:r w:rsidR="00EC65F4">
        <w:t xml:space="preserve"> </w:t>
      </w:r>
    </w:p>
    <w:p w14:paraId="052C0B29" w14:textId="3DF7A2D5" w:rsidR="003C3E65" w:rsidRPr="0030133B" w:rsidRDefault="003C3E65" w:rsidP="003C3E65">
      <w:pPr>
        <w:pStyle w:val="Heading4"/>
      </w:pPr>
      <w:r w:rsidRPr="0030133B">
        <w:t>DSM in Industrial Settings</w:t>
      </w:r>
    </w:p>
    <w:p w14:paraId="301E1B57" w14:textId="76A40813" w:rsidR="00C65122" w:rsidRPr="00C65122" w:rsidRDefault="00C65122" w:rsidP="006F30DA">
      <w:r w:rsidRPr="00C65122">
        <w:t>While substantial literature exists on the theoretical potential of industrial DSM</w:t>
      </w:r>
      <w:r w:rsidR="00E75F50">
        <w:t xml:space="preserve"> </w:t>
      </w:r>
      <w:sdt>
        <w:sdtPr>
          <w:id w:val="-1196307811"/>
          <w:citation/>
        </w:sdtPr>
        <w:sdtEndPr/>
        <w:sdtContent>
          <w:r w:rsidR="00CF38CE">
            <w:fldChar w:fldCharType="begin"/>
          </w:r>
          <w:r w:rsidR="00CF38CE">
            <w:instrText xml:space="preserve"> CITATION Bjo85 \l 3081  \m Cap16 \m Gol22 \m Ran24 \m Sch24 \m Sho16 \m Wil23</w:instrText>
          </w:r>
          <w:r w:rsidR="00CF38CE">
            <w:fldChar w:fldCharType="separate"/>
          </w:r>
          <w:r w:rsidR="00036C9A">
            <w:rPr>
              <w:noProof/>
            </w:rPr>
            <w:t>(Bjork &amp; Karlsson, 1985; Capiau &amp; Van Daele, 2016; Golmohamadi, 2022; Ranaboldo, et al., 2024; Scharnhorst, et al., 2024; Shoreh, et al., 2016; Williams, et al., 2023)</w:t>
          </w:r>
          <w:r w:rsidR="00CF38CE">
            <w:fldChar w:fldCharType="end"/>
          </w:r>
        </w:sdtContent>
      </w:sdt>
      <w:r w:rsidRPr="00C65122">
        <w:t>, comparatively few studies engage directly with the equipment and load types through which this potential would be realised. Where industrial sectors have been examined in depth, DR potential is found to be highest in industries with large inventory buffers and inherent thermal or mechanical storage</w:t>
      </w:r>
      <w:r>
        <w:t xml:space="preserve"> </w:t>
      </w:r>
      <w:sdt>
        <w:sdtPr>
          <w:id w:val="1070930242"/>
          <w:citation/>
        </w:sdtPr>
        <w:sdtEndPr/>
        <w:sdtContent>
          <w:r>
            <w:fldChar w:fldCharType="begin"/>
          </w:r>
          <w:r>
            <w:instrText xml:space="preserve"> CITATION Gol22 \l 3081 </w:instrText>
          </w:r>
          <w:r>
            <w:fldChar w:fldCharType="separate"/>
          </w:r>
          <w:r w:rsidR="00036C9A">
            <w:rPr>
              <w:noProof/>
            </w:rPr>
            <w:t>(Golmohamadi, 2022)</w:t>
          </w:r>
          <w:r>
            <w:fldChar w:fldCharType="end"/>
          </w:r>
        </w:sdtContent>
      </w:sdt>
      <w:r w:rsidRPr="00C65122">
        <w:t>. Golmohamadi's review of heavy industries identifies cement and metal manufacturing as the most promising sectors, given the flexibility of mills, crushers, and electrolysis smelting pots and the buffering capacity of large raw material inventories</w:t>
      </w:r>
      <w:r>
        <w:t xml:space="preserve"> </w:t>
      </w:r>
      <w:sdt>
        <w:sdtPr>
          <w:id w:val="-411858162"/>
          <w:citation/>
        </w:sdtPr>
        <w:sdtEndPr/>
        <w:sdtContent>
          <w:r>
            <w:fldChar w:fldCharType="begin"/>
          </w:r>
          <w:r>
            <w:instrText xml:space="preserve"> CITATION Gol22 \l 3081 </w:instrText>
          </w:r>
          <w:r>
            <w:fldChar w:fldCharType="separate"/>
          </w:r>
          <w:r w:rsidR="00036C9A">
            <w:rPr>
              <w:noProof/>
            </w:rPr>
            <w:t>(Golmohamadi, 2022)</w:t>
          </w:r>
          <w:r>
            <w:fldChar w:fldCharType="end"/>
          </w:r>
        </w:sdtContent>
      </w:sdt>
      <w:r w:rsidRPr="00C65122">
        <w:t>. Williams et al. extend this to a cross-sector comparison, finding that industrial DSM is primarily constrained by technical and economic factors rather than behavioural ones and that the flexibility of individual facilities depends heavily on process-specific conditions rather than sector-level generalisations</w:t>
      </w:r>
      <w:r>
        <w:t xml:space="preserve"> </w:t>
      </w:r>
      <w:sdt>
        <w:sdtPr>
          <w:id w:val="2116397870"/>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rsidR="0030133B">
        <w:t>.</w:t>
      </w:r>
    </w:p>
    <w:p w14:paraId="0E0BAE40" w14:textId="422D4470" w:rsidR="00C65122" w:rsidRPr="00C65122" w:rsidRDefault="00C65122" w:rsidP="006F30DA">
      <w:r w:rsidRPr="00C65122">
        <w:t>Shoreh et al. provide a foundational survey of industrial DR applications, confirming that industrial consumers have traditionally participated in DR through bespoke, incentive-based arrangements with utilities, with participation rates well below the sector's real potential. The survey identifies ancillary service provision, including frequency control and voltage support, as among the most valuable contributions industrial loads can make, and identifies the heterogeneity of industrial equipment as a persistent obstacle to standardised program design</w:t>
      </w:r>
      <w:sdt>
        <w:sdtPr>
          <w:id w:val="-1652284966"/>
          <w:citation/>
        </w:sdtPr>
        <w:sdtEndPr/>
        <w:sdtContent>
          <w:r>
            <w:fldChar w:fldCharType="begin"/>
          </w:r>
          <w:r>
            <w:instrText xml:space="preserve"> CITATION Sho16 \l 3081 </w:instrText>
          </w:r>
          <w:r>
            <w:fldChar w:fldCharType="separate"/>
          </w:r>
          <w:r w:rsidR="00036C9A">
            <w:rPr>
              <w:noProof/>
            </w:rPr>
            <w:t xml:space="preserve"> (Shoreh, et al., 2016)</w:t>
          </w:r>
          <w:r>
            <w:fldChar w:fldCharType="end"/>
          </w:r>
        </w:sdtContent>
      </w:sdt>
      <w:r w:rsidR="0030133B">
        <w:t>.</w:t>
      </w:r>
    </w:p>
    <w:p w14:paraId="51AE299F" w14:textId="1C1285A1" w:rsidR="0006464A" w:rsidRDefault="00C65122" w:rsidP="006F30DA">
      <w:r w:rsidRPr="00C65122">
        <w:t>Scharnhorst et al. provide more recent empirical evidence from 20 semi-structured interviews with experts from German industrial and commercial companies, finding that the most frequently cited barriers to DR participation are concerns about diminished product quality, disruptions to production processes, human resource management challenges, and revenue uncertainty</w:t>
      </w:r>
      <w:r>
        <w:t xml:space="preserve"> </w:t>
      </w:r>
      <w:sdt>
        <w:sdtPr>
          <w:id w:val="-665775399"/>
          <w:citation/>
        </w:sdtPr>
        <w:sdtEndPr/>
        <w:sdtContent>
          <w:r>
            <w:fldChar w:fldCharType="begin"/>
          </w:r>
          <w:r>
            <w:instrText xml:space="preserve"> CITATION Sch24 \l 3081 </w:instrText>
          </w:r>
          <w:r>
            <w:fldChar w:fldCharType="separate"/>
          </w:r>
          <w:r w:rsidR="00036C9A">
            <w:rPr>
              <w:noProof/>
            </w:rPr>
            <w:t>(Scharnhorst, et al., 2024)</w:t>
          </w:r>
          <w:r>
            <w:fldChar w:fldCharType="end"/>
          </w:r>
        </w:sdtContent>
      </w:sdt>
      <w:r w:rsidRPr="00C65122">
        <w:t xml:space="preserve">. </w:t>
      </w:r>
      <w:r w:rsidR="00E75F50" w:rsidRPr="00E75F50">
        <w:t xml:space="preserve">Beyond identifying these barriers, the authors conclude that overcoming them requires both internal and external intervention, specifically, greater resourcing and information within companies to build the internal </w:t>
      </w:r>
      <w:r w:rsidR="00E75F50" w:rsidRPr="00E75F50">
        <w:lastRenderedPageBreak/>
        <w:t>capability needed to participate, and stronger external incentives and adapted regulatory frameworks to make participation commercially viable</w:t>
      </w:r>
      <w:r w:rsidR="00E75F50">
        <w:t xml:space="preserve">. </w:t>
      </w:r>
      <w:r w:rsidRPr="00C65122">
        <w:t>These findings are consistent with the barriers identified through the stakeholder engagement conducted in this study, particularly the Continuous Process, Labour Cost, and Organisational Inertia barriers, and confirm that the challenges observed in the Hunter Valley cohort are not idiosyncratic to the Australian context but reflect internationally consistent structural constraints</w:t>
      </w:r>
      <w:r w:rsidR="006147C0" w:rsidRPr="006147C0">
        <w:t>.</w:t>
      </w:r>
    </w:p>
    <w:p w14:paraId="14C6871A" w14:textId="73E68F8A" w:rsidR="00DB7793" w:rsidRPr="0030133B" w:rsidRDefault="00DB7793" w:rsidP="00777CAF">
      <w:pPr>
        <w:pStyle w:val="Heading3"/>
      </w:pPr>
      <w:bookmarkStart w:id="26" w:name="_Toc233788288"/>
      <w:r w:rsidRPr="0030133B">
        <w:t>Demand Response</w:t>
      </w:r>
      <w:bookmarkEnd w:id="26"/>
    </w:p>
    <w:p w14:paraId="72D24D96" w14:textId="5E81DFDA" w:rsidR="00427DA0" w:rsidRDefault="00427DA0" w:rsidP="00427DA0">
      <w:pPr>
        <w:pStyle w:val="Heading4"/>
      </w:pPr>
      <w:r>
        <w:t>Definition and Importance</w:t>
      </w:r>
    </w:p>
    <w:p w14:paraId="5FF3C173" w14:textId="70326C5A" w:rsidR="006517FA" w:rsidRDefault="006517FA" w:rsidP="006517FA">
      <w:r w:rsidRPr="006517FA">
        <w:t>Demand response is the intentional and temporary modification of electricity consumption by end users in response to time-varying price signals, system operator instructions, or direct incentive mechanisms. It is a specific and active subset of DSM</w:t>
      </w:r>
      <w:r>
        <w:t>, which encompasses the full range of measures that influence the level and pattern of demand, including energy-efficiency upgrades, behind-the-meter generation, and passive scheduling.</w:t>
      </w:r>
      <w:r w:rsidRPr="006517FA">
        <w:t xml:space="preserve"> DR refers specifically to the deliberate, signal-driven adjustment of consumption in response to external grid conditions</w:t>
      </w:r>
      <w:r w:rsidR="00777CAF" w:rsidRPr="00167E71">
        <w:t xml:space="preserve">. </w:t>
      </w:r>
      <w:commentRangeStart w:id="27"/>
      <w:r w:rsidR="00777CAF" w:rsidRPr="00167E71">
        <w:t>The</w:t>
      </w:r>
      <w:r w:rsidR="00777CAF">
        <w:t xml:space="preserve"> t</w:t>
      </w:r>
      <w:r w:rsidR="00777CAF" w:rsidRPr="00BB7620">
        <w:t xml:space="preserve">hree </w:t>
      </w:r>
      <w:r w:rsidR="00777CAF">
        <w:t>principal</w:t>
      </w:r>
      <w:r w:rsidR="00777CAF" w:rsidRPr="00BB7620">
        <w:t xml:space="preserve"> DR</w:t>
      </w:r>
      <w:r w:rsidR="00777CAF">
        <w:t xml:space="preserve"> modes </w:t>
      </w:r>
      <w:commentRangeEnd w:id="27"/>
      <w:r w:rsidR="00777CAF">
        <w:rPr>
          <w:rStyle w:val="CommentReference"/>
          <w:sz w:val="19"/>
          <w:szCs w:val="24"/>
        </w:rPr>
        <w:commentReference w:id="27"/>
      </w:r>
      <w:r w:rsidR="00777CAF">
        <w:t>are</w:t>
      </w:r>
      <w:r w:rsidR="00777CAF" w:rsidRPr="00BB7620">
        <w:t>: (i) demand curtailment, where demand is decreased, either to meet demand constraints or to match supply, such as by turning off an appliance; (ii) valley filling, where electricity consumption is increased, such as to balance supply from intermittent renewables, such as by turning on an appliance; and (iii) load shifting, where demand is shifted to meet constraints, such as by scheduling an appliance to run at preferred times. By managing demand rather than constructing additional generation or storage capacity, DR addresses intermittency at minimal incremental</w:t>
      </w:r>
      <w:r w:rsidR="00777CAF">
        <w:t xml:space="preserve"> cost</w:t>
      </w:r>
      <w:r w:rsidR="00777CAF" w:rsidRPr="004C1F7C">
        <w:t xml:space="preserve"> </w:t>
      </w:r>
      <w:r>
        <w:t xml:space="preserve"> </w:t>
      </w:r>
      <w:sdt>
        <w:sdtPr>
          <w:id w:val="-1707712930"/>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rsidR="0030133B">
        <w:t>.</w:t>
      </w:r>
    </w:p>
    <w:p w14:paraId="42584D19" w14:textId="20A74229" w:rsidR="006517FA" w:rsidRDefault="006517FA" w:rsidP="006517FA">
      <w:r>
        <w:t xml:space="preserve">The importance of DR to modern power systems is not limited to individual consumer cost savings. At the system level, DR reduces the need for expensive peaking generation </w:t>
      </w:r>
      <w:r w:rsidR="00427DA0">
        <w:t>plants that operate</w:t>
      </w:r>
      <w:r>
        <w:t xml:space="preserve"> only during high-demand periods, extends the operational life of network infrastructure by smoothing demand peaks, and provides a cost-effective means of absorbing intermittent generation without curtailment. By managing demand rather than constructing additional supply or storage capacity, DR addresses intermittency with minimal incremental capital expenditure.</w:t>
      </w:r>
    </w:p>
    <w:p w14:paraId="1B6BD926" w14:textId="20BD4CB0" w:rsidR="006517FA" w:rsidRDefault="006517FA" w:rsidP="006517FA">
      <w:r>
        <w:t>DR also contributes directly to system security. Loads capable of providing a rapid, quantifiable, and repeatable response to a dispatch signal are functionally equivalent to a generating asset from a system operator's perspective</w:t>
      </w:r>
      <w:r w:rsidR="00427DA0">
        <w:t xml:space="preserve">; </w:t>
      </w:r>
      <w:r>
        <w:t>they can be used to provide frequency regulation, spinning reserve, and voltage support in the same way that a controllable generator would. This equivalence is central to the long-term vision for industrial DR in the NEM: not merely as a commercial arrangement between a consumer and a retailer, but as a formal contributor to essential system services</w:t>
      </w:r>
      <w:r w:rsidR="00427DA0">
        <w:t xml:space="preserve"> </w:t>
      </w:r>
      <w:sdt>
        <w:sdtPr>
          <w:id w:val="606779470"/>
          <w:citation/>
        </w:sdtPr>
        <w:sdtEndPr/>
        <w:sdtContent>
          <w:r w:rsidR="00427DA0">
            <w:fldChar w:fldCharType="begin"/>
          </w:r>
          <w:r w:rsidR="00427DA0">
            <w:instrText xml:space="preserve"> CITATION AEM24 \l 3081 </w:instrText>
          </w:r>
          <w:r w:rsidR="00427DA0">
            <w:fldChar w:fldCharType="separate"/>
          </w:r>
          <w:r w:rsidR="00036C9A">
            <w:rPr>
              <w:noProof/>
            </w:rPr>
            <w:t>(AEMO, 2024)</w:t>
          </w:r>
          <w:r w:rsidR="00427DA0">
            <w:fldChar w:fldCharType="end"/>
          </w:r>
        </w:sdtContent>
      </w:sdt>
      <w:sdt>
        <w:sdtPr>
          <w:id w:val="-1571189630"/>
          <w:citation/>
        </w:sdtPr>
        <w:sdtEndPr/>
        <w:sdtContent>
          <w:r w:rsidR="00427DA0">
            <w:fldChar w:fldCharType="begin"/>
          </w:r>
          <w:r w:rsidR="00427DA0">
            <w:instrText xml:space="preserve"> CITATION RMI21 \l 3081 </w:instrText>
          </w:r>
          <w:r w:rsidR="00427DA0">
            <w:fldChar w:fldCharType="separate"/>
          </w:r>
          <w:r w:rsidR="00036C9A">
            <w:rPr>
              <w:noProof/>
            </w:rPr>
            <w:t xml:space="preserve"> (RMIT University, 2021)</w:t>
          </w:r>
          <w:r w:rsidR="00427DA0">
            <w:fldChar w:fldCharType="end"/>
          </w:r>
        </w:sdtContent>
      </w:sdt>
      <w:r w:rsidR="0030133B">
        <w:t>.</w:t>
      </w:r>
    </w:p>
    <w:p w14:paraId="690A3A29" w14:textId="6D2C230A" w:rsidR="00427DA0" w:rsidRPr="0030133B" w:rsidRDefault="00427DA0" w:rsidP="00427DA0">
      <w:pPr>
        <w:pStyle w:val="Heading4"/>
      </w:pPr>
      <w:r w:rsidRPr="0030133B">
        <w:t>Price and Incentive-Based DR Programs</w:t>
      </w:r>
    </w:p>
    <w:p w14:paraId="5B50722D" w14:textId="694872B5" w:rsidR="00427DA0" w:rsidRDefault="00427DA0" w:rsidP="00427DA0">
      <w:r>
        <w:t xml:space="preserve">DR programs are broadly classified into two categories based on the mechanism through which they engage consumers: price-based and incentive-based programs </w:t>
      </w:r>
      <w:sdt>
        <w:sdtPr>
          <w:id w:val="-1666930881"/>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rsidR="0030133B">
        <w:t>.</w:t>
      </w:r>
    </w:p>
    <w:p w14:paraId="3839106D" w14:textId="42A71C00" w:rsidR="00427DA0" w:rsidRDefault="00427DA0" w:rsidP="00427DA0">
      <w:r>
        <w:t xml:space="preserve">Price-based programs use time-varying electricity prices to encourage voluntary shifts in consumption. The two principal variants are ToU pricing, where retail prices increase by a pre-defined amount during specified peak periods, and Real-Time Pricing (RTP), where prices vary continuously in response to wholesale market conditions. Evidence from DR trials suggests that price-based programs are generally more appealing to consumers than incentive-based programs, as they preserve consumer autonomy and do not require advance commitment to curtailment </w:t>
      </w:r>
      <w:sdt>
        <w:sdtPr>
          <w:id w:val="646238809"/>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t>. However, their effectiveness depends on the consumer's ability and willingness to respond; a condition that is more readily met in residential and small commercial settings than in industrial ones, where process constraints limit the scope for price-responsive adjustment.</w:t>
      </w:r>
    </w:p>
    <w:p w14:paraId="0037E48B" w14:textId="5677FB2D" w:rsidR="00427DA0" w:rsidRDefault="00427DA0" w:rsidP="00427DA0">
      <w:r>
        <w:t xml:space="preserve">Incentive-based programs offer direct payments or bill credits in exchange for committing to curtail or modify load on request. These programs are more common among large industrial consumers, whose high consumption gives them the bargaining power to negotiate bespoke arrangements with utilities or aggregators, and whose process constraints mean that financial incentives, rather than price signals, are typically required to justify the operational disruption of participation </w:t>
      </w:r>
      <w:sdt>
        <w:sdtPr>
          <w:id w:val="-1487938613"/>
          <w:citation/>
        </w:sdtPr>
        <w:sdtEndPr/>
        <w:sdtContent>
          <w:r w:rsidR="00FE2A88">
            <w:fldChar w:fldCharType="begin"/>
          </w:r>
          <w:r w:rsidR="00FE2A88">
            <w:instrText xml:space="preserve"> CITATION Wil23 \l 3081 </w:instrText>
          </w:r>
          <w:r w:rsidR="00FE2A88">
            <w:fldChar w:fldCharType="separate"/>
          </w:r>
          <w:r w:rsidR="00036C9A">
            <w:rPr>
              <w:noProof/>
            </w:rPr>
            <w:t>(Williams, et al., 2023)</w:t>
          </w:r>
          <w:r w:rsidR="00FE2A88">
            <w:fldChar w:fldCharType="end"/>
          </w:r>
        </w:sdtContent>
      </w:sdt>
      <w:r>
        <w:t xml:space="preserve">. Williams et al. confirm that electricity costs </w:t>
      </w:r>
      <w:r w:rsidR="00FE2A88">
        <w:t xml:space="preserve">typically represent a small fraction of total costs for industrial consumers, meaning that price signals alone rarely provide sufficient motivation; incentive payments must be structured to exceed the cost of displaced labour or foregone production </w:t>
      </w:r>
      <w:sdt>
        <w:sdtPr>
          <w:id w:val="501787441"/>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rsidR="0030133B">
        <w:t>.</w:t>
      </w:r>
    </w:p>
    <w:p w14:paraId="2E514A0B" w14:textId="7B474BC9" w:rsidR="00427DA0" w:rsidRDefault="00427DA0" w:rsidP="00427DA0">
      <w:r>
        <w:lastRenderedPageBreak/>
        <w:t>In the NEM, industrial and commercial consumers can access both types of programs through several mechanisms</w:t>
      </w:r>
    </w:p>
    <w:p w14:paraId="110235C7" w14:textId="1AA1543F" w:rsidR="00427DA0" w:rsidRPr="0030133B" w:rsidRDefault="00427DA0" w:rsidP="00427DA0">
      <w:pPr>
        <w:pStyle w:val="Heading4"/>
      </w:pPr>
      <w:r w:rsidRPr="0030133B">
        <w:t>Demand Response and Industrial Loads</w:t>
      </w:r>
    </w:p>
    <w:p w14:paraId="698D1A0B" w14:textId="4BA1A24C" w:rsidR="0068255D" w:rsidRDefault="0068255D" w:rsidP="0068255D">
      <w:r w:rsidRPr="0068255D">
        <w:t>In the Australian context, Lashmar et al. find that C&amp;I consumers are motivated primarily by financial benefit but frequently lack awareness of the system and community dimensions of DR participation, and that a clear, structured implementation pathway from awareness to activation is absent from current energy management guidance</w:t>
      </w:r>
      <w:r>
        <w:t xml:space="preserve">. </w:t>
      </w:r>
      <w:sdt>
        <w:sdtPr>
          <w:id w:val="-838843217"/>
          <w:citation/>
        </w:sdtPr>
        <w:sdtEndPr/>
        <w:sdtContent>
          <w:r>
            <w:fldChar w:fldCharType="begin"/>
          </w:r>
          <w:r>
            <w:instrText xml:space="preserve">CITATION Las23 \l 3081 </w:instrText>
          </w:r>
          <w:r>
            <w:fldChar w:fldCharType="separate"/>
          </w:r>
          <w:r w:rsidR="00036C9A">
            <w:rPr>
              <w:noProof/>
            </w:rPr>
            <w:t>(Lashmar, et al., 2023)</w:t>
          </w:r>
          <w:r>
            <w:fldChar w:fldCharType="end"/>
          </w:r>
        </w:sdtContent>
      </w:sdt>
    </w:p>
    <w:p w14:paraId="7FAF9024" w14:textId="6C4260AF" w:rsidR="00991524" w:rsidRDefault="00991524" w:rsidP="00991524">
      <w:r>
        <w:t>The barriers that suppress industrial DR participation are well-documented in the international literature and consistent with the findings of this study. Scharnhorst et al., drawing on empirical interviews with industrial and commercial companies in Germany, find that concerns about product quality, production process disruption, human resource management, and revenue uncertainty are the most frequently cited impediments</w:t>
      </w:r>
      <w:r w:rsidR="00017786">
        <w:t xml:space="preserve"> </w:t>
      </w:r>
      <w:sdt>
        <w:sdtPr>
          <w:id w:val="-1088999325"/>
          <w:citation/>
        </w:sdtPr>
        <w:sdtEndPr/>
        <w:sdtContent>
          <w:r w:rsidR="00017786">
            <w:fldChar w:fldCharType="begin"/>
          </w:r>
          <w:r w:rsidR="00017786">
            <w:instrText xml:space="preserve"> CITATION Sch24 \l 3081 </w:instrText>
          </w:r>
          <w:r w:rsidR="00017786">
            <w:fldChar w:fldCharType="separate"/>
          </w:r>
          <w:r w:rsidR="00036C9A">
            <w:rPr>
              <w:noProof/>
            </w:rPr>
            <w:t>(Scharnhorst, et al., 2024)</w:t>
          </w:r>
          <w:r w:rsidR="00017786">
            <w:fldChar w:fldCharType="end"/>
          </w:r>
        </w:sdtContent>
      </w:sdt>
      <w:r>
        <w:t>. These correspond directly to the Continuous Process, Labour Cost, and Organisational Inertia barriers identified in this study's classification framework. Critically, Scharnhorst et al. observe that overcoming these barriers requires not only bridging internal knowledge gaps but also adapting external incentive structures, a finding that points toward the inadequacy of current program designs for mid-sized industrial consumers.</w:t>
      </w:r>
    </w:p>
    <w:p w14:paraId="42E971C0" w14:textId="2EE6B40D" w:rsidR="00991524" w:rsidRPr="006517FA" w:rsidRDefault="00991524" w:rsidP="00991524">
      <w:r w:rsidRPr="00991524">
        <w:t>The literature consistently identifies structural challenges that suppress industrial DR uptake beyond individual site barriers: small consumers are overlooked by utilities and aggregators; the dual knowledge of process operations and DR participation pathways is rarely present within the same organisation; and load types with high cross-industry DR potential</w:t>
      </w:r>
      <w:r>
        <w:t xml:space="preserve">, </w:t>
      </w:r>
      <w:r w:rsidRPr="00991524">
        <w:t>such as compressed air systems</w:t>
      </w:r>
      <w:r>
        <w:t>,</w:t>
      </w:r>
      <w:r w:rsidRPr="00991524">
        <w:t xml:space="preserve"> are consistently underexploited because programs are designed for individual customers rather than load categories. Digitalisation, including submetering and real-time data analytics, is identified as a precondition for reliable participation, as it addresses the data deficiency that prevents sites from credibly committing to and verifying curtailment events</w:t>
      </w:r>
      <w:r>
        <w:t xml:space="preserve"> </w:t>
      </w:r>
      <w:sdt>
        <w:sdtPr>
          <w:id w:val="147339291"/>
          <w:citation/>
        </w:sdtPr>
        <w:sdtEndPr/>
        <w:sdtContent>
          <w:r>
            <w:fldChar w:fldCharType="begin"/>
          </w:r>
          <w:r>
            <w:instrText xml:space="preserve"> CITATION Wil23 \l 3081  \m Sch24 \m Ran24</w:instrText>
          </w:r>
          <w:r>
            <w:fldChar w:fldCharType="separate"/>
          </w:r>
          <w:r w:rsidR="00036C9A">
            <w:rPr>
              <w:noProof/>
            </w:rPr>
            <w:t>(Williams, et al., 2023; Scharnhorst, et al., 2024; Ranaboldo, et al., 2024)</w:t>
          </w:r>
          <w:r>
            <w:fldChar w:fldCharType="end"/>
          </w:r>
        </w:sdtContent>
      </w:sdt>
      <w:r w:rsidRPr="00991524">
        <w:t>.</w:t>
      </w:r>
      <w:r>
        <w:t xml:space="preserve"> </w:t>
      </w:r>
      <w:r w:rsidRPr="00991524">
        <w:t>All three structural challenges</w:t>
      </w:r>
      <w:r>
        <w:t xml:space="preserve"> and the data deficiency that underpins them</w:t>
      </w:r>
      <w:r w:rsidRPr="00991524">
        <w:t xml:space="preserve"> are directly evidenced in this study's cohort. Shoreh et al. confirm that industrial consumers have traditionally participated below their real potential, and that realising this potential would reduce reliance on more expensive alternatives such as peaking plant or large-scale battery storage</w:t>
      </w:r>
      <w:r>
        <w:t>;</w:t>
      </w:r>
      <w:r w:rsidRPr="00991524">
        <w:t xml:space="preserve"> a case that is not only economically compelling in the Australian context, but operationally urgent given the accelerating retirement of synchronous generation</w:t>
      </w:r>
      <w:r w:rsidR="0030133B">
        <w:t xml:space="preserve"> </w:t>
      </w:r>
      <w:sdt>
        <w:sdtPr>
          <w:id w:val="1755163200"/>
          <w:citation/>
        </w:sdtPr>
        <w:sdtEndPr/>
        <w:sdtContent>
          <w:r>
            <w:fldChar w:fldCharType="begin"/>
          </w:r>
          <w:r>
            <w:instrText xml:space="preserve"> CITATION Sho16 \l 3081 </w:instrText>
          </w:r>
          <w:r>
            <w:fldChar w:fldCharType="separate"/>
          </w:r>
          <w:r w:rsidR="00036C9A">
            <w:rPr>
              <w:noProof/>
            </w:rPr>
            <w:t>(Shoreh, et al., 2016)</w:t>
          </w:r>
          <w:r>
            <w:fldChar w:fldCharType="end"/>
          </w:r>
        </w:sdtContent>
      </w:sdt>
      <w:r w:rsidR="0030133B">
        <w:t>.</w:t>
      </w:r>
    </w:p>
    <w:p w14:paraId="39D31F0D" w14:textId="320D0152" w:rsidR="00FF3288" w:rsidRPr="0030133B" w:rsidRDefault="000846FA" w:rsidP="00FF3288">
      <w:pPr>
        <w:pStyle w:val="Heading2"/>
      </w:pPr>
      <w:bookmarkStart w:id="28" w:name="_Toc233788289"/>
      <w:r w:rsidRPr="0030133B">
        <w:t>Literature Gap</w:t>
      </w:r>
      <w:bookmarkEnd w:id="28"/>
    </w:p>
    <w:p w14:paraId="7E94E135" w14:textId="77777777" w:rsidR="00286BBC" w:rsidRDefault="00236D66" w:rsidP="000E6813">
      <w:r w:rsidRPr="00236D66">
        <w:t>Within the industrial sector, load management has traditionally been applied at the large energy user end</w:t>
      </w:r>
      <w:r>
        <w:t xml:space="preserve">, </w:t>
      </w:r>
      <w:r w:rsidRPr="00236D66">
        <w:t>smelters, and large chemical plants</w:t>
      </w:r>
      <w:r>
        <w:t xml:space="preserve">, </w:t>
      </w:r>
      <w:r w:rsidRPr="00236D66">
        <w:t xml:space="preserve">where the load magnitude justifies the cost of bespoke technical and contractual arrangements. The literature contains comparatively little on load management in mid-sized industrial settings, and none that </w:t>
      </w:r>
      <w:r>
        <w:t>specifically addresses the Hunter Valley or comparable Australian regional industrial economies</w:t>
      </w:r>
      <w:r w:rsidRPr="00236D66">
        <w:t>.</w:t>
      </w:r>
    </w:p>
    <w:p w14:paraId="1EDC761A" w14:textId="15863D3D" w:rsidR="00EF7E8A" w:rsidRDefault="00286BBC" w:rsidP="00EF7E8A">
      <w:r>
        <w:t xml:space="preserve">The literature review above establishes a clear picture: </w:t>
      </w:r>
      <w:r w:rsidRPr="00286BBC">
        <w:t>industrial demand response potential is large, structurally underutilised, and constrained by a combination of technical, organisational, and regulatory barriers that have proven persistent across markets and jurisdictions</w:t>
      </w:r>
      <w:r>
        <w:t>. The following gaps are directly relevant to this study</w:t>
      </w:r>
      <w:r w:rsidR="00EF7E8A">
        <w:t>.</w:t>
      </w:r>
    </w:p>
    <w:p w14:paraId="0AAB9858" w14:textId="087AA6F6" w:rsidR="00EF7E8A" w:rsidRDefault="00EF7E8A" w:rsidP="00EF7E8A">
      <w:pPr>
        <w:pStyle w:val="ListBullet"/>
      </w:pPr>
      <w:r>
        <w:t>There is no published, empirically grounded characterisation of industrial DR potential among mid-sized industrial companies in Australia. The existing literature addresses large energy users (smelters, data centres, chemical plants) or residential and small commercial loads. The mid-sized industrial tier has received almost no systematic attention</w:t>
      </w:r>
      <w:sdt>
        <w:sdtPr>
          <w:id w:val="-1342159687"/>
          <w:citation/>
        </w:sdtPr>
        <w:sdtEndPr/>
        <w:sdtContent>
          <w:r w:rsidR="00286BBC">
            <w:fldChar w:fldCharType="begin"/>
          </w:r>
          <w:r w:rsidR="00286BBC">
            <w:instrText xml:space="preserve"> CITATION Gol22 \l 3081 </w:instrText>
          </w:r>
          <w:r w:rsidR="00BD5473">
            <w:instrText xml:space="preserve"> \m Wil23 \m Sho16</w:instrText>
          </w:r>
          <w:r w:rsidR="00286BBC">
            <w:fldChar w:fldCharType="separate"/>
          </w:r>
          <w:r w:rsidR="00036C9A">
            <w:rPr>
              <w:noProof/>
            </w:rPr>
            <w:t xml:space="preserve"> (Golmohamadi, 2022; Williams, et al., 2023; Shoreh, et al., 2016)</w:t>
          </w:r>
          <w:r w:rsidR="00286BBC">
            <w:fldChar w:fldCharType="end"/>
          </w:r>
        </w:sdtContent>
      </w:sdt>
      <w:r w:rsidR="0030133B">
        <w:t>.</w:t>
      </w:r>
    </w:p>
    <w:p w14:paraId="740013B9" w14:textId="61D93866" w:rsidR="00EF7E8A" w:rsidRDefault="00EF7E8A" w:rsidP="00EF7E8A">
      <w:pPr>
        <w:pStyle w:val="ListBullet"/>
      </w:pPr>
      <w:r>
        <w:t>There is no taxonomy of industrial loads developed from direct stakeholder engagement in an Australian regional industrial context. The load characterisations available in the international literature are largely derived from engineering models or single-sector case studies, and do not reflect the operational realities of diverse mid-sized Australian industrial facilities</w:t>
      </w:r>
      <w:r w:rsidR="00286BBC">
        <w:t xml:space="preserve"> </w:t>
      </w:r>
      <w:sdt>
        <w:sdtPr>
          <w:id w:val="1234894786"/>
          <w:citation/>
        </w:sdtPr>
        <w:sdtEndPr/>
        <w:sdtContent>
          <w:r w:rsidR="00BD5473">
            <w:fldChar w:fldCharType="begin"/>
          </w:r>
          <w:r w:rsidR="00BD5473">
            <w:instrText xml:space="preserve"> CITATION Sho16 \l 3081  \m Ran24</w:instrText>
          </w:r>
          <w:r w:rsidR="00BD5473">
            <w:fldChar w:fldCharType="separate"/>
          </w:r>
          <w:r w:rsidR="00036C9A">
            <w:rPr>
              <w:noProof/>
            </w:rPr>
            <w:t>(Shoreh, et al., 2016; Ranaboldo, et al., 2024)</w:t>
          </w:r>
          <w:r w:rsidR="00BD5473">
            <w:fldChar w:fldCharType="end"/>
          </w:r>
        </w:sdtContent>
      </w:sdt>
      <w:r w:rsidR="0030133B">
        <w:t>.</w:t>
      </w:r>
    </w:p>
    <w:p w14:paraId="4201A368" w14:textId="7A729B7C" w:rsidR="00EF7E8A" w:rsidRDefault="00EF7E8A" w:rsidP="00EF7E8A">
      <w:pPr>
        <w:pStyle w:val="ListBullet"/>
      </w:pPr>
      <w:r>
        <w:t xml:space="preserve">The interplay between barriers and capability factors at the site level has not been systematically modelled. The literature identifies barriers and capabilities as separate categories but does not </w:t>
      </w:r>
      <w:r>
        <w:lastRenderedPageBreak/>
        <w:t>examine their reciprocal relationship; specifically, how removing a barrier can unlock a latent capability, and how building a capability can neutralise a barrier</w:t>
      </w:r>
      <w:r w:rsidR="00286BBC">
        <w:t xml:space="preserve"> </w:t>
      </w:r>
      <w:sdt>
        <w:sdtPr>
          <w:id w:val="-333147882"/>
          <w:citation/>
        </w:sdtPr>
        <w:sdtEndPr/>
        <w:sdtContent>
          <w:r w:rsidR="00BD5473">
            <w:fldChar w:fldCharType="begin"/>
          </w:r>
          <w:r w:rsidR="00BD5473">
            <w:instrText xml:space="preserve"> CITATION Sch24 \l 3081  \m Ran24</w:instrText>
          </w:r>
          <w:r w:rsidR="00BD5473">
            <w:fldChar w:fldCharType="separate"/>
          </w:r>
          <w:r w:rsidR="00036C9A">
            <w:rPr>
              <w:noProof/>
            </w:rPr>
            <w:t>(Scharnhorst, et al., 2024; Ranaboldo, et al., 2024)</w:t>
          </w:r>
          <w:r w:rsidR="00BD5473">
            <w:fldChar w:fldCharType="end"/>
          </w:r>
        </w:sdtContent>
      </w:sdt>
      <w:r w:rsidR="0030133B">
        <w:t>.</w:t>
      </w:r>
    </w:p>
    <w:p w14:paraId="1E4462DB" w14:textId="45AF8BBA" w:rsidR="00EF7E8A" w:rsidRDefault="00EF7E8A" w:rsidP="00EF7E8A">
      <w:pPr>
        <w:pStyle w:val="ListBullet"/>
      </w:pPr>
      <w:r>
        <w:t xml:space="preserve">No Australian equivalent of a standardised industrial DR framework exists. AS 4755 covers </w:t>
      </w:r>
      <w:r w:rsidR="00286BBC">
        <w:t>only residential and small commercial loads</w:t>
      </w:r>
      <w:r>
        <w:t xml:space="preserve">. The absence of standardised </w:t>
      </w:r>
      <w:r w:rsidRPr="00EF7E8A">
        <w:t>telemetry, measurement and verification, and participation protocols is a structural gap that the literature identifies as a root cause of low industrial DR uptake, but which no existing Australian research program has been specifically designed to address</w:t>
      </w:r>
      <w:r w:rsidR="00286BBC">
        <w:t xml:space="preserve"> </w:t>
      </w:r>
      <w:sdt>
        <w:sdtPr>
          <w:id w:val="-302545928"/>
          <w:citation/>
        </w:sdtPr>
        <w:sdtEndPr/>
        <w:sdtContent>
          <w:r w:rsidR="00BC535F">
            <w:fldChar w:fldCharType="begin"/>
          </w:r>
          <w:r w:rsidR="00BC535F">
            <w:instrText xml:space="preserve"> CITATION AEM20 \l 3081 </w:instrText>
          </w:r>
          <w:r w:rsidR="00BC535F">
            <w:fldChar w:fldCharType="separate"/>
          </w:r>
          <w:r w:rsidR="00036C9A">
            <w:rPr>
              <w:noProof/>
            </w:rPr>
            <w:t>(AEMO, 2020)</w:t>
          </w:r>
          <w:r w:rsidR="00BC535F">
            <w:fldChar w:fldCharType="end"/>
          </w:r>
        </w:sdtContent>
      </w:sdt>
      <w:r w:rsidR="0030133B">
        <w:t>.</w:t>
      </w:r>
    </w:p>
    <w:p w14:paraId="3972F5C4" w14:textId="77777777" w:rsidR="00C65122" w:rsidRDefault="00286BBC" w:rsidP="00C65122">
      <w:pPr>
        <w:pStyle w:val="ListBullet"/>
        <w:numPr>
          <w:ilvl w:val="0"/>
          <w:numId w:val="0"/>
        </w:numPr>
      </w:pPr>
      <w:r w:rsidRPr="00286BBC">
        <w:t>This study addresses the first three gaps directly through its stakeholder engagement methodology, load taxonomy, and barrier-capability classification framework. The fourth gap is identified as the primary recommendation for future research, building on the characterisation work completed here</w:t>
      </w:r>
      <w:r>
        <w:t>.</w:t>
      </w:r>
    </w:p>
    <w:p w14:paraId="108D6115" w14:textId="59FC270D" w:rsidR="006C096B" w:rsidRPr="00477B5A" w:rsidRDefault="000B4B9E" w:rsidP="00C65122">
      <w:pPr>
        <w:pStyle w:val="ListBullet"/>
        <w:numPr>
          <w:ilvl w:val="0"/>
          <w:numId w:val="0"/>
        </w:numPr>
      </w:pPr>
      <w:r>
        <w:br w:type="page"/>
      </w:r>
    </w:p>
    <w:p w14:paraId="5B80AB04" w14:textId="5B66445E" w:rsidR="00FF3288" w:rsidRPr="0030133B" w:rsidRDefault="00362313" w:rsidP="00FF3288">
      <w:pPr>
        <w:pStyle w:val="Heading1"/>
      </w:pPr>
      <w:bookmarkStart w:id="29" w:name="_Toc233788290"/>
      <w:r w:rsidRPr="0030133B">
        <w:lastRenderedPageBreak/>
        <w:t>Background</w:t>
      </w:r>
      <w:bookmarkEnd w:id="29"/>
    </w:p>
    <w:p w14:paraId="58C12519" w14:textId="2BD318A9" w:rsidR="00E44A4B" w:rsidRDefault="00E44A4B" w:rsidP="009F31D1">
      <w:r>
        <w:t>The objective of this research project is to investigate the potential for existing mid-sized industrial companies and their loads to provide system services into the NEM. The research focuses on the barriers to such potential and the implementation path to realise this potential.</w:t>
      </w:r>
      <w:r w:rsidR="00F51B4A">
        <w:t xml:space="preserve"> A qualitative, interview-led methodology was adopted, which was designed to generate contextual and operational insights that quantitative surveys alone would be unlikely to uncover.</w:t>
      </w:r>
    </w:p>
    <w:p w14:paraId="33DB814E" w14:textId="063956D8" w:rsidR="00E44A4B" w:rsidRPr="0030133B" w:rsidRDefault="00E44A4B" w:rsidP="00362313">
      <w:pPr>
        <w:pStyle w:val="Heading2"/>
      </w:pPr>
      <w:bookmarkStart w:id="30" w:name="_Toc233788291"/>
      <w:r w:rsidRPr="0030133B">
        <w:t>Research Design</w:t>
      </w:r>
      <w:bookmarkEnd w:id="30"/>
    </w:p>
    <w:p w14:paraId="4D53D5CE" w14:textId="4B159750" w:rsidR="00CE0614" w:rsidRDefault="00CE0614" w:rsidP="00E44A4B">
      <w:r>
        <w:t xml:space="preserve">A qualitative research approach was adopted for this project to reflect its exploratory nature. The research domain for industrial demand response participation in mid-sized industrial </w:t>
      </w:r>
      <w:r w:rsidR="00C61532">
        <w:t>settings remains relatively under</w:t>
      </w:r>
      <w:r w:rsidR="00005715">
        <w:t>-</w:t>
      </w:r>
      <w:r w:rsidR="00C61532">
        <w:t>characterised in both the Australian context and</w:t>
      </w:r>
      <w:r>
        <w:t xml:space="preserve"> </w:t>
      </w:r>
      <w:r w:rsidR="00C61532">
        <w:t xml:space="preserve">internationally. While there is substantial literature on the </w:t>
      </w:r>
      <w:r w:rsidR="00B549C3">
        <w:t>demand-side management and demand response domains, little is available</w:t>
      </w:r>
      <w:r w:rsidR="00C61532">
        <w:t xml:space="preserve"> for the industrial sector. Qualitative methods were considered most appropriate </w:t>
      </w:r>
      <w:r w:rsidR="00B549C3">
        <w:t>for identifying the operational, organisational, and commercial factors that shape an industrial company's potential capacity</w:t>
      </w:r>
      <w:r w:rsidR="00C61532">
        <w:t xml:space="preserve"> to provide system services </w:t>
      </w:r>
      <w:r w:rsidR="0098387D">
        <w:t xml:space="preserve">in the </w:t>
      </w:r>
      <w:r w:rsidR="00AE17B5">
        <w:t>NEM</w:t>
      </w:r>
      <w:r w:rsidR="0098387D">
        <w:t>.</w:t>
      </w:r>
    </w:p>
    <w:p w14:paraId="6CADBE24" w14:textId="21EE140F" w:rsidR="00E44A4B" w:rsidRPr="00E44A4B" w:rsidRDefault="00E44A4B" w:rsidP="00E44A4B">
      <w:r w:rsidRPr="00E44A4B">
        <w:t xml:space="preserve"> The study combined</w:t>
      </w:r>
      <w:r w:rsidR="00CE0614">
        <w:t xml:space="preserve"> </w:t>
      </w:r>
      <w:r w:rsidR="00AE17B5">
        <w:t>s</w:t>
      </w:r>
      <w:r w:rsidR="00E6623F">
        <w:t>ix (6)</w:t>
      </w:r>
      <w:r w:rsidR="00CE0614">
        <w:t xml:space="preserve"> complementary methods</w:t>
      </w:r>
      <w:r w:rsidRPr="00E44A4B">
        <w:t>:</w:t>
      </w:r>
    </w:p>
    <w:p w14:paraId="78944B5D" w14:textId="26D2741D" w:rsidR="009C769B" w:rsidRDefault="009C769B" w:rsidP="00AA3047">
      <w:pPr>
        <w:numPr>
          <w:ilvl w:val="0"/>
          <w:numId w:val="19"/>
        </w:numPr>
      </w:pPr>
      <w:r>
        <w:t>Literature Review</w:t>
      </w:r>
      <w:r w:rsidR="00CE0614">
        <w:t xml:space="preserve"> of Demand Side Management</w:t>
      </w:r>
      <w:r w:rsidR="0098387D">
        <w:t xml:space="preserve"> and Demand Response </w:t>
      </w:r>
      <w:r w:rsidR="00CE0614">
        <w:t>framework</w:t>
      </w:r>
      <w:r w:rsidR="0098387D">
        <w:t xml:space="preserve">s, as well as relevant Standards (including AS 4755); </w:t>
      </w:r>
    </w:p>
    <w:p w14:paraId="2F7A5269" w14:textId="2DE3A21B" w:rsidR="00496A41" w:rsidRDefault="00496A41" w:rsidP="00AA3047">
      <w:pPr>
        <w:numPr>
          <w:ilvl w:val="0"/>
          <w:numId w:val="19"/>
        </w:numPr>
      </w:pPr>
      <w:r>
        <w:t xml:space="preserve">Literature review of Demand Response in industrial settings in Australia and </w:t>
      </w:r>
      <w:r w:rsidR="00B33EEC">
        <w:t>internationally</w:t>
      </w:r>
      <w:r>
        <w:t>;</w:t>
      </w:r>
    </w:p>
    <w:p w14:paraId="071E3EC9" w14:textId="026CDD71" w:rsidR="00E44A4B" w:rsidRPr="00E44A4B" w:rsidRDefault="0098387D" w:rsidP="00AA3047">
      <w:pPr>
        <w:numPr>
          <w:ilvl w:val="0"/>
          <w:numId w:val="19"/>
        </w:numPr>
      </w:pPr>
      <w:r>
        <w:t>Semi-structured Stakeholder interviews were conducted for the majority in person, with only a small number via Teams meetings;</w:t>
      </w:r>
    </w:p>
    <w:p w14:paraId="26CCD9BF" w14:textId="7C071F4B" w:rsidR="0098387D" w:rsidRDefault="0098387D" w:rsidP="00AA3047">
      <w:pPr>
        <w:numPr>
          <w:ilvl w:val="0"/>
          <w:numId w:val="19"/>
        </w:numPr>
      </w:pPr>
      <w:r>
        <w:t xml:space="preserve">Follow-up </w:t>
      </w:r>
      <w:r w:rsidR="00B549C3">
        <w:t>engagements</w:t>
      </w:r>
      <w:r>
        <w:t xml:space="preserve"> </w:t>
      </w:r>
      <w:r w:rsidR="00B33EEC">
        <w:t>were</w:t>
      </w:r>
      <w:r>
        <w:t xml:space="preserve"> conducted through telephone calls and email </w:t>
      </w:r>
      <w:r w:rsidR="00B549C3">
        <w:t>correspondence</w:t>
      </w:r>
      <w:r>
        <w:t xml:space="preserve"> to verify and expand upon initial responses;</w:t>
      </w:r>
    </w:p>
    <w:p w14:paraId="089138BF" w14:textId="0EF005F2" w:rsidR="009C769B" w:rsidRDefault="00E44A4B" w:rsidP="00E6623F">
      <w:pPr>
        <w:numPr>
          <w:ilvl w:val="0"/>
          <w:numId w:val="19"/>
        </w:numPr>
      </w:pPr>
      <w:r w:rsidRPr="00E44A4B">
        <w:t>Document analysis</w:t>
      </w:r>
      <w:r w:rsidR="0098387D">
        <w:t xml:space="preserve">, including </w:t>
      </w:r>
      <w:r w:rsidR="00600A6B">
        <w:t xml:space="preserve">electricity bills, energy audit reports; </w:t>
      </w:r>
      <w:r w:rsidR="00AE17B5">
        <w:t>and</w:t>
      </w:r>
    </w:p>
    <w:p w14:paraId="4F1F232D" w14:textId="3FCC6861" w:rsidR="00AE17B5" w:rsidRDefault="00AE17B5" w:rsidP="00AA3047">
      <w:pPr>
        <w:numPr>
          <w:ilvl w:val="0"/>
          <w:numId w:val="19"/>
        </w:numPr>
      </w:pPr>
      <w:r>
        <w:t>I</w:t>
      </w:r>
      <w:r w:rsidRPr="00AE17B5">
        <w:t>ntegration of existing energy audit data from previous Advitech-led site assessments</w:t>
      </w:r>
      <w:r w:rsidR="00E6623F">
        <w:t>. These</w:t>
      </w:r>
      <w:r w:rsidRPr="00AE17B5">
        <w:t xml:space="preserve"> provided a baseline of independently verified equipment-level consumption and operational data for a subset of participants, supplementing and cross-validating information gathered through the primary interview process</w:t>
      </w:r>
      <w:r w:rsidR="00545687">
        <w:t>.</w:t>
      </w:r>
    </w:p>
    <w:p w14:paraId="776C4FE8" w14:textId="4D964A1E" w:rsidR="00496A41" w:rsidRPr="00E44A4B" w:rsidRDefault="00496A41" w:rsidP="00496A41">
      <w:r>
        <w:t xml:space="preserve">This structured research approach allowed the researchers to </w:t>
      </w:r>
      <w:r w:rsidR="0076709C">
        <w:t>assess</w:t>
      </w:r>
      <w:r>
        <w:t xml:space="preserve"> </w:t>
      </w:r>
      <w:r w:rsidR="00005715">
        <w:t xml:space="preserve">the extent to which demand-side management, demand response, and the </w:t>
      </w:r>
      <w:r>
        <w:t>provision of system services</w:t>
      </w:r>
      <w:r w:rsidR="0076709C">
        <w:t>,</w:t>
      </w:r>
      <w:r>
        <w:t xml:space="preserve"> as a whole</w:t>
      </w:r>
      <w:r w:rsidR="0076709C">
        <w:t>,</w:t>
      </w:r>
      <w:r>
        <w:t xml:space="preserve"> have been </w:t>
      </w:r>
      <w:r w:rsidR="0076709C">
        <w:t>addressed</w:t>
      </w:r>
      <w:r>
        <w:t xml:space="preserve"> so far in </w:t>
      </w:r>
      <w:r w:rsidR="0076709C">
        <w:t xml:space="preserve">both the </w:t>
      </w:r>
      <w:r>
        <w:t xml:space="preserve">literature and real-world </w:t>
      </w:r>
      <w:r w:rsidR="0076709C">
        <w:t>industrial applications</w:t>
      </w:r>
      <w:r>
        <w:t xml:space="preserve">. </w:t>
      </w:r>
      <w:r w:rsidR="0076709C">
        <w:t xml:space="preserve">This sequencing of the research methods </w:t>
      </w:r>
      <w:r w:rsidR="00005715">
        <w:t>laid</w:t>
      </w:r>
      <w:r>
        <w:t xml:space="preserve"> the foundation for the stakeholder</w:t>
      </w:r>
      <w:r w:rsidR="0076709C">
        <w:t>s’</w:t>
      </w:r>
      <w:r>
        <w:t xml:space="preserve"> interview</w:t>
      </w:r>
      <w:r w:rsidR="0076709C">
        <w:t>s</w:t>
      </w:r>
      <w:r>
        <w:t xml:space="preserve">, </w:t>
      </w:r>
      <w:r w:rsidR="0076709C">
        <w:t xml:space="preserve">enabling </w:t>
      </w:r>
      <w:r>
        <w:t>comparison</w:t>
      </w:r>
      <w:r w:rsidR="00005715">
        <w:t>s</w:t>
      </w:r>
      <w:r>
        <w:t xml:space="preserve"> between </w:t>
      </w:r>
      <w:r w:rsidR="0076709C">
        <w:t xml:space="preserve">theoretical findings in </w:t>
      </w:r>
      <w:r w:rsidR="00B33EEC">
        <w:t xml:space="preserve">the </w:t>
      </w:r>
      <w:r w:rsidR="0076709C">
        <w:t xml:space="preserve">literature and practical conditions observed </w:t>
      </w:r>
      <w:r w:rsidR="00005715">
        <w:t>in</w:t>
      </w:r>
      <w:r w:rsidR="0076709C">
        <w:t xml:space="preserve"> industrial settings</w:t>
      </w:r>
      <w:r>
        <w:t xml:space="preserve">. It is often the case that research papers and their findings </w:t>
      </w:r>
      <w:r w:rsidR="0076709C">
        <w:t>do not align with</w:t>
      </w:r>
      <w:r>
        <w:t xml:space="preserve"> </w:t>
      </w:r>
      <w:r w:rsidR="00B33EEC">
        <w:t>real-world</w:t>
      </w:r>
      <w:r w:rsidR="0076709C">
        <w:t xml:space="preserve"> scenarios. This approach was intended to identify potential gaps between academic research and the loads available and the operational realities influencing industrial participation in the provision of system services.</w:t>
      </w:r>
    </w:p>
    <w:p w14:paraId="613FD682" w14:textId="4D7E55AF" w:rsidR="009F31D1" w:rsidRPr="00AE17B5" w:rsidRDefault="009C769B" w:rsidP="00362313">
      <w:pPr>
        <w:pStyle w:val="Heading2"/>
      </w:pPr>
      <w:bookmarkStart w:id="31" w:name="_Toc233788292"/>
      <w:r w:rsidRPr="00AE17B5">
        <w:t>Focus Area</w:t>
      </w:r>
      <w:bookmarkEnd w:id="31"/>
      <w:r w:rsidRPr="00AE17B5">
        <w:t xml:space="preserve"> </w:t>
      </w:r>
    </w:p>
    <w:p w14:paraId="7A02668F" w14:textId="1735F342" w:rsidR="00E44A4B" w:rsidRDefault="009C769B" w:rsidP="00E44A4B">
      <w:r>
        <w:t>Stakeholder engagement was</w:t>
      </w:r>
      <w:r w:rsidR="00F51B4A">
        <w:t xml:space="preserve"> geographically</w:t>
      </w:r>
      <w:r>
        <w:t xml:space="preserve"> focused </w:t>
      </w:r>
      <w:r w:rsidR="00F51B4A">
        <w:t>on a single region</w:t>
      </w:r>
      <w:r w:rsidR="00612318">
        <w:t xml:space="preserve">: </w:t>
      </w:r>
      <w:r w:rsidR="00F51B4A">
        <w:t>the Hunter Valley,</w:t>
      </w:r>
      <w:r>
        <w:t xml:space="preserve"> NSW.</w:t>
      </w:r>
      <w:r w:rsidR="00F51B4A">
        <w:t xml:space="preserve"> This region was selected </w:t>
      </w:r>
      <w:r w:rsidR="00FF754F">
        <w:t>for its diverse and established industrial base spanning sectors such as manufacturing, mining, food processing, environmental services, and data infrastructure, providing</w:t>
      </w:r>
      <w:r w:rsidR="00612318">
        <w:t xml:space="preserve"> sufficient sectoral variety to enable cross-industry comparisons. Due to the </w:t>
      </w:r>
      <w:r w:rsidR="00FF754F">
        <w:t>abundance</w:t>
      </w:r>
      <w:r w:rsidR="00612318">
        <w:t xml:space="preserve"> of renewable </w:t>
      </w:r>
      <w:r w:rsidR="00FF754F">
        <w:t>resources</w:t>
      </w:r>
      <w:r w:rsidR="00B549C3">
        <w:t>, the region is undergoing a significant energy transition, moving away from historical dependence on coal-fired generation and the closure of thermal power plants,</w:t>
      </w:r>
      <w:r w:rsidR="00FF754F">
        <w:t xml:space="preserve"> thus </w:t>
      </w:r>
      <w:r w:rsidR="0039308E">
        <w:t xml:space="preserve">making the question of industrial load flexibility particularly pertinent to local grid stability. Furthermore, Advitech’s established professional presence in the region facilitated access to companies that may otherwise have been reluctant to engage with an externally </w:t>
      </w:r>
      <w:r w:rsidR="00673A4D">
        <w:t>initiated</w:t>
      </w:r>
      <w:r w:rsidR="0039308E">
        <w:t xml:space="preserve"> research program. This </w:t>
      </w:r>
      <w:r w:rsidR="00914F9A">
        <w:t>access</w:t>
      </w:r>
      <w:r w:rsidR="0039308E">
        <w:t xml:space="preserve"> </w:t>
      </w:r>
      <w:r w:rsidR="00FF754F">
        <w:t>facilitated</w:t>
      </w:r>
      <w:r w:rsidR="0039308E">
        <w:t xml:space="preserve"> a more </w:t>
      </w:r>
      <w:r w:rsidR="00FF754F">
        <w:t>meaningful stakeholder engagement that would typically be achieved through cold outreach methods.</w:t>
      </w:r>
    </w:p>
    <w:p w14:paraId="35B14FEB" w14:textId="53A0BC46" w:rsidR="00E44A4B" w:rsidRPr="00AE17B5" w:rsidRDefault="00A61AC4" w:rsidP="00362313">
      <w:pPr>
        <w:pStyle w:val="Heading2"/>
      </w:pPr>
      <w:bookmarkStart w:id="32" w:name="_Ref230877489"/>
      <w:bookmarkStart w:id="33" w:name="_Toc233788293"/>
      <w:r w:rsidRPr="00AE17B5">
        <w:lastRenderedPageBreak/>
        <w:t xml:space="preserve">Stakeholder Engagement </w:t>
      </w:r>
      <w:r w:rsidR="00824C47" w:rsidRPr="00AE17B5">
        <w:t>Sampling Strategy</w:t>
      </w:r>
      <w:bookmarkEnd w:id="32"/>
      <w:bookmarkEnd w:id="33"/>
    </w:p>
    <w:p w14:paraId="514CB654" w14:textId="4E68D8E9" w:rsidR="00FF754F" w:rsidRDefault="00FF754F" w:rsidP="00FF754F">
      <w:r>
        <w:t>Participating companies were recruited through three complementary channels: Advitech’s existing professional networks within the Hunter Valley industrial community; referrals from industry bodies and professional organisations; and</w:t>
      </w:r>
      <w:r w:rsidR="00546DA5">
        <w:t xml:space="preserve"> engagement with</w:t>
      </w:r>
      <w:r>
        <w:t xml:space="preserve"> companies that had previously participated in Advitech</w:t>
      </w:r>
      <w:r w:rsidR="00546DA5">
        <w:t>-led</w:t>
      </w:r>
      <w:r>
        <w:t xml:space="preserve"> energy studies.</w:t>
      </w:r>
    </w:p>
    <w:p w14:paraId="4F87A08A" w14:textId="3D75AFC0" w:rsidR="00412EFB" w:rsidRDefault="000F6576" w:rsidP="00FF754F">
      <w:r>
        <w:t>Mid-sized i</w:t>
      </w:r>
      <w:r w:rsidR="00AF1727">
        <w:t xml:space="preserve">ndustrial companies </w:t>
      </w:r>
      <w:r w:rsidR="006912D3">
        <w:t>were selected</w:t>
      </w:r>
      <w:r>
        <w:t xml:space="preserve"> to ensure representation across a range of industry sectors, energy consumption scales, and operational profiles. </w:t>
      </w:r>
      <w:r w:rsidR="00CE4618">
        <w:t>In total, t</w:t>
      </w:r>
      <w:r>
        <w:t>h</w:t>
      </w:r>
      <w:r w:rsidR="00CE4618">
        <w:t>e study engaged</w:t>
      </w:r>
      <w:r>
        <w:t xml:space="preserve"> 2</w:t>
      </w:r>
      <w:r w:rsidR="00D44FF4">
        <w:t>2</w:t>
      </w:r>
      <w:r>
        <w:t xml:space="preserve"> industrial participants</w:t>
      </w:r>
      <w:r w:rsidR="00CE4618">
        <w:t>, with annual energy consumption ranging from approximately 280 to 100,000 MWh, a spectrum that effectively captures both ends of mid-sized industrial loads.</w:t>
      </w:r>
    </w:p>
    <w:p w14:paraId="46350782" w14:textId="61745F3C" w:rsidR="004C6E60" w:rsidRDefault="00CE4618" w:rsidP="00FF754F">
      <w:r>
        <w:t xml:space="preserve">Due to </w:t>
      </w:r>
      <w:r w:rsidR="008762D0">
        <w:t xml:space="preserve">the </w:t>
      </w:r>
      <w:r w:rsidR="00412EFB">
        <w:t>commercial</w:t>
      </w:r>
      <w:r>
        <w:t xml:space="preserve"> and confidential </w:t>
      </w:r>
      <w:r w:rsidR="008762D0">
        <w:t xml:space="preserve">nature of the </w:t>
      </w:r>
      <w:r>
        <w:t xml:space="preserve">information provided during the stakeholder engagement, all participating companies were anonymised for the purpose of this Project and report, identified only by </w:t>
      </w:r>
      <w:r w:rsidRPr="00546DA5">
        <w:t>alphabetical designation</w:t>
      </w:r>
      <w:r>
        <w:t>.</w:t>
      </w:r>
      <w:r w:rsidR="00412EFB">
        <w:t xml:space="preserve"> The participant group comprises two distinct cohorts. The </w:t>
      </w:r>
      <w:r w:rsidR="004C6E60" w:rsidRPr="004C6E60">
        <w:t>Primary participants</w:t>
      </w:r>
      <w:r w:rsidR="00412EFB">
        <w:t>, consisting of companies engaged directly through the stakeholder engagement process, are identified as Companies A through N. The supplementary cohort, consisting of companies drawn from previous energy audits, is</w:t>
      </w:r>
      <w:r w:rsidR="004C6E60" w:rsidRPr="004C6E60">
        <w:t xml:space="preserve"> designated AA through LL, preserving the distinction between the two cohorts throughout the report.</w:t>
      </w:r>
    </w:p>
    <w:p w14:paraId="6C60BEB8" w14:textId="26A3BDA3" w:rsidR="00E52A80" w:rsidRDefault="00E52A80" w:rsidP="00E52A80">
      <w:r>
        <w:fldChar w:fldCharType="begin"/>
      </w:r>
      <w:r>
        <w:instrText xml:space="preserve"> REF _Ref230773620 \h </w:instrText>
      </w:r>
      <w:r>
        <w:fldChar w:fldCharType="separate"/>
      </w:r>
      <w:r w:rsidR="00036C9A">
        <w:t xml:space="preserve">Figure </w:t>
      </w:r>
      <w:r w:rsidR="00036C9A">
        <w:rPr>
          <w:noProof/>
        </w:rPr>
        <w:t>4</w:t>
      </w:r>
      <w:r>
        <w:fldChar w:fldCharType="end"/>
      </w:r>
      <w:r>
        <w:t xml:space="preserve"> and</w:t>
      </w:r>
      <w:r w:rsidR="008F22A0">
        <w:t xml:space="preserve"> </w:t>
      </w:r>
      <w:r>
        <w:fldChar w:fldCharType="begin"/>
      </w:r>
      <w:r>
        <w:instrText xml:space="preserve"> REF _Ref230773644 \h </w:instrText>
      </w:r>
      <w:r>
        <w:fldChar w:fldCharType="separate"/>
      </w:r>
      <w:r w:rsidR="00036C9A">
        <w:t xml:space="preserve">Figure </w:t>
      </w:r>
      <w:r w:rsidR="00036C9A">
        <w:rPr>
          <w:noProof/>
        </w:rPr>
        <w:t>5</w:t>
      </w:r>
      <w:r>
        <w:fldChar w:fldCharType="end"/>
      </w:r>
      <w:r>
        <w:t>, provide a graphical representation of the</w:t>
      </w:r>
      <w:r w:rsidR="008762D0">
        <w:t xml:space="preserve"> annual</w:t>
      </w:r>
      <w:r>
        <w:t xml:space="preserve"> energy consumption </w:t>
      </w:r>
      <w:r w:rsidR="008762D0">
        <w:t xml:space="preserve">across the full participant group. </w:t>
      </w:r>
      <w:r w:rsidR="008F22A0">
        <w:fldChar w:fldCharType="begin"/>
      </w:r>
      <w:r w:rsidR="008F22A0">
        <w:instrText xml:space="preserve"> REF _Ref230773620 \h </w:instrText>
      </w:r>
      <w:r w:rsidR="008F22A0">
        <w:fldChar w:fldCharType="separate"/>
      </w:r>
      <w:r w:rsidR="00036C9A">
        <w:t xml:space="preserve">Figure </w:t>
      </w:r>
      <w:r w:rsidR="00036C9A">
        <w:rPr>
          <w:noProof/>
        </w:rPr>
        <w:t>4</w:t>
      </w:r>
      <w:r w:rsidR="008F22A0">
        <w:fldChar w:fldCharType="end"/>
      </w:r>
      <w:r w:rsidR="008F22A0">
        <w:t xml:space="preserve"> </w:t>
      </w:r>
      <w:r w:rsidR="008762D0">
        <w:t xml:space="preserve">presents the complete list of industrial sites; </w:t>
      </w:r>
      <w:r w:rsidR="008F22A0">
        <w:fldChar w:fldCharType="begin"/>
      </w:r>
      <w:r w:rsidR="008F22A0">
        <w:instrText xml:space="preserve"> REF _Ref230773644 \h </w:instrText>
      </w:r>
      <w:r w:rsidR="008F22A0">
        <w:fldChar w:fldCharType="separate"/>
      </w:r>
      <w:r w:rsidR="00036C9A">
        <w:t xml:space="preserve">Figure </w:t>
      </w:r>
      <w:r w:rsidR="00036C9A">
        <w:rPr>
          <w:noProof/>
        </w:rPr>
        <w:t>5</w:t>
      </w:r>
      <w:r w:rsidR="008F22A0">
        <w:fldChar w:fldCharType="end"/>
      </w:r>
      <w:r w:rsidR="008762D0">
        <w:t xml:space="preserve"> excludes the </w:t>
      </w:r>
      <w:r w:rsidR="00D74F45">
        <w:t>two</w:t>
      </w:r>
      <w:r w:rsidR="008762D0">
        <w:t xml:space="preserve"> highest-energy consumers to provide greater resolution among the remaining participants.</w:t>
      </w:r>
      <w:r>
        <w:t xml:space="preserve"> </w:t>
      </w:r>
      <w:r w:rsidR="00D63727">
        <w:fldChar w:fldCharType="begin"/>
      </w:r>
      <w:r w:rsidR="00D63727">
        <w:instrText xml:space="preserve"> REF _Ref230818926 \h </w:instrText>
      </w:r>
      <w:r w:rsidR="00D63727">
        <w:fldChar w:fldCharType="separate"/>
      </w:r>
      <w:r w:rsidR="00036C9A" w:rsidRPr="001B43BB">
        <w:t xml:space="preserve">Figure </w:t>
      </w:r>
      <w:r w:rsidR="00036C9A">
        <w:rPr>
          <w:noProof/>
        </w:rPr>
        <w:t>6</w:t>
      </w:r>
      <w:r w:rsidR="00D63727">
        <w:fldChar w:fldCharType="end"/>
      </w:r>
      <w:r>
        <w:t xml:space="preserve"> illustrates the annual energy consumption by sector.</w:t>
      </w:r>
    </w:p>
    <w:p w14:paraId="56819578" w14:textId="77777777" w:rsidR="00E52A80" w:rsidRDefault="00E52A80" w:rsidP="00E52A80">
      <w:pPr>
        <w:keepNext/>
        <w:jc w:val="center"/>
      </w:pPr>
      <w:r w:rsidRPr="00FA6A01">
        <w:rPr>
          <w:noProof/>
        </w:rPr>
        <w:drawing>
          <wp:inline distT="0" distB="0" distL="0" distR="0" wp14:anchorId="3C69F33A" wp14:editId="0B3BAD60">
            <wp:extent cx="4771520" cy="3249866"/>
            <wp:effectExtent l="0" t="0" r="0" b="8255"/>
            <wp:docPr id="73665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54394" name="Picture 1"/>
                    <pic:cNvPicPr/>
                  </pic:nvPicPr>
                  <pic:blipFill>
                    <a:blip r:embed="rId36">
                      <a:extLst>
                        <a:ext uri="{96DAC541-7B7A-43D3-8B79-37D633B846F1}">
                          <asvg:svgBlip xmlns:asvg="http://schemas.microsoft.com/office/drawing/2016/SVG/main" r:embed="rId37"/>
                        </a:ext>
                      </a:extLst>
                    </a:blip>
                    <a:stretch>
                      <a:fillRect/>
                    </a:stretch>
                  </pic:blipFill>
                  <pic:spPr>
                    <a:xfrm>
                      <a:off x="0" y="0"/>
                      <a:ext cx="4771520" cy="3249866"/>
                    </a:xfrm>
                    <a:prstGeom prst="rect">
                      <a:avLst/>
                    </a:prstGeom>
                  </pic:spPr>
                </pic:pic>
              </a:graphicData>
            </a:graphic>
          </wp:inline>
        </w:drawing>
      </w:r>
    </w:p>
    <w:p w14:paraId="444FF156" w14:textId="5B0B4F03" w:rsidR="00E52A80" w:rsidRDefault="00E52A80" w:rsidP="00E52A80">
      <w:pPr>
        <w:pStyle w:val="Caption"/>
      </w:pPr>
      <w:bookmarkStart w:id="34" w:name="_Ref230773620"/>
      <w:bookmarkStart w:id="35" w:name="_Toc233788341"/>
      <w:r>
        <w:t xml:space="preserve">Figure </w:t>
      </w:r>
      <w:fldSimple w:instr=" SEQ Figure \* ARABIC ">
        <w:r w:rsidR="00036C9A">
          <w:rPr>
            <w:noProof/>
          </w:rPr>
          <w:t>4</w:t>
        </w:r>
      </w:fldSimple>
      <w:bookmarkEnd w:id="34"/>
      <w:r>
        <w:t>: Energy Consumption by Industrial Participants</w:t>
      </w:r>
      <w:bookmarkEnd w:id="35"/>
    </w:p>
    <w:p w14:paraId="49EA5ACA" w14:textId="77777777" w:rsidR="00E52A80" w:rsidRDefault="00E52A80" w:rsidP="00E52A80">
      <w:pPr>
        <w:keepNext/>
        <w:jc w:val="center"/>
      </w:pPr>
      <w:r w:rsidRPr="00FA6A01">
        <w:rPr>
          <w:noProof/>
        </w:rPr>
        <w:lastRenderedPageBreak/>
        <w:drawing>
          <wp:inline distT="0" distB="0" distL="0" distR="0" wp14:anchorId="1A043E96" wp14:editId="2374F883">
            <wp:extent cx="4759807" cy="3230358"/>
            <wp:effectExtent l="0" t="0" r="3175" b="8255"/>
            <wp:docPr id="1874133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33765" name="Picture 1"/>
                    <pic:cNvPicPr/>
                  </pic:nvPicPr>
                  <pic:blipFill>
                    <a:blip r:embed="rId38">
                      <a:extLst>
                        <a:ext uri="{96DAC541-7B7A-43D3-8B79-37D633B846F1}">
                          <asvg:svgBlip xmlns:asvg="http://schemas.microsoft.com/office/drawing/2016/SVG/main" r:embed="rId39"/>
                        </a:ext>
                      </a:extLst>
                    </a:blip>
                    <a:stretch>
                      <a:fillRect/>
                    </a:stretch>
                  </pic:blipFill>
                  <pic:spPr>
                    <a:xfrm>
                      <a:off x="0" y="0"/>
                      <a:ext cx="4759807" cy="3230358"/>
                    </a:xfrm>
                    <a:prstGeom prst="rect">
                      <a:avLst/>
                    </a:prstGeom>
                  </pic:spPr>
                </pic:pic>
              </a:graphicData>
            </a:graphic>
          </wp:inline>
        </w:drawing>
      </w:r>
    </w:p>
    <w:p w14:paraId="3EA9DC76" w14:textId="6967C013" w:rsidR="00E52A80" w:rsidRDefault="00E52A80" w:rsidP="00E52A80">
      <w:pPr>
        <w:pStyle w:val="Caption"/>
      </w:pPr>
      <w:bookmarkStart w:id="36" w:name="_Ref230773644"/>
      <w:bookmarkStart w:id="37" w:name="_Toc233788342"/>
      <w:r>
        <w:t xml:space="preserve">Figure </w:t>
      </w:r>
      <w:fldSimple w:instr=" SEQ Figure \* ARABIC ">
        <w:r w:rsidR="00036C9A">
          <w:rPr>
            <w:noProof/>
          </w:rPr>
          <w:t>5</w:t>
        </w:r>
      </w:fldSimple>
      <w:bookmarkEnd w:id="36"/>
      <w:r>
        <w:t>: Energy Consumption by Industrial participants Without Major Users: Company G and M.</w:t>
      </w:r>
      <w:bookmarkEnd w:id="37"/>
      <w:r>
        <w:t xml:space="preserve"> </w:t>
      </w:r>
    </w:p>
    <w:p w14:paraId="334420ED" w14:textId="77777777" w:rsidR="00D63727" w:rsidRPr="00D63727" w:rsidRDefault="00D63727" w:rsidP="00D63727"/>
    <w:p w14:paraId="0B61F907" w14:textId="615D4A19" w:rsidR="0043676E" w:rsidRDefault="00615ACA" w:rsidP="00D74F45">
      <w:pPr>
        <w:keepNext/>
        <w:jc w:val="center"/>
      </w:pPr>
      <w:r>
        <w:rPr>
          <w:noProof/>
        </w:rPr>
        <w:drawing>
          <wp:inline distT="0" distB="0" distL="0" distR="0" wp14:anchorId="1046FAA9" wp14:editId="577D4299">
            <wp:extent cx="5695950" cy="3352800"/>
            <wp:effectExtent l="0" t="0" r="0" b="0"/>
            <wp:docPr id="1200976952" name="Chart 1">
              <a:extLst xmlns:a="http://schemas.openxmlformats.org/drawingml/2006/main">
                <a:ext uri="{FF2B5EF4-FFF2-40B4-BE49-F238E27FC236}">
                  <a16:creationId xmlns:a16="http://schemas.microsoft.com/office/drawing/2014/main" id="{745AADFA-F973-4133-8B00-78356C95E5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57B75FC" w14:textId="76DF30F3" w:rsidR="00E52A80" w:rsidRDefault="0043676E" w:rsidP="0043676E">
      <w:pPr>
        <w:pStyle w:val="Caption"/>
      </w:pPr>
      <w:bookmarkStart w:id="38" w:name="_Ref230818926"/>
      <w:bookmarkStart w:id="39" w:name="_Toc233788343"/>
      <w:r w:rsidRPr="001B43BB">
        <w:t xml:space="preserve">Figure </w:t>
      </w:r>
      <w:fldSimple w:instr=" SEQ Figure \* ARABIC ">
        <w:r w:rsidR="00036C9A">
          <w:rPr>
            <w:noProof/>
          </w:rPr>
          <w:t>6</w:t>
        </w:r>
      </w:fldSimple>
      <w:bookmarkEnd w:id="38"/>
      <w:r w:rsidRPr="001B43BB">
        <w:t>:</w:t>
      </w:r>
      <w:r>
        <w:t xml:space="preserve"> Annual Energy Consumption by Sector</w:t>
      </w:r>
      <w:r w:rsidR="00E144F4">
        <w:t xml:space="preserve"> in MWh</w:t>
      </w:r>
      <w:bookmarkEnd w:id="39"/>
    </w:p>
    <w:p w14:paraId="5CD57545" w14:textId="3E22BD57" w:rsidR="006F25A5" w:rsidRDefault="006F25A5" w:rsidP="006F25A5">
      <w:pPr>
        <w:pStyle w:val="Heading1"/>
      </w:pPr>
      <w:bookmarkStart w:id="40" w:name="_Toc233788294"/>
      <w:r>
        <w:t>Methodology</w:t>
      </w:r>
      <w:bookmarkEnd w:id="40"/>
    </w:p>
    <w:p w14:paraId="28FE2643" w14:textId="77777777" w:rsidR="006F25A5" w:rsidRPr="00F827B5" w:rsidRDefault="006F25A5" w:rsidP="006F25A5">
      <w:pPr>
        <w:pStyle w:val="Heading2"/>
      </w:pPr>
      <w:bookmarkStart w:id="41" w:name="_Ref233678826"/>
      <w:bookmarkStart w:id="42" w:name="_Ref233679109"/>
      <w:bookmarkStart w:id="43" w:name="_Ref233687225"/>
      <w:bookmarkStart w:id="44" w:name="_Toc233788295"/>
      <w:r w:rsidRPr="00F827B5">
        <w:t>Stakeholder Engagement</w:t>
      </w:r>
      <w:bookmarkEnd w:id="41"/>
      <w:bookmarkEnd w:id="42"/>
      <w:bookmarkEnd w:id="43"/>
      <w:bookmarkEnd w:id="44"/>
    </w:p>
    <w:p w14:paraId="467DF4FB" w14:textId="7210DFD3" w:rsidR="00360948" w:rsidRDefault="00360948" w:rsidP="00360948">
      <w:r>
        <w:t xml:space="preserve">The Hunter Region was selected due to its </w:t>
      </w:r>
      <w:r w:rsidR="00005715">
        <w:t>status</w:t>
      </w:r>
      <w:r>
        <w:t xml:space="preserve"> as Australia’s largest regional economy, its diverse industrial base, and its growing renewable energy sector. </w:t>
      </w:r>
      <w:r w:rsidR="00284F2F" w:rsidRPr="00284F2F">
        <w:t xml:space="preserve">While several other Australian regions, including the Pilbara, Gladstone, the Illawarra, Kwinana, and the Latrobe Valley, are similarly significant industrial </w:t>
      </w:r>
      <w:r w:rsidR="00284F2F" w:rsidRPr="00284F2F">
        <w:lastRenderedPageBreak/>
        <w:t>centres and together account for a substantial share of national industrial emissions, most are characterised by a narrower, sector-dominant industrial profile, such as Gladstone's concentration in alumina and coal export or the Pilbara's in iron ore and resources</w:t>
      </w:r>
      <w:r w:rsidR="00284F2F">
        <w:t xml:space="preserve"> </w:t>
      </w:r>
      <w:sdt>
        <w:sdtPr>
          <w:id w:val="953207674"/>
          <w:citation/>
        </w:sdtPr>
        <w:sdtEndPr/>
        <w:sdtContent>
          <w:r w:rsidR="00284F2F">
            <w:fldChar w:fldCharType="begin"/>
          </w:r>
          <w:r w:rsidR="00284F2F">
            <w:instrText xml:space="preserve"> CITATION Cli22 \l 3081 </w:instrText>
          </w:r>
          <w:r w:rsidR="00284F2F">
            <w:fldChar w:fldCharType="separate"/>
          </w:r>
          <w:r w:rsidR="00036C9A">
            <w:rPr>
              <w:noProof/>
            </w:rPr>
            <w:t>(Climateworks Centre, 2022)</w:t>
          </w:r>
          <w:r w:rsidR="00284F2F">
            <w:fldChar w:fldCharType="end"/>
          </w:r>
        </w:sdtContent>
      </w:sdt>
      <w:r w:rsidR="00284F2F" w:rsidRPr="00284F2F">
        <w:t>. The Hunter is distinguished not by being an outlier in industrial opportunity, but by the breadth of its industrial base, spanning mining, manufacturing, food processing, defence, and an emerging renewable energy sector, which made it particularly well suited to a study seeking cross-sectoral comparison rather than depth within a single dominant industry.</w:t>
      </w:r>
      <w:r w:rsidR="00284F2F">
        <w:t xml:space="preserve"> </w:t>
      </w:r>
      <w:r>
        <w:t>Advitech’s 30-year presence in the Hunter also provided an established network to support this research.</w:t>
      </w:r>
    </w:p>
    <w:p w14:paraId="692C1BEB" w14:textId="1EEB5688" w:rsidR="00360948" w:rsidRDefault="00360948" w:rsidP="00360948">
      <w:r>
        <w:t xml:space="preserve">Advitech’s engagement strategy centred on major industrial energy users, renewable energy developers, and market participants. Utilising its industry connections, Advitech identified stakeholders </w:t>
      </w:r>
      <w:r w:rsidR="00D759BE">
        <w:t xml:space="preserve"> </w:t>
      </w:r>
      <w:r w:rsidR="00D759BE" w:rsidRPr="00D759BE">
        <w:t>specifically on the basis of their potential to provide demand response and system services, prioritising companies with flexible operational processes, significant energy consumption or generation profiles, or characteristics likely to indicate latent DR capacity. This selection focus reflects the core research objective of the study, to characterise and assess industrial demand response potential, rather than a broader survey of industrial energy users generally</w:t>
      </w:r>
      <w:r>
        <w:t xml:space="preserve">. </w:t>
      </w:r>
      <w:r w:rsidR="00673A4D" w:rsidRPr="00673A4D">
        <w:t xml:space="preserve">Initial outreach to approximately 50 industry representatives yielded a 40% response rate, with a subsequent 60% conversion to active participation. Initial meetings followed a structured questionnaire developed from Advitech's experience in industrial energy auditing, centred on a core set of thematic areas including working conditions, energy consumption profile, existing on-site generation and storage, DR awareness and participation history, operational constraints, and barriers to flexibility. Insights from these initial discussions informed more detailed, tailored assessments for individual participants where warranted. </w:t>
      </w:r>
      <w:r w:rsidR="00E0249C" w:rsidRPr="00E0249C">
        <w:t xml:space="preserve">The questionnaire's thematic structure was informed by the load management and flexibility parameters identified in Section </w:t>
      </w:r>
      <w:r w:rsidR="00E0249C">
        <w:fldChar w:fldCharType="begin"/>
      </w:r>
      <w:r w:rsidR="00E0249C">
        <w:instrText xml:space="preserve"> REF _Ref233678932 \r \h </w:instrText>
      </w:r>
      <w:r w:rsidR="00E0249C">
        <w:fldChar w:fldCharType="separate"/>
      </w:r>
      <w:r w:rsidR="00036C9A">
        <w:t>2.1.2.1</w:t>
      </w:r>
      <w:r w:rsidR="00E0249C">
        <w:fldChar w:fldCharType="end"/>
      </w:r>
      <w:r w:rsidR="00E0249C" w:rsidRPr="00E0249C">
        <w:t xml:space="preserve">, specifically marginal cost of activation, storage or buffer capacity, reaction time, maximum activation duration, activation frequency, flexibility volume, and technical impact on the production process. Framing the interview questions around these parameters ensured that the data collected from each participant was directly applicable to the barrier and capability classification framework described in Section </w:t>
      </w:r>
      <w:r w:rsidR="00E0249C">
        <w:fldChar w:fldCharType="begin"/>
      </w:r>
      <w:r w:rsidR="00E0249C">
        <w:instrText xml:space="preserve"> REF _Ref230768436 \r \h </w:instrText>
      </w:r>
      <w:r w:rsidR="00E0249C">
        <w:fldChar w:fldCharType="separate"/>
      </w:r>
      <w:r w:rsidR="00036C9A">
        <w:t>4.2</w:t>
      </w:r>
      <w:r w:rsidR="00E0249C">
        <w:fldChar w:fldCharType="end"/>
      </w:r>
      <w:r w:rsidR="00E0249C">
        <w:t xml:space="preserve">. </w:t>
      </w:r>
      <w:r w:rsidR="00673A4D" w:rsidRPr="00673A4D">
        <w:t xml:space="preserve">A full list of questions </w:t>
      </w:r>
      <w:r w:rsidR="00A51630">
        <w:t xml:space="preserve">and </w:t>
      </w:r>
      <w:r w:rsidR="00A31385">
        <w:t>their</w:t>
      </w:r>
      <w:r w:rsidR="00A51630">
        <w:t xml:space="preserve"> data analysis </w:t>
      </w:r>
      <w:r w:rsidR="00673A4D" w:rsidRPr="00673A4D">
        <w:t xml:space="preserve">is provided in </w:t>
      </w:r>
      <w:bookmarkStart w:id="45" w:name="_Ref230855448"/>
      <w:bookmarkEnd w:id="45"/>
      <w:r w:rsidR="00A51630">
        <w:rPr>
          <w:highlight w:val="yellow"/>
        </w:rPr>
        <w:fldChar w:fldCharType="begin"/>
      </w:r>
      <w:r w:rsidR="00A51630">
        <w:instrText xml:space="preserve"> REF _Ref230876764 \w \h </w:instrText>
      </w:r>
      <w:r w:rsidR="00A51630">
        <w:rPr>
          <w:highlight w:val="yellow"/>
        </w:rPr>
      </w:r>
      <w:r w:rsidR="00A51630">
        <w:rPr>
          <w:highlight w:val="yellow"/>
        </w:rPr>
        <w:fldChar w:fldCharType="separate"/>
      </w:r>
      <w:r w:rsidR="00036C9A">
        <w:t>Appendix A</w:t>
      </w:r>
      <w:r w:rsidR="00A51630">
        <w:rPr>
          <w:highlight w:val="yellow"/>
        </w:rPr>
        <w:fldChar w:fldCharType="end"/>
      </w:r>
      <w:r w:rsidR="00A51630">
        <w:t xml:space="preserve"> and </w:t>
      </w:r>
      <w:r w:rsidR="00A31385">
        <w:rPr>
          <w:highlight w:val="yellow"/>
        </w:rPr>
        <w:fldChar w:fldCharType="begin"/>
      </w:r>
      <w:r w:rsidR="00A31385">
        <w:instrText xml:space="preserve"> REF _Ref231052654 \r \h </w:instrText>
      </w:r>
      <w:r w:rsidR="00A31385">
        <w:rPr>
          <w:highlight w:val="yellow"/>
        </w:rPr>
      </w:r>
      <w:r w:rsidR="00A31385">
        <w:rPr>
          <w:highlight w:val="yellow"/>
        </w:rPr>
        <w:fldChar w:fldCharType="separate"/>
      </w:r>
      <w:r w:rsidR="00036C9A">
        <w:t>Appendix B</w:t>
      </w:r>
      <w:r w:rsidR="00A31385">
        <w:rPr>
          <w:highlight w:val="yellow"/>
        </w:rPr>
        <w:fldChar w:fldCharType="end"/>
      </w:r>
      <w:r w:rsidR="00A51630">
        <w:t>, respectively</w:t>
      </w:r>
      <w:r>
        <w:t>.</w:t>
      </w:r>
    </w:p>
    <w:p w14:paraId="7DD78372" w14:textId="2DA4B55F" w:rsidR="00673A4D" w:rsidRDefault="00673A4D" w:rsidP="00360948">
      <w:r w:rsidRPr="00673A4D">
        <w:t xml:space="preserve">The participant cohort was further supplemented by companies from previous energy audits conducted by the Advitech team. These additional participants were not engaged through the primary outreach process but were included </w:t>
      </w:r>
      <w:r w:rsidR="00953DFB">
        <w:t>on the basis of existing operational data that were sufficiently deep and relevant</w:t>
      </w:r>
      <w:r w:rsidRPr="00673A4D">
        <w:t xml:space="preserve"> to support the study's analytical framework. To ensure consistency and eliminate </w:t>
      </w:r>
      <w:r w:rsidR="00953DFB">
        <w:t xml:space="preserve">potential for differential treatment, all supplementary participants were assessed using the same criteria and questionnaire as those </w:t>
      </w:r>
      <w:r w:rsidRPr="00673A4D">
        <w:t>applied to the primary cohort.</w:t>
      </w:r>
    </w:p>
    <w:p w14:paraId="6ACFB0CC" w14:textId="77777777" w:rsidR="004C6E60" w:rsidRDefault="004C6E60" w:rsidP="004C6E60">
      <w:r w:rsidRPr="002678AD">
        <w:t>Primary participants engaged through the stakeholder outreach process are identified as Companies A through N throughout this report. Companies identified through previous Advitech energy audits and incorporated as a supplementary cohort are designated AA through LL. This distinction is maintained to preserve transparency regarding the source and depth of data available for each participant.</w:t>
      </w:r>
    </w:p>
    <w:p w14:paraId="5C38054C" w14:textId="3923902E" w:rsidR="00360948" w:rsidRDefault="00673A4D" w:rsidP="00360948">
      <w:r>
        <w:t>The full</w:t>
      </w:r>
      <w:r w:rsidR="00360948">
        <w:t xml:space="preserve"> </w:t>
      </w:r>
      <w:r>
        <w:t>participant</w:t>
      </w:r>
      <w:r w:rsidR="00360948">
        <w:t xml:space="preserve"> </w:t>
      </w:r>
      <w:r>
        <w:t>group spans</w:t>
      </w:r>
      <w:r w:rsidR="00360948">
        <w:t xml:space="preserve"> </w:t>
      </w:r>
      <w:r w:rsidR="004C6E60">
        <w:t>5</w:t>
      </w:r>
      <w:r>
        <w:t xml:space="preserve"> industry sectors:</w:t>
      </w:r>
      <w:r w:rsidR="00360948">
        <w:t xml:space="preserve"> </w:t>
      </w:r>
      <w:r>
        <w:t>Food and Beverage</w:t>
      </w:r>
      <w:r w:rsidR="00360948">
        <w:t>, Construction, Manufacturing, Mining,</w:t>
      </w:r>
      <w:r w:rsidR="004C6E60">
        <w:t xml:space="preserve"> and</w:t>
      </w:r>
      <w:r w:rsidR="00360948">
        <w:t xml:space="preserve"> Technology. Breaking the sectors down further, there are representatives from the following business types:</w:t>
      </w:r>
    </w:p>
    <w:p w14:paraId="6C302945" w14:textId="766BD35C" w:rsidR="00360948" w:rsidRDefault="00360948" w:rsidP="00360948">
      <w:pPr>
        <w:pStyle w:val="ListParagraph"/>
        <w:numPr>
          <w:ilvl w:val="0"/>
          <w:numId w:val="28"/>
        </w:numPr>
      </w:pPr>
      <w:r>
        <w:t>Data Centres;</w:t>
      </w:r>
    </w:p>
    <w:p w14:paraId="0EAC3527" w14:textId="6DDDF60C" w:rsidR="00360948" w:rsidRDefault="00360948" w:rsidP="00360948">
      <w:pPr>
        <w:pStyle w:val="ListParagraph"/>
        <w:numPr>
          <w:ilvl w:val="0"/>
          <w:numId w:val="28"/>
        </w:numPr>
      </w:pPr>
      <w:r>
        <w:t>Coal Mining;</w:t>
      </w:r>
    </w:p>
    <w:p w14:paraId="7F7FE105" w14:textId="4C80D5B7" w:rsidR="00360948" w:rsidRDefault="00360948" w:rsidP="00360948">
      <w:pPr>
        <w:pStyle w:val="ListParagraph"/>
        <w:numPr>
          <w:ilvl w:val="0"/>
          <w:numId w:val="28"/>
        </w:numPr>
      </w:pPr>
      <w:r>
        <w:t>Meat Processing;</w:t>
      </w:r>
    </w:p>
    <w:p w14:paraId="6639C890" w14:textId="21930512" w:rsidR="00360948" w:rsidRDefault="00360948" w:rsidP="00360948">
      <w:pPr>
        <w:pStyle w:val="ListParagraph"/>
        <w:numPr>
          <w:ilvl w:val="0"/>
          <w:numId w:val="28"/>
        </w:numPr>
      </w:pPr>
      <w:r>
        <w:t>Wine</w:t>
      </w:r>
      <w:r w:rsidR="00F827B5">
        <w:t xml:space="preserve"> Making</w:t>
      </w:r>
      <w:r>
        <w:t>;</w:t>
      </w:r>
    </w:p>
    <w:p w14:paraId="67E8846F" w14:textId="0A6A5EC7" w:rsidR="00360948" w:rsidRDefault="00360948" w:rsidP="00360948">
      <w:pPr>
        <w:pStyle w:val="ListParagraph"/>
        <w:numPr>
          <w:ilvl w:val="0"/>
          <w:numId w:val="28"/>
        </w:numPr>
      </w:pPr>
      <w:r>
        <w:t>Rail and Transit Systems;</w:t>
      </w:r>
    </w:p>
    <w:p w14:paraId="5E2D8DD5" w14:textId="2152AA15" w:rsidR="00360948" w:rsidRDefault="00360948" w:rsidP="00360948">
      <w:pPr>
        <w:pStyle w:val="ListParagraph"/>
        <w:numPr>
          <w:ilvl w:val="0"/>
          <w:numId w:val="28"/>
        </w:numPr>
      </w:pPr>
      <w:r>
        <w:t>Providers of heavy machinery equipment and support solutions (parts, servicing, technology);</w:t>
      </w:r>
    </w:p>
    <w:p w14:paraId="14A719B8" w14:textId="5690F182" w:rsidR="00360948" w:rsidRDefault="00360948" w:rsidP="00360948">
      <w:pPr>
        <w:pStyle w:val="ListParagraph"/>
        <w:numPr>
          <w:ilvl w:val="0"/>
          <w:numId w:val="28"/>
        </w:numPr>
      </w:pPr>
      <w:r>
        <w:t>Manufacturers of cladding, steel, human therapeutics, fluid asset intelligence solutions, wheels, drilling equipment, and tool systems;</w:t>
      </w:r>
    </w:p>
    <w:p w14:paraId="69926C8D" w14:textId="0B31F755" w:rsidR="00360948" w:rsidRDefault="00360948" w:rsidP="00360948">
      <w:pPr>
        <w:pStyle w:val="ListParagraph"/>
        <w:numPr>
          <w:ilvl w:val="0"/>
          <w:numId w:val="28"/>
        </w:numPr>
      </w:pPr>
      <w:r>
        <w:t>Machining, repairs and fabrication services for mining, defence, transport and food industries; and</w:t>
      </w:r>
    </w:p>
    <w:p w14:paraId="73EF6ED3" w14:textId="05FB77A7" w:rsidR="00E34384" w:rsidRDefault="00360948" w:rsidP="001A6A25">
      <w:pPr>
        <w:pStyle w:val="ListParagraph"/>
        <w:numPr>
          <w:ilvl w:val="0"/>
          <w:numId w:val="28"/>
        </w:numPr>
      </w:pPr>
      <w:r>
        <w:lastRenderedPageBreak/>
        <w:t>High-voltage electrical systems, safety solutions, and communication infrastructure for mining, tunnelling, and heavy industry.</w:t>
      </w:r>
      <w:r w:rsidR="00E34384">
        <w:t xml:space="preserve"> </w:t>
      </w:r>
    </w:p>
    <w:p w14:paraId="390E95EF" w14:textId="30EE3394" w:rsidR="006F25A5" w:rsidRPr="001A48A4" w:rsidRDefault="006F25A5" w:rsidP="006F25A5">
      <w:pPr>
        <w:pStyle w:val="Heading3"/>
      </w:pPr>
      <w:bookmarkStart w:id="46" w:name="_Toc233788296"/>
      <w:r w:rsidRPr="001A48A4">
        <w:t xml:space="preserve">Preliminary </w:t>
      </w:r>
      <w:r w:rsidR="005B0044" w:rsidRPr="001A48A4">
        <w:t>D</w:t>
      </w:r>
      <w:r w:rsidRPr="001A48A4">
        <w:t xml:space="preserve">ata </w:t>
      </w:r>
      <w:r w:rsidR="005B0044" w:rsidRPr="001A48A4">
        <w:t>A</w:t>
      </w:r>
      <w:r w:rsidRPr="001A48A4">
        <w:t>cquisition</w:t>
      </w:r>
      <w:bookmarkEnd w:id="46"/>
    </w:p>
    <w:p w14:paraId="7F9AB123" w14:textId="29AE6DBB" w:rsidR="006F25A5" w:rsidRDefault="00A77293" w:rsidP="006F25A5">
      <w:pPr>
        <w:rPr>
          <w:rStyle w:val="t286pc"/>
          <w:rFonts w:cs="Arial"/>
          <w:szCs w:val="19"/>
        </w:rPr>
      </w:pPr>
      <w:r w:rsidRPr="00A77293">
        <w:t xml:space="preserve">Primary data was collected through qualitative research techniques, specifically semi-structured interviews and document analysis. These methods were selected because they </w:t>
      </w:r>
      <w:r w:rsidR="00922C45">
        <w:t>provide</w:t>
      </w:r>
      <w:r w:rsidRPr="00A77293">
        <w:t xml:space="preserve"> contextual and operational insight</w:t>
      </w:r>
      <w:r w:rsidR="00922C45">
        <w:t>s</w:t>
      </w:r>
      <w:r w:rsidRPr="00A77293">
        <w:t xml:space="preserve"> that quantitative surveys are unlikely to surface, particularly in an exploratory research domain where the dimensions of the problem are not yet fully characterised.</w:t>
      </w:r>
    </w:p>
    <w:p w14:paraId="14416FBE" w14:textId="1DA7282D" w:rsidR="008D5E82" w:rsidRPr="00A77293" w:rsidRDefault="00922C45" w:rsidP="006F25A5">
      <w:r>
        <w:t>A</w:t>
      </w:r>
      <w:r w:rsidR="008D5E82">
        <w:t xml:space="preserve"> series of semi-structured interviews </w:t>
      </w:r>
      <w:r>
        <w:t xml:space="preserve">was </w:t>
      </w:r>
      <w:r w:rsidR="008D5E82">
        <w:t xml:space="preserve">conducted on-site or by telephone. </w:t>
      </w:r>
      <w:r>
        <w:t>The i</w:t>
      </w:r>
      <w:r w:rsidR="008D5E82">
        <w:t xml:space="preserve">nterviews </w:t>
      </w:r>
      <w:r>
        <w:t xml:space="preserve">follow a </w:t>
      </w:r>
      <w:r w:rsidR="008D5E82">
        <w:t>conversational format</w:t>
      </w:r>
      <w:r w:rsidR="00A77293">
        <w:t xml:space="preserve"> and </w:t>
      </w:r>
      <w:r>
        <w:t xml:space="preserve">were </w:t>
      </w:r>
      <w:r w:rsidR="00A77293">
        <w:t>structured around a core set of thematic areas, including</w:t>
      </w:r>
      <w:r w:rsidR="008D5E82">
        <w:t xml:space="preserve"> working conditions, energy consumption profile, existing on-site generation and storage, DR awareness and participation history, operational constraints, and barriers to flexibility. </w:t>
      </w:r>
      <w:r>
        <w:t>The interview structure also</w:t>
      </w:r>
      <w:r w:rsidR="008D5E82">
        <w:t xml:space="preserve"> allowed participants to raise issues that fell outside the predetermined framework.</w:t>
      </w:r>
      <w:r w:rsidR="00A77293">
        <w:t xml:space="preserve"> </w:t>
      </w:r>
      <w:r w:rsidR="008D5E82">
        <w:t>This approach was intentional, as rigid question schedules would have constrained the richness of the operational context that participants could offer, particularly regarding process interdependencies, safety constraints, and commercial sensitivities</w:t>
      </w:r>
      <w:r w:rsidR="00A77293">
        <w:t xml:space="preserve"> that are rarely disclosed in response to a structured questionnaire.  </w:t>
      </w:r>
    </w:p>
    <w:p w14:paraId="6C8A7835" w14:textId="77777777" w:rsidR="006F25A5" w:rsidRPr="001A48A4" w:rsidRDefault="006F25A5" w:rsidP="006F25A5">
      <w:pPr>
        <w:pStyle w:val="Heading3"/>
      </w:pPr>
      <w:bookmarkStart w:id="47" w:name="_Toc233788297"/>
      <w:r w:rsidRPr="001A48A4">
        <w:t>Industry Sectors Participation</w:t>
      </w:r>
      <w:bookmarkEnd w:id="47"/>
    </w:p>
    <w:p w14:paraId="24A6E6DC" w14:textId="3F183E93" w:rsidR="00D44FF4" w:rsidRDefault="00472199" w:rsidP="00472199">
      <w:r>
        <w:fldChar w:fldCharType="begin"/>
      </w:r>
      <w:r>
        <w:instrText xml:space="preserve"> REF _Ref230271617 \h </w:instrText>
      </w:r>
      <w:r>
        <w:fldChar w:fldCharType="separate"/>
      </w:r>
      <w:r w:rsidR="00036C9A">
        <w:t xml:space="preserve">Table </w:t>
      </w:r>
      <w:r w:rsidR="00036C9A">
        <w:rPr>
          <w:noProof/>
        </w:rPr>
        <w:t>3</w:t>
      </w:r>
      <w:r>
        <w:fldChar w:fldCharType="end"/>
      </w:r>
      <w:r>
        <w:t xml:space="preserve"> summarises the</w:t>
      </w:r>
      <w:r w:rsidR="00D44FF4">
        <w:t xml:space="preserve"> full participant</w:t>
      </w:r>
      <w:r>
        <w:t xml:space="preserve"> industry sectors </w:t>
      </w:r>
      <w:r w:rsidR="00D44FF4">
        <w:t>classified by ANZSIC</w:t>
      </w:r>
      <w:r w:rsidR="00953DFB">
        <w:t xml:space="preserve">, along </w:t>
      </w:r>
      <w:r w:rsidR="00D44FF4">
        <w:t>with the energy consumption range</w:t>
      </w:r>
      <w:r>
        <w:t xml:space="preserve"> and the primary load categories observed across the participant cohort.</w:t>
      </w:r>
      <w:r w:rsidR="004B2C65">
        <w:t xml:space="preserve"> </w:t>
      </w:r>
      <w:r w:rsidR="00D44FF4">
        <w:t>The sector classifications are based on the Australian and New Zealand Standard Industrial Classification (ANZSIC) subdivision codes</w:t>
      </w:r>
      <w:r w:rsidR="00515D81">
        <w:t>.</w:t>
      </w:r>
      <w:r w:rsidR="0030760A">
        <w:t xml:space="preserve"> </w:t>
      </w:r>
      <w:sdt>
        <w:sdtPr>
          <w:id w:val="940951427"/>
          <w:citation/>
        </w:sdtPr>
        <w:sdtEndPr/>
        <w:sdtContent>
          <w:r w:rsidR="00CD7D35">
            <w:fldChar w:fldCharType="begin"/>
          </w:r>
          <w:r w:rsidR="00CD7D35">
            <w:instrText>CITATION Div06 \l 3081  \m DCC06</w:instrText>
          </w:r>
          <w:r w:rsidR="00CD7D35">
            <w:fldChar w:fldCharType="separate"/>
          </w:r>
          <w:r w:rsidR="00036C9A">
            <w:rPr>
              <w:noProof/>
            </w:rPr>
            <w:t>(ABS, 2006; DCCEEW, 2006)</w:t>
          </w:r>
          <w:r w:rsidR="00CD7D35">
            <w:fldChar w:fldCharType="end"/>
          </w:r>
        </w:sdtContent>
      </w:sdt>
      <w:r w:rsidR="00D44FF4">
        <w:t xml:space="preserve"> </w:t>
      </w:r>
    </w:p>
    <w:p w14:paraId="7DADFA24" w14:textId="620930E4" w:rsidR="00472199" w:rsidRDefault="00472199" w:rsidP="00472199">
      <w:pPr>
        <w:pStyle w:val="Caption"/>
        <w:keepNext/>
      </w:pPr>
      <w:bookmarkStart w:id="48" w:name="_Ref230271617"/>
      <w:bookmarkStart w:id="49" w:name="_Toc230337744"/>
      <w:bookmarkStart w:id="50" w:name="_Toc230338084"/>
      <w:bookmarkStart w:id="51" w:name="_Toc233788356"/>
      <w:r>
        <w:t xml:space="preserve">Table </w:t>
      </w:r>
      <w:fldSimple w:instr=" SEQ Table \* ARABIC ">
        <w:r w:rsidR="00036C9A">
          <w:rPr>
            <w:noProof/>
          </w:rPr>
          <w:t>3</w:t>
        </w:r>
      </w:fldSimple>
      <w:bookmarkEnd w:id="48"/>
      <w:r>
        <w:t>: Summary of Participating Companies by Industry Sector</w:t>
      </w:r>
      <w:bookmarkEnd w:id="49"/>
      <w:bookmarkEnd w:id="50"/>
      <w:bookmarkEnd w:id="51"/>
    </w:p>
    <w:tbl>
      <w:tblPr>
        <w:tblStyle w:val="AdvitechTable"/>
        <w:tblW w:w="0" w:type="auto"/>
        <w:tblLook w:val="0420" w:firstRow="1" w:lastRow="0" w:firstColumn="0" w:lastColumn="0" w:noHBand="0" w:noVBand="1"/>
      </w:tblPr>
      <w:tblGrid>
        <w:gridCol w:w="2977"/>
        <w:gridCol w:w="1559"/>
        <w:gridCol w:w="2692"/>
        <w:gridCol w:w="2410"/>
      </w:tblGrid>
      <w:tr w:rsidR="00472199" w14:paraId="4AAC41CA" w14:textId="77777777" w:rsidTr="00254B23">
        <w:trPr>
          <w:cnfStyle w:val="100000000000" w:firstRow="1" w:lastRow="0" w:firstColumn="0" w:lastColumn="0" w:oddVBand="0" w:evenVBand="0" w:oddHBand="0" w:evenHBand="0" w:firstRowFirstColumn="0" w:firstRowLastColumn="0" w:lastRowFirstColumn="0" w:lastRowLastColumn="0"/>
          <w:tblHeader/>
        </w:trPr>
        <w:tc>
          <w:tcPr>
            <w:tcW w:w="2977" w:type="dxa"/>
            <w:vAlign w:val="top"/>
          </w:tcPr>
          <w:p w14:paraId="16622334" w14:textId="77777777" w:rsidR="00472199" w:rsidRDefault="00472199" w:rsidP="00EC482D">
            <w:r>
              <w:t>Industrial Sector</w:t>
            </w:r>
          </w:p>
        </w:tc>
        <w:tc>
          <w:tcPr>
            <w:tcW w:w="1559" w:type="dxa"/>
            <w:vAlign w:val="top"/>
          </w:tcPr>
          <w:p w14:paraId="4DED3990" w14:textId="77777777" w:rsidR="00472199" w:rsidRDefault="00472199" w:rsidP="00EC482D">
            <w:pPr>
              <w:jc w:val="center"/>
            </w:pPr>
            <w:r>
              <w:t>No. of Companies</w:t>
            </w:r>
          </w:p>
        </w:tc>
        <w:tc>
          <w:tcPr>
            <w:tcW w:w="2692" w:type="dxa"/>
            <w:vAlign w:val="top"/>
          </w:tcPr>
          <w:p w14:paraId="20C62195" w14:textId="77777777" w:rsidR="00472199" w:rsidRDefault="00472199" w:rsidP="00EC482D">
            <w:pPr>
              <w:jc w:val="center"/>
            </w:pPr>
            <w:r>
              <w:t>Energy Consumption [MWh/p.a.]</w:t>
            </w:r>
          </w:p>
        </w:tc>
        <w:tc>
          <w:tcPr>
            <w:tcW w:w="2410" w:type="dxa"/>
            <w:vAlign w:val="top"/>
          </w:tcPr>
          <w:p w14:paraId="6C03038E" w14:textId="77777777" w:rsidR="00472199" w:rsidRDefault="00472199" w:rsidP="00EC482D">
            <w:r>
              <w:t>Primary Load Categories Observed</w:t>
            </w:r>
          </w:p>
        </w:tc>
      </w:tr>
      <w:tr w:rsidR="005410A6" w14:paraId="6A376DB4" w14:textId="77777777" w:rsidTr="002973AF">
        <w:tc>
          <w:tcPr>
            <w:tcW w:w="2977" w:type="dxa"/>
          </w:tcPr>
          <w:p w14:paraId="4D64CF1A" w14:textId="68F5183C" w:rsidR="005410A6" w:rsidRDefault="005410A6" w:rsidP="005410A6">
            <w:r w:rsidRPr="00D524D8">
              <w:t>Machinery and Equipment Manufacturing</w:t>
            </w:r>
          </w:p>
        </w:tc>
        <w:tc>
          <w:tcPr>
            <w:tcW w:w="1559" w:type="dxa"/>
          </w:tcPr>
          <w:p w14:paraId="2F6A07CA" w14:textId="2A21DD0F" w:rsidR="005410A6" w:rsidRDefault="00615ACA" w:rsidP="002973AF">
            <w:pPr>
              <w:jc w:val="center"/>
            </w:pPr>
            <w:r>
              <w:t>5</w:t>
            </w:r>
          </w:p>
        </w:tc>
        <w:tc>
          <w:tcPr>
            <w:tcW w:w="2692" w:type="dxa"/>
          </w:tcPr>
          <w:p w14:paraId="11B9A714" w14:textId="631E9684" w:rsidR="005410A6" w:rsidRPr="005410A6" w:rsidRDefault="005410A6" w:rsidP="005410A6">
            <w:pPr>
              <w:jc w:val="center"/>
            </w:pPr>
            <w:r w:rsidRPr="005410A6">
              <w:t>315 – 3,000</w:t>
            </w:r>
          </w:p>
        </w:tc>
        <w:tc>
          <w:tcPr>
            <w:tcW w:w="2410" w:type="dxa"/>
          </w:tcPr>
          <w:p w14:paraId="1A4B63D0" w14:textId="77777777" w:rsidR="005410A6" w:rsidRDefault="005410A6" w:rsidP="005410A6">
            <w:r>
              <w:t>Mechanical,</w:t>
            </w:r>
          </w:p>
          <w:p w14:paraId="537AD152" w14:textId="77777777" w:rsidR="000B0906" w:rsidRDefault="000B0906" w:rsidP="005410A6">
            <w:r>
              <w:t>Compressed Air,</w:t>
            </w:r>
          </w:p>
          <w:p w14:paraId="2A3FEE33" w14:textId="5CF6F36D" w:rsidR="005410A6" w:rsidRDefault="005410A6" w:rsidP="005410A6">
            <w:r>
              <w:t>Thermal,</w:t>
            </w:r>
          </w:p>
          <w:p w14:paraId="6ADA205C" w14:textId="319A86B8" w:rsidR="002973AF" w:rsidRDefault="002973AF" w:rsidP="005410A6">
            <w:r>
              <w:t>Background</w:t>
            </w:r>
            <w:r w:rsidR="00393267">
              <w:t>,</w:t>
            </w:r>
          </w:p>
          <w:p w14:paraId="7690463D" w14:textId="17E393F0" w:rsidR="00393267" w:rsidRDefault="00393267" w:rsidP="005410A6">
            <w:r>
              <w:t>Specialised Loads,</w:t>
            </w:r>
          </w:p>
          <w:p w14:paraId="71A1E0BC" w14:textId="77777777" w:rsidR="005410A6" w:rsidRDefault="005410A6" w:rsidP="005410A6">
            <w:r>
              <w:t>Surface Treatment.</w:t>
            </w:r>
          </w:p>
        </w:tc>
      </w:tr>
      <w:tr w:rsidR="005410A6" w14:paraId="7FF1433F" w14:textId="77777777" w:rsidTr="002973AF">
        <w:tc>
          <w:tcPr>
            <w:tcW w:w="2977" w:type="dxa"/>
          </w:tcPr>
          <w:p w14:paraId="6B787153" w14:textId="76F1C62C" w:rsidR="005410A6" w:rsidRDefault="005410A6" w:rsidP="005410A6">
            <w:r w:rsidRPr="00D524D8">
              <w:t>Polymer Product and Rubber Product Manufacturing</w:t>
            </w:r>
          </w:p>
        </w:tc>
        <w:tc>
          <w:tcPr>
            <w:tcW w:w="1559" w:type="dxa"/>
          </w:tcPr>
          <w:p w14:paraId="06A05C51" w14:textId="194086D4" w:rsidR="005410A6" w:rsidRDefault="005410A6" w:rsidP="002973AF">
            <w:pPr>
              <w:jc w:val="center"/>
            </w:pPr>
            <w:r w:rsidRPr="000F5F27">
              <w:t>3</w:t>
            </w:r>
          </w:p>
        </w:tc>
        <w:tc>
          <w:tcPr>
            <w:tcW w:w="2692" w:type="dxa"/>
          </w:tcPr>
          <w:p w14:paraId="510236EA" w14:textId="77777777" w:rsidR="005410A6" w:rsidRPr="005410A6" w:rsidRDefault="005410A6" w:rsidP="005410A6">
            <w:pPr>
              <w:jc w:val="center"/>
            </w:pPr>
            <w:r w:rsidRPr="005410A6">
              <w:t>650 – 7,500</w:t>
            </w:r>
          </w:p>
        </w:tc>
        <w:tc>
          <w:tcPr>
            <w:tcW w:w="2410" w:type="dxa"/>
          </w:tcPr>
          <w:p w14:paraId="5D017E48" w14:textId="77777777" w:rsidR="005410A6" w:rsidRDefault="005410A6" w:rsidP="005410A6">
            <w:r>
              <w:t xml:space="preserve">Thermal, </w:t>
            </w:r>
          </w:p>
          <w:p w14:paraId="1A97CE5A" w14:textId="2EB0343F" w:rsidR="002973AF" w:rsidRDefault="002973AF" w:rsidP="005410A6">
            <w:r>
              <w:t>Compressed Air,</w:t>
            </w:r>
          </w:p>
          <w:p w14:paraId="43203C2E" w14:textId="3017522F" w:rsidR="002973AF" w:rsidRDefault="002973AF" w:rsidP="005410A6">
            <w:r>
              <w:t>Background,</w:t>
            </w:r>
          </w:p>
          <w:p w14:paraId="182FE1AC" w14:textId="77777777" w:rsidR="005410A6" w:rsidRDefault="005410A6" w:rsidP="005410A6">
            <w:r>
              <w:t>Environmental Control.</w:t>
            </w:r>
          </w:p>
        </w:tc>
      </w:tr>
      <w:tr w:rsidR="005410A6" w14:paraId="538F7164" w14:textId="77777777" w:rsidTr="002973AF">
        <w:tc>
          <w:tcPr>
            <w:tcW w:w="2977" w:type="dxa"/>
          </w:tcPr>
          <w:p w14:paraId="349B8F87" w14:textId="2DCFC8A9" w:rsidR="005410A6" w:rsidRPr="00D524D8" w:rsidRDefault="005410A6" w:rsidP="005410A6">
            <w:r w:rsidRPr="00D524D8">
              <w:t>Beverage and Tobacco Product Manufacturing</w:t>
            </w:r>
          </w:p>
        </w:tc>
        <w:tc>
          <w:tcPr>
            <w:tcW w:w="1559" w:type="dxa"/>
          </w:tcPr>
          <w:p w14:paraId="4EDE0748" w14:textId="1751BBC3" w:rsidR="005410A6" w:rsidRPr="000F5F27" w:rsidRDefault="005410A6" w:rsidP="002973AF">
            <w:pPr>
              <w:jc w:val="center"/>
            </w:pPr>
            <w:r w:rsidRPr="000F5F27">
              <w:t>3</w:t>
            </w:r>
          </w:p>
        </w:tc>
        <w:tc>
          <w:tcPr>
            <w:tcW w:w="2692" w:type="dxa"/>
          </w:tcPr>
          <w:p w14:paraId="36CA3BCF" w14:textId="49BF9B19" w:rsidR="005410A6" w:rsidRPr="005410A6" w:rsidRDefault="005410A6" w:rsidP="005410A6">
            <w:pPr>
              <w:jc w:val="center"/>
            </w:pPr>
            <w:r w:rsidRPr="005410A6">
              <w:t>1,260 – 6,556</w:t>
            </w:r>
          </w:p>
        </w:tc>
        <w:tc>
          <w:tcPr>
            <w:tcW w:w="2410" w:type="dxa"/>
          </w:tcPr>
          <w:p w14:paraId="487E2B5E" w14:textId="77777777" w:rsidR="005410A6" w:rsidRDefault="00393267" w:rsidP="005410A6">
            <w:r>
              <w:t>Environmental Control,</w:t>
            </w:r>
          </w:p>
          <w:p w14:paraId="2970F22C" w14:textId="77777777" w:rsidR="00393267" w:rsidRDefault="00393267" w:rsidP="005410A6">
            <w:r>
              <w:t>Pumping,</w:t>
            </w:r>
          </w:p>
          <w:p w14:paraId="3DE84B6A" w14:textId="77777777" w:rsidR="00393267" w:rsidRDefault="00393267" w:rsidP="005410A6">
            <w:r>
              <w:t>Compressed Air,</w:t>
            </w:r>
          </w:p>
          <w:p w14:paraId="07654833" w14:textId="2C36B46F" w:rsidR="00393267" w:rsidRDefault="00393267" w:rsidP="005410A6">
            <w:r>
              <w:t>Background.</w:t>
            </w:r>
          </w:p>
        </w:tc>
      </w:tr>
      <w:tr w:rsidR="005410A6" w14:paraId="5086E6C9" w14:textId="77777777" w:rsidTr="002973AF">
        <w:tc>
          <w:tcPr>
            <w:tcW w:w="2977" w:type="dxa"/>
          </w:tcPr>
          <w:p w14:paraId="65ADB7D4" w14:textId="74ED4664" w:rsidR="005410A6" w:rsidRDefault="005410A6" w:rsidP="005410A6">
            <w:r w:rsidRPr="00D524D8">
              <w:t>Transport Equipment Manufacturing</w:t>
            </w:r>
          </w:p>
        </w:tc>
        <w:tc>
          <w:tcPr>
            <w:tcW w:w="1559" w:type="dxa"/>
          </w:tcPr>
          <w:p w14:paraId="5472283D" w14:textId="05C834C6" w:rsidR="005410A6" w:rsidRDefault="005410A6" w:rsidP="002973AF">
            <w:pPr>
              <w:jc w:val="center"/>
            </w:pPr>
            <w:r w:rsidRPr="000F5F27">
              <w:t>2</w:t>
            </w:r>
          </w:p>
        </w:tc>
        <w:tc>
          <w:tcPr>
            <w:tcW w:w="2692" w:type="dxa"/>
          </w:tcPr>
          <w:p w14:paraId="3A7E9F67" w14:textId="67E204DB" w:rsidR="005410A6" w:rsidRPr="005410A6" w:rsidRDefault="005410A6" w:rsidP="005410A6">
            <w:pPr>
              <w:jc w:val="center"/>
            </w:pPr>
            <w:r w:rsidRPr="005410A6">
              <w:t>2,726 – 10,300</w:t>
            </w:r>
          </w:p>
        </w:tc>
        <w:tc>
          <w:tcPr>
            <w:tcW w:w="2410" w:type="dxa"/>
          </w:tcPr>
          <w:p w14:paraId="48DD8B70" w14:textId="763B23EC" w:rsidR="002973AF" w:rsidRDefault="002973AF" w:rsidP="005410A6">
            <w:r>
              <w:t>Mechanical,</w:t>
            </w:r>
          </w:p>
          <w:p w14:paraId="3E860C45" w14:textId="77777777" w:rsidR="002973AF" w:rsidRDefault="005410A6" w:rsidP="005410A6">
            <w:r>
              <w:t>Thermal,</w:t>
            </w:r>
          </w:p>
          <w:p w14:paraId="26B5F3D5" w14:textId="79C9671F" w:rsidR="005410A6" w:rsidRDefault="002973AF" w:rsidP="005410A6">
            <w:r>
              <w:t>Compressed Air,</w:t>
            </w:r>
          </w:p>
          <w:p w14:paraId="2D57FBCF" w14:textId="38CEB1B2" w:rsidR="005410A6" w:rsidRDefault="002973AF" w:rsidP="005410A6">
            <w:r>
              <w:t>Surface Treatment</w:t>
            </w:r>
            <w:r w:rsidR="005410A6">
              <w:t>,</w:t>
            </w:r>
          </w:p>
          <w:p w14:paraId="0889C386" w14:textId="281E9CFC" w:rsidR="00393267" w:rsidRDefault="00393267" w:rsidP="005410A6">
            <w:r>
              <w:lastRenderedPageBreak/>
              <w:t>Specialised Loads,</w:t>
            </w:r>
          </w:p>
          <w:p w14:paraId="23640E57" w14:textId="431AF7B3" w:rsidR="005410A6" w:rsidRDefault="002973AF" w:rsidP="005410A6">
            <w:r>
              <w:t>Fabrication</w:t>
            </w:r>
            <w:r w:rsidR="005410A6">
              <w:t>.</w:t>
            </w:r>
          </w:p>
        </w:tc>
      </w:tr>
      <w:tr w:rsidR="005410A6" w14:paraId="14BD9FE8" w14:textId="77777777" w:rsidTr="002973AF">
        <w:tc>
          <w:tcPr>
            <w:tcW w:w="2977" w:type="dxa"/>
          </w:tcPr>
          <w:p w14:paraId="62509C49" w14:textId="4F746353" w:rsidR="005410A6" w:rsidRDefault="005410A6" w:rsidP="005410A6">
            <w:r w:rsidRPr="00D524D8">
              <w:lastRenderedPageBreak/>
              <w:t>Food Product Manufacturing</w:t>
            </w:r>
          </w:p>
        </w:tc>
        <w:tc>
          <w:tcPr>
            <w:tcW w:w="1559" w:type="dxa"/>
          </w:tcPr>
          <w:p w14:paraId="4988929B" w14:textId="6AD61FEE" w:rsidR="005410A6" w:rsidRDefault="005410A6" w:rsidP="002973AF">
            <w:pPr>
              <w:jc w:val="center"/>
            </w:pPr>
            <w:r w:rsidRPr="000F5F27">
              <w:t>2</w:t>
            </w:r>
          </w:p>
        </w:tc>
        <w:tc>
          <w:tcPr>
            <w:tcW w:w="2692" w:type="dxa"/>
          </w:tcPr>
          <w:p w14:paraId="176D2857" w14:textId="78569CD9" w:rsidR="005410A6" w:rsidRPr="005410A6" w:rsidRDefault="005410A6" w:rsidP="005410A6">
            <w:pPr>
              <w:jc w:val="center"/>
            </w:pPr>
            <w:r w:rsidRPr="005410A6">
              <w:t>3,026 – 100,000</w:t>
            </w:r>
          </w:p>
        </w:tc>
        <w:tc>
          <w:tcPr>
            <w:tcW w:w="2410" w:type="dxa"/>
          </w:tcPr>
          <w:p w14:paraId="1B8587D8" w14:textId="77777777" w:rsidR="005410A6" w:rsidRDefault="005410A6" w:rsidP="005410A6">
            <w:r>
              <w:t>Compressed Air,</w:t>
            </w:r>
          </w:p>
          <w:p w14:paraId="4CF605C3" w14:textId="391C6764" w:rsidR="005410A6" w:rsidRDefault="005410A6" w:rsidP="005410A6">
            <w:r>
              <w:t>Pumping</w:t>
            </w:r>
            <w:r w:rsidR="00BD669E">
              <w:t>,</w:t>
            </w:r>
          </w:p>
          <w:p w14:paraId="3F825253" w14:textId="51A11C28" w:rsidR="00BD669E" w:rsidRDefault="00BD669E" w:rsidP="005410A6">
            <w:r>
              <w:t>Background,</w:t>
            </w:r>
          </w:p>
          <w:p w14:paraId="6CB91DEB" w14:textId="2693BD1C" w:rsidR="00393267" w:rsidRDefault="00393267" w:rsidP="005410A6">
            <w:r>
              <w:t>Environmental control.</w:t>
            </w:r>
          </w:p>
        </w:tc>
      </w:tr>
      <w:tr w:rsidR="005410A6" w14:paraId="2686B00F" w14:textId="77777777" w:rsidTr="002973AF">
        <w:tc>
          <w:tcPr>
            <w:tcW w:w="2977" w:type="dxa"/>
          </w:tcPr>
          <w:p w14:paraId="49AC5189" w14:textId="610A3DEF" w:rsidR="005410A6" w:rsidRDefault="005410A6" w:rsidP="005410A6">
            <w:r w:rsidRPr="00D524D8">
              <w:t>Wood Product Manufacturing</w:t>
            </w:r>
          </w:p>
        </w:tc>
        <w:tc>
          <w:tcPr>
            <w:tcW w:w="1559" w:type="dxa"/>
          </w:tcPr>
          <w:p w14:paraId="72C0CED5" w14:textId="4B007C4D" w:rsidR="005410A6" w:rsidRDefault="005410A6" w:rsidP="002973AF">
            <w:pPr>
              <w:jc w:val="center"/>
            </w:pPr>
            <w:r w:rsidRPr="000F5F27">
              <w:t>1</w:t>
            </w:r>
          </w:p>
        </w:tc>
        <w:tc>
          <w:tcPr>
            <w:tcW w:w="2692" w:type="dxa"/>
          </w:tcPr>
          <w:p w14:paraId="69CBA7F4" w14:textId="3BEDC7C7" w:rsidR="005410A6" w:rsidRDefault="005410A6" w:rsidP="005410A6">
            <w:pPr>
              <w:jc w:val="center"/>
            </w:pPr>
            <w:r>
              <w:t>7,500</w:t>
            </w:r>
          </w:p>
        </w:tc>
        <w:tc>
          <w:tcPr>
            <w:tcW w:w="2410" w:type="dxa"/>
          </w:tcPr>
          <w:p w14:paraId="44F72F1B" w14:textId="1F82852D" w:rsidR="005410A6" w:rsidRDefault="00393267" w:rsidP="005410A6">
            <w:r>
              <w:t>Thermal,</w:t>
            </w:r>
          </w:p>
          <w:p w14:paraId="2A8B14DC" w14:textId="7A021E29" w:rsidR="00393267" w:rsidRDefault="00393267" w:rsidP="005410A6">
            <w:r>
              <w:t>Mechanical,</w:t>
            </w:r>
          </w:p>
          <w:p w14:paraId="59D6F520" w14:textId="24DF0697" w:rsidR="005410A6" w:rsidRDefault="00393267" w:rsidP="00393267">
            <w:r>
              <w:t>Surface Treatment.</w:t>
            </w:r>
          </w:p>
        </w:tc>
      </w:tr>
      <w:tr w:rsidR="005410A6" w14:paraId="306D0DA3" w14:textId="77777777" w:rsidTr="002973AF">
        <w:tc>
          <w:tcPr>
            <w:tcW w:w="2977" w:type="dxa"/>
          </w:tcPr>
          <w:p w14:paraId="181CE45A" w14:textId="7BEBA6D8" w:rsidR="005410A6" w:rsidRDefault="005410A6" w:rsidP="005410A6">
            <w:r w:rsidRPr="00D524D8">
              <w:t>Basic Chemical and Chemical Product Manufacturing</w:t>
            </w:r>
          </w:p>
        </w:tc>
        <w:tc>
          <w:tcPr>
            <w:tcW w:w="1559" w:type="dxa"/>
          </w:tcPr>
          <w:p w14:paraId="27710D50" w14:textId="54487480" w:rsidR="005410A6" w:rsidRDefault="005410A6" w:rsidP="002973AF">
            <w:pPr>
              <w:jc w:val="center"/>
            </w:pPr>
            <w:r w:rsidRPr="000F5F27">
              <w:t>1</w:t>
            </w:r>
          </w:p>
        </w:tc>
        <w:tc>
          <w:tcPr>
            <w:tcW w:w="2692" w:type="dxa"/>
          </w:tcPr>
          <w:p w14:paraId="37188DE1" w14:textId="3487A7EA" w:rsidR="005410A6" w:rsidRDefault="00953DFB" w:rsidP="005410A6">
            <w:pPr>
              <w:jc w:val="center"/>
            </w:pPr>
            <w:r>
              <w:t>9,800</w:t>
            </w:r>
          </w:p>
        </w:tc>
        <w:tc>
          <w:tcPr>
            <w:tcW w:w="2410" w:type="dxa"/>
          </w:tcPr>
          <w:p w14:paraId="7A5DEF64" w14:textId="416385BC" w:rsidR="00393267" w:rsidRDefault="00393267" w:rsidP="005410A6">
            <w:r>
              <w:t>Environmental Control,</w:t>
            </w:r>
          </w:p>
          <w:p w14:paraId="22D4BE87" w14:textId="17509376" w:rsidR="00393267" w:rsidRDefault="00393267" w:rsidP="005410A6">
            <w:r>
              <w:t>Thermal,</w:t>
            </w:r>
          </w:p>
          <w:p w14:paraId="7946E932" w14:textId="32803C2B" w:rsidR="005410A6" w:rsidRDefault="00393267" w:rsidP="005410A6">
            <w:r>
              <w:t>Background.</w:t>
            </w:r>
          </w:p>
        </w:tc>
      </w:tr>
      <w:tr w:rsidR="005410A6" w14:paraId="430BC788" w14:textId="77777777" w:rsidTr="002973AF">
        <w:tc>
          <w:tcPr>
            <w:tcW w:w="2977" w:type="dxa"/>
          </w:tcPr>
          <w:p w14:paraId="62B10466" w14:textId="54EFC267" w:rsidR="005410A6" w:rsidRDefault="005410A6" w:rsidP="005410A6">
            <w:r w:rsidRPr="00D524D8">
              <w:t>Coal Mining</w:t>
            </w:r>
          </w:p>
        </w:tc>
        <w:tc>
          <w:tcPr>
            <w:tcW w:w="1559" w:type="dxa"/>
          </w:tcPr>
          <w:p w14:paraId="3C02A342" w14:textId="708773D7" w:rsidR="005410A6" w:rsidRDefault="005410A6" w:rsidP="002973AF">
            <w:pPr>
              <w:jc w:val="center"/>
            </w:pPr>
            <w:r w:rsidRPr="000F5F27">
              <w:t>1</w:t>
            </w:r>
          </w:p>
        </w:tc>
        <w:tc>
          <w:tcPr>
            <w:tcW w:w="2692" w:type="dxa"/>
          </w:tcPr>
          <w:p w14:paraId="4C3DEB86" w14:textId="374B9324" w:rsidR="005410A6" w:rsidRDefault="005410A6" w:rsidP="005410A6">
            <w:pPr>
              <w:jc w:val="center"/>
            </w:pPr>
            <w:r>
              <w:t>88,859</w:t>
            </w:r>
          </w:p>
        </w:tc>
        <w:tc>
          <w:tcPr>
            <w:tcW w:w="2410" w:type="dxa"/>
          </w:tcPr>
          <w:p w14:paraId="26139157" w14:textId="77777777" w:rsidR="00BD669E" w:rsidRDefault="00BD669E" w:rsidP="005410A6">
            <w:r>
              <w:t>Mechanical,</w:t>
            </w:r>
          </w:p>
          <w:p w14:paraId="100A5B32" w14:textId="77777777" w:rsidR="00BD669E" w:rsidRDefault="00BD669E" w:rsidP="005410A6">
            <w:r>
              <w:t>Compressed Air,</w:t>
            </w:r>
          </w:p>
          <w:p w14:paraId="74D0BBDF" w14:textId="77777777" w:rsidR="00BD669E" w:rsidRDefault="00BD669E" w:rsidP="005410A6">
            <w:r>
              <w:t>Pumping,</w:t>
            </w:r>
          </w:p>
          <w:p w14:paraId="7E8157A1" w14:textId="32D52AEA" w:rsidR="005410A6" w:rsidRDefault="00BD669E" w:rsidP="005410A6">
            <w:r>
              <w:t>Environmental Control.</w:t>
            </w:r>
          </w:p>
        </w:tc>
      </w:tr>
      <w:tr w:rsidR="005410A6" w14:paraId="0EA207D8" w14:textId="77777777" w:rsidTr="002973AF">
        <w:tc>
          <w:tcPr>
            <w:tcW w:w="2977" w:type="dxa"/>
          </w:tcPr>
          <w:p w14:paraId="35F2729D" w14:textId="11ADEAAE" w:rsidR="005410A6" w:rsidRDefault="005410A6" w:rsidP="005410A6">
            <w:r w:rsidRPr="005410A6">
              <w:t>Water Supply, Sewerage and Drainage Services</w:t>
            </w:r>
          </w:p>
        </w:tc>
        <w:tc>
          <w:tcPr>
            <w:tcW w:w="1559" w:type="dxa"/>
          </w:tcPr>
          <w:p w14:paraId="3123D271" w14:textId="5586E8EE" w:rsidR="005410A6" w:rsidRDefault="005410A6" w:rsidP="002973AF">
            <w:pPr>
              <w:jc w:val="center"/>
            </w:pPr>
            <w:r w:rsidRPr="000F5F27">
              <w:t>1</w:t>
            </w:r>
          </w:p>
        </w:tc>
        <w:tc>
          <w:tcPr>
            <w:tcW w:w="2692" w:type="dxa"/>
          </w:tcPr>
          <w:p w14:paraId="464D17FC" w14:textId="3ED0853F" w:rsidR="005410A6" w:rsidRDefault="005410A6" w:rsidP="005410A6">
            <w:pPr>
              <w:jc w:val="center"/>
            </w:pPr>
            <w:r>
              <w:t>9,054</w:t>
            </w:r>
          </w:p>
        </w:tc>
        <w:tc>
          <w:tcPr>
            <w:tcW w:w="2410" w:type="dxa"/>
          </w:tcPr>
          <w:p w14:paraId="0489DA8C" w14:textId="77777777" w:rsidR="00A46088" w:rsidRDefault="00A46088" w:rsidP="00A46088">
            <w:r>
              <w:t>Compressed Air,</w:t>
            </w:r>
          </w:p>
          <w:p w14:paraId="3791D984" w14:textId="77777777" w:rsidR="00A46088" w:rsidRDefault="00A46088" w:rsidP="00A46088">
            <w:r>
              <w:t>Background,</w:t>
            </w:r>
          </w:p>
          <w:p w14:paraId="64C926E4" w14:textId="1AA163AD" w:rsidR="00A46088" w:rsidRDefault="00A46088" w:rsidP="00A46088">
            <w:r>
              <w:t>Thermal,</w:t>
            </w:r>
          </w:p>
          <w:p w14:paraId="461AD674" w14:textId="715280AE" w:rsidR="005410A6" w:rsidRDefault="00A46088" w:rsidP="00A46088">
            <w:r>
              <w:t>Pumping.</w:t>
            </w:r>
          </w:p>
        </w:tc>
      </w:tr>
      <w:tr w:rsidR="00615ACA" w14:paraId="3168F1F3" w14:textId="77777777" w:rsidTr="002973AF">
        <w:tc>
          <w:tcPr>
            <w:tcW w:w="2977" w:type="dxa"/>
          </w:tcPr>
          <w:p w14:paraId="42538BA6" w14:textId="05C5FF47" w:rsidR="00615ACA" w:rsidRPr="005410A6" w:rsidRDefault="00615ACA" w:rsidP="005410A6">
            <w:r w:rsidRPr="00615ACA">
              <w:t>Internet Service Providers, Web Search Portals and Data Processing Services</w:t>
            </w:r>
          </w:p>
        </w:tc>
        <w:tc>
          <w:tcPr>
            <w:tcW w:w="1559" w:type="dxa"/>
          </w:tcPr>
          <w:p w14:paraId="1A213F4A" w14:textId="00EBAB37" w:rsidR="00615ACA" w:rsidRPr="000F5F27" w:rsidRDefault="00615ACA" w:rsidP="002973AF">
            <w:pPr>
              <w:jc w:val="center"/>
            </w:pPr>
            <w:r>
              <w:t>1</w:t>
            </w:r>
          </w:p>
        </w:tc>
        <w:tc>
          <w:tcPr>
            <w:tcW w:w="2692" w:type="dxa"/>
          </w:tcPr>
          <w:p w14:paraId="0885C783" w14:textId="253237C8" w:rsidR="00615ACA" w:rsidRDefault="00615ACA" w:rsidP="005410A6">
            <w:pPr>
              <w:jc w:val="center"/>
            </w:pPr>
            <w:r>
              <w:t>2,400</w:t>
            </w:r>
          </w:p>
        </w:tc>
        <w:tc>
          <w:tcPr>
            <w:tcW w:w="2410" w:type="dxa"/>
          </w:tcPr>
          <w:p w14:paraId="51165356" w14:textId="77777777" w:rsidR="00615ACA" w:rsidRDefault="00615ACA" w:rsidP="00A46088">
            <w:r>
              <w:t>Background</w:t>
            </w:r>
          </w:p>
          <w:p w14:paraId="0F43A6F6" w14:textId="173D8223" w:rsidR="00615ACA" w:rsidRDefault="00615ACA" w:rsidP="00A46088">
            <w:r>
              <w:t>Environmental Control</w:t>
            </w:r>
          </w:p>
        </w:tc>
      </w:tr>
      <w:tr w:rsidR="005410A6" w14:paraId="640488C3" w14:textId="77777777" w:rsidTr="002973AF">
        <w:tc>
          <w:tcPr>
            <w:tcW w:w="2977" w:type="dxa"/>
          </w:tcPr>
          <w:p w14:paraId="4BB5304B" w14:textId="6565522C" w:rsidR="005410A6" w:rsidRDefault="005410A6" w:rsidP="005410A6">
            <w:r w:rsidRPr="00D524D8">
              <w:t>Non-Metallic Mineral Product Manufacturing</w:t>
            </w:r>
          </w:p>
        </w:tc>
        <w:tc>
          <w:tcPr>
            <w:tcW w:w="1559" w:type="dxa"/>
          </w:tcPr>
          <w:p w14:paraId="010A982C" w14:textId="0B52EBCE" w:rsidR="005410A6" w:rsidRDefault="005410A6" w:rsidP="002973AF">
            <w:pPr>
              <w:jc w:val="center"/>
            </w:pPr>
            <w:r w:rsidRPr="000F5F27">
              <w:t>1</w:t>
            </w:r>
          </w:p>
        </w:tc>
        <w:tc>
          <w:tcPr>
            <w:tcW w:w="2692" w:type="dxa"/>
          </w:tcPr>
          <w:p w14:paraId="0E7C8B2E" w14:textId="73122169" w:rsidR="005410A6" w:rsidRDefault="005410A6" w:rsidP="005410A6">
            <w:pPr>
              <w:jc w:val="center"/>
            </w:pPr>
            <w:r>
              <w:t>280</w:t>
            </w:r>
          </w:p>
        </w:tc>
        <w:tc>
          <w:tcPr>
            <w:tcW w:w="2410" w:type="dxa"/>
          </w:tcPr>
          <w:p w14:paraId="080A7F5D" w14:textId="77777777" w:rsidR="005410A6" w:rsidRDefault="00BD669E" w:rsidP="005410A6">
            <w:r>
              <w:t>Mechanical,</w:t>
            </w:r>
          </w:p>
          <w:p w14:paraId="1F591CFF" w14:textId="77777777" w:rsidR="00BD669E" w:rsidRDefault="00BD669E" w:rsidP="005410A6">
            <w:r>
              <w:t>Compressed Air,</w:t>
            </w:r>
          </w:p>
          <w:p w14:paraId="7273A3FC" w14:textId="77777777" w:rsidR="00BD669E" w:rsidRDefault="00BD669E" w:rsidP="005410A6">
            <w:r>
              <w:t>Surface Treatment,</w:t>
            </w:r>
          </w:p>
          <w:p w14:paraId="0DD5E2B3" w14:textId="77777777" w:rsidR="00BD669E" w:rsidRDefault="00BD669E" w:rsidP="005410A6">
            <w:r>
              <w:t>Thermal,</w:t>
            </w:r>
          </w:p>
          <w:p w14:paraId="2B1FE93D" w14:textId="77777777" w:rsidR="00BD669E" w:rsidRDefault="00BD669E" w:rsidP="005410A6">
            <w:r>
              <w:t>Pumping,</w:t>
            </w:r>
          </w:p>
          <w:p w14:paraId="5AF42A38" w14:textId="617812D0" w:rsidR="00BD669E" w:rsidRDefault="00BD669E" w:rsidP="005410A6">
            <w:r>
              <w:t>Background.</w:t>
            </w:r>
          </w:p>
        </w:tc>
      </w:tr>
      <w:tr w:rsidR="005410A6" w14:paraId="07C8278C" w14:textId="77777777" w:rsidTr="002973AF">
        <w:tc>
          <w:tcPr>
            <w:tcW w:w="2977" w:type="dxa"/>
          </w:tcPr>
          <w:p w14:paraId="031EF766" w14:textId="7B0E5A04" w:rsidR="005410A6" w:rsidRDefault="005410A6" w:rsidP="005410A6">
            <w:r w:rsidRPr="00D524D8">
              <w:t>Waste Collection, Treatment and Disposal Services</w:t>
            </w:r>
          </w:p>
        </w:tc>
        <w:tc>
          <w:tcPr>
            <w:tcW w:w="1559" w:type="dxa"/>
          </w:tcPr>
          <w:p w14:paraId="5605BCB3" w14:textId="072D0745" w:rsidR="005410A6" w:rsidRDefault="005410A6" w:rsidP="002973AF">
            <w:pPr>
              <w:jc w:val="center"/>
            </w:pPr>
            <w:r w:rsidRPr="000F5F27">
              <w:t>1</w:t>
            </w:r>
          </w:p>
        </w:tc>
        <w:tc>
          <w:tcPr>
            <w:tcW w:w="2692" w:type="dxa"/>
          </w:tcPr>
          <w:p w14:paraId="35250528" w14:textId="4226D5E2" w:rsidR="005410A6" w:rsidRDefault="005410A6" w:rsidP="005410A6">
            <w:pPr>
              <w:jc w:val="center"/>
            </w:pPr>
            <w:r>
              <w:t>1,016</w:t>
            </w:r>
          </w:p>
        </w:tc>
        <w:tc>
          <w:tcPr>
            <w:tcW w:w="2410" w:type="dxa"/>
          </w:tcPr>
          <w:p w14:paraId="29D24801" w14:textId="77777777" w:rsidR="005410A6" w:rsidRDefault="00BD669E" w:rsidP="005410A6">
            <w:r>
              <w:t>Compressed Air,</w:t>
            </w:r>
          </w:p>
          <w:p w14:paraId="6B48C662" w14:textId="77777777" w:rsidR="00BD669E" w:rsidRDefault="00BD669E" w:rsidP="005410A6">
            <w:r>
              <w:t>Background,</w:t>
            </w:r>
          </w:p>
          <w:p w14:paraId="6843B01D" w14:textId="73BD6E03" w:rsidR="00BD669E" w:rsidRDefault="00BD669E" w:rsidP="005410A6">
            <w:r>
              <w:t>Pumping.</w:t>
            </w:r>
          </w:p>
        </w:tc>
      </w:tr>
    </w:tbl>
    <w:p w14:paraId="797260B3" w14:textId="77777777" w:rsidR="00FA6A01" w:rsidRDefault="00FA6A01" w:rsidP="00FA6A01"/>
    <w:p w14:paraId="5C0555C9" w14:textId="796381AA" w:rsidR="00824C47" w:rsidRPr="001A48A4" w:rsidRDefault="00A61AC4" w:rsidP="00A61AC4">
      <w:pPr>
        <w:pStyle w:val="Heading3"/>
      </w:pPr>
      <w:bookmarkStart w:id="52" w:name="_Toc233788298"/>
      <w:r w:rsidRPr="001A48A4">
        <w:t>Stakeholder Data Collection Methods</w:t>
      </w:r>
      <w:bookmarkEnd w:id="52"/>
    </w:p>
    <w:p w14:paraId="3708F458" w14:textId="185BB5FD" w:rsidR="00922C45" w:rsidRDefault="001A6A25" w:rsidP="006650BE">
      <w:r>
        <w:t xml:space="preserve">To assess the potential </w:t>
      </w:r>
      <w:r w:rsidR="00922C45">
        <w:t xml:space="preserve">demand response </w:t>
      </w:r>
      <w:r>
        <w:t xml:space="preserve">capacity of an industrial site, the most important part was understanding the stakeholders’ knowledge of their process(es) and operation(s). </w:t>
      </w:r>
      <w:r w:rsidR="00922C45">
        <w:t>T</w:t>
      </w:r>
      <w:r w:rsidR="00922C45" w:rsidRPr="00922C45">
        <w:t xml:space="preserve">he interviews were </w:t>
      </w:r>
      <w:r w:rsidR="00922C45" w:rsidRPr="00922C45">
        <w:lastRenderedPageBreak/>
        <w:t>structured to progress through three stages, moving from general site-level understanding toward increasingly specific operational and technical detail</w:t>
      </w:r>
      <w:r w:rsidR="00B50244">
        <w:t>.</w:t>
      </w:r>
    </w:p>
    <w:p w14:paraId="05B87784" w14:textId="567DA11E" w:rsidR="006650BE" w:rsidRDefault="001A6A25" w:rsidP="006650BE">
      <w:r>
        <w:t xml:space="preserve">The first stage </w:t>
      </w:r>
      <w:r w:rsidR="00B50244">
        <w:t>covered</w:t>
      </w:r>
      <w:r>
        <w:t xml:space="preserve"> general questions </w:t>
      </w:r>
      <w:r w:rsidR="00B50244">
        <w:t>assessing participants' knowledge of site energy consumption, electricity tariffs, working conditions,</w:t>
      </w:r>
      <w:r>
        <w:t xml:space="preserve"> and in</w:t>
      </w:r>
      <w:r w:rsidR="00B50244">
        <w:t>-</w:t>
      </w:r>
      <w:r>
        <w:t xml:space="preserve">situ energy generation. The second stage </w:t>
      </w:r>
      <w:r w:rsidR="00B50244">
        <w:t>shifted to more targeted questions regarding</w:t>
      </w:r>
      <w:r>
        <w:t xml:space="preserve"> their industrial processes, primary energy-intensive equipment, and </w:t>
      </w:r>
      <w:r w:rsidR="00B50244">
        <w:t xml:space="preserve">operational or physical </w:t>
      </w:r>
      <w:r>
        <w:t xml:space="preserve">limitations </w:t>
      </w:r>
      <w:r w:rsidR="00B50244">
        <w:t>within</w:t>
      </w:r>
      <w:r>
        <w:t xml:space="preserve"> their working environment. A full list of questions asked can be found in </w:t>
      </w:r>
      <w:r w:rsidR="00A51630" w:rsidRPr="00A51630">
        <w:fldChar w:fldCharType="begin"/>
      </w:r>
      <w:r w:rsidR="00A51630" w:rsidRPr="00A51630">
        <w:instrText xml:space="preserve"> REF _Ref230876764 \w \h  \* MERGEFORMAT </w:instrText>
      </w:r>
      <w:r w:rsidR="00A51630" w:rsidRPr="00A51630">
        <w:fldChar w:fldCharType="separate"/>
      </w:r>
      <w:r w:rsidR="00036C9A">
        <w:t>Appendix A</w:t>
      </w:r>
      <w:r w:rsidR="00A51630" w:rsidRPr="00A51630">
        <w:fldChar w:fldCharType="end"/>
      </w:r>
      <w:r w:rsidRPr="00A51630">
        <w:t>.</w:t>
      </w:r>
      <w:r>
        <w:t xml:space="preserve"> Where </w:t>
      </w:r>
      <w:r w:rsidR="0064772D">
        <w:t>participant and site conditions permitted, a third stage was conducted, including a brief walk-through of the facility, allowing direct observation of daily operations and major equipment in use</w:t>
      </w:r>
      <w:r>
        <w:t>.</w:t>
      </w:r>
      <w:r w:rsidR="0064772D">
        <w:t xml:space="preserve"> </w:t>
      </w:r>
      <w:r w:rsidR="0064772D" w:rsidRPr="0064772D">
        <w:t xml:space="preserve">This physical engagement provided </w:t>
      </w:r>
      <w:r w:rsidR="0064772D">
        <w:t>contextual detail that interview responses alone could not consistently convey.</w:t>
      </w:r>
    </w:p>
    <w:p w14:paraId="10CDBED3" w14:textId="77777777" w:rsidR="006650BE" w:rsidRDefault="006650BE" w:rsidP="006650BE">
      <w:r>
        <w:t>Initial interviews were followed up through telephone calls and email correspondence to clarify responses, obtain supporting documentation, and confirm data where ambiguity existed. Where participants were willing to share electricity billing records, energy audit reports, or emissions disclosure documents, these were reviewed to corroborate self-reported consumption figures and tariff arrangements.</w:t>
      </w:r>
    </w:p>
    <w:p w14:paraId="142DB465" w14:textId="4AAD6957" w:rsidR="006650BE" w:rsidRDefault="006650BE" w:rsidP="006650BE">
      <w:r>
        <w:t>It is acknowledged that the conversational interview format introduces the possibility of self-reporting bias</w:t>
      </w:r>
      <w:r w:rsidR="0064772D">
        <w:t>,</w:t>
      </w:r>
      <w:r>
        <w:t xml:space="preserve"> a limitation discussed further in Section </w:t>
      </w:r>
      <w:r>
        <w:fldChar w:fldCharType="begin"/>
      </w:r>
      <w:r>
        <w:instrText xml:space="preserve"> REF _Ref230856447 \r \h </w:instrText>
      </w:r>
      <w:r>
        <w:fldChar w:fldCharType="separate"/>
      </w:r>
      <w:r w:rsidR="00036C9A">
        <w:t>4.1.6</w:t>
      </w:r>
      <w:r>
        <w:fldChar w:fldCharType="end"/>
      </w:r>
      <w:r>
        <w:t>. Nevertheless, the iterative follow-up process, combined with secondary data triangulation where available, provided reasonable confidence in the integrity of the dataset</w:t>
      </w:r>
      <w:r w:rsidR="00A73539">
        <w:t>.</w:t>
      </w:r>
    </w:p>
    <w:p w14:paraId="10797E1D" w14:textId="54EB542B" w:rsidR="00A61AC4" w:rsidRPr="001A48A4" w:rsidRDefault="00A304E5" w:rsidP="00A304E5">
      <w:pPr>
        <w:pStyle w:val="Heading3"/>
      </w:pPr>
      <w:bookmarkStart w:id="53" w:name="_Toc233788299"/>
      <w:r w:rsidRPr="001A48A4">
        <w:t>Validity and Reliability</w:t>
      </w:r>
      <w:bookmarkEnd w:id="53"/>
    </w:p>
    <w:p w14:paraId="751CD2AB" w14:textId="050203CD" w:rsidR="006650BE" w:rsidRDefault="006650BE" w:rsidP="006650BE">
      <w:r>
        <w:t>Research quality was maintained through several measures. Data triangulation</w:t>
      </w:r>
      <w:r w:rsidR="0064772D">
        <w:t xml:space="preserve">, </w:t>
      </w:r>
      <w:r>
        <w:t>comparing interview responses against available documentary evidence, published emissions disclosures, and secondary benchmarks</w:t>
      </w:r>
      <w:r w:rsidR="0064772D">
        <w:t xml:space="preserve">, </w:t>
      </w:r>
      <w:r>
        <w:t xml:space="preserve">was employed wherever possible to reduce reliance on self-reported information. The iterative follow-up process provided an opportunity to resolve inconsistencies and confirm data prior to analysis. The classification framework was applied uniformly across all </w:t>
      </w:r>
      <w:r w:rsidR="00D62A33">
        <w:t xml:space="preserve">22 </w:t>
      </w:r>
      <w:r>
        <w:t>participants, with scoring decisions documented to ensure transparency and reproducibility.</w:t>
      </w:r>
    </w:p>
    <w:p w14:paraId="6DCADF15" w14:textId="4CB85A01" w:rsidR="006650BE" w:rsidRDefault="006650BE" w:rsidP="006650BE">
      <w:r>
        <w:t>The following limitations</w:t>
      </w:r>
      <w:r w:rsidR="000B6E19">
        <w:t xml:space="preserve">, which are discussed in more detail in Section </w:t>
      </w:r>
      <w:r w:rsidR="000B6E19">
        <w:fldChar w:fldCharType="begin"/>
      </w:r>
      <w:r w:rsidR="000B6E19">
        <w:instrText xml:space="preserve"> REF _Ref230856447 \r \h </w:instrText>
      </w:r>
      <w:r w:rsidR="000B6E19">
        <w:fldChar w:fldCharType="separate"/>
      </w:r>
      <w:r w:rsidR="00036C9A">
        <w:t>4.1.6</w:t>
      </w:r>
      <w:r w:rsidR="000B6E19">
        <w:fldChar w:fldCharType="end"/>
      </w:r>
      <w:r w:rsidR="000B6E19">
        <w:t>,</w:t>
      </w:r>
      <w:r>
        <w:t xml:space="preserve"> </w:t>
      </w:r>
      <w:r w:rsidR="00B13BF9" w:rsidRPr="00B13BF9">
        <w:t>do not invalidate the findings</w:t>
      </w:r>
      <w:r w:rsidR="000B6E19">
        <w:t>,</w:t>
      </w:r>
      <w:r w:rsidR="00B13BF9" w:rsidRPr="00B13BF9">
        <w:t xml:space="preserve"> but should be considered when assessing the generalisability and precision of the conclusions drawn</w:t>
      </w:r>
      <w:r w:rsidR="00B13BF9">
        <w:t>.</w:t>
      </w:r>
    </w:p>
    <w:p w14:paraId="1ADD174D" w14:textId="0D00B0ED" w:rsidR="006650BE" w:rsidRDefault="006650BE" w:rsidP="006650BE">
      <w:pPr>
        <w:pStyle w:val="ListBullet"/>
      </w:pPr>
      <w:r>
        <w:t>Self-reporting bias: participants may have overstated their DR readiness or understated operational constraints, particularly where there was a desire to present the company favourably.</w:t>
      </w:r>
    </w:p>
    <w:p w14:paraId="2ED3A364" w14:textId="3CAAF362" w:rsidR="006650BE" w:rsidRDefault="006650BE" w:rsidP="006650BE">
      <w:pPr>
        <w:pStyle w:val="ListBullet"/>
      </w:pPr>
      <w:r>
        <w:t>Sample characteristics: the cohort was drawn primarily from Advitech's professional network, which may introduce selection effects</w:t>
      </w:r>
      <w:r w:rsidR="00B13BF9">
        <w:t xml:space="preserve">; </w:t>
      </w:r>
      <w:r>
        <w:t>companies with an existing relationship with an energy consultancy may have higher baseline energy literacy than the broader industrial population.</w:t>
      </w:r>
    </w:p>
    <w:p w14:paraId="082FF292" w14:textId="378A505B" w:rsidR="006650BE" w:rsidRDefault="006650BE" w:rsidP="006650BE">
      <w:pPr>
        <w:pStyle w:val="ListBullet"/>
      </w:pPr>
      <w:r>
        <w:t>Industry-specific variability: the scoring framework applies uniform weightings across diverse sectors; it is acknowledged that the relative importance of individual factors may differ by industry type.</w:t>
      </w:r>
    </w:p>
    <w:p w14:paraId="32798A34" w14:textId="36C763D6" w:rsidR="006650BE" w:rsidRDefault="006650BE" w:rsidP="006650BE">
      <w:pPr>
        <w:pStyle w:val="ListBullet"/>
      </w:pPr>
      <w:r>
        <w:t>Depth of collected information: the level of detail provided by participants varied considerably, with some companies unable or unwilling to share electricity billing records or consumption breakdowns, limiting the precision of certain data points.</w:t>
      </w:r>
    </w:p>
    <w:p w14:paraId="6CC504DB" w14:textId="4FADF5F6" w:rsidR="006650BE" w:rsidRPr="00A304E5" w:rsidRDefault="00B13BF9" w:rsidP="00A304E5">
      <w:r w:rsidRPr="00B13BF9">
        <w:t xml:space="preserve">The participant cohort was drawn primarily from Advitech's existing professional network within the Hunter Valley industrial community, supplemented by referrals from industry bodies and companies from previous Advitech energy audits. This recruitment approach may introduce selection effects: companies with an established relationship with an energy consultancy are likely to have higher baseline energy literacy and greater familiarity with energy management concepts than the broader industrial population. The cohort may therefore represent a more engaged subset of mid-sized industrial companies than would be obtained through a random or cold-outreach sampling strategy, </w:t>
      </w:r>
      <w:r w:rsidR="000B6E19">
        <w:t>a consideration</w:t>
      </w:r>
      <w:r w:rsidRPr="00B13BF9">
        <w:t xml:space="preserve"> when extrapolating the findings to the wider industrial sector</w:t>
      </w:r>
      <w:r>
        <w:t>.</w:t>
      </w:r>
    </w:p>
    <w:p w14:paraId="3C017844" w14:textId="16753600" w:rsidR="00102AA6" w:rsidRPr="001A48A4" w:rsidRDefault="00102AA6" w:rsidP="00102AA6">
      <w:pPr>
        <w:pStyle w:val="Heading3"/>
      </w:pPr>
      <w:bookmarkStart w:id="54" w:name="_Toc233788300"/>
      <w:r w:rsidRPr="001A48A4">
        <w:t>Ethical Considerations</w:t>
      </w:r>
      <w:bookmarkEnd w:id="54"/>
    </w:p>
    <w:p w14:paraId="511D0A67" w14:textId="3ACFEE6E" w:rsidR="00CA087C" w:rsidRDefault="00CA087C" w:rsidP="00CA087C">
      <w:r>
        <w:t xml:space="preserve">Given the nature of the stakeholder engagement in this study, which involved direct access to commercially sensitive operational data, energy consumption records, and internal business practices, ethical considerations were an integral component of the research methodology rather than a </w:t>
      </w:r>
      <w:r>
        <w:lastRenderedPageBreak/>
        <w:t>procedural formality. The intended public availability of the final report further reinforced the importance of establishing clear and consistent protocols governing the treatment of participant data from the outset of the engagement process.</w:t>
      </w:r>
    </w:p>
    <w:p w14:paraId="11320053" w14:textId="760A9022" w:rsidR="00102AA6" w:rsidRDefault="00CA087C" w:rsidP="00CA087C">
      <w:r>
        <w:t>All participating companies provided informed consent prior to engagement. Participants were advised of the purpose of the research, the manner in which their data would be used, and the conditions under which it would be stored and published. Participation was voluntary, and companies were free to withdraw from the study or decline to provide specific information at any stage of the engagement process.</w:t>
      </w:r>
    </w:p>
    <w:p w14:paraId="10DB7826" w14:textId="76656B2E" w:rsidR="00CA087C" w:rsidRPr="00102AA6" w:rsidRDefault="00CA087C" w:rsidP="00CA087C">
      <w:r w:rsidRPr="00CA087C">
        <w:t>The handling of all data collected during the study was governed by four principles</w:t>
      </w:r>
      <w:r w:rsidR="00B93941">
        <w:t>:</w:t>
      </w:r>
    </w:p>
    <w:p w14:paraId="4643366F" w14:textId="5CC166BF" w:rsidR="00102AA6" w:rsidRPr="00102AA6" w:rsidRDefault="00B93941" w:rsidP="00AA3047">
      <w:pPr>
        <w:numPr>
          <w:ilvl w:val="0"/>
          <w:numId w:val="22"/>
        </w:numPr>
      </w:pPr>
      <w:r>
        <w:t>A</w:t>
      </w:r>
      <w:r w:rsidRPr="00B93941">
        <w:t xml:space="preserve">ll participating companies and individual contacts were anonymised prior to analysis and publication. Companies are identified throughout this report by alphabetical designation only, as described in Section </w:t>
      </w:r>
      <w:r>
        <w:fldChar w:fldCharType="begin"/>
      </w:r>
      <w:r>
        <w:instrText xml:space="preserve"> REF _Ref230877489 \r \h </w:instrText>
      </w:r>
      <w:r>
        <w:fldChar w:fldCharType="separate"/>
      </w:r>
      <w:r w:rsidR="00036C9A">
        <w:t>3.3</w:t>
      </w:r>
      <w:r>
        <w:fldChar w:fldCharType="end"/>
      </w:r>
      <w:r>
        <w:t>.</w:t>
      </w:r>
    </w:p>
    <w:p w14:paraId="1B8C28B4" w14:textId="6427457C" w:rsidR="00102AA6" w:rsidRPr="00102AA6" w:rsidRDefault="00B93941" w:rsidP="00AA3047">
      <w:pPr>
        <w:numPr>
          <w:ilvl w:val="0"/>
          <w:numId w:val="22"/>
        </w:numPr>
      </w:pPr>
      <w:r>
        <w:t>All data was</w:t>
      </w:r>
      <w:r w:rsidRPr="00B93941">
        <w:t xml:space="preserve"> stored and managed in accordance with Advitech's certified integrated management system, which operates under ISO 9001 quality management standards, ensuring that data handling, access controls, and document retention practices met a verified and independently audited standard throughout the project</w:t>
      </w:r>
      <w:r>
        <w:t>.</w:t>
      </w:r>
    </w:p>
    <w:p w14:paraId="569850A0" w14:textId="20CD7A50" w:rsidR="00102AA6" w:rsidRDefault="00B93941" w:rsidP="00AA3047">
      <w:pPr>
        <w:numPr>
          <w:ilvl w:val="0"/>
          <w:numId w:val="22"/>
        </w:numPr>
      </w:pPr>
      <w:r>
        <w:t>D</w:t>
      </w:r>
      <w:r w:rsidRPr="00B93941">
        <w:t>ata obtained through the stakeholder engagement process was used solely for academic analysis and the strategic research objectives of the AR-PST Stage 5 program. It was not used for commercial purposes, shared with third parties, or applied to any purpose outside the scope of this project without explicit authorisation</w:t>
      </w:r>
      <w:r>
        <w:t>.</w:t>
      </w:r>
    </w:p>
    <w:p w14:paraId="4ED858A3" w14:textId="5C3A0A86" w:rsidR="00102AA6" w:rsidRDefault="00B93941" w:rsidP="00AA3047">
      <w:pPr>
        <w:numPr>
          <w:ilvl w:val="0"/>
          <w:numId w:val="22"/>
        </w:numPr>
      </w:pPr>
      <w:r>
        <w:t>C</w:t>
      </w:r>
      <w:r w:rsidRPr="00B93941">
        <w:t>onfidential or commercially sensitive information disclosed by participants during the engagement process was excluded from publication</w:t>
      </w:r>
      <w:r w:rsidR="00102AA6" w:rsidRPr="00102AA6">
        <w:t>.</w:t>
      </w:r>
    </w:p>
    <w:p w14:paraId="12DC48BF" w14:textId="3BA6F946" w:rsidR="00CA087C" w:rsidRPr="00102AA6" w:rsidRDefault="00B93941" w:rsidP="00CA087C">
      <w:r>
        <w:t>It is believed that p</w:t>
      </w:r>
      <w:r w:rsidRPr="00B93941">
        <w:t>articipants were more willing to share operational details, internal constraints, and commercially sensitive information when they had confidence that the data would be handled responsibly and that their organisation would not be identifiable in the published findings</w:t>
      </w:r>
      <w:r>
        <w:t>.</w:t>
      </w:r>
    </w:p>
    <w:p w14:paraId="719B31DB" w14:textId="197848AF" w:rsidR="00102AA6" w:rsidRPr="00745C8F" w:rsidRDefault="00102AA6" w:rsidP="00102AA6">
      <w:pPr>
        <w:pStyle w:val="Heading3"/>
      </w:pPr>
      <w:bookmarkStart w:id="55" w:name="_Ref230856447"/>
      <w:bookmarkStart w:id="56" w:name="_Toc233788301"/>
      <w:r w:rsidRPr="00745C8F">
        <w:t>Limitations</w:t>
      </w:r>
      <w:bookmarkEnd w:id="55"/>
      <w:bookmarkEnd w:id="56"/>
    </w:p>
    <w:p w14:paraId="38CDB286" w14:textId="77777777" w:rsidR="0096513F" w:rsidRDefault="006C3BF2" w:rsidP="00102AA6">
      <w:r w:rsidRPr="006C3BF2">
        <w:t>The following limitations are acknowledged in the interpretation of the results presented in this report.</w:t>
      </w:r>
    </w:p>
    <w:p w14:paraId="69D496D1" w14:textId="4BB589C7" w:rsidR="00102AA6" w:rsidRPr="00102AA6" w:rsidRDefault="006C3BF2" w:rsidP="00102AA6">
      <w:r>
        <w:t>These limitations</w:t>
      </w:r>
      <w:r w:rsidRPr="006C3BF2">
        <w:t xml:space="preserve"> do not invalidate the findings but </w:t>
      </w:r>
      <w:r>
        <w:t xml:space="preserve">rather </w:t>
      </w:r>
      <w:r w:rsidRPr="006C3BF2">
        <w:t xml:space="preserve">should be considered when assessing the </w:t>
      </w:r>
      <w:r w:rsidR="00937E81">
        <w:t>transferability</w:t>
      </w:r>
      <w:r w:rsidRPr="006C3BF2">
        <w:t xml:space="preserve"> and </w:t>
      </w:r>
      <w:r>
        <w:t>extent</w:t>
      </w:r>
      <w:r w:rsidRPr="006C3BF2">
        <w:t xml:space="preserve"> of the conclusions. </w:t>
      </w:r>
      <w:r w:rsidR="00102AA6" w:rsidRPr="00102AA6">
        <w:t>Potential limitations of the study include:</w:t>
      </w:r>
    </w:p>
    <w:p w14:paraId="1BAABE4C" w14:textId="3D3CA3D0" w:rsidR="00102AA6" w:rsidRPr="00745C8F" w:rsidRDefault="00102AA6" w:rsidP="002C08AE">
      <w:pPr>
        <w:pStyle w:val="Heading4"/>
      </w:pPr>
      <w:r w:rsidRPr="00745C8F">
        <w:t>Self-reporting bias</w:t>
      </w:r>
    </w:p>
    <w:p w14:paraId="22BFDB98" w14:textId="5A7F687F" w:rsidR="006C3BF2" w:rsidRPr="006C3BF2" w:rsidRDefault="006C3BF2" w:rsidP="006C3BF2">
      <w:r w:rsidRPr="006C3BF2">
        <w:t xml:space="preserve">Primary data was collected through conversational interviews and follow-up correspondence, with participants self-reporting their operational characteristics, energy consumption patterns, and attitudes toward demand response participation. As with any qualitative, interview-based methodology, there is an inherent risk that responses reflect how participants wish to present their organisation rather than its precise operational reality. In particular, participants </w:t>
      </w:r>
      <w:r w:rsidR="0096513F">
        <w:t>may</w:t>
      </w:r>
      <w:r w:rsidRPr="006C3BF2">
        <w:t xml:space="preserve"> have overstated their openness to DR participation, their existing energy management practices, or their technical capabilit</w:t>
      </w:r>
      <w:r>
        <w:t>ies</w:t>
      </w:r>
      <w:r w:rsidRPr="006C3BF2">
        <w:t xml:space="preserve">, particularly where there was a desire to appear progressive or engaged on energy matters. </w:t>
      </w:r>
      <w:r w:rsidR="00CE058E">
        <w:t xml:space="preserve">Such degree was observed as approximately 50% of the cohort expressed willingness to participate in DR program, yet only 1 company had and available notice period of 2-8 hours, while the remainder had opted for 24 hours’ notice period. </w:t>
      </w:r>
      <w:r w:rsidR="0078402F">
        <w:t>I</w:t>
      </w:r>
      <w:r w:rsidR="0078402F" w:rsidRPr="0078402F">
        <w:t xml:space="preserve">t is </w:t>
      </w:r>
      <w:r w:rsidR="0078402F">
        <w:t>remarkably challenging</w:t>
      </w:r>
      <w:r w:rsidR="0078402F" w:rsidRPr="0078402F">
        <w:t xml:space="preserve"> to eliminate self-reporting bias entirely within a qualitative, interview-based methodology of this kind; it can only be meaningfully mitigated through an independent, professional assessment of a site's actual engineering capability, which is precisely the approach proposed in the customer-centric demand-side management study </w:t>
      </w:r>
      <w:r w:rsidR="0078402F">
        <w:t xml:space="preserve">of future work </w:t>
      </w:r>
      <w:r w:rsidR="0078402F" w:rsidRPr="0078402F">
        <w:t xml:space="preserve">outlined in Section </w:t>
      </w:r>
      <w:r w:rsidR="0078402F">
        <w:fldChar w:fldCharType="begin"/>
      </w:r>
      <w:r w:rsidR="0078402F">
        <w:instrText xml:space="preserve"> REF _Ref233686750 \r \h </w:instrText>
      </w:r>
      <w:r w:rsidR="0078402F">
        <w:fldChar w:fldCharType="separate"/>
      </w:r>
      <w:r w:rsidR="00036C9A">
        <w:t>8.2</w:t>
      </w:r>
      <w:r w:rsidR="0078402F">
        <w:fldChar w:fldCharType="end"/>
      </w:r>
      <w:r w:rsidR="0078402F">
        <w:t xml:space="preserve">. </w:t>
      </w:r>
      <w:r w:rsidRPr="006C3BF2">
        <w:t xml:space="preserve">This risk was partially mitigated </w:t>
      </w:r>
      <w:r>
        <w:t>by cross-referencing self-reported data with available documentary evidence</w:t>
      </w:r>
      <w:r w:rsidR="0096513F">
        <w:t>, such as</w:t>
      </w:r>
      <w:r>
        <w:t xml:space="preserve"> electricity bills, energy audit reports, and emissions disclosures</w:t>
      </w:r>
      <w:r w:rsidR="0096513F">
        <w:t>,</w:t>
      </w:r>
      <w:r>
        <w:t xml:space="preserve"> and by an iterative follow-up process that</w:t>
      </w:r>
      <w:r w:rsidRPr="006C3BF2">
        <w:t xml:space="preserve"> provided an opportunity to probe and verify initial responses. Nevertheless, some degree of self-reporting bias cannot be entirely </w:t>
      </w:r>
      <w:r>
        <w:t>ruled out in</w:t>
      </w:r>
      <w:r w:rsidRPr="006C3BF2">
        <w:t xml:space="preserve"> the dataset.</w:t>
      </w:r>
    </w:p>
    <w:p w14:paraId="00533272" w14:textId="3D461ACD" w:rsidR="00102AA6" w:rsidRPr="00745C8F" w:rsidRDefault="00102AA6" w:rsidP="002C08AE">
      <w:pPr>
        <w:pStyle w:val="Heading4"/>
      </w:pPr>
      <w:r w:rsidRPr="00745C8F">
        <w:t>Limited sample size</w:t>
      </w:r>
    </w:p>
    <w:p w14:paraId="275C08E4" w14:textId="58DC60F7" w:rsidR="002C08AE" w:rsidRPr="002C08AE" w:rsidRDefault="002C08AE" w:rsidP="002C08AE">
      <w:r w:rsidRPr="002C08AE">
        <w:t xml:space="preserve">From the early stages of stakeholder engagement, it became apparent that obtaining comprehensive industrial load data was considerably more difficult than anticipated. While the majority of participating </w:t>
      </w:r>
      <w:r w:rsidRPr="002C08AE">
        <w:lastRenderedPageBreak/>
        <w:t>companies demonstrated a clear awareness of their overall energy consumption</w:t>
      </w:r>
      <w:r w:rsidR="0096513F">
        <w:t xml:space="preserve">, </w:t>
      </w:r>
      <w:r w:rsidRPr="002C08AE">
        <w:t>including monthly usage figures and daily fluctuation patterns</w:t>
      </w:r>
      <w:r w:rsidR="0096513F">
        <w:t>,</w:t>
      </w:r>
      <w:r w:rsidRPr="002C08AE">
        <w:t xml:space="preserve"> 88% of the cohort had no breakdown of energy consumption at the equipment or process level. The absence of end-use submetering data created gaps in the load identification analysis and constrained the depth of characterisation that could be achieved for a number of participants</w:t>
      </w:r>
      <w:r>
        <w:t>.</w:t>
      </w:r>
    </w:p>
    <w:p w14:paraId="12C2E1CF" w14:textId="18541FDC" w:rsidR="00102AA6" w:rsidRPr="00745C8F" w:rsidRDefault="00102AA6" w:rsidP="002C08AE">
      <w:pPr>
        <w:pStyle w:val="Heading4"/>
      </w:pPr>
      <w:r w:rsidRPr="00745C8F">
        <w:t>Industry-specific variability</w:t>
      </w:r>
    </w:p>
    <w:p w14:paraId="6DE1CFCF" w14:textId="5E3EC7B5" w:rsidR="002C08AE" w:rsidRPr="002C08AE" w:rsidRDefault="0096513F" w:rsidP="002C08AE">
      <w:r w:rsidRPr="0096513F">
        <w:t>The scoring and classification framework developed for this study applies uniform weightings to barriers and capability factors across all participating companies, regardless of industry sector. This approach was necessary to enable consistent comparison across a diverse cohort, but it carries an inherent limitation</w:t>
      </w:r>
      <w:r w:rsidR="007E46D6">
        <w:t>;</w:t>
      </w:r>
      <w:r w:rsidRPr="0096513F">
        <w:t xml:space="preserve"> the relative significance of individual barriers and capability factors is likely to differ by sector. A continuous process constraint, for example, carries different practical implications in a food processing facility than in a heavy engineering workshop, even where both attract the same negative weighting under the framework. Similarly, the value of on-site generation as a capability factor may be considerably higher for a site with </w:t>
      </w:r>
      <w:r w:rsidR="007E46D6">
        <w:t xml:space="preserve">a </w:t>
      </w:r>
      <w:r w:rsidRPr="0096513F">
        <w:t xml:space="preserve">significant daytime load than for one operating predominantly on night shifts. These sector-specific nuances </w:t>
      </w:r>
      <w:r w:rsidR="007E46D6">
        <w:t>were</w:t>
      </w:r>
      <w:r w:rsidRPr="0096513F">
        <w:t xml:space="preserve"> </w:t>
      </w:r>
      <w:r w:rsidR="007E46D6">
        <w:t>acknowledged and considered</w:t>
      </w:r>
      <w:r w:rsidRPr="0096513F">
        <w:t xml:space="preserve"> in the findings</w:t>
      </w:r>
      <w:r w:rsidR="007E46D6">
        <w:t xml:space="preserve">; however, they </w:t>
      </w:r>
      <w:r w:rsidRPr="0096513F">
        <w:t>are not fully captured by the normalised scoring index. Future research involving larger, sector-stratified samples would allow the framework weightings to be refined and validated at the industry level</w:t>
      </w:r>
      <w:r w:rsidR="007E46D6">
        <w:t>.</w:t>
      </w:r>
    </w:p>
    <w:p w14:paraId="595D83FD" w14:textId="5A65AC07" w:rsidR="00102AA6" w:rsidRPr="00745C8F" w:rsidRDefault="00102AA6" w:rsidP="002C08AE">
      <w:pPr>
        <w:pStyle w:val="Heading4"/>
      </w:pPr>
      <w:r w:rsidRPr="00745C8F">
        <w:t>Depth of collected information</w:t>
      </w:r>
    </w:p>
    <w:p w14:paraId="6F5B6025" w14:textId="07B767DC" w:rsidR="002C08AE" w:rsidRPr="002C08AE" w:rsidRDefault="002C08AE" w:rsidP="002C08AE">
      <w:r w:rsidRPr="002C08AE">
        <w:t xml:space="preserve">A related limitation concerns the </w:t>
      </w:r>
      <w:r w:rsidR="00745C8F">
        <w:t>transferability</w:t>
      </w:r>
      <w:r w:rsidRPr="002C08AE">
        <w:t xml:space="preserve"> of the findings. While the industrial load types and taxonomy developed in Section </w:t>
      </w:r>
      <w:r>
        <w:fldChar w:fldCharType="begin"/>
      </w:r>
      <w:r>
        <w:instrText xml:space="preserve"> REF _Ref230768436 \w \h </w:instrText>
      </w:r>
      <w:r>
        <w:fldChar w:fldCharType="separate"/>
      </w:r>
      <w:r w:rsidR="00036C9A">
        <w:t>4.2</w:t>
      </w:r>
      <w:r>
        <w:fldChar w:fldCharType="end"/>
      </w:r>
      <w:r w:rsidR="0096513F">
        <w:t xml:space="preserve"> </w:t>
      </w:r>
      <w:r>
        <w:fldChar w:fldCharType="begin"/>
      </w:r>
      <w:r>
        <w:instrText xml:space="preserve"> REF _Ref230768445 \h </w:instrText>
      </w:r>
      <w:r>
        <w:fldChar w:fldCharType="separate"/>
      </w:r>
      <w:r w:rsidR="00036C9A" w:rsidRPr="00351E60">
        <w:rPr>
          <w:bCs/>
        </w:rPr>
        <w:t>Taxonomy of Loads</w:t>
      </w:r>
      <w:r>
        <w:fldChar w:fldCharType="end"/>
      </w:r>
      <w:r w:rsidRPr="002C08AE">
        <w:t xml:space="preserve"> can be extrapolated across broader industry sectors</w:t>
      </w:r>
      <w:r w:rsidR="0096513F">
        <w:t xml:space="preserve">, </w:t>
      </w:r>
      <w:r w:rsidRPr="002C08AE">
        <w:t>given that similar equipment categories appear consistently across comparable industrial settings</w:t>
      </w:r>
      <w:r w:rsidR="007E46D6">
        <w:t>;</w:t>
      </w:r>
      <w:r w:rsidR="0096513F">
        <w:t xml:space="preserve"> </w:t>
      </w:r>
      <w:r w:rsidRPr="002C08AE">
        <w:t xml:space="preserve">there is no single sector that presents a straightforwardly accessible DR opportunity. DR suitability is not determined by industry type alone; it depends on the specific combination of operational flexibility, energy awareness, available data, and technical constraints present at each individual site. Accordingly, while load characterisation can be meaningfully applied at the sector level, </w:t>
      </w:r>
      <w:r w:rsidR="00745C8F">
        <w:t xml:space="preserve">the potential for DR participation </w:t>
      </w:r>
      <w:r w:rsidRPr="002C08AE">
        <w:t xml:space="preserve">must be assessed at the company level. This distinction is central to the findings discussed in Section </w:t>
      </w:r>
      <w:r>
        <w:fldChar w:fldCharType="begin"/>
      </w:r>
      <w:r>
        <w:instrText xml:space="preserve"> REF _Ref230768478 \w \h </w:instrText>
      </w:r>
      <w:r>
        <w:fldChar w:fldCharType="separate"/>
      </w:r>
      <w:r w:rsidR="00036C9A">
        <w:t>5.5</w:t>
      </w:r>
      <w:r>
        <w:fldChar w:fldCharType="end"/>
      </w:r>
      <w:r>
        <w:t xml:space="preserve"> </w:t>
      </w:r>
      <w:r>
        <w:fldChar w:fldCharType="begin"/>
      </w:r>
      <w:r>
        <w:instrText xml:space="preserve"> REF _Ref230768487 \h </w:instrText>
      </w:r>
      <w:r>
        <w:fldChar w:fldCharType="separate"/>
      </w:r>
      <w:r w:rsidR="00036C9A" w:rsidRPr="00D10886">
        <w:t>Findings and Discussion</w:t>
      </w:r>
      <w:r>
        <w:fldChar w:fldCharType="end"/>
      </w:r>
      <w:r w:rsidRPr="002C08AE">
        <w:t>.</w:t>
      </w:r>
    </w:p>
    <w:p w14:paraId="739D552F" w14:textId="2B7310C6" w:rsidR="00102AA6" w:rsidRPr="00102AA6" w:rsidRDefault="00C1339F" w:rsidP="000D7491">
      <w:r w:rsidRPr="00C1339F">
        <w:t>Several of the limitations identified above are not incidental to this stage of the research</w:t>
      </w:r>
      <w:r w:rsidR="00D51A8F">
        <w:t>;</w:t>
      </w:r>
      <w:r w:rsidRPr="00C1339F">
        <w:t xml:space="preserve"> they are, in part, a product of the gaps in industrial DR infrastructure, data availability, and standardisation that this study set out to characterise. The proposed follow-on research program directly addresses each of these limitations: through site-based audit methodology that replaces self-reported data with verified measurements; through in-depth case studies that provide the operational depth a broad survey cannot achieve; and through the development of a standardised industrial DR framework that would establish the technical and measurement foundations currently absent from the sector. In this sense, the limitations of Stage 5 are also its most important outputs</w:t>
      </w:r>
      <w:r w:rsidR="00D51A8F">
        <w:t>,</w:t>
      </w:r>
      <w:r w:rsidRPr="00C1339F">
        <w:t xml:space="preserve"> </w:t>
      </w:r>
      <w:r w:rsidR="00D51A8F">
        <w:t xml:space="preserve">as </w:t>
      </w:r>
      <w:r w:rsidRPr="00C1339F">
        <w:t>they define the work that needs to be done next</w:t>
      </w:r>
      <w:r w:rsidR="00D51A8F">
        <w:t xml:space="preserve"> and are discussed in</w:t>
      </w:r>
      <w:r w:rsidR="00745C8F">
        <w:t xml:space="preserve"> Section </w:t>
      </w:r>
      <w:r w:rsidR="00745C8F">
        <w:fldChar w:fldCharType="begin"/>
      </w:r>
      <w:r w:rsidR="00745C8F">
        <w:instrText xml:space="preserve"> REF _Ref230770910 \w \h </w:instrText>
      </w:r>
      <w:r w:rsidR="00745C8F">
        <w:fldChar w:fldCharType="separate"/>
      </w:r>
      <w:r w:rsidR="00036C9A">
        <w:t>8</w:t>
      </w:r>
      <w:r w:rsidR="00745C8F">
        <w:fldChar w:fldCharType="end"/>
      </w:r>
      <w:r w:rsidR="00745C8F">
        <w:t xml:space="preserve">, </w:t>
      </w:r>
      <w:r w:rsidR="00D51A8F">
        <w:fldChar w:fldCharType="begin"/>
      </w:r>
      <w:r w:rsidR="00D51A8F">
        <w:instrText xml:space="preserve"> REF _Ref230770895 \h </w:instrText>
      </w:r>
      <w:r w:rsidR="00D51A8F">
        <w:fldChar w:fldCharType="separate"/>
      </w:r>
      <w:r w:rsidR="00036C9A" w:rsidRPr="002C0905">
        <w:t>Future Work</w:t>
      </w:r>
      <w:r w:rsidR="00D51A8F">
        <w:fldChar w:fldCharType="end"/>
      </w:r>
      <w:r w:rsidR="00745C8F">
        <w:t>.</w:t>
      </w:r>
    </w:p>
    <w:p w14:paraId="71AF3616" w14:textId="7BEFB0C1" w:rsidR="00FF3288" w:rsidRDefault="007E7B92" w:rsidP="00FF3288">
      <w:pPr>
        <w:pStyle w:val="Heading2"/>
        <w:rPr>
          <w:b w:val="0"/>
          <w:bCs/>
        </w:rPr>
      </w:pPr>
      <w:bookmarkStart w:id="57" w:name="_Ref230768436"/>
      <w:bookmarkStart w:id="58" w:name="_Ref230768445"/>
      <w:bookmarkStart w:id="59" w:name="_Ref230802717"/>
      <w:bookmarkStart w:id="60" w:name="_Ref230802724"/>
      <w:bookmarkStart w:id="61" w:name="_Ref230802809"/>
      <w:bookmarkStart w:id="62" w:name="_Ref230802816"/>
      <w:bookmarkStart w:id="63" w:name="_Toc233788302"/>
      <w:r w:rsidRPr="00351E60">
        <w:rPr>
          <w:b w:val="0"/>
          <w:bCs/>
        </w:rPr>
        <w:t>Taxonomy</w:t>
      </w:r>
      <w:r w:rsidR="00351E60" w:rsidRPr="00351E60">
        <w:rPr>
          <w:b w:val="0"/>
          <w:bCs/>
        </w:rPr>
        <w:t xml:space="preserve"> of Loads</w:t>
      </w:r>
      <w:bookmarkEnd w:id="57"/>
      <w:bookmarkEnd w:id="58"/>
      <w:bookmarkEnd w:id="59"/>
      <w:bookmarkEnd w:id="60"/>
      <w:bookmarkEnd w:id="61"/>
      <w:bookmarkEnd w:id="62"/>
      <w:bookmarkEnd w:id="63"/>
    </w:p>
    <w:p w14:paraId="13B4E8D7" w14:textId="5D683B5D" w:rsidR="006F25A5" w:rsidRDefault="006F25A5" w:rsidP="006F25A5">
      <w:r>
        <w:t xml:space="preserve">The main objective of this project was to investigate and assess the potential </w:t>
      </w:r>
      <w:r w:rsidR="00745C8F">
        <w:t>of industrial electrical loads to provide system services in the NEM, including participation in demand-side management and load flexibility programs such as demand response</w:t>
      </w:r>
      <w:r w:rsidR="008C3835">
        <w:t>, as well as the barriers to this</w:t>
      </w:r>
      <w:r>
        <w:t xml:space="preserve"> potential. The project was based on a series of interviews, follow-up phone calls, and emails with the industrial participants. </w:t>
      </w:r>
    </w:p>
    <w:p w14:paraId="1E553635" w14:textId="495CCB5F" w:rsidR="006F25A5" w:rsidRDefault="006F25A5" w:rsidP="006F25A5">
      <w:r>
        <w:t xml:space="preserve">A central output of this study was </w:t>
      </w:r>
      <w:r w:rsidR="008C3835">
        <w:t>the development of</w:t>
      </w:r>
      <w:r>
        <w:t xml:space="preserve"> a taxonomy of industrial loads observed across the participating companies. The taxonomy of loads serves two purposes: first</w:t>
      </w:r>
      <w:r w:rsidR="00C23B47">
        <w:t>,</w:t>
      </w:r>
      <w:r>
        <w:t xml:space="preserve"> to characterise the types of operational behaviour of loads present within mid-sized industrial facilities in the Hunter Valley; and </w:t>
      </w:r>
      <w:r w:rsidR="00C23B47">
        <w:t>second, to assess the inherent flexibility of these loads as a basis for evaluating their suitability for demand response participation. Understanding load characteristics at this level of granularity was a necessary precondition for translating industrial DR potential from a theoretical concept into an operationally credible proposition.</w:t>
      </w:r>
      <w:r w:rsidR="0061493D">
        <w:t xml:space="preserve"> </w:t>
      </w:r>
      <w:r w:rsidR="0061493D" w:rsidRPr="0061493D">
        <w:t>The taxonomy</w:t>
      </w:r>
      <w:r w:rsidR="0061493D">
        <w:t xml:space="preserve"> of load of</w:t>
      </w:r>
      <w:r w:rsidR="0061493D" w:rsidRPr="0061493D">
        <w:t xml:space="preserve"> nine functional load categories and their associated operation type and control dependency classifications</w:t>
      </w:r>
      <w:r w:rsidR="0061493D">
        <w:t xml:space="preserve">, presented in section </w:t>
      </w:r>
      <w:r w:rsidR="0061493D">
        <w:fldChar w:fldCharType="begin"/>
      </w:r>
      <w:r w:rsidR="0061493D">
        <w:instrText xml:space="preserve"> REF _Ref230907727 \r \h </w:instrText>
      </w:r>
      <w:r w:rsidR="0061493D">
        <w:fldChar w:fldCharType="separate"/>
      </w:r>
      <w:r w:rsidR="00036C9A">
        <w:t>5.4.2</w:t>
      </w:r>
      <w:r w:rsidR="0061493D">
        <w:fldChar w:fldCharType="end"/>
      </w:r>
      <w:r w:rsidR="0061493D">
        <w:t xml:space="preserve"> and summarised in </w:t>
      </w:r>
      <w:r w:rsidR="0061493D">
        <w:fldChar w:fldCharType="begin"/>
      </w:r>
      <w:r w:rsidR="0061493D">
        <w:instrText xml:space="preserve"> REF _Ref230350476 \h </w:instrText>
      </w:r>
      <w:r w:rsidR="0061493D">
        <w:fldChar w:fldCharType="separate"/>
      </w:r>
      <w:r w:rsidR="00036C9A" w:rsidRPr="00A8240A">
        <w:t>Table</w:t>
      </w:r>
      <w:r w:rsidR="00036C9A">
        <w:t xml:space="preserve"> </w:t>
      </w:r>
      <w:r w:rsidR="00036C9A">
        <w:rPr>
          <w:noProof/>
        </w:rPr>
        <w:t>10</w:t>
      </w:r>
      <w:r w:rsidR="0061493D">
        <w:fldChar w:fldCharType="end"/>
      </w:r>
      <w:r w:rsidR="0061493D">
        <w:t>,</w:t>
      </w:r>
      <w:r w:rsidR="0061493D" w:rsidRPr="0061493D">
        <w:t xml:space="preserve"> </w:t>
      </w:r>
      <w:r w:rsidR="0061493D">
        <w:t>is defined by equipment behaviour rather than regional characteristics and is</w:t>
      </w:r>
      <w:r w:rsidR="0061493D" w:rsidRPr="0061493D">
        <w:t xml:space="preserve"> therefore expected to be broadly transferable to industrial facilities in other NEM regions, including comparable industrial centres such as Gladstone, the Pilbara, and the Latrobe Valley. However, the specific distribution of load types</w:t>
      </w:r>
      <w:r w:rsidR="0061493D">
        <w:t xml:space="preserve"> and the barrier and capability scores derived from this study's cohort</w:t>
      </w:r>
      <w:r w:rsidR="0061493D" w:rsidRPr="0061493D">
        <w:t xml:space="preserve"> </w:t>
      </w:r>
      <w:r w:rsidR="0061493D" w:rsidRPr="0061493D">
        <w:lastRenderedPageBreak/>
        <w:t xml:space="preserve">reflect the particular industrial mix of the Hunter Valley and should not be assumed to apply directly elsewhere. Scaling the scored assessment to other NEM regions would require an equivalent stakeholder engagement process applied to the relevant local industrial base, following the same methodology described in Section </w:t>
      </w:r>
      <w:r w:rsidR="0061493D">
        <w:fldChar w:fldCharType="begin"/>
      </w:r>
      <w:r w:rsidR="0061493D">
        <w:instrText xml:space="preserve"> REF _Ref233687225 \r \h </w:instrText>
      </w:r>
      <w:r w:rsidR="0061493D">
        <w:fldChar w:fldCharType="separate"/>
      </w:r>
      <w:r w:rsidR="00036C9A">
        <w:t>4.1</w:t>
      </w:r>
      <w:r w:rsidR="0061493D">
        <w:fldChar w:fldCharType="end"/>
      </w:r>
      <w:r w:rsidR="0061493D">
        <w:t>.</w:t>
      </w:r>
    </w:p>
    <w:p w14:paraId="460D4846" w14:textId="313C7305" w:rsidR="006F25A5" w:rsidRDefault="006F25A5" w:rsidP="006F25A5">
      <w:r>
        <w:t xml:space="preserve">The following section presents a structured methodology </w:t>
      </w:r>
      <w:r w:rsidR="00D00AFC">
        <w:t>assessment for</w:t>
      </w:r>
      <w:r>
        <w:t xml:space="preserve"> industrial electrical loads and their </w:t>
      </w:r>
      <w:r w:rsidR="00C23B47">
        <w:t>potential</w:t>
      </w:r>
      <w:r>
        <w:t xml:space="preserve"> to provide system services</w:t>
      </w:r>
      <w:r w:rsidR="00C23B47">
        <w:t xml:space="preserve">, </w:t>
      </w:r>
      <w:r w:rsidR="00D00AFC">
        <w:t>including</w:t>
      </w:r>
      <w:r w:rsidR="00C23B47">
        <w:t xml:space="preserve"> </w:t>
      </w:r>
      <w:r>
        <w:t xml:space="preserve">participation in </w:t>
      </w:r>
      <w:r w:rsidR="008C3835">
        <w:t>demand-side management and load flexibility programs, such as demand response</w:t>
      </w:r>
      <w:r>
        <w:t>. The approach combines qualitative and quantitative data to create a consistent, scalable framework for comparing companies across sectors.</w:t>
      </w:r>
    </w:p>
    <w:p w14:paraId="069A880A" w14:textId="77777777" w:rsidR="006F25A5" w:rsidRDefault="006F25A5" w:rsidP="006F25A5">
      <w:r>
        <w:t>The methodology used during this case study is built on four core pillars, which integrate:</w:t>
      </w:r>
    </w:p>
    <w:p w14:paraId="71619C9B" w14:textId="1C858BF0" w:rsidR="006F25A5" w:rsidRDefault="006F25A5" w:rsidP="006F25A5">
      <w:pPr>
        <w:pStyle w:val="ListBullet"/>
      </w:pPr>
      <w:r>
        <w:t xml:space="preserve">Data </w:t>
      </w:r>
      <w:r w:rsidR="00D00AFC">
        <w:t>Analysis</w:t>
      </w:r>
      <w:r>
        <w:t>: Layout of collected data for each individual company;</w:t>
      </w:r>
    </w:p>
    <w:p w14:paraId="48C1D042" w14:textId="220D1844" w:rsidR="006F25A5" w:rsidRDefault="00D00AFC" w:rsidP="006F25A5">
      <w:pPr>
        <w:pStyle w:val="ListBullet"/>
      </w:pPr>
      <w:r>
        <w:t>Constraints and Capability</w:t>
      </w:r>
      <w:r w:rsidR="006F25A5">
        <w:t xml:space="preserve"> Assessment: Identification of organisational and operational constraints</w:t>
      </w:r>
      <w:r w:rsidR="000161A8">
        <w:t>, and technical behaviour capabilities</w:t>
      </w:r>
      <w:r w:rsidR="006F25A5">
        <w:t>;</w:t>
      </w:r>
    </w:p>
    <w:p w14:paraId="4E5F47D2" w14:textId="3C0CB9A2" w:rsidR="006F25A5" w:rsidRDefault="00D00AFC" w:rsidP="006F25A5">
      <w:pPr>
        <w:pStyle w:val="ListBullet"/>
      </w:pPr>
      <w:r>
        <w:t>Scoring</w:t>
      </w:r>
      <w:r w:rsidR="006F25A5">
        <w:t xml:space="preserve">: </w:t>
      </w:r>
      <w:r w:rsidR="000161A8">
        <w:t>evaluation matrices to uniformly assess the constraints and capabilities; and</w:t>
      </w:r>
    </w:p>
    <w:p w14:paraId="385326F2" w14:textId="77777777" w:rsidR="006F25A5" w:rsidRDefault="006F25A5" w:rsidP="006F25A5">
      <w:pPr>
        <w:pStyle w:val="ListBullet"/>
      </w:pPr>
      <w:r>
        <w:t>Load Characterisation: Equipment-level load characteristics.</w:t>
      </w:r>
    </w:p>
    <w:p w14:paraId="355F36D0" w14:textId="6909DBB7" w:rsidR="006F25A5" w:rsidRDefault="006F25A5" w:rsidP="006F25A5">
      <w:r>
        <w:t>The outcome is a Load Flexibility Index supported by a taxonomy of industrial loads, enabling identification and prioritisation of high-potential sites for system services such as demand-side response, as well as the barriers to such potential.</w:t>
      </w:r>
    </w:p>
    <w:p w14:paraId="36F71CB2" w14:textId="5D0ECC18" w:rsidR="006F25A5" w:rsidRDefault="004C3D24" w:rsidP="006F25A5">
      <w:pPr>
        <w:pStyle w:val="Heading3"/>
      </w:pPr>
      <w:bookmarkStart w:id="64" w:name="_Toc233788303"/>
      <w:r>
        <w:t xml:space="preserve">Survey </w:t>
      </w:r>
      <w:r w:rsidR="006F25A5">
        <w:t>Data Analysis</w:t>
      </w:r>
      <w:bookmarkEnd w:id="64"/>
    </w:p>
    <w:p w14:paraId="0B225917" w14:textId="77777777" w:rsidR="00296140" w:rsidRPr="00477B5A" w:rsidRDefault="00296140" w:rsidP="00296140">
      <w:r w:rsidRPr="00477B5A">
        <w:t>Qualitative research methods were utilised to collect and analyse data to understand demand management in an industrial setting</w:t>
      </w:r>
      <w:r>
        <w:t>.</w:t>
      </w:r>
    </w:p>
    <w:p w14:paraId="29A59E06" w14:textId="77777777" w:rsidR="00425EDF" w:rsidRDefault="00425EDF" w:rsidP="00425EDF">
      <w:r>
        <w:t xml:space="preserve">This stage of the project was considered one of the key components for the successful translation of data collected during stakeholder engagement, as it laid the foundation for subsequent stages of data analysis and consequently the successful development of the taxonomy of load. </w:t>
      </w:r>
    </w:p>
    <w:p w14:paraId="722F7EBA" w14:textId="77777777" w:rsidR="00E83476" w:rsidRDefault="00425EDF" w:rsidP="00425EDF">
      <w:r>
        <w:t xml:space="preserve">Following the stakeholders' engagement interview, </w:t>
      </w:r>
      <w:r w:rsidR="00E83476">
        <w:t xml:space="preserve">interview transcripts and reviewed documents were coded, and patterns were compared across companies to identify common practices and differentiators (taxonomy). Following, </w:t>
      </w:r>
      <w:r>
        <w:t xml:space="preserve">the data </w:t>
      </w:r>
      <w:r w:rsidR="00E83476">
        <w:t>was</w:t>
      </w:r>
      <w:r>
        <w:t xml:space="preserve"> extrapolated into an Excel spreadsheet</w:t>
      </w:r>
      <w:r w:rsidR="00E83476">
        <w:t xml:space="preserve"> and analysed</w:t>
      </w:r>
      <w:r>
        <w:t>.</w:t>
      </w:r>
    </w:p>
    <w:p w14:paraId="51AC0799" w14:textId="080CC519" w:rsidR="00425EDF" w:rsidRDefault="00425EDF" w:rsidP="00425EDF">
      <w:r>
        <w:t>The data was laid out in order to identify commonalities among industrial companies, from general site knowledge to more complex operational energy consumption. Furthermore</w:t>
      </w:r>
      <w:r w:rsidR="000B6E19">
        <w:t xml:space="preserve">, </w:t>
      </w:r>
      <w:r>
        <w:t xml:space="preserve">the data gathering was used to identify common barriers each company would </w:t>
      </w:r>
      <w:r w:rsidR="000B6E19">
        <w:t xml:space="preserve">face for </w:t>
      </w:r>
      <w:r w:rsidR="00435042">
        <w:t xml:space="preserve">unlocking </w:t>
      </w:r>
      <w:r w:rsidR="000B6E19">
        <w:t>the potential participation in D</w:t>
      </w:r>
      <w:r w:rsidR="00435042">
        <w:t>R</w:t>
      </w:r>
      <w:r w:rsidR="000B6E19">
        <w:t xml:space="preserve"> programs</w:t>
      </w:r>
      <w:r w:rsidR="00E83476">
        <w:t>.</w:t>
      </w:r>
      <w:r w:rsidR="000B6E19">
        <w:t xml:space="preserve"> </w:t>
      </w:r>
      <w:r w:rsidR="00435042">
        <w:t>This stage was also used to identify positive characteristics or capability factors that would allow a company to participate in DR programs</w:t>
      </w:r>
      <w:r w:rsidR="000B6E19">
        <w:t xml:space="preserve">. The full questionnaire data analysis </w:t>
      </w:r>
      <w:r w:rsidR="00435042">
        <w:t>is available</w:t>
      </w:r>
      <w:r w:rsidR="000B6E19">
        <w:t xml:space="preserve"> in </w:t>
      </w:r>
      <w:r w:rsidR="008F15DD">
        <w:rPr>
          <w:highlight w:val="yellow"/>
        </w:rPr>
        <w:fldChar w:fldCharType="begin"/>
      </w:r>
      <w:r w:rsidR="008F15DD">
        <w:instrText xml:space="preserve"> REF _Ref231052654 \r \h </w:instrText>
      </w:r>
      <w:r w:rsidR="008F15DD">
        <w:rPr>
          <w:highlight w:val="yellow"/>
        </w:rPr>
      </w:r>
      <w:r w:rsidR="008F15DD">
        <w:rPr>
          <w:highlight w:val="yellow"/>
        </w:rPr>
        <w:fldChar w:fldCharType="separate"/>
      </w:r>
      <w:r w:rsidR="00036C9A">
        <w:t>Appendix B</w:t>
      </w:r>
      <w:r w:rsidR="008F15DD">
        <w:rPr>
          <w:highlight w:val="yellow"/>
        </w:rPr>
        <w:fldChar w:fldCharType="end"/>
      </w:r>
      <w:r w:rsidR="000B6E19">
        <w:t>.</w:t>
      </w:r>
    </w:p>
    <w:p w14:paraId="492F6F8C" w14:textId="3A779E94" w:rsidR="00425EDF" w:rsidRDefault="00425EDF" w:rsidP="00425EDF">
      <w:r>
        <w:t xml:space="preserve">The data was categorised in the following </w:t>
      </w:r>
      <w:r w:rsidR="00435042">
        <w:t>sections</w:t>
      </w:r>
      <w:r>
        <w:t>:</w:t>
      </w:r>
    </w:p>
    <w:p w14:paraId="213DC78F" w14:textId="2206B028" w:rsidR="00435042" w:rsidRDefault="00435042" w:rsidP="00425EDF">
      <w:pPr>
        <w:pStyle w:val="ListBullet"/>
      </w:pPr>
      <w:r>
        <w:t xml:space="preserve">Industrial </w:t>
      </w:r>
      <w:r w:rsidR="00E83476">
        <w:t>c</w:t>
      </w:r>
      <w:r>
        <w:t>lassification</w:t>
      </w:r>
      <w:r w:rsidR="00745C8F">
        <w:t xml:space="preserve">, based on the </w:t>
      </w:r>
      <w:r w:rsidR="00E83476">
        <w:t>ANZSIC Classification code</w:t>
      </w:r>
      <w:r w:rsidR="00745C8F">
        <w:t>;</w:t>
      </w:r>
    </w:p>
    <w:p w14:paraId="16D56302" w14:textId="6928440A" w:rsidR="00425EDF" w:rsidRDefault="00435042" w:rsidP="00425EDF">
      <w:pPr>
        <w:pStyle w:val="ListBullet"/>
      </w:pPr>
      <w:r>
        <w:t>Operational w</w:t>
      </w:r>
      <w:r w:rsidR="00425EDF">
        <w:t>orking conditions</w:t>
      </w:r>
      <w:r w:rsidR="00745C8F">
        <w:t xml:space="preserve">, </w:t>
      </w:r>
      <w:r w:rsidR="00745C8F" w:rsidRPr="00745C8F">
        <w:t>including working days, shift patterns, and daily operating hours</w:t>
      </w:r>
      <w:r w:rsidR="00745C8F">
        <w:t>;</w:t>
      </w:r>
    </w:p>
    <w:p w14:paraId="5FD92E80" w14:textId="77777777" w:rsidR="00745C8F" w:rsidRDefault="00745C8F" w:rsidP="00745C8F">
      <w:pPr>
        <w:pStyle w:val="ListBullet"/>
      </w:pPr>
      <w:r>
        <w:t>Previous energy auditing activity and the availability of existing audit findings;</w:t>
      </w:r>
    </w:p>
    <w:p w14:paraId="37DACBFE" w14:textId="29D9CDDA" w:rsidR="00435042" w:rsidRDefault="00745C8F" w:rsidP="00745C8F">
      <w:pPr>
        <w:pStyle w:val="ListBullet"/>
      </w:pPr>
      <w:r>
        <w:t>Annual energy consumption, drawn from electricity billing records and participant-reported figures</w:t>
      </w:r>
      <w:r w:rsidR="00435042">
        <w:t>;</w:t>
      </w:r>
    </w:p>
    <w:p w14:paraId="7548686B" w14:textId="77777777" w:rsidR="005D0C34" w:rsidRDefault="005D0C34" w:rsidP="005D0C34">
      <w:pPr>
        <w:pStyle w:val="ListBullet"/>
      </w:pPr>
      <w:r>
        <w:t>Primary energy-intensive equipment, comprising the loads identified by participants as the most significant consumers of electricity within their operations;</w:t>
      </w:r>
    </w:p>
    <w:p w14:paraId="75DAC741" w14:textId="0DD7BF38" w:rsidR="005D0C34" w:rsidRDefault="005D0C34" w:rsidP="005D0C34">
      <w:pPr>
        <w:pStyle w:val="ListBullet"/>
      </w:pPr>
      <w:r>
        <w:t>Energy breakdown at the equipment level, where submetering data or equivalent load disaggregation was available;</w:t>
      </w:r>
    </w:p>
    <w:p w14:paraId="651B0884" w14:textId="77777777" w:rsidR="005D0C34" w:rsidRDefault="005D0C34" w:rsidP="005D0C34">
      <w:pPr>
        <w:pStyle w:val="ListBullet"/>
      </w:pPr>
      <w:r>
        <w:t>Electricity tariff structure, including time-of-use arrangements, demand charges, and contractual peak thresholds;</w:t>
      </w:r>
    </w:p>
    <w:p w14:paraId="59228C30" w14:textId="77777777" w:rsidR="005D0C34" w:rsidRDefault="005D0C34" w:rsidP="005D0C34">
      <w:pPr>
        <w:pStyle w:val="ListBullet"/>
      </w:pPr>
      <w:r>
        <w:t>Additional energy sources, including the use of coal, natural gas, biomass, or other supplementary fuels;</w:t>
      </w:r>
    </w:p>
    <w:p w14:paraId="1D68FE48" w14:textId="77777777" w:rsidR="005D0C34" w:rsidRDefault="005D0C34" w:rsidP="005D0C34">
      <w:pPr>
        <w:pStyle w:val="ListBullet"/>
      </w:pPr>
      <w:r>
        <w:lastRenderedPageBreak/>
        <w:t>In-situ energy generation and storage, including photovoltaic solar systems, battery energy storage systems, diesel generators, and uninterruptible power supplies;</w:t>
      </w:r>
    </w:p>
    <w:p w14:paraId="5FEFD8C3" w14:textId="77777777" w:rsidR="005D0C34" w:rsidRDefault="005D0C34" w:rsidP="005D0C34">
      <w:pPr>
        <w:pStyle w:val="ListBullet"/>
      </w:pPr>
      <w:r>
        <w:t>Dynamic operation potential, assessing whether the company had identified opportunities for load shifting, load ramp-up or ramp-down, or the ability to turn specific equipment on or off in response to an external signal; and</w:t>
      </w:r>
    </w:p>
    <w:p w14:paraId="1C2D59A9" w14:textId="0F5B8B0F" w:rsidR="00425EDF" w:rsidRDefault="005D0C34" w:rsidP="005D0C34">
      <w:pPr>
        <w:pStyle w:val="ListBullet"/>
      </w:pPr>
      <w:r>
        <w:t>Participation availability, covering whether the company had an existing interest in DR programs, was currently enrolled in any program, or had participated in one previously</w:t>
      </w:r>
      <w:r w:rsidR="00296140">
        <w:t>.</w:t>
      </w:r>
    </w:p>
    <w:p w14:paraId="2154479B" w14:textId="03B1D087" w:rsidR="00425EDF" w:rsidRPr="00425EDF" w:rsidRDefault="00296140" w:rsidP="00296140">
      <w:r>
        <w:t xml:space="preserve">Although no results were drawn from it, </w:t>
      </w:r>
      <w:r w:rsidRPr="0081509A">
        <w:t xml:space="preserve">the research also </w:t>
      </w:r>
      <w:r w:rsidR="00A357B3">
        <w:t xml:space="preserve">compiled additional information on the presence of frequency </w:t>
      </w:r>
      <w:r w:rsidRPr="0081509A">
        <w:t>and voltage</w:t>
      </w:r>
      <w:r w:rsidR="00A357B3">
        <w:t xml:space="preserve">, </w:t>
      </w:r>
      <w:r w:rsidRPr="0081509A">
        <w:t>regulating assets,</w:t>
      </w:r>
      <w:r>
        <w:t xml:space="preserve"> specifically</w:t>
      </w:r>
      <w:r w:rsidRPr="0081509A">
        <w:t xml:space="preserve"> direct online motors and Power Factor correction, respectively</w:t>
      </w:r>
      <w:r>
        <w:t>.</w:t>
      </w:r>
    </w:p>
    <w:p w14:paraId="72FD9930" w14:textId="1F1E6E5A" w:rsidR="006F25A5" w:rsidRDefault="006F25A5" w:rsidP="006F25A5">
      <w:pPr>
        <w:pStyle w:val="Heading3"/>
      </w:pPr>
      <w:bookmarkStart w:id="65" w:name="_Toc233788304"/>
      <w:r>
        <w:t>Constraints Assessment</w:t>
      </w:r>
      <w:bookmarkEnd w:id="65"/>
    </w:p>
    <w:p w14:paraId="05EABCC1" w14:textId="40CF0F9F" w:rsidR="006F25A5" w:rsidRDefault="006F25A5" w:rsidP="006F25A5">
      <w:r>
        <w:t>The objective was to quantify the extent to which operational, technical, and organisational barriers limit load flexibility</w:t>
      </w:r>
      <w:r w:rsidR="00296140">
        <w:t xml:space="preserve"> and participation in DR programs.</w:t>
      </w:r>
    </w:p>
    <w:p w14:paraId="7052D3B9" w14:textId="7552F5EB" w:rsidR="0007757A" w:rsidRDefault="0007757A" w:rsidP="0007757A">
      <w:r>
        <w:t xml:space="preserve">Upon laying </w:t>
      </w:r>
      <w:r w:rsidR="00A357B3">
        <w:t xml:space="preserve">out the data, a pattern </w:t>
      </w:r>
      <w:r w:rsidR="005D0C34">
        <w:t>emerged, and common constraints and capability factors were</w:t>
      </w:r>
      <w:r w:rsidR="00A357B3">
        <w:t xml:space="preserve"> identified</w:t>
      </w:r>
      <w:r>
        <w:t xml:space="preserve">. As anticipated, the cohort shared commonalities and differentiating factors that were already </w:t>
      </w:r>
      <w:r w:rsidR="00A357B3">
        <w:t>evident during the stakeholders' engagement but became more evident during the data analysis</w:t>
      </w:r>
      <w:r>
        <w:t xml:space="preserve">. One common trait was the dynamic operation and continuous processes. While continuous </w:t>
      </w:r>
      <w:r w:rsidR="00A357B3">
        <w:t>processes</w:t>
      </w:r>
      <w:r>
        <w:t xml:space="preserve"> were considered non-negotiable in </w:t>
      </w:r>
      <w:r w:rsidR="005D0C34">
        <w:t>terms</w:t>
      </w:r>
      <w:r>
        <w:t xml:space="preserve"> of load flexibility, </w:t>
      </w:r>
      <w:r w:rsidR="005D0C34">
        <w:t>industrial stakeholders</w:t>
      </w:r>
      <w:r>
        <w:t xml:space="preserve"> </w:t>
      </w:r>
      <w:r w:rsidR="005D0C34">
        <w:t>remained interested in participating in DR programs; however, they often opted</w:t>
      </w:r>
      <w:r>
        <w:t xml:space="preserve"> for a 24-hour notice period</w:t>
      </w:r>
      <w:r w:rsidR="00A51630">
        <w:t>.</w:t>
      </w:r>
    </w:p>
    <w:p w14:paraId="5C03D785" w14:textId="0EAEB939" w:rsidR="0007757A" w:rsidRDefault="00A51630" w:rsidP="006F25A5">
      <w:r>
        <w:t>Common constraint categories are discussed in the following subsection.</w:t>
      </w:r>
    </w:p>
    <w:p w14:paraId="1957E466" w14:textId="6D213357" w:rsidR="006F25A5" w:rsidRPr="00F827B5" w:rsidRDefault="006F25A5" w:rsidP="00D03A0A">
      <w:pPr>
        <w:pStyle w:val="Heading4"/>
      </w:pPr>
      <w:r w:rsidRPr="00F827B5">
        <w:t>Constraints Categories</w:t>
      </w:r>
    </w:p>
    <w:p w14:paraId="5BE1DDF1" w14:textId="7507DF13" w:rsidR="006F25A5" w:rsidRDefault="006F25A5" w:rsidP="006F25A5">
      <w:r>
        <w:t>During the information-gathering stage of stakeholder engagement, an analysis of the data indicated familiarity with the companies’ constraints in modifying electrical load, thus hindering their ability to provide system services. The identified constraints are</w:t>
      </w:r>
      <w:r w:rsidR="005D0C34">
        <w:t xml:space="preserve"> presented below.</w:t>
      </w:r>
    </w:p>
    <w:p w14:paraId="11371905" w14:textId="5D91C5BB" w:rsidR="003045D3" w:rsidRDefault="003045D3" w:rsidP="001A48A4">
      <w:pPr>
        <w:pStyle w:val="ListBullet"/>
        <w:numPr>
          <w:ilvl w:val="0"/>
          <w:numId w:val="0"/>
        </w:numPr>
      </w:pPr>
      <w:r>
        <w:rPr>
          <w:noProof/>
          <w:szCs w:val="19"/>
        </w:rPr>
        <w:lastRenderedPageBreak/>
        <w:drawing>
          <wp:inline distT="0" distB="0" distL="0" distR="0" wp14:anchorId="3C5B848E" wp14:editId="00B52DDD">
            <wp:extent cx="6088380" cy="9013371"/>
            <wp:effectExtent l="0" t="0" r="26670" b="0"/>
            <wp:docPr id="207435393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E80A90B" w14:textId="5CC94E58" w:rsidR="00FA6A01" w:rsidRPr="00F827B5" w:rsidRDefault="00FA6A01" w:rsidP="00D03A0A">
      <w:pPr>
        <w:pStyle w:val="Heading4"/>
      </w:pPr>
      <w:r w:rsidRPr="00F827B5">
        <w:lastRenderedPageBreak/>
        <w:t>Capabilities Categories</w:t>
      </w:r>
    </w:p>
    <w:p w14:paraId="15895DDF" w14:textId="1230590C" w:rsidR="001A48A4" w:rsidRDefault="00C005E1" w:rsidP="006F25A5">
      <w:pPr>
        <w:pStyle w:val="ListBullet"/>
        <w:numPr>
          <w:ilvl w:val="0"/>
          <w:numId w:val="0"/>
        </w:numPr>
      </w:pPr>
      <w:r>
        <w:t xml:space="preserve">Similar to the constraint categories, there was a pattern in the potential </w:t>
      </w:r>
      <w:r w:rsidR="005D0C34">
        <w:t xml:space="preserve">of an industrial site to provide system services and therefore participate in demand-side management, specifically </w:t>
      </w:r>
      <w:r>
        <w:t xml:space="preserve">demand response programs. </w:t>
      </w:r>
      <w:r w:rsidR="00FA6A01">
        <w:t>The identified capabilities are:</w:t>
      </w:r>
    </w:p>
    <w:p w14:paraId="69297CB0" w14:textId="198B7161" w:rsidR="003045D3" w:rsidRDefault="003045D3" w:rsidP="006F25A5">
      <w:pPr>
        <w:pStyle w:val="ListBullet"/>
        <w:numPr>
          <w:ilvl w:val="0"/>
          <w:numId w:val="0"/>
        </w:numPr>
      </w:pPr>
      <w:r>
        <w:rPr>
          <w:noProof/>
          <w:szCs w:val="19"/>
        </w:rPr>
        <w:drawing>
          <wp:inline distT="0" distB="0" distL="0" distR="0" wp14:anchorId="403FF612" wp14:editId="6614CE71">
            <wp:extent cx="5622290" cy="7712015"/>
            <wp:effectExtent l="0" t="0" r="16510" b="0"/>
            <wp:docPr id="55672132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636F215" w14:textId="5E2C3C09" w:rsidR="00FA6A01" w:rsidRPr="00F827B5" w:rsidRDefault="00FA6A01" w:rsidP="00D03A0A">
      <w:pPr>
        <w:pStyle w:val="Heading4"/>
      </w:pPr>
      <w:r w:rsidRPr="00F827B5">
        <w:lastRenderedPageBreak/>
        <w:t>Curtailment</w:t>
      </w:r>
    </w:p>
    <w:p w14:paraId="43D2161F" w14:textId="0AFE62AE" w:rsidR="00FA6A01" w:rsidRDefault="005E52A0" w:rsidP="00FA6A01">
      <w:pPr>
        <w:pStyle w:val="ListBullet"/>
        <w:numPr>
          <w:ilvl w:val="0"/>
          <w:numId w:val="0"/>
        </w:numPr>
      </w:pPr>
      <w:r w:rsidRPr="005E52A0">
        <w:t>Each participating company was asked to identify the minimum notice period they would require before being able to respond to a demand response event</w:t>
      </w:r>
      <w:r w:rsidR="005D0C34">
        <w:t>;</w:t>
      </w:r>
      <w:r w:rsidRPr="005E52A0">
        <w:t xml:space="preserve"> that is, the shortest lead time between receiving a curtailment signal and being able to reduce or modify their load in a meaningful and safe way. This question was designed to assess not only whether a company could participate in DR, but </w:t>
      </w:r>
      <w:r w:rsidR="005D0C34">
        <w:t>also the operational conditions and timeframes under which such</w:t>
      </w:r>
      <w:r w:rsidRPr="005E52A0">
        <w:t xml:space="preserve"> participation would be practically feasible. The responses provide a direct measure of each site's operational responsiveness and inform the notice period scoring component of the classification framework described in Section 4.2.3</w:t>
      </w:r>
      <w:r w:rsidR="00656E01">
        <w:t>.</w:t>
      </w:r>
    </w:p>
    <w:p w14:paraId="0B99C56C" w14:textId="32CD7A01" w:rsidR="005E52A0" w:rsidRDefault="005E52A0" w:rsidP="00FA6A01">
      <w:pPr>
        <w:pStyle w:val="ListBullet"/>
        <w:numPr>
          <w:ilvl w:val="0"/>
          <w:numId w:val="0"/>
        </w:numPr>
      </w:pPr>
      <w:r>
        <w:t xml:space="preserve">It is worth noting that where a participant was unable to provide a definitive response to the notice period question, either due to uncertainty about their operational constraints or insufficient information to make a reliable assessment, a default value of 24 hours was assigned for </w:t>
      </w:r>
      <w:r w:rsidRPr="005E52A0">
        <w:t xml:space="preserve">scoring consistency and normalisation across the cohort. This conservative default reflects the least favourable </w:t>
      </w:r>
      <w:r>
        <w:t>notice-period weighting in the framework and ensures that unconfirmed flexibility is not inadvertently credited to</w:t>
      </w:r>
      <w:r w:rsidRPr="005E52A0">
        <w:t xml:space="preserve"> the composite score</w:t>
      </w:r>
      <w:r>
        <w:t>.</w:t>
      </w:r>
    </w:p>
    <w:p w14:paraId="4BA4EC40" w14:textId="1481A66D" w:rsidR="006F25A5" w:rsidRPr="00F827B5" w:rsidRDefault="006F25A5" w:rsidP="006C44E0">
      <w:pPr>
        <w:pStyle w:val="Heading3"/>
      </w:pPr>
      <w:bookmarkStart w:id="66" w:name="_Toc233788305"/>
      <w:r w:rsidRPr="00F827B5">
        <w:t>Scoring Approach</w:t>
      </w:r>
      <w:bookmarkEnd w:id="66"/>
    </w:p>
    <w:p w14:paraId="4C71ED8D" w14:textId="579F5224" w:rsidR="000119B6" w:rsidRDefault="000119B6" w:rsidP="000119B6">
      <w:r>
        <w:t>A purpose-built classification framework was developed to enable systematic comparison of DR participation potential across the participant cohort. The framework assesses each company against two sets of factors: barriers that reduce the likelihood of participation</w:t>
      </w:r>
      <w:r w:rsidR="002C4786">
        <w:t xml:space="preserve"> were </w:t>
      </w:r>
      <w:r>
        <w:t xml:space="preserve">assigned negative weightings, and capability factors that enhance </w:t>
      </w:r>
      <w:r w:rsidR="005D0C34">
        <w:t>the likelihood of participation</w:t>
      </w:r>
      <w:r w:rsidR="002C4786">
        <w:t xml:space="preserve"> were</w:t>
      </w:r>
      <w:r>
        <w:t xml:space="preserve"> assigned positive weightings. A composite raw score is calculated for each participant</w:t>
      </w:r>
      <w:r w:rsidR="005D0C34">
        <w:t xml:space="preserve"> and</w:t>
      </w:r>
      <w:r>
        <w:t xml:space="preserve"> subsequently normalised to a 0–1 index to facilitate relative ranking.</w:t>
      </w:r>
    </w:p>
    <w:p w14:paraId="49B32153" w14:textId="41405A22" w:rsidR="000119B6" w:rsidRDefault="000119B6" w:rsidP="000119B6">
      <w:r>
        <w:t xml:space="preserve">The barrier factors and their weightings are presented in </w:t>
      </w:r>
      <w:r w:rsidR="00F93296">
        <w:fldChar w:fldCharType="begin"/>
      </w:r>
      <w:r w:rsidR="00F93296">
        <w:instrText xml:space="preserve"> REF _Ref230885463 \h </w:instrText>
      </w:r>
      <w:r w:rsidR="00F93296">
        <w:fldChar w:fldCharType="separate"/>
      </w:r>
      <w:r w:rsidR="00036C9A">
        <w:t xml:space="preserve">Table </w:t>
      </w:r>
      <w:r w:rsidR="00036C9A">
        <w:rPr>
          <w:noProof/>
        </w:rPr>
        <w:t>4</w:t>
      </w:r>
      <w:r w:rsidR="00F93296">
        <w:fldChar w:fldCharType="end"/>
      </w:r>
      <w:r>
        <w:t xml:space="preserve"> and reflect the relative degree to which each constraint is likely to prevent or delay participation in a demand response event. Continuous process constraints received the highest negative weighting, reflecting the fundamental incompatibility between uninterruptible production processes and the load reduction requirements of a DR event. Technology and data deficiencies were assigned the next highest negative weighting, recognising that without adequate metering infrastructure or flexible equipment, participation is effectively precluded regardless of willingness. Organisational and educational barriers, while significant, were considered more amenable to intervention and were weighted accordingly.</w:t>
      </w:r>
    </w:p>
    <w:p w14:paraId="4DC29D5C" w14:textId="67E9A90A" w:rsidR="000119B6" w:rsidRDefault="000119B6" w:rsidP="000119B6">
      <w:pPr>
        <w:pStyle w:val="Caption"/>
        <w:keepNext/>
      </w:pPr>
      <w:bookmarkStart w:id="67" w:name="_Ref230885463"/>
      <w:bookmarkStart w:id="68" w:name="_Toc233788357"/>
      <w:r>
        <w:t xml:space="preserve">Table </w:t>
      </w:r>
      <w:fldSimple w:instr=" SEQ Table \* ARABIC ">
        <w:r w:rsidR="00036C9A">
          <w:rPr>
            <w:noProof/>
          </w:rPr>
          <w:t>4</w:t>
        </w:r>
      </w:fldSimple>
      <w:bookmarkEnd w:id="67"/>
      <w:r>
        <w:t>: Barriers to Demand Response Classification Scoring Framework</w:t>
      </w:r>
      <w:bookmarkEnd w:id="68"/>
    </w:p>
    <w:tbl>
      <w:tblPr>
        <w:tblStyle w:val="AdvitechTable"/>
        <w:tblW w:w="0" w:type="auto"/>
        <w:jc w:val="center"/>
        <w:tblLook w:val="0420" w:firstRow="1" w:lastRow="0" w:firstColumn="0" w:lastColumn="0" w:noHBand="0" w:noVBand="1"/>
      </w:tblPr>
      <w:tblGrid>
        <w:gridCol w:w="4252"/>
        <w:gridCol w:w="2126"/>
      </w:tblGrid>
      <w:tr w:rsidR="000119B6" w:rsidRPr="00EB2FEE" w14:paraId="6CAB13A1" w14:textId="77777777" w:rsidTr="0065213A">
        <w:trPr>
          <w:cnfStyle w:val="100000000000" w:firstRow="1" w:lastRow="0" w:firstColumn="0" w:lastColumn="0" w:oddVBand="0" w:evenVBand="0" w:oddHBand="0" w:evenHBand="0" w:firstRowFirstColumn="0" w:firstRowLastColumn="0" w:lastRowFirstColumn="0" w:lastRowLastColumn="0"/>
          <w:jc w:val="center"/>
        </w:trPr>
        <w:tc>
          <w:tcPr>
            <w:tcW w:w="4252" w:type="dxa"/>
          </w:tcPr>
          <w:p w14:paraId="3E1BA49E" w14:textId="77777777" w:rsidR="000119B6" w:rsidRPr="00EB2FEE" w:rsidRDefault="000119B6" w:rsidP="0065213A">
            <w:pPr>
              <w:pStyle w:val="ListBullet"/>
              <w:numPr>
                <w:ilvl w:val="0"/>
                <w:numId w:val="0"/>
              </w:numPr>
              <w:rPr>
                <w:b/>
                <w:bCs/>
              </w:rPr>
            </w:pPr>
            <w:r w:rsidRPr="00EB2FEE">
              <w:rPr>
                <w:b/>
                <w:bCs/>
              </w:rPr>
              <w:t>Constraint Category</w:t>
            </w:r>
          </w:p>
        </w:tc>
        <w:tc>
          <w:tcPr>
            <w:tcW w:w="2126" w:type="dxa"/>
          </w:tcPr>
          <w:p w14:paraId="45872534" w14:textId="77777777" w:rsidR="000119B6" w:rsidRPr="00EB2FEE" w:rsidRDefault="000119B6" w:rsidP="0065213A">
            <w:pPr>
              <w:pStyle w:val="ListBullet"/>
              <w:numPr>
                <w:ilvl w:val="0"/>
                <w:numId w:val="0"/>
              </w:numPr>
              <w:rPr>
                <w:b/>
                <w:bCs/>
              </w:rPr>
            </w:pPr>
            <w:r w:rsidRPr="00EB2FEE">
              <w:rPr>
                <w:b/>
                <w:bCs/>
              </w:rPr>
              <w:t>Score Weighting</w:t>
            </w:r>
          </w:p>
        </w:tc>
      </w:tr>
      <w:tr w:rsidR="000119B6" w14:paraId="6F4CBA64" w14:textId="77777777" w:rsidTr="0065213A">
        <w:trPr>
          <w:jc w:val="center"/>
        </w:trPr>
        <w:tc>
          <w:tcPr>
            <w:tcW w:w="4252" w:type="dxa"/>
          </w:tcPr>
          <w:p w14:paraId="7A1CFC39" w14:textId="77777777" w:rsidR="000119B6" w:rsidRDefault="000119B6" w:rsidP="0065213A">
            <w:pPr>
              <w:pStyle w:val="ListBullet"/>
              <w:numPr>
                <w:ilvl w:val="0"/>
                <w:numId w:val="0"/>
              </w:numPr>
            </w:pPr>
            <w:r w:rsidRPr="00142EFE">
              <w:t>Continuous Process</w:t>
            </w:r>
          </w:p>
        </w:tc>
        <w:tc>
          <w:tcPr>
            <w:tcW w:w="2126" w:type="dxa"/>
          </w:tcPr>
          <w:p w14:paraId="450516E9" w14:textId="77777777" w:rsidR="000119B6" w:rsidRPr="00F467FE" w:rsidRDefault="000119B6" w:rsidP="002C4786">
            <w:pPr>
              <w:pStyle w:val="ListBullet"/>
              <w:numPr>
                <w:ilvl w:val="0"/>
                <w:numId w:val="0"/>
              </w:numPr>
              <w:jc w:val="center"/>
              <w:rPr>
                <w:b/>
                <w:bCs/>
              </w:rPr>
            </w:pPr>
            <w:r w:rsidRPr="00F467FE">
              <w:rPr>
                <w:b/>
                <w:bCs/>
              </w:rPr>
              <w:t>-4</w:t>
            </w:r>
          </w:p>
        </w:tc>
      </w:tr>
      <w:tr w:rsidR="000119B6" w14:paraId="32A5D1F1" w14:textId="77777777" w:rsidTr="0065213A">
        <w:trPr>
          <w:jc w:val="center"/>
        </w:trPr>
        <w:tc>
          <w:tcPr>
            <w:tcW w:w="4252" w:type="dxa"/>
          </w:tcPr>
          <w:p w14:paraId="6D976EAF" w14:textId="77777777" w:rsidR="000119B6" w:rsidRDefault="000119B6" w:rsidP="0065213A">
            <w:pPr>
              <w:pStyle w:val="ListBullet"/>
              <w:numPr>
                <w:ilvl w:val="0"/>
                <w:numId w:val="0"/>
              </w:numPr>
            </w:pPr>
            <w:r>
              <w:t>T</w:t>
            </w:r>
            <w:r w:rsidRPr="00142EFE">
              <w:t>echnology</w:t>
            </w:r>
            <w:r>
              <w:t xml:space="preserve"> Availability</w:t>
            </w:r>
          </w:p>
        </w:tc>
        <w:tc>
          <w:tcPr>
            <w:tcW w:w="2126" w:type="dxa"/>
          </w:tcPr>
          <w:p w14:paraId="657E2031" w14:textId="77777777" w:rsidR="000119B6" w:rsidRPr="00F467FE" w:rsidRDefault="000119B6" w:rsidP="002C4786">
            <w:pPr>
              <w:pStyle w:val="ListBullet"/>
              <w:numPr>
                <w:ilvl w:val="0"/>
                <w:numId w:val="0"/>
              </w:numPr>
              <w:jc w:val="center"/>
              <w:rPr>
                <w:b/>
                <w:bCs/>
              </w:rPr>
            </w:pPr>
            <w:r w:rsidRPr="00F467FE">
              <w:rPr>
                <w:b/>
                <w:bCs/>
              </w:rPr>
              <w:t>-3</w:t>
            </w:r>
          </w:p>
        </w:tc>
      </w:tr>
      <w:tr w:rsidR="000119B6" w14:paraId="668FB49D" w14:textId="77777777" w:rsidTr="0065213A">
        <w:trPr>
          <w:jc w:val="center"/>
        </w:trPr>
        <w:tc>
          <w:tcPr>
            <w:tcW w:w="4252" w:type="dxa"/>
          </w:tcPr>
          <w:p w14:paraId="1E73D1BC" w14:textId="77777777" w:rsidR="000119B6" w:rsidRDefault="000119B6" w:rsidP="0065213A">
            <w:pPr>
              <w:pStyle w:val="ListBullet"/>
              <w:numPr>
                <w:ilvl w:val="0"/>
                <w:numId w:val="0"/>
              </w:numPr>
            </w:pPr>
            <w:r>
              <w:t>Data Deficiency</w:t>
            </w:r>
          </w:p>
        </w:tc>
        <w:tc>
          <w:tcPr>
            <w:tcW w:w="2126" w:type="dxa"/>
          </w:tcPr>
          <w:p w14:paraId="5C41E233" w14:textId="77777777" w:rsidR="000119B6" w:rsidRPr="00F467FE" w:rsidRDefault="000119B6" w:rsidP="002C4786">
            <w:pPr>
              <w:pStyle w:val="ListBullet"/>
              <w:numPr>
                <w:ilvl w:val="0"/>
                <w:numId w:val="0"/>
              </w:numPr>
              <w:jc w:val="center"/>
              <w:rPr>
                <w:b/>
                <w:bCs/>
              </w:rPr>
            </w:pPr>
            <w:r w:rsidRPr="00F467FE">
              <w:rPr>
                <w:b/>
                <w:bCs/>
              </w:rPr>
              <w:t>-3</w:t>
            </w:r>
          </w:p>
        </w:tc>
      </w:tr>
      <w:tr w:rsidR="000119B6" w14:paraId="5EE0C1E1" w14:textId="77777777" w:rsidTr="0065213A">
        <w:trPr>
          <w:jc w:val="center"/>
        </w:trPr>
        <w:tc>
          <w:tcPr>
            <w:tcW w:w="4252" w:type="dxa"/>
          </w:tcPr>
          <w:p w14:paraId="3210CF11" w14:textId="77777777" w:rsidR="000119B6" w:rsidRDefault="000119B6" w:rsidP="0065213A">
            <w:pPr>
              <w:pStyle w:val="ListBullet"/>
              <w:numPr>
                <w:ilvl w:val="0"/>
                <w:numId w:val="0"/>
              </w:numPr>
            </w:pPr>
            <w:r>
              <w:t>Organisational Inertia</w:t>
            </w:r>
          </w:p>
        </w:tc>
        <w:tc>
          <w:tcPr>
            <w:tcW w:w="2126" w:type="dxa"/>
          </w:tcPr>
          <w:p w14:paraId="49E48575" w14:textId="77777777" w:rsidR="000119B6" w:rsidRPr="00F467FE" w:rsidRDefault="000119B6" w:rsidP="002C4786">
            <w:pPr>
              <w:pStyle w:val="ListBullet"/>
              <w:numPr>
                <w:ilvl w:val="0"/>
                <w:numId w:val="0"/>
              </w:numPr>
              <w:jc w:val="center"/>
              <w:rPr>
                <w:b/>
                <w:bCs/>
              </w:rPr>
            </w:pPr>
            <w:r w:rsidRPr="00F467FE">
              <w:rPr>
                <w:b/>
                <w:bCs/>
              </w:rPr>
              <w:t>-2</w:t>
            </w:r>
          </w:p>
        </w:tc>
      </w:tr>
      <w:tr w:rsidR="000119B6" w14:paraId="2E0A43BB" w14:textId="77777777" w:rsidTr="0065213A">
        <w:trPr>
          <w:jc w:val="center"/>
        </w:trPr>
        <w:tc>
          <w:tcPr>
            <w:tcW w:w="4252" w:type="dxa"/>
          </w:tcPr>
          <w:p w14:paraId="6F7AAF8C" w14:textId="77777777" w:rsidR="000119B6" w:rsidRDefault="000119B6" w:rsidP="0065213A">
            <w:pPr>
              <w:pStyle w:val="ListBullet"/>
              <w:numPr>
                <w:ilvl w:val="0"/>
                <w:numId w:val="0"/>
              </w:numPr>
            </w:pPr>
            <w:r>
              <w:t>Labour Cost</w:t>
            </w:r>
          </w:p>
        </w:tc>
        <w:tc>
          <w:tcPr>
            <w:tcW w:w="2126" w:type="dxa"/>
          </w:tcPr>
          <w:p w14:paraId="50AD93C1" w14:textId="77777777" w:rsidR="000119B6" w:rsidRPr="00F467FE" w:rsidRDefault="000119B6" w:rsidP="002C4786">
            <w:pPr>
              <w:pStyle w:val="ListBullet"/>
              <w:numPr>
                <w:ilvl w:val="0"/>
                <w:numId w:val="0"/>
              </w:numPr>
              <w:jc w:val="center"/>
              <w:rPr>
                <w:b/>
                <w:bCs/>
              </w:rPr>
            </w:pPr>
            <w:r w:rsidRPr="00F467FE">
              <w:rPr>
                <w:b/>
                <w:bCs/>
              </w:rPr>
              <w:t>-1.5</w:t>
            </w:r>
          </w:p>
        </w:tc>
      </w:tr>
      <w:tr w:rsidR="000119B6" w14:paraId="1739FA02" w14:textId="77777777" w:rsidTr="0065213A">
        <w:trPr>
          <w:jc w:val="center"/>
        </w:trPr>
        <w:tc>
          <w:tcPr>
            <w:tcW w:w="4252" w:type="dxa"/>
          </w:tcPr>
          <w:p w14:paraId="5AD536FF" w14:textId="77777777" w:rsidR="000119B6" w:rsidRDefault="000119B6" w:rsidP="0065213A">
            <w:pPr>
              <w:pStyle w:val="ListBullet"/>
              <w:numPr>
                <w:ilvl w:val="0"/>
                <w:numId w:val="0"/>
              </w:numPr>
            </w:pPr>
            <w:r>
              <w:t>Access &amp; Awareness</w:t>
            </w:r>
          </w:p>
        </w:tc>
        <w:tc>
          <w:tcPr>
            <w:tcW w:w="2126" w:type="dxa"/>
          </w:tcPr>
          <w:p w14:paraId="40ABBB37" w14:textId="77777777" w:rsidR="000119B6" w:rsidRPr="00F467FE" w:rsidRDefault="000119B6" w:rsidP="002C4786">
            <w:pPr>
              <w:pStyle w:val="ListBullet"/>
              <w:numPr>
                <w:ilvl w:val="0"/>
                <w:numId w:val="0"/>
              </w:numPr>
              <w:jc w:val="center"/>
              <w:rPr>
                <w:b/>
                <w:bCs/>
              </w:rPr>
            </w:pPr>
            <w:r w:rsidRPr="00F467FE">
              <w:rPr>
                <w:b/>
                <w:bCs/>
              </w:rPr>
              <w:t>-1.5</w:t>
            </w:r>
          </w:p>
        </w:tc>
      </w:tr>
    </w:tbl>
    <w:p w14:paraId="31B0F879" w14:textId="77777777" w:rsidR="000119B6" w:rsidRDefault="000119B6" w:rsidP="000119B6"/>
    <w:p w14:paraId="78124497" w14:textId="6F6EC6F5" w:rsidR="000119B6" w:rsidRDefault="000119B6" w:rsidP="000119B6">
      <w:r>
        <w:t xml:space="preserve">On the positive side, existing DR participation was assigned the highest capability weighting, as demonstrated, prior engagement is the strongest predictor of future participation. Dynamic operational capacity, the ability to ramp loads up or down in response to an external signal, received the next highest weighting, followed by participation availability, on-site generation, and </w:t>
      </w:r>
      <w:r w:rsidR="00453ECD">
        <w:t>energy use data</w:t>
      </w:r>
      <w:r>
        <w:t>.</w:t>
      </w:r>
      <w:r w:rsidR="00453ECD">
        <w:t xml:space="preserve"> Scoring Framework are presented in </w:t>
      </w:r>
      <w:r w:rsidR="00F93296">
        <w:fldChar w:fldCharType="begin"/>
      </w:r>
      <w:r w:rsidR="00F93296">
        <w:instrText xml:space="preserve"> REF _Ref230885475 \h </w:instrText>
      </w:r>
      <w:r w:rsidR="00F93296">
        <w:fldChar w:fldCharType="separate"/>
      </w:r>
      <w:r w:rsidR="00036C9A">
        <w:t xml:space="preserve">Table </w:t>
      </w:r>
      <w:r w:rsidR="00036C9A">
        <w:rPr>
          <w:noProof/>
        </w:rPr>
        <w:t>5</w:t>
      </w:r>
      <w:r w:rsidR="00F93296">
        <w:fldChar w:fldCharType="end"/>
      </w:r>
      <w:r w:rsidR="00453ECD">
        <w:t>.</w:t>
      </w:r>
    </w:p>
    <w:p w14:paraId="2BC6CA57" w14:textId="6717FBEE" w:rsidR="00453ECD" w:rsidRDefault="00453ECD" w:rsidP="00453ECD">
      <w:pPr>
        <w:pStyle w:val="Caption"/>
        <w:keepNext/>
      </w:pPr>
      <w:bookmarkStart w:id="69" w:name="_Ref230885475"/>
      <w:bookmarkStart w:id="70" w:name="_Toc233788358"/>
      <w:r>
        <w:lastRenderedPageBreak/>
        <w:t xml:space="preserve">Table </w:t>
      </w:r>
      <w:fldSimple w:instr=" SEQ Table \* ARABIC ">
        <w:r w:rsidR="00036C9A">
          <w:rPr>
            <w:noProof/>
          </w:rPr>
          <w:t>5</w:t>
        </w:r>
      </w:fldSimple>
      <w:bookmarkEnd w:id="69"/>
      <w:r>
        <w:t>: Capability Factor Enabling Demand Response Participation Scoring Framework</w:t>
      </w:r>
      <w:bookmarkEnd w:id="70"/>
    </w:p>
    <w:tbl>
      <w:tblPr>
        <w:tblStyle w:val="AdvitechTable"/>
        <w:tblW w:w="0" w:type="auto"/>
        <w:jc w:val="center"/>
        <w:tblLook w:val="0420" w:firstRow="1" w:lastRow="0" w:firstColumn="0" w:lastColumn="0" w:noHBand="0" w:noVBand="1"/>
      </w:tblPr>
      <w:tblGrid>
        <w:gridCol w:w="4253"/>
        <w:gridCol w:w="2126"/>
      </w:tblGrid>
      <w:tr w:rsidR="00453ECD" w:rsidRPr="00EB2FEE" w14:paraId="003838C2" w14:textId="77777777" w:rsidTr="009F5FC6">
        <w:trPr>
          <w:cnfStyle w:val="100000000000" w:firstRow="1" w:lastRow="0" w:firstColumn="0" w:lastColumn="0" w:oddVBand="0" w:evenVBand="0" w:oddHBand="0" w:evenHBand="0" w:firstRowFirstColumn="0" w:firstRowLastColumn="0" w:lastRowFirstColumn="0" w:lastRowLastColumn="0"/>
          <w:jc w:val="center"/>
        </w:trPr>
        <w:tc>
          <w:tcPr>
            <w:tcW w:w="4253" w:type="dxa"/>
          </w:tcPr>
          <w:p w14:paraId="044D3DA8" w14:textId="77777777" w:rsidR="00453ECD" w:rsidRPr="00EB2FEE" w:rsidRDefault="00453ECD" w:rsidP="009F5FC6">
            <w:pPr>
              <w:pStyle w:val="ListBullet"/>
              <w:numPr>
                <w:ilvl w:val="0"/>
                <w:numId w:val="0"/>
              </w:numPr>
              <w:rPr>
                <w:b/>
                <w:bCs/>
              </w:rPr>
            </w:pPr>
            <w:r w:rsidRPr="00EB2FEE">
              <w:rPr>
                <w:b/>
                <w:bCs/>
              </w:rPr>
              <w:t>Constraint Category</w:t>
            </w:r>
          </w:p>
        </w:tc>
        <w:tc>
          <w:tcPr>
            <w:tcW w:w="2126" w:type="dxa"/>
          </w:tcPr>
          <w:p w14:paraId="2243058A" w14:textId="77777777" w:rsidR="00453ECD" w:rsidRPr="00EB2FEE" w:rsidRDefault="00453ECD" w:rsidP="009F5FC6">
            <w:pPr>
              <w:pStyle w:val="ListBullet"/>
              <w:numPr>
                <w:ilvl w:val="0"/>
                <w:numId w:val="0"/>
              </w:numPr>
              <w:rPr>
                <w:b/>
                <w:bCs/>
              </w:rPr>
            </w:pPr>
            <w:r w:rsidRPr="00EB2FEE">
              <w:rPr>
                <w:b/>
                <w:bCs/>
              </w:rPr>
              <w:t>Score Weighting</w:t>
            </w:r>
          </w:p>
        </w:tc>
      </w:tr>
      <w:tr w:rsidR="00453ECD" w:rsidRPr="00EB2FEE" w14:paraId="53D5D7A6" w14:textId="77777777" w:rsidTr="009F5FC6">
        <w:trPr>
          <w:jc w:val="center"/>
        </w:trPr>
        <w:tc>
          <w:tcPr>
            <w:tcW w:w="4253" w:type="dxa"/>
          </w:tcPr>
          <w:p w14:paraId="07E611BE" w14:textId="77777777" w:rsidR="00453ECD" w:rsidRPr="00EB2FEE" w:rsidRDefault="00453ECD" w:rsidP="009F5FC6">
            <w:pPr>
              <w:pStyle w:val="ListBullet"/>
              <w:numPr>
                <w:ilvl w:val="0"/>
                <w:numId w:val="0"/>
              </w:numPr>
              <w:rPr>
                <w:b/>
                <w:bCs/>
              </w:rPr>
            </w:pPr>
            <w:r>
              <w:t>Existing Participation</w:t>
            </w:r>
          </w:p>
        </w:tc>
        <w:tc>
          <w:tcPr>
            <w:tcW w:w="2126" w:type="dxa"/>
          </w:tcPr>
          <w:p w14:paraId="20436065" w14:textId="77777777" w:rsidR="00453ECD" w:rsidRPr="00F467FE" w:rsidRDefault="00453ECD" w:rsidP="002C4786">
            <w:pPr>
              <w:pStyle w:val="ListBullet"/>
              <w:numPr>
                <w:ilvl w:val="0"/>
                <w:numId w:val="0"/>
              </w:numPr>
              <w:jc w:val="center"/>
              <w:rPr>
                <w:b/>
                <w:bCs/>
              </w:rPr>
            </w:pPr>
            <w:r w:rsidRPr="00F467FE">
              <w:rPr>
                <w:b/>
                <w:bCs/>
              </w:rPr>
              <w:t>+4</w:t>
            </w:r>
          </w:p>
        </w:tc>
      </w:tr>
      <w:tr w:rsidR="00453ECD" w14:paraId="18BA405B" w14:textId="77777777" w:rsidTr="009F5FC6">
        <w:trPr>
          <w:jc w:val="center"/>
        </w:trPr>
        <w:tc>
          <w:tcPr>
            <w:tcW w:w="4253" w:type="dxa"/>
          </w:tcPr>
          <w:p w14:paraId="4DBEEB82" w14:textId="1A8B8CB3" w:rsidR="00453ECD" w:rsidRDefault="00453ECD" w:rsidP="009F5FC6">
            <w:pPr>
              <w:pStyle w:val="ListBullet"/>
              <w:numPr>
                <w:ilvl w:val="0"/>
                <w:numId w:val="0"/>
              </w:numPr>
            </w:pPr>
            <w:r>
              <w:t>Participation Availability</w:t>
            </w:r>
          </w:p>
        </w:tc>
        <w:tc>
          <w:tcPr>
            <w:tcW w:w="2126" w:type="dxa"/>
          </w:tcPr>
          <w:p w14:paraId="305DC779" w14:textId="77777777" w:rsidR="00453ECD" w:rsidRPr="00F467FE" w:rsidRDefault="00453ECD" w:rsidP="002C4786">
            <w:pPr>
              <w:pStyle w:val="ListBullet"/>
              <w:numPr>
                <w:ilvl w:val="0"/>
                <w:numId w:val="0"/>
              </w:numPr>
              <w:jc w:val="center"/>
              <w:rPr>
                <w:b/>
                <w:bCs/>
              </w:rPr>
            </w:pPr>
            <w:r w:rsidRPr="00F467FE">
              <w:rPr>
                <w:b/>
                <w:bCs/>
              </w:rPr>
              <w:t>+3</w:t>
            </w:r>
          </w:p>
        </w:tc>
      </w:tr>
      <w:tr w:rsidR="00453ECD" w14:paraId="27A10C26" w14:textId="77777777" w:rsidTr="009F5FC6">
        <w:trPr>
          <w:jc w:val="center"/>
        </w:trPr>
        <w:tc>
          <w:tcPr>
            <w:tcW w:w="4253" w:type="dxa"/>
          </w:tcPr>
          <w:p w14:paraId="3C439CE7" w14:textId="44F8DEE3" w:rsidR="00453ECD" w:rsidRDefault="00453ECD" w:rsidP="009F5FC6">
            <w:pPr>
              <w:pStyle w:val="ListBullet"/>
              <w:numPr>
                <w:ilvl w:val="0"/>
                <w:numId w:val="0"/>
              </w:numPr>
            </w:pPr>
            <w:r>
              <w:t>Dynamic Operation</w:t>
            </w:r>
          </w:p>
        </w:tc>
        <w:tc>
          <w:tcPr>
            <w:tcW w:w="2126" w:type="dxa"/>
          </w:tcPr>
          <w:p w14:paraId="08E72C74" w14:textId="77777777" w:rsidR="00453ECD" w:rsidRPr="00F467FE" w:rsidRDefault="00453ECD" w:rsidP="002C4786">
            <w:pPr>
              <w:pStyle w:val="ListBullet"/>
              <w:numPr>
                <w:ilvl w:val="0"/>
                <w:numId w:val="0"/>
              </w:numPr>
              <w:jc w:val="center"/>
              <w:rPr>
                <w:b/>
                <w:bCs/>
              </w:rPr>
            </w:pPr>
            <w:r w:rsidRPr="00F467FE">
              <w:rPr>
                <w:b/>
                <w:bCs/>
              </w:rPr>
              <w:t>+3</w:t>
            </w:r>
          </w:p>
        </w:tc>
      </w:tr>
      <w:tr w:rsidR="00453ECD" w14:paraId="6E8D24E2" w14:textId="77777777" w:rsidTr="009F5FC6">
        <w:trPr>
          <w:jc w:val="center"/>
        </w:trPr>
        <w:tc>
          <w:tcPr>
            <w:tcW w:w="4253" w:type="dxa"/>
          </w:tcPr>
          <w:p w14:paraId="685BD582" w14:textId="77777777" w:rsidR="00453ECD" w:rsidRDefault="00453ECD" w:rsidP="009F5FC6">
            <w:pPr>
              <w:pStyle w:val="ListBullet"/>
              <w:numPr>
                <w:ilvl w:val="0"/>
                <w:numId w:val="0"/>
              </w:numPr>
            </w:pPr>
            <w:r>
              <w:t>On-site generation</w:t>
            </w:r>
          </w:p>
        </w:tc>
        <w:tc>
          <w:tcPr>
            <w:tcW w:w="2126" w:type="dxa"/>
          </w:tcPr>
          <w:p w14:paraId="261AD5E9" w14:textId="77777777" w:rsidR="00453ECD" w:rsidRPr="00F467FE" w:rsidRDefault="00453ECD" w:rsidP="002C4786">
            <w:pPr>
              <w:pStyle w:val="ListBullet"/>
              <w:numPr>
                <w:ilvl w:val="0"/>
                <w:numId w:val="0"/>
              </w:numPr>
              <w:jc w:val="center"/>
              <w:rPr>
                <w:b/>
                <w:bCs/>
              </w:rPr>
            </w:pPr>
            <w:r w:rsidRPr="00F467FE">
              <w:rPr>
                <w:b/>
                <w:bCs/>
              </w:rPr>
              <w:t>+2</w:t>
            </w:r>
          </w:p>
        </w:tc>
      </w:tr>
      <w:tr w:rsidR="00453ECD" w14:paraId="5F0F1524" w14:textId="77777777" w:rsidTr="009F5FC6">
        <w:trPr>
          <w:jc w:val="center"/>
        </w:trPr>
        <w:tc>
          <w:tcPr>
            <w:tcW w:w="4253" w:type="dxa"/>
          </w:tcPr>
          <w:p w14:paraId="37CCD8C1" w14:textId="77777777" w:rsidR="00453ECD" w:rsidRDefault="00453ECD" w:rsidP="009F5FC6">
            <w:pPr>
              <w:pStyle w:val="ListBullet"/>
              <w:numPr>
                <w:ilvl w:val="0"/>
                <w:numId w:val="0"/>
              </w:numPr>
            </w:pPr>
            <w:r>
              <w:t>Energy Use Data</w:t>
            </w:r>
          </w:p>
        </w:tc>
        <w:tc>
          <w:tcPr>
            <w:tcW w:w="2126" w:type="dxa"/>
          </w:tcPr>
          <w:p w14:paraId="48A43842" w14:textId="77777777" w:rsidR="00453ECD" w:rsidRPr="00F467FE" w:rsidRDefault="00453ECD" w:rsidP="002C4786">
            <w:pPr>
              <w:pStyle w:val="ListBullet"/>
              <w:numPr>
                <w:ilvl w:val="0"/>
                <w:numId w:val="0"/>
              </w:numPr>
              <w:jc w:val="center"/>
              <w:rPr>
                <w:b/>
                <w:bCs/>
              </w:rPr>
            </w:pPr>
            <w:r w:rsidRPr="00F467FE">
              <w:rPr>
                <w:b/>
                <w:bCs/>
              </w:rPr>
              <w:t>+1.5</w:t>
            </w:r>
          </w:p>
        </w:tc>
      </w:tr>
    </w:tbl>
    <w:p w14:paraId="6204C980" w14:textId="77777777" w:rsidR="00453ECD" w:rsidRDefault="00453ECD" w:rsidP="000119B6"/>
    <w:p w14:paraId="242DBBD1" w14:textId="76559C5A" w:rsidR="006C44E0" w:rsidRDefault="000119B6" w:rsidP="006F25A5">
      <w:r>
        <w:t xml:space="preserve">In addition to the binary barrier and capability scores, the framework incorporates a graduated score for the minimum notice period a company requires prior to a curtailment event. Shorter notice periods are assigned higher positive scores, reflecting greater practical utility to system operators. </w:t>
      </w:r>
      <w:r w:rsidR="00F93296">
        <w:fldChar w:fldCharType="begin"/>
      </w:r>
      <w:r w:rsidR="00F93296">
        <w:instrText xml:space="preserve"> REF _Ref230885486 \h </w:instrText>
      </w:r>
      <w:r w:rsidR="00F93296">
        <w:fldChar w:fldCharType="separate"/>
      </w:r>
      <w:r w:rsidR="00036C9A">
        <w:t xml:space="preserve">Table </w:t>
      </w:r>
      <w:r w:rsidR="00036C9A">
        <w:rPr>
          <w:noProof/>
        </w:rPr>
        <w:t>6</w:t>
      </w:r>
      <w:r w:rsidR="00F93296">
        <w:fldChar w:fldCharType="end"/>
      </w:r>
      <w:r>
        <w:t xml:space="preserve"> presents the scoring framework</w:t>
      </w:r>
      <w:r w:rsidR="00453ECD">
        <w:t xml:space="preserve"> for curtailment</w:t>
      </w:r>
      <w:r>
        <w:t>.</w:t>
      </w:r>
    </w:p>
    <w:p w14:paraId="0FDCE290" w14:textId="49164AF6" w:rsidR="00EB2FEE" w:rsidRDefault="00EB2FEE" w:rsidP="00EB2FEE">
      <w:pPr>
        <w:pStyle w:val="Caption"/>
        <w:keepNext/>
      </w:pPr>
      <w:bookmarkStart w:id="71" w:name="_Ref230885486"/>
      <w:bookmarkStart w:id="72" w:name="_Toc233788359"/>
      <w:r>
        <w:t xml:space="preserve">Table </w:t>
      </w:r>
      <w:fldSimple w:instr=" SEQ Table \* ARABIC ">
        <w:r w:rsidR="00036C9A">
          <w:rPr>
            <w:noProof/>
          </w:rPr>
          <w:t>6</w:t>
        </w:r>
      </w:fldSimple>
      <w:bookmarkEnd w:id="71"/>
      <w:r>
        <w:t>: Notice period Scoring Criteria</w:t>
      </w:r>
      <w:bookmarkEnd w:id="72"/>
    </w:p>
    <w:tbl>
      <w:tblPr>
        <w:tblStyle w:val="AdvitechTable"/>
        <w:tblW w:w="0" w:type="auto"/>
        <w:jc w:val="center"/>
        <w:tblLook w:val="0420" w:firstRow="1" w:lastRow="0" w:firstColumn="0" w:lastColumn="0" w:noHBand="0" w:noVBand="1"/>
      </w:tblPr>
      <w:tblGrid>
        <w:gridCol w:w="2126"/>
        <w:gridCol w:w="2126"/>
        <w:gridCol w:w="2126"/>
      </w:tblGrid>
      <w:tr w:rsidR="006C44E0" w:rsidRPr="00EB2FEE" w14:paraId="7DC6093C" w14:textId="77777777" w:rsidTr="006C44E0">
        <w:trPr>
          <w:cnfStyle w:val="100000000000" w:firstRow="1" w:lastRow="0" w:firstColumn="0" w:lastColumn="0" w:oddVBand="0" w:evenVBand="0" w:oddHBand="0" w:evenHBand="0" w:firstRowFirstColumn="0" w:firstRowLastColumn="0" w:lastRowFirstColumn="0" w:lastRowLastColumn="0"/>
          <w:trHeight w:val="483"/>
          <w:jc w:val="center"/>
        </w:trPr>
        <w:tc>
          <w:tcPr>
            <w:tcW w:w="2126" w:type="dxa"/>
          </w:tcPr>
          <w:p w14:paraId="2AC91373" w14:textId="63BC8394" w:rsidR="006C44E0" w:rsidRPr="00EB2FEE" w:rsidRDefault="006C44E0" w:rsidP="006F25A5">
            <w:pPr>
              <w:rPr>
                <w:b/>
                <w:bCs/>
              </w:rPr>
            </w:pPr>
            <w:r w:rsidRPr="00EB2FEE">
              <w:rPr>
                <w:b/>
                <w:bCs/>
              </w:rPr>
              <w:t>Notice period</w:t>
            </w:r>
          </w:p>
        </w:tc>
        <w:tc>
          <w:tcPr>
            <w:tcW w:w="2126" w:type="dxa"/>
          </w:tcPr>
          <w:p w14:paraId="7EFBF7A1" w14:textId="5795E86A" w:rsidR="006C44E0" w:rsidRPr="00EB2FEE" w:rsidRDefault="006C44E0" w:rsidP="006C44E0">
            <w:pPr>
              <w:jc w:val="center"/>
              <w:rPr>
                <w:b/>
                <w:bCs/>
              </w:rPr>
            </w:pPr>
            <w:r w:rsidRPr="00EB2FEE">
              <w:rPr>
                <w:b/>
                <w:bCs/>
              </w:rPr>
              <w:t>Hours</w:t>
            </w:r>
          </w:p>
        </w:tc>
        <w:tc>
          <w:tcPr>
            <w:tcW w:w="2126" w:type="dxa"/>
          </w:tcPr>
          <w:p w14:paraId="2357E3AC" w14:textId="1DD4305C" w:rsidR="006C44E0" w:rsidRPr="00EB2FEE" w:rsidRDefault="006C44E0" w:rsidP="006F25A5">
            <w:pPr>
              <w:rPr>
                <w:b/>
                <w:bCs/>
              </w:rPr>
            </w:pPr>
            <w:r w:rsidRPr="00EB2FEE">
              <w:rPr>
                <w:b/>
                <w:bCs/>
              </w:rPr>
              <w:t>Score Weighting</w:t>
            </w:r>
          </w:p>
        </w:tc>
      </w:tr>
      <w:tr w:rsidR="006C44E0" w14:paraId="5CBE68DE" w14:textId="77777777" w:rsidTr="006C44E0">
        <w:trPr>
          <w:trHeight w:val="483"/>
          <w:jc w:val="center"/>
        </w:trPr>
        <w:tc>
          <w:tcPr>
            <w:tcW w:w="2126" w:type="dxa"/>
            <w:vAlign w:val="top"/>
          </w:tcPr>
          <w:p w14:paraId="315D3524" w14:textId="5375CBCE" w:rsidR="006C44E0" w:rsidRDefault="006C44E0" w:rsidP="006C44E0">
            <w:r w:rsidRPr="00EF4D04">
              <w:t>0 – 1 hour</w:t>
            </w:r>
          </w:p>
        </w:tc>
        <w:tc>
          <w:tcPr>
            <w:tcW w:w="2126" w:type="dxa"/>
            <w:vAlign w:val="top"/>
          </w:tcPr>
          <w:p w14:paraId="5FCC60BF" w14:textId="691892A6" w:rsidR="006C44E0" w:rsidRDefault="006C44E0" w:rsidP="006C44E0">
            <w:pPr>
              <w:jc w:val="center"/>
            </w:pPr>
            <w:r w:rsidRPr="00EF4D04">
              <w:t>0 – 1</w:t>
            </w:r>
          </w:p>
        </w:tc>
        <w:tc>
          <w:tcPr>
            <w:tcW w:w="2126" w:type="dxa"/>
            <w:vAlign w:val="top"/>
          </w:tcPr>
          <w:p w14:paraId="3EA861D8" w14:textId="6EBECAF6" w:rsidR="006C44E0" w:rsidRPr="00F467FE" w:rsidRDefault="006C44E0" w:rsidP="002C4786">
            <w:pPr>
              <w:jc w:val="center"/>
              <w:rPr>
                <w:b/>
                <w:bCs/>
              </w:rPr>
            </w:pPr>
            <w:r w:rsidRPr="00F467FE">
              <w:rPr>
                <w:b/>
                <w:bCs/>
              </w:rPr>
              <w:t>+4</w:t>
            </w:r>
          </w:p>
        </w:tc>
      </w:tr>
      <w:tr w:rsidR="006C44E0" w14:paraId="661935F0" w14:textId="77777777" w:rsidTr="006C44E0">
        <w:trPr>
          <w:trHeight w:val="467"/>
          <w:jc w:val="center"/>
        </w:trPr>
        <w:tc>
          <w:tcPr>
            <w:tcW w:w="2126" w:type="dxa"/>
            <w:vAlign w:val="top"/>
          </w:tcPr>
          <w:p w14:paraId="0FC9FED8" w14:textId="287D2559" w:rsidR="006C44E0" w:rsidRDefault="006C44E0" w:rsidP="006C44E0">
            <w:r w:rsidRPr="00EF4D04">
              <w:t>1 – 2 hours</w:t>
            </w:r>
          </w:p>
        </w:tc>
        <w:tc>
          <w:tcPr>
            <w:tcW w:w="2126" w:type="dxa"/>
            <w:vAlign w:val="top"/>
          </w:tcPr>
          <w:p w14:paraId="5342510D" w14:textId="640E830C" w:rsidR="006C44E0" w:rsidRDefault="006C44E0" w:rsidP="006C44E0">
            <w:pPr>
              <w:jc w:val="center"/>
            </w:pPr>
            <w:r w:rsidRPr="00EF4D04">
              <w:t>1 – 2</w:t>
            </w:r>
          </w:p>
        </w:tc>
        <w:tc>
          <w:tcPr>
            <w:tcW w:w="2126" w:type="dxa"/>
            <w:vAlign w:val="top"/>
          </w:tcPr>
          <w:p w14:paraId="322C3C7C" w14:textId="1BC65AA6" w:rsidR="006C44E0" w:rsidRPr="00F467FE" w:rsidRDefault="006C44E0" w:rsidP="002C4786">
            <w:pPr>
              <w:jc w:val="center"/>
              <w:rPr>
                <w:b/>
                <w:bCs/>
              </w:rPr>
            </w:pPr>
            <w:r w:rsidRPr="00F467FE">
              <w:rPr>
                <w:b/>
                <w:bCs/>
              </w:rPr>
              <w:t>+3</w:t>
            </w:r>
          </w:p>
        </w:tc>
      </w:tr>
      <w:tr w:rsidR="006C44E0" w14:paraId="020A108B" w14:textId="77777777" w:rsidTr="006C44E0">
        <w:trPr>
          <w:trHeight w:val="483"/>
          <w:jc w:val="center"/>
        </w:trPr>
        <w:tc>
          <w:tcPr>
            <w:tcW w:w="2126" w:type="dxa"/>
            <w:vAlign w:val="top"/>
          </w:tcPr>
          <w:p w14:paraId="703730AB" w14:textId="23904C60" w:rsidR="006C44E0" w:rsidRDefault="006C44E0" w:rsidP="006C44E0">
            <w:r w:rsidRPr="00EF4D04">
              <w:t>2 – 8 hours</w:t>
            </w:r>
          </w:p>
        </w:tc>
        <w:tc>
          <w:tcPr>
            <w:tcW w:w="2126" w:type="dxa"/>
            <w:vAlign w:val="top"/>
          </w:tcPr>
          <w:p w14:paraId="10531353" w14:textId="71CECFF2" w:rsidR="006C44E0" w:rsidRDefault="006C44E0" w:rsidP="006C44E0">
            <w:pPr>
              <w:jc w:val="center"/>
            </w:pPr>
            <w:r w:rsidRPr="00EF4D04">
              <w:t>2 – 8</w:t>
            </w:r>
          </w:p>
        </w:tc>
        <w:tc>
          <w:tcPr>
            <w:tcW w:w="2126" w:type="dxa"/>
            <w:vAlign w:val="top"/>
          </w:tcPr>
          <w:p w14:paraId="5E190CB9" w14:textId="260C6549" w:rsidR="006C44E0" w:rsidRPr="00F467FE" w:rsidRDefault="006C44E0" w:rsidP="002C4786">
            <w:pPr>
              <w:jc w:val="center"/>
              <w:rPr>
                <w:b/>
                <w:bCs/>
              </w:rPr>
            </w:pPr>
            <w:r w:rsidRPr="00F467FE">
              <w:rPr>
                <w:b/>
                <w:bCs/>
              </w:rPr>
              <w:t>+2</w:t>
            </w:r>
          </w:p>
        </w:tc>
      </w:tr>
      <w:tr w:rsidR="006C44E0" w14:paraId="6768D1BB" w14:textId="77777777" w:rsidTr="006C44E0">
        <w:trPr>
          <w:trHeight w:val="483"/>
          <w:jc w:val="center"/>
        </w:trPr>
        <w:tc>
          <w:tcPr>
            <w:tcW w:w="2126" w:type="dxa"/>
            <w:vAlign w:val="top"/>
          </w:tcPr>
          <w:p w14:paraId="57295739" w14:textId="44966A6D" w:rsidR="006C44E0" w:rsidRDefault="006C44E0" w:rsidP="006C44E0">
            <w:r w:rsidRPr="00EF4D04">
              <w:t>8 – 24 hours</w:t>
            </w:r>
          </w:p>
        </w:tc>
        <w:tc>
          <w:tcPr>
            <w:tcW w:w="2126" w:type="dxa"/>
            <w:vAlign w:val="top"/>
          </w:tcPr>
          <w:p w14:paraId="6803FE6C" w14:textId="597DA752" w:rsidR="006C44E0" w:rsidRDefault="006C44E0" w:rsidP="006C44E0">
            <w:pPr>
              <w:jc w:val="center"/>
            </w:pPr>
            <w:r w:rsidRPr="00EF4D04">
              <w:t>8 – 24</w:t>
            </w:r>
          </w:p>
        </w:tc>
        <w:tc>
          <w:tcPr>
            <w:tcW w:w="2126" w:type="dxa"/>
            <w:vAlign w:val="top"/>
          </w:tcPr>
          <w:p w14:paraId="7C446879" w14:textId="4488D8D2" w:rsidR="006C44E0" w:rsidRPr="00F467FE" w:rsidRDefault="006C44E0" w:rsidP="002C4786">
            <w:pPr>
              <w:jc w:val="center"/>
              <w:rPr>
                <w:b/>
                <w:bCs/>
              </w:rPr>
            </w:pPr>
            <w:r w:rsidRPr="00F467FE">
              <w:rPr>
                <w:b/>
                <w:bCs/>
              </w:rPr>
              <w:t>+1</w:t>
            </w:r>
          </w:p>
        </w:tc>
      </w:tr>
      <w:tr w:rsidR="006C44E0" w14:paraId="074C0716" w14:textId="77777777" w:rsidTr="006C44E0">
        <w:trPr>
          <w:trHeight w:val="467"/>
          <w:jc w:val="center"/>
        </w:trPr>
        <w:tc>
          <w:tcPr>
            <w:tcW w:w="2126" w:type="dxa"/>
            <w:vAlign w:val="top"/>
          </w:tcPr>
          <w:p w14:paraId="3B42E2CD" w14:textId="50F2B692" w:rsidR="006C44E0" w:rsidRDefault="006C44E0" w:rsidP="006C44E0">
            <w:r w:rsidRPr="00EF4D04">
              <w:t>24 hours or more</w:t>
            </w:r>
          </w:p>
        </w:tc>
        <w:tc>
          <w:tcPr>
            <w:tcW w:w="2126" w:type="dxa"/>
            <w:vAlign w:val="top"/>
          </w:tcPr>
          <w:p w14:paraId="1003B395" w14:textId="0A52E76B" w:rsidR="006C44E0" w:rsidRDefault="006C44E0" w:rsidP="006C44E0">
            <w:pPr>
              <w:jc w:val="center"/>
            </w:pPr>
            <w:r w:rsidRPr="00EF4D04">
              <w:t>24+</w:t>
            </w:r>
          </w:p>
        </w:tc>
        <w:tc>
          <w:tcPr>
            <w:tcW w:w="2126" w:type="dxa"/>
            <w:vAlign w:val="top"/>
          </w:tcPr>
          <w:p w14:paraId="790D1E30" w14:textId="2984A853" w:rsidR="006C44E0" w:rsidRPr="00F467FE" w:rsidRDefault="006C44E0" w:rsidP="002C4786">
            <w:pPr>
              <w:jc w:val="center"/>
              <w:rPr>
                <w:b/>
                <w:bCs/>
              </w:rPr>
            </w:pPr>
            <w:r w:rsidRPr="00F467FE">
              <w:rPr>
                <w:b/>
                <w:bCs/>
              </w:rPr>
              <w:t>0</w:t>
            </w:r>
          </w:p>
        </w:tc>
      </w:tr>
    </w:tbl>
    <w:p w14:paraId="13074D84" w14:textId="546C36A0" w:rsidR="006C44E0" w:rsidRPr="00F827B5" w:rsidRDefault="00684F2A" w:rsidP="00684F2A">
      <w:pPr>
        <w:pStyle w:val="Heading3"/>
      </w:pPr>
      <w:bookmarkStart w:id="73" w:name="_Ref230609911"/>
      <w:bookmarkStart w:id="74" w:name="_Toc233788306"/>
      <w:r w:rsidRPr="00F827B5">
        <w:t>Load Categories &amp; Characterisation</w:t>
      </w:r>
      <w:bookmarkEnd w:id="73"/>
      <w:bookmarkEnd w:id="74"/>
    </w:p>
    <w:p w14:paraId="57504FA6" w14:textId="138EB249" w:rsidR="00684F2A" w:rsidRDefault="00684F2A" w:rsidP="00684F2A">
      <w:r>
        <w:t xml:space="preserve">Industrial equipment identified during the stakeholder interviews and data analysis was compiled and categorised </w:t>
      </w:r>
      <w:r w:rsidR="004071EA">
        <w:t xml:space="preserve">by load characteristics, enabling classification of electrical equipment by control dependency and </w:t>
      </w:r>
      <w:r>
        <w:t>inherent flexibility potential.</w:t>
      </w:r>
    </w:p>
    <w:p w14:paraId="6FB7FDDD" w14:textId="2B295B97" w:rsidR="007034D2" w:rsidRDefault="007034D2" w:rsidP="007034D2">
      <w:r>
        <w:t>C</w:t>
      </w:r>
      <w:r w:rsidRPr="005960B2">
        <w:t xml:space="preserve">ontrol dependency represents the ability of the equipment to be automated, </w:t>
      </w:r>
      <w:r>
        <w:t>requires</w:t>
      </w:r>
      <w:r w:rsidRPr="005960B2">
        <w:t xml:space="preserve"> manual </w:t>
      </w:r>
      <w:r>
        <w:t>intervention</w:t>
      </w:r>
      <w:r w:rsidRPr="005960B2">
        <w:t xml:space="preserve"> or </w:t>
      </w:r>
      <w:r>
        <w:t xml:space="preserve">involves </w:t>
      </w:r>
      <w:r w:rsidRPr="005960B2">
        <w:t xml:space="preserve">a combination of both. Flexibility ratings </w:t>
      </w:r>
      <w:r>
        <w:t>were</w:t>
      </w:r>
      <w:r w:rsidRPr="005960B2">
        <w:t xml:space="preserve"> </w:t>
      </w:r>
      <w:r w:rsidR="007476BD">
        <w:t>assessed using the following classifications</w:t>
      </w:r>
      <w:r>
        <w:t>:</w:t>
      </w:r>
    </w:p>
    <w:p w14:paraId="009307CB" w14:textId="6127B96D" w:rsidR="007034D2" w:rsidRDefault="007034D2" w:rsidP="007034D2">
      <w:pPr>
        <w:pStyle w:val="ListBullet"/>
      </w:pPr>
      <w:r w:rsidRPr="005960B2">
        <w:rPr>
          <w:b/>
          <w:bCs/>
        </w:rPr>
        <w:t>Low:</w:t>
      </w:r>
      <w:r>
        <w:t xml:space="preserve"> Load shifting would materially impact the production process and is generally not feasible without significant operational consequences and adjustments;</w:t>
      </w:r>
    </w:p>
    <w:p w14:paraId="239E97A4" w14:textId="04915842" w:rsidR="007034D2" w:rsidRDefault="007034D2" w:rsidP="007034D2">
      <w:pPr>
        <w:pStyle w:val="ListBullet"/>
      </w:pPr>
      <w:r w:rsidRPr="005960B2">
        <w:rPr>
          <w:b/>
          <w:bCs/>
        </w:rPr>
        <w:t>Medium:</w:t>
      </w:r>
      <w:r>
        <w:t xml:space="preserve"> </w:t>
      </w:r>
      <w:r w:rsidRPr="00277715">
        <w:t>load shifting requires advance planning and may have minor process impacts</w:t>
      </w:r>
      <w:r w:rsidR="007476BD">
        <w:t>,</w:t>
      </w:r>
      <w:r w:rsidRPr="00277715">
        <w:t xml:space="preserve"> but is achievable under appropriate conditions</w:t>
      </w:r>
      <w:r>
        <w:t>; and</w:t>
      </w:r>
    </w:p>
    <w:p w14:paraId="162C3E75" w14:textId="77777777" w:rsidR="007034D2" w:rsidRDefault="007034D2" w:rsidP="007034D2">
      <w:pPr>
        <w:pStyle w:val="ListBullet"/>
      </w:pPr>
      <w:r w:rsidRPr="005960B2">
        <w:rPr>
          <w:b/>
          <w:bCs/>
        </w:rPr>
        <w:t>High:</w:t>
      </w:r>
      <w:r>
        <w:t xml:space="preserve"> load shifting can be accomplished without materially impacting the production process</w:t>
      </w:r>
    </w:p>
    <w:p w14:paraId="1038218F" w14:textId="50580390" w:rsidR="00684F2A" w:rsidRDefault="00684F2A" w:rsidP="00684F2A">
      <w:r w:rsidRPr="00CC2F92">
        <w:t xml:space="preserve">A total of </w:t>
      </w:r>
      <w:r w:rsidR="00735722">
        <w:t>5</w:t>
      </w:r>
      <w:r w:rsidR="00D55DA8">
        <w:t>3</w:t>
      </w:r>
      <w:r w:rsidRPr="00CC2F92">
        <w:t xml:space="preserve"> distinct load types were identified across the industrial </w:t>
      </w:r>
      <w:r w:rsidR="00D03A0A">
        <w:t>participation cohort</w:t>
      </w:r>
      <w:r>
        <w:t xml:space="preserve"> and </w:t>
      </w:r>
      <w:r w:rsidRPr="004E30CE">
        <w:t>grouped into nine functional categories. Each load type was</w:t>
      </w:r>
      <w:r>
        <w:t xml:space="preserve"> subsequently</w:t>
      </w:r>
      <w:r w:rsidRPr="004E30CE">
        <w:t xml:space="preserve"> characterised according to its operation</w:t>
      </w:r>
      <w:r>
        <w:t>al</w:t>
      </w:r>
      <w:r w:rsidRPr="004E30CE">
        <w:t xml:space="preserve"> </w:t>
      </w:r>
      <w:r>
        <w:t>behaviour</w:t>
      </w:r>
      <w:r w:rsidRPr="004E30CE">
        <w:t>, control dependency, and flexibility potential.</w:t>
      </w:r>
      <w:r w:rsidR="007476BD">
        <w:t xml:space="preserve"> </w:t>
      </w:r>
      <w:r>
        <w:t xml:space="preserve">Together, these categories encompass the full spectrum of energy-intensive activities observed at the participating industrial sites, from background infrastructure to heavy machinery production processes. The identified categories and their identified quantities are presented in </w:t>
      </w:r>
      <w:r w:rsidR="00EA54F9">
        <w:rPr>
          <w:highlight w:val="yellow"/>
        </w:rPr>
        <w:fldChar w:fldCharType="begin"/>
      </w:r>
      <w:r w:rsidR="00EA54F9">
        <w:instrText xml:space="preserve"> REF _Ref230907629 \h </w:instrText>
      </w:r>
      <w:r w:rsidR="00EA54F9">
        <w:rPr>
          <w:highlight w:val="yellow"/>
        </w:rPr>
      </w:r>
      <w:r w:rsidR="00EA54F9">
        <w:rPr>
          <w:highlight w:val="yellow"/>
        </w:rPr>
        <w:fldChar w:fldCharType="separate"/>
      </w:r>
      <w:r w:rsidR="00036C9A">
        <w:t xml:space="preserve">Figure </w:t>
      </w:r>
      <w:r w:rsidR="00036C9A">
        <w:rPr>
          <w:noProof/>
        </w:rPr>
        <w:t>7</w:t>
      </w:r>
      <w:r w:rsidR="00EA54F9">
        <w:rPr>
          <w:highlight w:val="yellow"/>
        </w:rPr>
        <w:fldChar w:fldCharType="end"/>
      </w:r>
      <w:r>
        <w:t xml:space="preserve"> below. The identified characteristics of each respective category </w:t>
      </w:r>
      <w:r w:rsidR="007034D2">
        <w:t>are</w:t>
      </w:r>
      <w:r>
        <w:t xml:space="preserve"> discussed in </w:t>
      </w:r>
      <w:r w:rsidR="00D03A0A">
        <w:t>S</w:t>
      </w:r>
      <w:r>
        <w:t xml:space="preserve">ection </w:t>
      </w:r>
      <w:r>
        <w:fldChar w:fldCharType="begin"/>
      </w:r>
      <w:r>
        <w:instrText xml:space="preserve"> REF _Ref230609183 \n \h </w:instrText>
      </w:r>
      <w:r>
        <w:fldChar w:fldCharType="separate"/>
      </w:r>
      <w:r w:rsidR="00036C9A">
        <w:t>5.4</w:t>
      </w:r>
      <w:r>
        <w:fldChar w:fldCharType="end"/>
      </w:r>
      <w:r w:rsidR="00EA54F9">
        <w:t xml:space="preserve">, with the full taxonomy of load in Section </w:t>
      </w:r>
      <w:r w:rsidR="00EA54F9">
        <w:fldChar w:fldCharType="begin"/>
      </w:r>
      <w:r w:rsidR="00EA54F9">
        <w:instrText xml:space="preserve"> REF _Ref230907727 \r \h </w:instrText>
      </w:r>
      <w:r w:rsidR="00EA54F9">
        <w:fldChar w:fldCharType="separate"/>
      </w:r>
      <w:r w:rsidR="00036C9A">
        <w:t>5.4.2</w:t>
      </w:r>
      <w:r w:rsidR="00EA54F9">
        <w:fldChar w:fldCharType="end"/>
      </w:r>
      <w:r w:rsidR="00EA54F9">
        <w:t>.</w:t>
      </w:r>
    </w:p>
    <w:p w14:paraId="7E071DA3" w14:textId="77777777" w:rsidR="00EA54F9" w:rsidRDefault="00EA54F9" w:rsidP="00684F2A"/>
    <w:p w14:paraId="46DBA350" w14:textId="19A6370A" w:rsidR="00451DE0" w:rsidRDefault="00492592" w:rsidP="00451DE0">
      <w:pPr>
        <w:keepNext/>
        <w:jc w:val="center"/>
      </w:pPr>
      <w:r>
        <w:rPr>
          <w:noProof/>
        </w:rPr>
        <w:drawing>
          <wp:inline distT="0" distB="0" distL="0" distR="0" wp14:anchorId="189A4736" wp14:editId="7B70CC5B">
            <wp:extent cx="5105400" cy="3063240"/>
            <wp:effectExtent l="0" t="0" r="0" b="3810"/>
            <wp:docPr id="658614429" name="Chart 1">
              <a:extLst xmlns:a="http://schemas.openxmlformats.org/drawingml/2006/main">
                <a:ext uri="{FF2B5EF4-FFF2-40B4-BE49-F238E27FC236}">
                  <a16:creationId xmlns:a16="http://schemas.microsoft.com/office/drawing/2014/main" id="{9F73D590-7CE7-8643-2864-BE1BAB318A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72A71A6" w14:textId="0466BF13" w:rsidR="00684F2A" w:rsidRDefault="00451DE0" w:rsidP="00451DE0">
      <w:pPr>
        <w:pStyle w:val="Caption"/>
      </w:pPr>
      <w:bookmarkStart w:id="75" w:name="_Ref230907629"/>
      <w:bookmarkStart w:id="76" w:name="_Toc233788344"/>
      <w:r>
        <w:t xml:space="preserve">Figure </w:t>
      </w:r>
      <w:fldSimple w:instr=" SEQ Figure \* ARABIC ">
        <w:r w:rsidR="00036C9A">
          <w:rPr>
            <w:noProof/>
          </w:rPr>
          <w:t>7</w:t>
        </w:r>
      </w:fldSimple>
      <w:bookmarkEnd w:id="75"/>
      <w:r>
        <w:t>: Distribution and Characterisation of Industrial Loads</w:t>
      </w:r>
      <w:bookmarkEnd w:id="76"/>
    </w:p>
    <w:p w14:paraId="4B9D7345" w14:textId="77777777" w:rsidR="00A47C17" w:rsidRPr="00A47C17" w:rsidRDefault="00A47C17" w:rsidP="00A47C17"/>
    <w:p w14:paraId="065BCD43" w14:textId="77777777" w:rsidR="00277715" w:rsidRDefault="00277715" w:rsidP="00277715">
      <w:pPr>
        <w:pStyle w:val="Heading1"/>
      </w:pPr>
      <w:bookmarkStart w:id="77" w:name="_Ref230802589"/>
      <w:bookmarkStart w:id="78" w:name="_Ref230802606"/>
      <w:bookmarkStart w:id="79" w:name="_Toc233788307"/>
      <w:r>
        <w:t>Results</w:t>
      </w:r>
      <w:bookmarkEnd w:id="77"/>
      <w:bookmarkEnd w:id="78"/>
      <w:bookmarkEnd w:id="79"/>
    </w:p>
    <w:p w14:paraId="32384F29" w14:textId="62EBC060" w:rsidR="00FE1BB8" w:rsidRPr="003A401F" w:rsidRDefault="00FE1BB8" w:rsidP="003A401F">
      <w:r w:rsidRPr="00FE1BB8">
        <w:t xml:space="preserve">This section presents the results of the barrier and capability classification, scoring, and load characterisation analysis conducted across the 22 assessed companies. The results are organised across four </w:t>
      </w:r>
      <w:r w:rsidR="00E3404A">
        <w:t xml:space="preserve">(4) </w:t>
      </w:r>
      <w:r w:rsidRPr="00FE1BB8">
        <w:t>subsections: barrier classification, capability factor assessment, DR participation potential scoring, and load identification and characterisation. The findings drawn from these results are discussed in Section 5.5</w:t>
      </w:r>
      <w:r>
        <w:t>.</w:t>
      </w:r>
    </w:p>
    <w:p w14:paraId="065E9847" w14:textId="0CE7D0DA" w:rsidR="00277715" w:rsidRPr="00F827B5" w:rsidRDefault="00277715" w:rsidP="00277715">
      <w:pPr>
        <w:pStyle w:val="Heading2"/>
      </w:pPr>
      <w:bookmarkStart w:id="80" w:name="_Ref233679882"/>
      <w:bookmarkStart w:id="81" w:name="_Toc233788308"/>
      <w:r w:rsidRPr="00F827B5">
        <w:t>Barriers &amp; Classification</w:t>
      </w:r>
      <w:bookmarkEnd w:id="80"/>
      <w:bookmarkEnd w:id="81"/>
    </w:p>
    <w:p w14:paraId="5111BA2F" w14:textId="34D442DC" w:rsidR="00286BBC" w:rsidRDefault="009E23F6" w:rsidP="00277715">
      <w:r w:rsidRPr="009E23F6">
        <w:t xml:space="preserve">The barriers refer to the technical, operational, and organisational constraints that limit a company's ability to participate in demand response programs. Six </w:t>
      </w:r>
      <w:r w:rsidR="000B3E15">
        <w:t xml:space="preserve">(6) </w:t>
      </w:r>
      <w:r w:rsidRPr="009E23F6">
        <w:t>barrier categories were assessed for each participant, as defined in Section 4.2.3. Each barrier was scored as binary</w:t>
      </w:r>
      <w:r>
        <w:t xml:space="preserve"> (</w:t>
      </w:r>
      <w:r w:rsidR="00B25536">
        <w:t xml:space="preserve">1 = </w:t>
      </w:r>
      <w:r>
        <w:t>present</w:t>
      </w:r>
      <w:r w:rsidR="00B25536">
        <w:t xml:space="preserve">, 0 = </w:t>
      </w:r>
      <w:r>
        <w:t>absent), with a negative weighting applied when</w:t>
      </w:r>
      <w:r w:rsidRPr="009E23F6">
        <w:t xml:space="preserve"> the barrier was identified. </w:t>
      </w:r>
      <w:r w:rsidR="005A2AA7">
        <w:fldChar w:fldCharType="begin"/>
      </w:r>
      <w:r w:rsidR="005A2AA7">
        <w:instrText xml:space="preserve"> REF _Ref230931534 \h </w:instrText>
      </w:r>
      <w:r w:rsidR="005A2AA7">
        <w:fldChar w:fldCharType="separate"/>
      </w:r>
      <w:r w:rsidR="00036C9A">
        <w:t xml:space="preserve">Table </w:t>
      </w:r>
      <w:r w:rsidR="00036C9A">
        <w:rPr>
          <w:noProof/>
        </w:rPr>
        <w:t>7</w:t>
      </w:r>
      <w:r w:rsidR="005A2AA7">
        <w:fldChar w:fldCharType="end"/>
      </w:r>
      <w:r w:rsidR="005A2AA7">
        <w:t xml:space="preserve"> </w:t>
      </w:r>
      <w:r>
        <w:t xml:space="preserve">summarises the prevalence of each barrier across the full </w:t>
      </w:r>
      <w:r w:rsidR="005A2AA7">
        <w:t>cohort of 22 companies</w:t>
      </w:r>
      <w:r>
        <w:t>.</w:t>
      </w:r>
    </w:p>
    <w:p w14:paraId="7493861B" w14:textId="4A5525AD" w:rsidR="009E23F6" w:rsidRDefault="009E23F6" w:rsidP="009E23F6">
      <w:pPr>
        <w:pStyle w:val="Caption"/>
        <w:keepNext/>
      </w:pPr>
      <w:bookmarkStart w:id="82" w:name="_Ref230931534"/>
      <w:bookmarkStart w:id="83" w:name="_Toc233788360"/>
      <w:r>
        <w:t xml:space="preserve">Table </w:t>
      </w:r>
      <w:fldSimple w:instr=" SEQ Table \* ARABIC ">
        <w:r w:rsidR="00036C9A">
          <w:rPr>
            <w:noProof/>
          </w:rPr>
          <w:t>7</w:t>
        </w:r>
      </w:fldSimple>
      <w:bookmarkEnd w:id="82"/>
      <w:r>
        <w:t xml:space="preserve">: </w:t>
      </w:r>
      <w:r w:rsidRPr="009E23F6">
        <w:t>Barrier prevalence and weighting across the 22-company cohort</w:t>
      </w:r>
      <w:r>
        <w:t>.</w:t>
      </w:r>
      <w:bookmarkEnd w:id="83"/>
    </w:p>
    <w:tbl>
      <w:tblPr>
        <w:tblStyle w:val="AdvitechTable"/>
        <w:tblW w:w="0" w:type="auto"/>
        <w:jc w:val="center"/>
        <w:tblLook w:val="0420" w:firstRow="1" w:lastRow="0" w:firstColumn="0" w:lastColumn="0" w:noHBand="0" w:noVBand="1"/>
      </w:tblPr>
      <w:tblGrid>
        <w:gridCol w:w="2407"/>
        <w:gridCol w:w="1704"/>
        <w:gridCol w:w="4820"/>
      </w:tblGrid>
      <w:tr w:rsidR="009E23F6" w14:paraId="3E0C9670" w14:textId="77777777" w:rsidTr="000635F8">
        <w:trPr>
          <w:cnfStyle w:val="100000000000" w:firstRow="1" w:lastRow="0" w:firstColumn="0" w:lastColumn="0" w:oddVBand="0" w:evenVBand="0" w:oddHBand="0" w:evenHBand="0" w:firstRowFirstColumn="0" w:firstRowLastColumn="0" w:lastRowFirstColumn="0" w:lastRowLastColumn="0"/>
          <w:tblHeader/>
          <w:jc w:val="center"/>
        </w:trPr>
        <w:tc>
          <w:tcPr>
            <w:tcW w:w="2407" w:type="dxa"/>
          </w:tcPr>
          <w:p w14:paraId="4914D556" w14:textId="5D732FDA" w:rsidR="009E23F6" w:rsidRPr="00E3404A" w:rsidRDefault="009E23F6" w:rsidP="00277715">
            <w:pPr>
              <w:rPr>
                <w:b/>
                <w:bCs/>
              </w:rPr>
            </w:pPr>
            <w:r w:rsidRPr="00E3404A">
              <w:rPr>
                <w:b/>
                <w:bCs/>
              </w:rPr>
              <w:t>Barrier</w:t>
            </w:r>
          </w:p>
        </w:tc>
        <w:tc>
          <w:tcPr>
            <w:tcW w:w="1704" w:type="dxa"/>
          </w:tcPr>
          <w:p w14:paraId="3F491CBC" w14:textId="3204D806" w:rsidR="009E23F6" w:rsidRPr="00E3404A" w:rsidRDefault="009E23F6" w:rsidP="00B25536">
            <w:pPr>
              <w:jc w:val="center"/>
              <w:rPr>
                <w:b/>
                <w:bCs/>
              </w:rPr>
            </w:pPr>
            <w:r w:rsidRPr="00E3404A">
              <w:rPr>
                <w:b/>
                <w:bCs/>
              </w:rPr>
              <w:t>Prevalence</w:t>
            </w:r>
          </w:p>
        </w:tc>
        <w:tc>
          <w:tcPr>
            <w:tcW w:w="4820" w:type="dxa"/>
          </w:tcPr>
          <w:p w14:paraId="72E01FA0" w14:textId="10209D94" w:rsidR="009E23F6" w:rsidRPr="00E3404A" w:rsidRDefault="009E23F6" w:rsidP="00277715">
            <w:pPr>
              <w:rPr>
                <w:b/>
                <w:bCs/>
              </w:rPr>
            </w:pPr>
            <w:r w:rsidRPr="00E3404A">
              <w:rPr>
                <w:b/>
                <w:bCs/>
              </w:rPr>
              <w:t>Key Constraint</w:t>
            </w:r>
          </w:p>
        </w:tc>
      </w:tr>
      <w:tr w:rsidR="009E23F6" w14:paraId="6123EDF5" w14:textId="77777777" w:rsidTr="009E23F6">
        <w:trPr>
          <w:jc w:val="center"/>
        </w:trPr>
        <w:tc>
          <w:tcPr>
            <w:tcW w:w="2407" w:type="dxa"/>
            <w:vAlign w:val="top"/>
          </w:tcPr>
          <w:p w14:paraId="44AC87E2" w14:textId="0A8E0B9D" w:rsidR="009E23F6" w:rsidRDefault="009E23F6" w:rsidP="009E23F6">
            <w:r w:rsidRPr="00791BA9">
              <w:t>Technology Availability</w:t>
            </w:r>
          </w:p>
        </w:tc>
        <w:tc>
          <w:tcPr>
            <w:tcW w:w="1704" w:type="dxa"/>
            <w:vAlign w:val="top"/>
          </w:tcPr>
          <w:p w14:paraId="29E5CD22" w14:textId="06603325" w:rsidR="009E23F6" w:rsidRDefault="009E23F6" w:rsidP="00B25536">
            <w:pPr>
              <w:jc w:val="center"/>
            </w:pPr>
            <w:r w:rsidRPr="00791BA9">
              <w:t>73%</w:t>
            </w:r>
          </w:p>
        </w:tc>
        <w:tc>
          <w:tcPr>
            <w:tcW w:w="4820" w:type="dxa"/>
            <w:vAlign w:val="top"/>
          </w:tcPr>
          <w:p w14:paraId="6FFB57A2" w14:textId="6A4777C9" w:rsidR="009E23F6" w:rsidRDefault="009E23F6" w:rsidP="009E23F6">
            <w:r w:rsidRPr="00770674">
              <w:t xml:space="preserve">Ageing equipment, rental premises, </w:t>
            </w:r>
            <w:r>
              <w:t xml:space="preserve">and </w:t>
            </w:r>
            <w:r w:rsidRPr="00770674">
              <w:t>absence of on-site DER. Limits response capability regardless of operational willingness.</w:t>
            </w:r>
          </w:p>
        </w:tc>
      </w:tr>
      <w:tr w:rsidR="009E23F6" w14:paraId="7E938240" w14:textId="77777777" w:rsidTr="009E23F6">
        <w:trPr>
          <w:jc w:val="center"/>
        </w:trPr>
        <w:tc>
          <w:tcPr>
            <w:tcW w:w="2407" w:type="dxa"/>
            <w:vAlign w:val="top"/>
          </w:tcPr>
          <w:p w14:paraId="03F40C13" w14:textId="3396D341" w:rsidR="009E23F6" w:rsidRDefault="009E23F6" w:rsidP="009E23F6">
            <w:r w:rsidRPr="00791BA9">
              <w:t>Data Deficiency</w:t>
            </w:r>
          </w:p>
        </w:tc>
        <w:tc>
          <w:tcPr>
            <w:tcW w:w="1704" w:type="dxa"/>
            <w:vAlign w:val="top"/>
          </w:tcPr>
          <w:p w14:paraId="447FF005" w14:textId="3C334306" w:rsidR="009E23F6" w:rsidRDefault="009E23F6" w:rsidP="00B25536">
            <w:pPr>
              <w:jc w:val="center"/>
            </w:pPr>
            <w:r w:rsidRPr="00791BA9">
              <w:t>73%</w:t>
            </w:r>
          </w:p>
        </w:tc>
        <w:tc>
          <w:tcPr>
            <w:tcW w:w="4820" w:type="dxa"/>
            <w:vAlign w:val="top"/>
          </w:tcPr>
          <w:p w14:paraId="7B27D5B7" w14:textId="23610FB6" w:rsidR="009E23F6" w:rsidRDefault="009E23F6" w:rsidP="009E23F6">
            <w:r w:rsidRPr="00770674">
              <w:t xml:space="preserve">No submetering at </w:t>
            </w:r>
            <w:r>
              <w:t xml:space="preserve">the </w:t>
            </w:r>
            <w:r w:rsidRPr="00770674">
              <w:t>equipment or process level. Prevents credible DR commitment, baselining, or verification.</w:t>
            </w:r>
          </w:p>
        </w:tc>
      </w:tr>
      <w:tr w:rsidR="009E23F6" w14:paraId="698F9E02" w14:textId="77777777" w:rsidTr="009E23F6">
        <w:trPr>
          <w:jc w:val="center"/>
        </w:trPr>
        <w:tc>
          <w:tcPr>
            <w:tcW w:w="2407" w:type="dxa"/>
            <w:vAlign w:val="top"/>
          </w:tcPr>
          <w:p w14:paraId="7BF8BC65" w14:textId="159F11ED" w:rsidR="009E23F6" w:rsidRDefault="009E23F6" w:rsidP="009E23F6">
            <w:r w:rsidRPr="00791BA9">
              <w:t>Continuous Process</w:t>
            </w:r>
          </w:p>
        </w:tc>
        <w:tc>
          <w:tcPr>
            <w:tcW w:w="1704" w:type="dxa"/>
            <w:vAlign w:val="top"/>
          </w:tcPr>
          <w:p w14:paraId="1060654E" w14:textId="127F7549" w:rsidR="009E23F6" w:rsidRDefault="009E23F6" w:rsidP="00B25536">
            <w:pPr>
              <w:jc w:val="center"/>
            </w:pPr>
            <w:r w:rsidRPr="00791BA9">
              <w:t>68%</w:t>
            </w:r>
          </w:p>
        </w:tc>
        <w:tc>
          <w:tcPr>
            <w:tcW w:w="4820" w:type="dxa"/>
            <w:vAlign w:val="top"/>
          </w:tcPr>
          <w:p w14:paraId="5D1B297E" w14:textId="399FA3B0" w:rsidR="009E23F6" w:rsidRDefault="009E23F6" w:rsidP="009E23F6">
            <w:r w:rsidRPr="00770674">
              <w:t xml:space="preserve">Uninterruptible production cycles. </w:t>
            </w:r>
            <w:r>
              <w:t xml:space="preserve">The highest weighting </w:t>
            </w:r>
            <w:r w:rsidRPr="00770674">
              <w:t>fundamentally limits accessible DR capacity.</w:t>
            </w:r>
          </w:p>
        </w:tc>
      </w:tr>
      <w:tr w:rsidR="009E23F6" w14:paraId="041C589E" w14:textId="77777777" w:rsidTr="009E23F6">
        <w:trPr>
          <w:jc w:val="center"/>
        </w:trPr>
        <w:tc>
          <w:tcPr>
            <w:tcW w:w="2407" w:type="dxa"/>
            <w:vAlign w:val="top"/>
          </w:tcPr>
          <w:p w14:paraId="45AD9BB3" w14:textId="3EC3303C" w:rsidR="009E23F6" w:rsidRDefault="009E23F6" w:rsidP="009E23F6">
            <w:r w:rsidRPr="00791BA9">
              <w:lastRenderedPageBreak/>
              <w:t>Organisational Inertia</w:t>
            </w:r>
          </w:p>
        </w:tc>
        <w:tc>
          <w:tcPr>
            <w:tcW w:w="1704" w:type="dxa"/>
            <w:vAlign w:val="top"/>
          </w:tcPr>
          <w:p w14:paraId="303B0E3A" w14:textId="611E48E8" w:rsidR="009E23F6" w:rsidRDefault="009E23F6" w:rsidP="001A48A4">
            <w:pPr>
              <w:jc w:val="center"/>
            </w:pPr>
            <w:r w:rsidRPr="00791BA9">
              <w:t>55%</w:t>
            </w:r>
          </w:p>
        </w:tc>
        <w:tc>
          <w:tcPr>
            <w:tcW w:w="4820" w:type="dxa"/>
            <w:vAlign w:val="top"/>
          </w:tcPr>
          <w:p w14:paraId="649D85A2" w14:textId="47E338BB" w:rsidR="009E23F6" w:rsidRDefault="009E23F6" w:rsidP="009E23F6">
            <w:r w:rsidRPr="00770674">
              <w:t>Entrenched shift patterns, workplace culture resistant to operational change.</w:t>
            </w:r>
          </w:p>
        </w:tc>
      </w:tr>
      <w:tr w:rsidR="009E23F6" w14:paraId="4ABC6782" w14:textId="77777777" w:rsidTr="009E23F6">
        <w:trPr>
          <w:jc w:val="center"/>
        </w:trPr>
        <w:tc>
          <w:tcPr>
            <w:tcW w:w="2407" w:type="dxa"/>
            <w:vAlign w:val="top"/>
          </w:tcPr>
          <w:p w14:paraId="4E805E58" w14:textId="61DFE7B0" w:rsidR="009E23F6" w:rsidRDefault="009E23F6" w:rsidP="009E23F6">
            <w:r w:rsidRPr="00791BA9">
              <w:t>Labour Cost</w:t>
            </w:r>
          </w:p>
        </w:tc>
        <w:tc>
          <w:tcPr>
            <w:tcW w:w="1704" w:type="dxa"/>
            <w:vAlign w:val="top"/>
          </w:tcPr>
          <w:p w14:paraId="2DB0319C" w14:textId="65C82AFE" w:rsidR="009E23F6" w:rsidRDefault="009E23F6" w:rsidP="001A48A4">
            <w:pPr>
              <w:jc w:val="center"/>
            </w:pPr>
            <w:r w:rsidRPr="00791BA9">
              <w:t>55%</w:t>
            </w:r>
          </w:p>
        </w:tc>
        <w:tc>
          <w:tcPr>
            <w:tcW w:w="4820" w:type="dxa"/>
            <w:vAlign w:val="top"/>
          </w:tcPr>
          <w:p w14:paraId="5B6BE6C4" w14:textId="730447A8" w:rsidR="009E23F6" w:rsidRDefault="009E23F6" w:rsidP="009E23F6">
            <w:r w:rsidRPr="00770674">
              <w:t>Cost of displaced labour exceeds energy savings under current incentive structures.</w:t>
            </w:r>
          </w:p>
        </w:tc>
      </w:tr>
      <w:tr w:rsidR="009E23F6" w14:paraId="4ADC08C1" w14:textId="77777777" w:rsidTr="009E23F6">
        <w:trPr>
          <w:jc w:val="center"/>
        </w:trPr>
        <w:tc>
          <w:tcPr>
            <w:tcW w:w="2407" w:type="dxa"/>
            <w:vAlign w:val="top"/>
          </w:tcPr>
          <w:p w14:paraId="38DBD08D" w14:textId="4B264D3B" w:rsidR="009E23F6" w:rsidRDefault="009E23F6" w:rsidP="009E23F6">
            <w:r w:rsidRPr="00791BA9">
              <w:t>Access and Awareness</w:t>
            </w:r>
          </w:p>
        </w:tc>
        <w:tc>
          <w:tcPr>
            <w:tcW w:w="1704" w:type="dxa"/>
            <w:vAlign w:val="top"/>
          </w:tcPr>
          <w:p w14:paraId="63DC8165" w14:textId="176DAD0C" w:rsidR="009E23F6" w:rsidRDefault="009E23F6" w:rsidP="001A48A4">
            <w:pPr>
              <w:jc w:val="center"/>
            </w:pPr>
            <w:r w:rsidRPr="00791BA9">
              <w:t>32%</w:t>
            </w:r>
          </w:p>
        </w:tc>
        <w:tc>
          <w:tcPr>
            <w:tcW w:w="4820" w:type="dxa"/>
            <w:vAlign w:val="top"/>
          </w:tcPr>
          <w:p w14:paraId="1D5CE72B" w14:textId="063DDD30" w:rsidR="009E23F6" w:rsidRDefault="009E23F6" w:rsidP="009E23F6">
            <w:r w:rsidRPr="00770674">
              <w:t>Absence of in-house electrical engineering knowledge and market access pathways.</w:t>
            </w:r>
          </w:p>
        </w:tc>
      </w:tr>
    </w:tbl>
    <w:p w14:paraId="09EE5633" w14:textId="77777777" w:rsidR="009E23F6" w:rsidRDefault="009E23F6" w:rsidP="00277715"/>
    <w:p w14:paraId="1AEBFD14" w14:textId="2A226BCC" w:rsidR="009E23F6" w:rsidRDefault="009E23F6" w:rsidP="009E23F6">
      <w:r>
        <w:t xml:space="preserve">Technology Availability and Data Deficiency were the two most prevalent </w:t>
      </w:r>
      <w:r w:rsidR="002C4786">
        <w:t>barriers;</w:t>
      </w:r>
      <w:r>
        <w:t xml:space="preserve"> each identified in 73% of participating companies. Their co-occurrence across the cohort reflects a structural relationship: a facility without adequate metering infrastructure typically lacks the equipment-level load data required to identify flexible loads, commit to a curtailment quantum, or verify its DR </w:t>
      </w:r>
      <w:r w:rsidR="001A48A4">
        <w:t>program</w:t>
      </w:r>
      <w:r>
        <w:t xml:space="preserve"> after an event. Together, these two barriers represent the most pervasive and practically significant constraints on industrial DR readiness in the cohort.</w:t>
      </w:r>
    </w:p>
    <w:p w14:paraId="64ED6F65" w14:textId="33C11A53" w:rsidR="009E23F6" w:rsidRDefault="009E23F6" w:rsidP="009E23F6">
      <w:r>
        <w:t xml:space="preserve">The Continuous Process barrier was present in 68% of companies and carries the highest negative weighting in the framework. Its prevalence means that for the majority of participating companies, a significant fraction of </w:t>
      </w:r>
      <w:r w:rsidR="002C4786">
        <w:t xml:space="preserve">the total facility load is structurally inaccessible for curtailment, regardless of expressed interest or technical capability, because the process cannot be interrupted within the </w:t>
      </w:r>
      <w:r w:rsidR="00E3404A">
        <w:t>1</w:t>
      </w:r>
      <w:r w:rsidR="002C4786">
        <w:t>-hour notice threshold without incurring product loss, equipment damage, or health and safety risks</w:t>
      </w:r>
      <w:r>
        <w:t xml:space="preserve">. It is important to note, however, that the presence of a continuous process does not preclude DR participation entirely; facilities operating continuous processes may still have separable, non-production loads available for curtailment, as discussed in Section </w:t>
      </w:r>
      <w:r w:rsidR="005A2AA7">
        <w:fldChar w:fldCharType="begin"/>
      </w:r>
      <w:r w:rsidR="005A2AA7">
        <w:instrText xml:space="preserve"> REF _Ref230768478 \r \h </w:instrText>
      </w:r>
      <w:r w:rsidR="005A2AA7">
        <w:fldChar w:fldCharType="separate"/>
      </w:r>
      <w:r w:rsidR="00036C9A">
        <w:t>5.5</w:t>
      </w:r>
      <w:r w:rsidR="005A2AA7">
        <w:fldChar w:fldCharType="end"/>
      </w:r>
      <w:r>
        <w:t>.</w:t>
      </w:r>
    </w:p>
    <w:p w14:paraId="07C18D1F" w14:textId="5D239BA2" w:rsidR="009E23F6" w:rsidRDefault="008D55B6" w:rsidP="00277715">
      <w:r>
        <w:t xml:space="preserve">The barriers classification results presented in </w:t>
      </w:r>
      <w:r>
        <w:fldChar w:fldCharType="begin"/>
      </w:r>
      <w:r>
        <w:instrText xml:space="preserve"> REF _Ref230931534 \h </w:instrText>
      </w:r>
      <w:r>
        <w:fldChar w:fldCharType="separate"/>
      </w:r>
      <w:r w:rsidR="00036C9A">
        <w:t xml:space="preserve">Table </w:t>
      </w:r>
      <w:r w:rsidR="00036C9A">
        <w:rPr>
          <w:noProof/>
        </w:rPr>
        <w:t>7</w:t>
      </w:r>
      <w:r>
        <w:fldChar w:fldCharType="end"/>
      </w:r>
      <w:r>
        <w:t xml:space="preserve"> are illustrated graphically in </w:t>
      </w:r>
      <w:r>
        <w:fldChar w:fldCharType="begin"/>
      </w:r>
      <w:r>
        <w:instrText xml:space="preserve"> REF _Ref230931551 \h </w:instrText>
      </w:r>
      <w:r>
        <w:fldChar w:fldCharType="separate"/>
      </w:r>
      <w:r w:rsidR="00036C9A">
        <w:t xml:space="preserve">Figure </w:t>
      </w:r>
      <w:r w:rsidR="00036C9A">
        <w:rPr>
          <w:noProof/>
        </w:rPr>
        <w:t>8</w:t>
      </w:r>
      <w:r>
        <w:fldChar w:fldCharType="end"/>
      </w:r>
      <w:r>
        <w:t xml:space="preserve">, which provides an aggregated view of barrier </w:t>
      </w:r>
      <w:r w:rsidRPr="008D55B6">
        <w:t xml:space="preserve">prevalence across the full participant group, split between the primary and supplementary cohorts. This comparison allows the relative barrier profiles of the two cohorts to be assessed </w:t>
      </w:r>
      <w:r w:rsidR="005A2AA7">
        <w:t>side by side, highlighting both the commonalities that reflect sector-wide structural constraints and the differences arising</w:t>
      </w:r>
      <w:r w:rsidRPr="008D55B6">
        <w:t xml:space="preserve"> from the distinct recruitment channels and operational contexts of each group.</w:t>
      </w:r>
      <w:r>
        <w:t xml:space="preserve"> </w:t>
      </w:r>
      <w:r>
        <w:fldChar w:fldCharType="begin"/>
      </w:r>
      <w:r>
        <w:instrText xml:space="preserve"> REF _Ref230931709 \h </w:instrText>
      </w:r>
      <w:r>
        <w:fldChar w:fldCharType="separate"/>
      </w:r>
      <w:r w:rsidR="00036C9A">
        <w:t xml:space="preserve">Figure </w:t>
      </w:r>
      <w:r w:rsidR="00036C9A">
        <w:rPr>
          <w:noProof/>
        </w:rPr>
        <w:t>9</w:t>
      </w:r>
      <w:r>
        <w:fldChar w:fldCharType="end"/>
      </w:r>
      <w:r>
        <w:t xml:space="preserve"> and </w:t>
      </w:r>
      <w:r>
        <w:fldChar w:fldCharType="begin"/>
      </w:r>
      <w:r>
        <w:instrText xml:space="preserve"> REF _Ref230931719 \h </w:instrText>
      </w:r>
      <w:r>
        <w:fldChar w:fldCharType="separate"/>
      </w:r>
      <w:r w:rsidR="00036C9A">
        <w:t xml:space="preserve">Figure </w:t>
      </w:r>
      <w:r w:rsidR="00036C9A">
        <w:rPr>
          <w:noProof/>
        </w:rPr>
        <w:t>10</w:t>
      </w:r>
      <w:r>
        <w:fldChar w:fldCharType="end"/>
      </w:r>
      <w:r>
        <w:t xml:space="preserve">, </w:t>
      </w:r>
      <w:r w:rsidRPr="008D55B6">
        <w:t>disaggregate the results further, presenting the barrier classification for each individual company within the primary and supplementary cohorts</w:t>
      </w:r>
      <w:r>
        <w:t>,</w:t>
      </w:r>
      <w:r w:rsidRPr="008D55B6">
        <w:t xml:space="preserve"> respectively. These figures reveal the degree of variation within each cohort</w:t>
      </w:r>
      <w:r>
        <w:t>,</w:t>
      </w:r>
      <w:r w:rsidRPr="008D55B6">
        <w:t xml:space="preserve"> </w:t>
      </w:r>
      <w:r>
        <w:t>pointing to a</w:t>
      </w:r>
      <w:r w:rsidRPr="008D55B6">
        <w:t xml:space="preserve"> central finding</w:t>
      </w:r>
      <w:r w:rsidR="002C4786">
        <w:t>: barrier profiles are site-specific. No</w:t>
      </w:r>
      <w:r w:rsidRPr="008D55B6">
        <w:t xml:space="preserve"> two companies share an identical combination of constraints, and the presence or absence of a single high-weighted barrier can substantially alter a company's composite score and DR participation profile.</w:t>
      </w:r>
    </w:p>
    <w:p w14:paraId="7473B372" w14:textId="77777777" w:rsidR="00227ED7" w:rsidRDefault="00C570FB" w:rsidP="00D469D5">
      <w:pPr>
        <w:keepNext/>
        <w:jc w:val="center"/>
      </w:pPr>
      <w:r>
        <w:rPr>
          <w:noProof/>
        </w:rPr>
        <w:lastRenderedPageBreak/>
        <w:drawing>
          <wp:inline distT="0" distB="0" distL="0" distR="0" wp14:anchorId="52BEA04C" wp14:editId="315CCB07">
            <wp:extent cx="5343525" cy="3238500"/>
            <wp:effectExtent l="0" t="0" r="9525" b="0"/>
            <wp:docPr id="1969351200" name="Chart 1">
              <a:extLst xmlns:a="http://schemas.openxmlformats.org/drawingml/2006/main">
                <a:ext uri="{FF2B5EF4-FFF2-40B4-BE49-F238E27FC236}">
                  <a16:creationId xmlns:a16="http://schemas.microsoft.com/office/drawing/2014/main" id="{C7DDF920-8B71-4DE6-A267-FEA68E8E0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797D2D5" w14:textId="2F5D452D" w:rsidR="00286BBC" w:rsidRDefault="00227ED7" w:rsidP="00227ED7">
      <w:pPr>
        <w:pStyle w:val="Caption"/>
      </w:pPr>
      <w:bookmarkStart w:id="84" w:name="_Ref230931551"/>
      <w:bookmarkStart w:id="85" w:name="_Toc233788345"/>
      <w:r>
        <w:t xml:space="preserve">Figure </w:t>
      </w:r>
      <w:fldSimple w:instr=" SEQ Figure \* ARABIC ">
        <w:r w:rsidR="00036C9A">
          <w:rPr>
            <w:noProof/>
          </w:rPr>
          <w:t>8</w:t>
        </w:r>
      </w:fldSimple>
      <w:bookmarkEnd w:id="84"/>
      <w:r>
        <w:t xml:space="preserve">: Barriers of </w:t>
      </w:r>
      <w:r w:rsidR="00D469D5">
        <w:t>each</w:t>
      </w:r>
      <w:r>
        <w:t xml:space="preserve"> Participant Group Cohort</w:t>
      </w:r>
      <w:bookmarkEnd w:id="85"/>
    </w:p>
    <w:p w14:paraId="6128A776" w14:textId="77777777" w:rsidR="00C04B41" w:rsidRDefault="00C04B41" w:rsidP="00C04B41">
      <w:pPr>
        <w:keepNext/>
        <w:jc w:val="center"/>
      </w:pPr>
      <w:r>
        <w:rPr>
          <w:noProof/>
        </w:rPr>
        <w:drawing>
          <wp:inline distT="0" distB="0" distL="0" distR="0" wp14:anchorId="658B170F" wp14:editId="4FE58AB5">
            <wp:extent cx="5362575" cy="3257550"/>
            <wp:effectExtent l="0" t="0" r="9525" b="0"/>
            <wp:docPr id="2032880752" name="Chart 1">
              <a:extLst xmlns:a="http://schemas.openxmlformats.org/drawingml/2006/main">
                <a:ext uri="{FF2B5EF4-FFF2-40B4-BE49-F238E27FC236}">
                  <a16:creationId xmlns:a16="http://schemas.microsoft.com/office/drawing/2014/main" id="{9515F809-36F6-1960-FDF4-F99D2B9DA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FAD4709" w14:textId="41374222" w:rsidR="00C04B41" w:rsidRDefault="00C04B41" w:rsidP="00C04B41">
      <w:pPr>
        <w:pStyle w:val="Caption"/>
      </w:pPr>
      <w:bookmarkStart w:id="86" w:name="_Ref230931709"/>
      <w:bookmarkStart w:id="87" w:name="_Toc233788346"/>
      <w:r>
        <w:t xml:space="preserve">Figure </w:t>
      </w:r>
      <w:fldSimple w:instr=" SEQ Figure \* ARABIC ">
        <w:r w:rsidR="00036C9A">
          <w:rPr>
            <w:noProof/>
          </w:rPr>
          <w:t>9</w:t>
        </w:r>
      </w:fldSimple>
      <w:bookmarkEnd w:id="86"/>
      <w:r>
        <w:t>: Barriers for Individual Primary Cohort</w:t>
      </w:r>
      <w:bookmarkEnd w:id="87"/>
    </w:p>
    <w:p w14:paraId="16BDC9EE" w14:textId="77777777" w:rsidR="00C04B41" w:rsidRDefault="00C04B41" w:rsidP="00C04B41">
      <w:pPr>
        <w:keepNext/>
        <w:jc w:val="center"/>
      </w:pPr>
      <w:r>
        <w:rPr>
          <w:noProof/>
        </w:rPr>
        <w:lastRenderedPageBreak/>
        <w:drawing>
          <wp:inline distT="0" distB="0" distL="0" distR="0" wp14:anchorId="185A49FA" wp14:editId="34072051">
            <wp:extent cx="5372100" cy="3343275"/>
            <wp:effectExtent l="0" t="0" r="0" b="9525"/>
            <wp:docPr id="339858775" name="Chart 1">
              <a:extLst xmlns:a="http://schemas.openxmlformats.org/drawingml/2006/main">
                <a:ext uri="{FF2B5EF4-FFF2-40B4-BE49-F238E27FC236}">
                  <a16:creationId xmlns:a16="http://schemas.microsoft.com/office/drawing/2014/main" id="{4C39F6D4-0027-4B6F-8938-F9C25B13C2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11FD14C" w14:textId="38C2B5BD" w:rsidR="00C04B41" w:rsidRPr="00C04B41" w:rsidRDefault="00C04B41" w:rsidP="00672A68">
      <w:pPr>
        <w:pStyle w:val="Caption"/>
      </w:pPr>
      <w:bookmarkStart w:id="88" w:name="_Ref230931719"/>
      <w:bookmarkStart w:id="89" w:name="_Toc233788347"/>
      <w:r>
        <w:t xml:space="preserve">Figure </w:t>
      </w:r>
      <w:fldSimple w:instr=" SEQ Figure \* ARABIC ">
        <w:r w:rsidR="00036C9A">
          <w:rPr>
            <w:noProof/>
          </w:rPr>
          <w:t>10</w:t>
        </w:r>
      </w:fldSimple>
      <w:bookmarkEnd w:id="88"/>
      <w:r>
        <w:t>: Barriers for Individual Supplementary Cohort</w:t>
      </w:r>
      <w:bookmarkEnd w:id="89"/>
    </w:p>
    <w:p w14:paraId="48B7A488" w14:textId="77777777" w:rsidR="00C04B41" w:rsidRPr="00F827B5" w:rsidRDefault="00C04B41" w:rsidP="00C04B41">
      <w:pPr>
        <w:pStyle w:val="Heading2"/>
      </w:pPr>
      <w:bookmarkStart w:id="90" w:name="_Toc233788309"/>
      <w:r w:rsidRPr="00F827B5">
        <w:t>Capability Factors</w:t>
      </w:r>
      <w:bookmarkEnd w:id="90"/>
    </w:p>
    <w:p w14:paraId="65A54ED7" w14:textId="726F94AD" w:rsidR="005A2AA7" w:rsidRDefault="002C4786" w:rsidP="00C04B41">
      <w:pPr>
        <w:spacing w:after="0" w:line="240" w:lineRule="auto"/>
      </w:pPr>
      <w:r>
        <w:t>Capability factors are the attributes, resources, and operational characteristics that enable a company</w:t>
      </w:r>
      <w:r w:rsidR="005A2AA7" w:rsidRPr="005A2AA7">
        <w:t xml:space="preserve"> to participate in DR programs. Five </w:t>
      </w:r>
      <w:r w:rsidR="00E3404A">
        <w:t xml:space="preserve">(5) </w:t>
      </w:r>
      <w:r w:rsidR="005A2AA7" w:rsidRPr="005A2AA7">
        <w:t>capability categories were assessed for each participant. As with the barriers, each factor was scored as binary</w:t>
      </w:r>
      <w:r w:rsidR="001A48A4" w:rsidRPr="001A48A4">
        <w:t xml:space="preserve"> (1 = present, 0 = absent)</w:t>
      </w:r>
      <w:r w:rsidR="001A48A4">
        <w:t xml:space="preserve">, </w:t>
      </w:r>
      <w:r w:rsidR="005A2AA7" w:rsidRPr="005A2AA7">
        <w:t>with a positive weighting applied where the capability was identified. Table 10 summarises the prevalence and weighting of each capability factor across the full cohort</w:t>
      </w:r>
      <w:r w:rsidR="00C04B41">
        <w:t>.</w:t>
      </w:r>
    </w:p>
    <w:p w14:paraId="114CC8FB" w14:textId="61D051B5" w:rsidR="005A2AA7" w:rsidRDefault="005A2AA7" w:rsidP="005A2AA7">
      <w:pPr>
        <w:pStyle w:val="Caption"/>
        <w:keepNext/>
      </w:pPr>
      <w:bookmarkStart w:id="91" w:name="_Ref230933118"/>
      <w:bookmarkStart w:id="92" w:name="_Toc233788361"/>
      <w:r>
        <w:t xml:space="preserve">Table </w:t>
      </w:r>
      <w:fldSimple w:instr=" SEQ Table \* ARABIC ">
        <w:r w:rsidR="00036C9A">
          <w:rPr>
            <w:noProof/>
          </w:rPr>
          <w:t>8</w:t>
        </w:r>
      </w:fldSimple>
      <w:bookmarkEnd w:id="91"/>
      <w:r>
        <w:t xml:space="preserve">: </w:t>
      </w:r>
      <w:r w:rsidRPr="005A2AA7">
        <w:t>Capability factor prevalence and weighting across the 22-company cohor</w:t>
      </w:r>
      <w:r>
        <w:t>t</w:t>
      </w:r>
      <w:bookmarkEnd w:id="92"/>
    </w:p>
    <w:tbl>
      <w:tblPr>
        <w:tblStyle w:val="AdvitechTable"/>
        <w:tblW w:w="0" w:type="auto"/>
        <w:jc w:val="center"/>
        <w:tblLook w:val="0420" w:firstRow="1" w:lastRow="0" w:firstColumn="0" w:lastColumn="0" w:noHBand="0" w:noVBand="1"/>
      </w:tblPr>
      <w:tblGrid>
        <w:gridCol w:w="2407"/>
        <w:gridCol w:w="1704"/>
        <w:gridCol w:w="4820"/>
      </w:tblGrid>
      <w:tr w:rsidR="005A2AA7" w14:paraId="0730F8D3" w14:textId="77777777" w:rsidTr="00881270">
        <w:trPr>
          <w:cnfStyle w:val="100000000000" w:firstRow="1" w:lastRow="0" w:firstColumn="0" w:lastColumn="0" w:oddVBand="0" w:evenVBand="0" w:oddHBand="0" w:evenHBand="0" w:firstRowFirstColumn="0" w:firstRowLastColumn="0" w:lastRowFirstColumn="0" w:lastRowLastColumn="0"/>
          <w:jc w:val="center"/>
        </w:trPr>
        <w:tc>
          <w:tcPr>
            <w:tcW w:w="2407" w:type="dxa"/>
          </w:tcPr>
          <w:p w14:paraId="1086E6E5" w14:textId="398467AD" w:rsidR="005A2AA7" w:rsidRPr="00E3404A" w:rsidRDefault="005A2AA7" w:rsidP="00881270">
            <w:pPr>
              <w:rPr>
                <w:b/>
                <w:bCs/>
              </w:rPr>
            </w:pPr>
            <w:r w:rsidRPr="00E3404A">
              <w:rPr>
                <w:b/>
                <w:bCs/>
              </w:rPr>
              <w:t>Capability Factor</w:t>
            </w:r>
          </w:p>
        </w:tc>
        <w:tc>
          <w:tcPr>
            <w:tcW w:w="1704" w:type="dxa"/>
          </w:tcPr>
          <w:p w14:paraId="225489FA" w14:textId="77777777" w:rsidR="005A2AA7" w:rsidRPr="00E3404A" w:rsidRDefault="005A2AA7" w:rsidP="002C4786">
            <w:pPr>
              <w:jc w:val="center"/>
              <w:rPr>
                <w:b/>
                <w:bCs/>
              </w:rPr>
            </w:pPr>
            <w:r w:rsidRPr="00E3404A">
              <w:rPr>
                <w:b/>
                <w:bCs/>
              </w:rPr>
              <w:t>Prevalence</w:t>
            </w:r>
          </w:p>
        </w:tc>
        <w:tc>
          <w:tcPr>
            <w:tcW w:w="4820" w:type="dxa"/>
          </w:tcPr>
          <w:p w14:paraId="203E0ACC" w14:textId="02A56AFD" w:rsidR="005A2AA7" w:rsidRPr="00E3404A" w:rsidRDefault="005A2AA7" w:rsidP="00881270">
            <w:pPr>
              <w:rPr>
                <w:b/>
                <w:bCs/>
              </w:rPr>
            </w:pPr>
            <w:r w:rsidRPr="00E3404A">
              <w:rPr>
                <w:b/>
                <w:bCs/>
              </w:rPr>
              <w:t>Key Observations</w:t>
            </w:r>
          </w:p>
        </w:tc>
      </w:tr>
      <w:tr w:rsidR="005A2AA7" w14:paraId="6EB318E5" w14:textId="77777777" w:rsidTr="00881270">
        <w:trPr>
          <w:jc w:val="center"/>
        </w:trPr>
        <w:tc>
          <w:tcPr>
            <w:tcW w:w="2407" w:type="dxa"/>
            <w:vAlign w:val="top"/>
          </w:tcPr>
          <w:p w14:paraId="7CC6596A" w14:textId="30D62175" w:rsidR="005A2AA7" w:rsidRDefault="005A2AA7" w:rsidP="005A2AA7">
            <w:pPr>
              <w:pStyle w:val="TableBody"/>
            </w:pPr>
            <w:r w:rsidRPr="00AF7BB1">
              <w:t>Energy Use Data</w:t>
            </w:r>
          </w:p>
        </w:tc>
        <w:tc>
          <w:tcPr>
            <w:tcW w:w="1704" w:type="dxa"/>
            <w:vAlign w:val="top"/>
          </w:tcPr>
          <w:p w14:paraId="60614280" w14:textId="21CE468B" w:rsidR="005A2AA7" w:rsidRDefault="005A2AA7" w:rsidP="002C4786">
            <w:pPr>
              <w:pStyle w:val="TableBody"/>
              <w:jc w:val="center"/>
            </w:pPr>
            <w:r w:rsidRPr="00AF7BB1">
              <w:t>95%</w:t>
            </w:r>
          </w:p>
        </w:tc>
        <w:tc>
          <w:tcPr>
            <w:tcW w:w="4820" w:type="dxa"/>
            <w:vAlign w:val="top"/>
          </w:tcPr>
          <w:p w14:paraId="0E41003F" w14:textId="29D6258C" w:rsidR="005A2AA7" w:rsidRDefault="005A2AA7" w:rsidP="005A2AA7">
            <w:pPr>
              <w:pStyle w:val="TableBody"/>
            </w:pPr>
            <w:r w:rsidRPr="004F4F90">
              <w:t xml:space="preserve">Broad awareness of overall consumption — present in nearly all </w:t>
            </w:r>
            <w:r w:rsidR="00E3404A" w:rsidRPr="004F4F90">
              <w:t>companies</w:t>
            </w:r>
            <w:r w:rsidR="00E3404A">
              <w:t xml:space="preserve"> but</w:t>
            </w:r>
            <w:r w:rsidRPr="004F4F90">
              <w:t xml:space="preserve"> rarely extends to equipment-level detail.</w:t>
            </w:r>
          </w:p>
        </w:tc>
      </w:tr>
      <w:tr w:rsidR="005A2AA7" w14:paraId="7E7C1C0E" w14:textId="77777777" w:rsidTr="00881270">
        <w:trPr>
          <w:jc w:val="center"/>
        </w:trPr>
        <w:tc>
          <w:tcPr>
            <w:tcW w:w="2407" w:type="dxa"/>
            <w:vAlign w:val="top"/>
          </w:tcPr>
          <w:p w14:paraId="67CF093E" w14:textId="01750F74" w:rsidR="005A2AA7" w:rsidRDefault="005A2AA7" w:rsidP="005A2AA7">
            <w:pPr>
              <w:pStyle w:val="TableBody"/>
            </w:pPr>
            <w:r w:rsidRPr="00AF7BB1">
              <w:t>On-Site Generation</w:t>
            </w:r>
          </w:p>
        </w:tc>
        <w:tc>
          <w:tcPr>
            <w:tcW w:w="1704" w:type="dxa"/>
            <w:vAlign w:val="top"/>
          </w:tcPr>
          <w:p w14:paraId="0CA279B3" w14:textId="02DE772A" w:rsidR="005A2AA7" w:rsidRDefault="005A2AA7" w:rsidP="002C4786">
            <w:pPr>
              <w:pStyle w:val="TableBody"/>
              <w:jc w:val="center"/>
            </w:pPr>
            <w:r w:rsidRPr="00AF7BB1">
              <w:t>64%</w:t>
            </w:r>
          </w:p>
        </w:tc>
        <w:tc>
          <w:tcPr>
            <w:tcW w:w="4820" w:type="dxa"/>
            <w:vAlign w:val="top"/>
          </w:tcPr>
          <w:p w14:paraId="50238A43" w14:textId="3EB564DF" w:rsidR="005A2AA7" w:rsidRDefault="005A2AA7" w:rsidP="005A2AA7">
            <w:pPr>
              <w:pStyle w:val="TableBody"/>
            </w:pPr>
            <w:r w:rsidRPr="004F4F90">
              <w:t xml:space="preserve">PV, genset, or BESS present at </w:t>
            </w:r>
            <w:r>
              <w:t xml:space="preserve">the </w:t>
            </w:r>
            <w:r w:rsidRPr="004F4F90">
              <w:t>site. Improves DR viability and reduces grid exposure during curtailment.</w:t>
            </w:r>
          </w:p>
        </w:tc>
      </w:tr>
      <w:tr w:rsidR="005A2AA7" w14:paraId="62D737A7" w14:textId="77777777" w:rsidTr="00881270">
        <w:trPr>
          <w:jc w:val="center"/>
        </w:trPr>
        <w:tc>
          <w:tcPr>
            <w:tcW w:w="2407" w:type="dxa"/>
            <w:vAlign w:val="top"/>
          </w:tcPr>
          <w:p w14:paraId="7A4D3E9E" w14:textId="2B8E2535" w:rsidR="005A2AA7" w:rsidRDefault="005A2AA7" w:rsidP="005A2AA7">
            <w:pPr>
              <w:pStyle w:val="TableBody"/>
            </w:pPr>
            <w:r w:rsidRPr="00AF7BB1">
              <w:t>Dynamic Operation</w:t>
            </w:r>
          </w:p>
        </w:tc>
        <w:tc>
          <w:tcPr>
            <w:tcW w:w="1704" w:type="dxa"/>
            <w:vAlign w:val="top"/>
          </w:tcPr>
          <w:p w14:paraId="00682538" w14:textId="073621E8" w:rsidR="005A2AA7" w:rsidRDefault="005A2AA7" w:rsidP="002C4786">
            <w:pPr>
              <w:pStyle w:val="TableBody"/>
              <w:jc w:val="center"/>
            </w:pPr>
            <w:r w:rsidRPr="00AF7BB1">
              <w:t>55%</w:t>
            </w:r>
          </w:p>
        </w:tc>
        <w:tc>
          <w:tcPr>
            <w:tcW w:w="4820" w:type="dxa"/>
            <w:vAlign w:val="top"/>
          </w:tcPr>
          <w:p w14:paraId="36688586" w14:textId="4CDF6E65" w:rsidR="005A2AA7" w:rsidRDefault="005A2AA7" w:rsidP="005A2AA7">
            <w:pPr>
              <w:pStyle w:val="TableBody"/>
            </w:pPr>
            <w:r>
              <w:t xml:space="preserve">The company has identified equipment with flexible operability or confirmed the </w:t>
            </w:r>
            <w:r w:rsidRPr="004F4F90">
              <w:t>potential to ramp up/down or turn on/off.</w:t>
            </w:r>
          </w:p>
        </w:tc>
      </w:tr>
      <w:tr w:rsidR="005A2AA7" w14:paraId="59017E77" w14:textId="77777777" w:rsidTr="00881270">
        <w:trPr>
          <w:jc w:val="center"/>
        </w:trPr>
        <w:tc>
          <w:tcPr>
            <w:tcW w:w="2407" w:type="dxa"/>
            <w:vAlign w:val="top"/>
          </w:tcPr>
          <w:p w14:paraId="757EDEF3" w14:textId="42BF7C96" w:rsidR="005A2AA7" w:rsidRDefault="005A2AA7" w:rsidP="005A2AA7">
            <w:pPr>
              <w:pStyle w:val="TableBody"/>
            </w:pPr>
            <w:r w:rsidRPr="00AF7BB1">
              <w:t>Participation Availability</w:t>
            </w:r>
          </w:p>
        </w:tc>
        <w:tc>
          <w:tcPr>
            <w:tcW w:w="1704" w:type="dxa"/>
            <w:vAlign w:val="top"/>
          </w:tcPr>
          <w:p w14:paraId="1F3C15F4" w14:textId="471B6AA2" w:rsidR="005A2AA7" w:rsidRDefault="005A2AA7" w:rsidP="002C4786">
            <w:pPr>
              <w:pStyle w:val="TableBody"/>
              <w:jc w:val="center"/>
            </w:pPr>
            <w:r w:rsidRPr="00AF7BB1">
              <w:t>50%</w:t>
            </w:r>
          </w:p>
        </w:tc>
        <w:tc>
          <w:tcPr>
            <w:tcW w:w="4820" w:type="dxa"/>
            <w:vAlign w:val="top"/>
          </w:tcPr>
          <w:p w14:paraId="5F22E6EA" w14:textId="53D8B455" w:rsidR="005A2AA7" w:rsidRDefault="005A2AA7" w:rsidP="005A2AA7">
            <w:pPr>
              <w:pStyle w:val="TableBody"/>
            </w:pPr>
            <w:r w:rsidRPr="004F4F90">
              <w:t>Expressed interest in DR program participation, subject to sufficient incentive or compensation.</w:t>
            </w:r>
          </w:p>
        </w:tc>
      </w:tr>
      <w:tr w:rsidR="005A2AA7" w14:paraId="32E65F89" w14:textId="77777777" w:rsidTr="00881270">
        <w:trPr>
          <w:jc w:val="center"/>
        </w:trPr>
        <w:tc>
          <w:tcPr>
            <w:tcW w:w="2407" w:type="dxa"/>
            <w:vAlign w:val="top"/>
          </w:tcPr>
          <w:p w14:paraId="295D84CE" w14:textId="01D6ACCF" w:rsidR="005A2AA7" w:rsidRDefault="005A2AA7" w:rsidP="005A2AA7">
            <w:pPr>
              <w:pStyle w:val="TableBody"/>
            </w:pPr>
            <w:r w:rsidRPr="00AF7BB1">
              <w:t>Existing DR Participation</w:t>
            </w:r>
          </w:p>
        </w:tc>
        <w:tc>
          <w:tcPr>
            <w:tcW w:w="1704" w:type="dxa"/>
            <w:vAlign w:val="top"/>
          </w:tcPr>
          <w:p w14:paraId="03BCAA0E" w14:textId="2F9A136F" w:rsidR="005A2AA7" w:rsidRDefault="005A2AA7" w:rsidP="002C4786">
            <w:pPr>
              <w:pStyle w:val="TableBody"/>
              <w:jc w:val="center"/>
            </w:pPr>
            <w:r>
              <w:t>9</w:t>
            </w:r>
            <w:r w:rsidRPr="00AF7BB1">
              <w:t>%</w:t>
            </w:r>
          </w:p>
        </w:tc>
        <w:tc>
          <w:tcPr>
            <w:tcW w:w="4820" w:type="dxa"/>
            <w:vAlign w:val="top"/>
          </w:tcPr>
          <w:p w14:paraId="77D49F0B" w14:textId="0B95A38C" w:rsidR="005A2AA7" w:rsidRDefault="00783BA3" w:rsidP="005A2AA7">
            <w:pPr>
              <w:pStyle w:val="TableBody"/>
            </w:pPr>
            <w:r>
              <w:t>2</w:t>
            </w:r>
            <w:r w:rsidR="005A2AA7" w:rsidRPr="004F4F90">
              <w:t xml:space="preserve"> compan</w:t>
            </w:r>
            <w:r>
              <w:t>ies</w:t>
            </w:r>
            <w:r w:rsidR="005A2AA7" w:rsidRPr="004F4F90">
              <w:t xml:space="preserve"> in the cohort had prior or current enrolment in a formal DR program.</w:t>
            </w:r>
          </w:p>
        </w:tc>
      </w:tr>
    </w:tbl>
    <w:p w14:paraId="6A660051" w14:textId="77777777" w:rsidR="00C04B41" w:rsidRDefault="00C04B41" w:rsidP="00C04B41"/>
    <w:p w14:paraId="5AD7F6F7" w14:textId="6F54C2E1" w:rsidR="005A2AA7" w:rsidRDefault="005A2AA7" w:rsidP="005A2AA7">
      <w:r>
        <w:t xml:space="preserve">Energy Use Data was the most prevalent capability factor, present in 95% of companies. However, this high prevalence should be interpreted with care. As discussed in Section </w:t>
      </w:r>
      <w:r>
        <w:fldChar w:fldCharType="begin"/>
      </w:r>
      <w:r>
        <w:instrText xml:space="preserve"> REF _Ref230856447 \r \h </w:instrText>
      </w:r>
      <w:r>
        <w:fldChar w:fldCharType="separate"/>
      </w:r>
      <w:r w:rsidR="00036C9A">
        <w:t>4.1.6</w:t>
      </w:r>
      <w:r>
        <w:fldChar w:fldCharType="end"/>
      </w:r>
      <w:r>
        <w:t xml:space="preserve">, the Energy Use Data capability reflects an awareness of overall site energy consumption, such as monthly billing totals, </w:t>
      </w:r>
      <w:r>
        <w:lastRenderedPageBreak/>
        <w:t>approximate annual figures, and a general understanding of energy-intensive equipment, rather than submetering or equipment-level load disaggregation.</w:t>
      </w:r>
    </w:p>
    <w:p w14:paraId="2822005B" w14:textId="5C26FB4E" w:rsidR="005A2AA7" w:rsidRDefault="005A2AA7" w:rsidP="005A2AA7">
      <w:r>
        <w:t>On-Site Generation was present in 64% of companies, most commonly rooftop photovoltaic systems, with several participants also reporting diesel gensets or gas-fired backup generation. The presence of on-site generation is a positive DR indicator because it provides partial independence from grid supply during curtailment events and, in facilities with battery storage, enables load shifting in response to tariff signals. In facilities with PV only and no storage, the contribution to DR is more limited, as the generation profile does not necessarily align with curtailment windows.</w:t>
      </w:r>
    </w:p>
    <w:p w14:paraId="0BEF4AB2" w14:textId="27AAA045" w:rsidR="00AF2A4B" w:rsidRDefault="00AF2A4B" w:rsidP="005A2AA7">
      <w:r>
        <w:t>T</w:t>
      </w:r>
      <w:r w:rsidRPr="00AF2A4B">
        <w:t xml:space="preserve">he capability factor results </w:t>
      </w:r>
      <w:r w:rsidR="002C4786">
        <w:t xml:space="preserve">are </w:t>
      </w:r>
      <w:r w:rsidRPr="00AF2A4B">
        <w:t xml:space="preserve">presented in </w:t>
      </w:r>
      <w:r>
        <w:fldChar w:fldCharType="begin"/>
      </w:r>
      <w:r>
        <w:instrText xml:space="preserve"> REF _Ref230933118 \h </w:instrText>
      </w:r>
      <w:r>
        <w:fldChar w:fldCharType="separate"/>
      </w:r>
      <w:r w:rsidR="00036C9A">
        <w:t xml:space="preserve">Table </w:t>
      </w:r>
      <w:r w:rsidR="00036C9A">
        <w:rPr>
          <w:noProof/>
        </w:rPr>
        <w:t>8</w:t>
      </w:r>
      <w:r>
        <w:fldChar w:fldCharType="end"/>
      </w:r>
      <w:r>
        <w:t xml:space="preserve"> </w:t>
      </w:r>
      <w:r w:rsidRPr="00AF2A4B">
        <w:t xml:space="preserve">are illustrated graphically in </w:t>
      </w:r>
      <w:r w:rsidR="002A174D">
        <w:fldChar w:fldCharType="begin"/>
      </w:r>
      <w:r w:rsidR="002A174D">
        <w:instrText xml:space="preserve"> REF _Ref230933404 \h </w:instrText>
      </w:r>
      <w:r w:rsidR="002A174D">
        <w:fldChar w:fldCharType="separate"/>
      </w:r>
      <w:r w:rsidR="00036C9A">
        <w:t xml:space="preserve">Figure </w:t>
      </w:r>
      <w:r w:rsidR="00036C9A">
        <w:rPr>
          <w:noProof/>
        </w:rPr>
        <w:t>11</w:t>
      </w:r>
      <w:r w:rsidR="002A174D">
        <w:fldChar w:fldCharType="end"/>
      </w:r>
      <w:r w:rsidRPr="00AF2A4B">
        <w:t xml:space="preserve">, which provides an aggregated view of capability factor prevalence across the full participant group, split between the primary and supplementary cohorts. This aggregated view allows the enabling characteristics of the two cohorts to be compared directly, revealing the extent to which positive DR indicators are distributed across the participant group and identifying which capability factors are broadly present versus those that remain the exception. Of particular note in the aggregated view </w:t>
      </w:r>
      <w:r>
        <w:t>is the</w:t>
      </w:r>
      <w:r w:rsidRPr="00AF2A4B">
        <w:t xml:space="preserve"> prevalence of Energy Use Data alongside the complete absence of Existing DR Participation</w:t>
      </w:r>
      <w:r>
        <w:t xml:space="preserve">, </w:t>
      </w:r>
      <w:r w:rsidRPr="00AF2A4B">
        <w:t>a combination that captures, in a single visual</w:t>
      </w:r>
      <w:r>
        <w:t>,</w:t>
      </w:r>
      <w:r w:rsidRPr="00AF2A4B">
        <w:t xml:space="preserve"> a broad baseline of energy awareness that has </w:t>
      </w:r>
      <w:r>
        <w:t>yet to translate</w:t>
      </w:r>
      <w:r w:rsidRPr="00AF2A4B">
        <w:t xml:space="preserve"> into any active program engagement. </w:t>
      </w:r>
      <w:r w:rsidR="002A174D">
        <w:fldChar w:fldCharType="begin"/>
      </w:r>
      <w:r w:rsidR="002A174D">
        <w:instrText xml:space="preserve"> REF _Ref230933423 \h </w:instrText>
      </w:r>
      <w:r w:rsidR="002A174D">
        <w:fldChar w:fldCharType="separate"/>
      </w:r>
      <w:r w:rsidR="00036C9A">
        <w:t xml:space="preserve">Figure </w:t>
      </w:r>
      <w:r w:rsidR="00036C9A">
        <w:rPr>
          <w:noProof/>
        </w:rPr>
        <w:t>12</w:t>
      </w:r>
      <w:r w:rsidR="002A174D">
        <w:fldChar w:fldCharType="end"/>
      </w:r>
      <w:r w:rsidRPr="00AF2A4B">
        <w:t xml:space="preserve"> and </w:t>
      </w:r>
      <w:r w:rsidR="002A174D">
        <w:fldChar w:fldCharType="begin"/>
      </w:r>
      <w:r w:rsidR="002A174D">
        <w:instrText xml:space="preserve"> REF _Ref230928951 \h </w:instrText>
      </w:r>
      <w:r w:rsidR="002A174D">
        <w:fldChar w:fldCharType="separate"/>
      </w:r>
      <w:r w:rsidR="00036C9A">
        <w:t xml:space="preserve">Figure </w:t>
      </w:r>
      <w:r w:rsidR="00036C9A">
        <w:rPr>
          <w:noProof/>
        </w:rPr>
        <w:t>13</w:t>
      </w:r>
      <w:r w:rsidR="002A174D">
        <w:fldChar w:fldCharType="end"/>
      </w:r>
      <w:r w:rsidR="002A174D">
        <w:t xml:space="preserve"> </w:t>
      </w:r>
      <w:r w:rsidRPr="00AF2A4B">
        <w:t>disaggregate the results to the individual company level for the primary and supplementary cohorts</w:t>
      </w:r>
      <w:r>
        <w:t>,</w:t>
      </w:r>
      <w:r w:rsidRPr="00AF2A4B">
        <w:t xml:space="preserve"> respectively. These figures illustrate that while capability factors such as On-Site Generation and Dynamic Operation are present </w:t>
      </w:r>
      <w:r>
        <w:t xml:space="preserve">in a meaningful proportion of both cohorts, their distribution is uneven, and, crucially, </w:t>
      </w:r>
      <w:r w:rsidR="002A174D" w:rsidRPr="002A174D">
        <w:t>their effectiveness as DR enablers depends on addressing the barriers that exist alongside them</w:t>
      </w:r>
      <w:r w:rsidRPr="00AF2A4B">
        <w:t>. A company with confirmed dynamic operation capability but a severe data deficiency, for example, cannot reliably act on that flexibility without first establishing the metering foundation that makes curtailment commitments credible.</w:t>
      </w:r>
    </w:p>
    <w:p w14:paraId="3C977853" w14:textId="77777777" w:rsidR="005A2AA7" w:rsidRPr="00C04B41" w:rsidRDefault="005A2AA7" w:rsidP="005A2AA7"/>
    <w:p w14:paraId="1D5B53A0" w14:textId="150DF445" w:rsidR="00D469D5" w:rsidRDefault="0023587E" w:rsidP="00D469D5">
      <w:pPr>
        <w:keepNext/>
        <w:jc w:val="center"/>
      </w:pPr>
      <w:r>
        <w:rPr>
          <w:noProof/>
        </w:rPr>
        <w:drawing>
          <wp:inline distT="0" distB="0" distL="0" distR="0" wp14:anchorId="5360B1FD" wp14:editId="106F7FBF">
            <wp:extent cx="5381625" cy="3390900"/>
            <wp:effectExtent l="0" t="0" r="9525" b="0"/>
            <wp:docPr id="1080039353" name="Chart 1">
              <a:extLst xmlns:a="http://schemas.openxmlformats.org/drawingml/2006/main">
                <a:ext uri="{FF2B5EF4-FFF2-40B4-BE49-F238E27FC236}">
                  <a16:creationId xmlns:a16="http://schemas.microsoft.com/office/drawing/2014/main" id="{D776E179-6FDF-44A5-A1B2-C38259DD4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0A8928F" w14:textId="00E90829" w:rsidR="00D469D5" w:rsidRDefault="00D469D5" w:rsidP="00D469D5">
      <w:pPr>
        <w:pStyle w:val="Caption"/>
      </w:pPr>
      <w:bookmarkStart w:id="93" w:name="_Ref230933404"/>
      <w:bookmarkStart w:id="94" w:name="_Toc233788348"/>
      <w:r>
        <w:t xml:space="preserve">Figure </w:t>
      </w:r>
      <w:fldSimple w:instr=" SEQ Figure \* ARABIC ">
        <w:r w:rsidR="00036C9A">
          <w:rPr>
            <w:noProof/>
          </w:rPr>
          <w:t>11</w:t>
        </w:r>
      </w:fldSimple>
      <w:bookmarkEnd w:id="93"/>
      <w:r>
        <w:t xml:space="preserve">: Aggregated Capability Factors </w:t>
      </w:r>
      <w:r w:rsidR="00C04B41">
        <w:t xml:space="preserve">for </w:t>
      </w:r>
      <w:r>
        <w:t>Participant Group Cohort</w:t>
      </w:r>
      <w:bookmarkEnd w:id="94"/>
    </w:p>
    <w:p w14:paraId="0F1218F8" w14:textId="77777777" w:rsidR="00675DDB" w:rsidRPr="00675DDB" w:rsidRDefault="00675DDB" w:rsidP="00675DDB"/>
    <w:p w14:paraId="7A6FDC4E" w14:textId="77777777" w:rsidR="00675DDB" w:rsidRDefault="00675DDB" w:rsidP="00675DDB">
      <w:pPr>
        <w:keepNext/>
        <w:jc w:val="center"/>
      </w:pPr>
      <w:r>
        <w:rPr>
          <w:noProof/>
        </w:rPr>
        <w:lastRenderedPageBreak/>
        <w:drawing>
          <wp:inline distT="0" distB="0" distL="0" distR="0" wp14:anchorId="65D8F07F" wp14:editId="20847E55">
            <wp:extent cx="5400675" cy="3381375"/>
            <wp:effectExtent l="0" t="0" r="9525" b="9525"/>
            <wp:docPr id="1186499742" name="Chart 1">
              <a:extLst xmlns:a="http://schemas.openxmlformats.org/drawingml/2006/main">
                <a:ext uri="{FF2B5EF4-FFF2-40B4-BE49-F238E27FC236}">
                  <a16:creationId xmlns:a16="http://schemas.microsoft.com/office/drawing/2014/main" id="{F4AB784A-2374-4624-B27C-ACE6F6C0C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2836AE5" w14:textId="06154198" w:rsidR="00D469D5" w:rsidRDefault="00675DDB" w:rsidP="00675DDB">
      <w:pPr>
        <w:pStyle w:val="Caption"/>
      </w:pPr>
      <w:bookmarkStart w:id="95" w:name="_Ref230933423"/>
      <w:bookmarkStart w:id="96" w:name="_Toc233788349"/>
      <w:r>
        <w:t xml:space="preserve">Figure </w:t>
      </w:r>
      <w:fldSimple w:instr=" SEQ Figure \* ARABIC ">
        <w:r w:rsidR="00036C9A">
          <w:rPr>
            <w:noProof/>
          </w:rPr>
          <w:t>12</w:t>
        </w:r>
      </w:fldSimple>
      <w:bookmarkEnd w:id="95"/>
      <w:r>
        <w:t>: Capability Factor for Individual Primary Cohort</w:t>
      </w:r>
      <w:bookmarkEnd w:id="96"/>
    </w:p>
    <w:p w14:paraId="30CC8E13" w14:textId="77777777" w:rsidR="00617D6D" w:rsidRDefault="00675DDB" w:rsidP="00617D6D">
      <w:pPr>
        <w:keepNext/>
        <w:jc w:val="center"/>
      </w:pPr>
      <w:r>
        <w:rPr>
          <w:noProof/>
        </w:rPr>
        <w:drawing>
          <wp:inline distT="0" distB="0" distL="0" distR="0" wp14:anchorId="542CB647" wp14:editId="15EF4259">
            <wp:extent cx="5381625" cy="3438525"/>
            <wp:effectExtent l="0" t="0" r="9525" b="9525"/>
            <wp:docPr id="1265643806" name="Chart 1">
              <a:extLst xmlns:a="http://schemas.openxmlformats.org/drawingml/2006/main">
                <a:ext uri="{FF2B5EF4-FFF2-40B4-BE49-F238E27FC236}">
                  <a16:creationId xmlns:a16="http://schemas.microsoft.com/office/drawing/2014/main" id="{85FD829E-B62B-4817-8978-CB68443EF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F6A526E" w14:textId="415D32E0" w:rsidR="00675DDB" w:rsidRDefault="00617D6D" w:rsidP="00617D6D">
      <w:pPr>
        <w:pStyle w:val="Caption"/>
      </w:pPr>
      <w:bookmarkStart w:id="97" w:name="_Ref230928951"/>
      <w:bookmarkStart w:id="98" w:name="_Toc233788350"/>
      <w:r>
        <w:t xml:space="preserve">Figure </w:t>
      </w:r>
      <w:fldSimple w:instr=" SEQ Figure \* ARABIC ">
        <w:r w:rsidR="00036C9A">
          <w:rPr>
            <w:noProof/>
          </w:rPr>
          <w:t>13</w:t>
        </w:r>
      </w:fldSimple>
      <w:bookmarkEnd w:id="97"/>
      <w:r>
        <w:t>: Capability Factor for Individual Supplementary Cohort</w:t>
      </w:r>
      <w:bookmarkEnd w:id="98"/>
    </w:p>
    <w:p w14:paraId="481B0EAB" w14:textId="77777777" w:rsidR="00C570FB" w:rsidRDefault="00C570FB">
      <w:pPr>
        <w:spacing w:after="0" w:line="240" w:lineRule="auto"/>
      </w:pPr>
    </w:p>
    <w:p w14:paraId="5A59CCE1" w14:textId="25786757" w:rsidR="005960B2" w:rsidRDefault="005960B2">
      <w:pPr>
        <w:spacing w:after="0" w:line="240" w:lineRule="auto"/>
      </w:pPr>
      <w:r>
        <w:br w:type="page"/>
      </w:r>
    </w:p>
    <w:p w14:paraId="5D1A603D" w14:textId="0C6DB1E8" w:rsidR="00277715" w:rsidRPr="00D82E18" w:rsidRDefault="00E251AA" w:rsidP="00E251AA">
      <w:pPr>
        <w:pStyle w:val="Heading2"/>
      </w:pPr>
      <w:bookmarkStart w:id="99" w:name="_Toc233788310"/>
      <w:r w:rsidRPr="00D82E18">
        <w:lastRenderedPageBreak/>
        <w:t>Scoring</w:t>
      </w:r>
      <w:bookmarkEnd w:id="99"/>
      <w:r w:rsidRPr="00D82E18">
        <w:t xml:space="preserve"> </w:t>
      </w:r>
    </w:p>
    <w:p w14:paraId="0E16D742" w14:textId="77777777" w:rsidR="00E371E1" w:rsidRDefault="00C34D3C" w:rsidP="00C34D3C">
      <w:r w:rsidRPr="00C34D3C">
        <w:t>The composite raw score for each participant was calculated by summing the weighted barrier penalties</w:t>
      </w:r>
      <w:r>
        <w:t>, capability factor contributions, and</w:t>
      </w:r>
      <w:r w:rsidRPr="00C34D3C">
        <w:t xml:space="preserve"> the graduated notice period score. </w:t>
      </w:r>
    </w:p>
    <w:p w14:paraId="334EC7B8" w14:textId="77777777" w:rsidR="00E371E1" w:rsidRDefault="00040248" w:rsidP="00C34D3C">
      <w:r>
        <w:t>Raw scores in this study range</w:t>
      </w:r>
      <w:r w:rsidR="009F78CE">
        <w:t xml:space="preserve"> from a theoretical</w:t>
      </w:r>
      <w:r>
        <w:t xml:space="preserve"> </w:t>
      </w:r>
      <w:r w:rsidR="009F78CE">
        <w:t xml:space="preserve">minimum of </w:t>
      </w:r>
      <w:r>
        <w:t>-1</w:t>
      </w:r>
      <w:r w:rsidR="009F78CE">
        <w:t>5</w:t>
      </w:r>
      <w:r>
        <w:t xml:space="preserve"> to </w:t>
      </w:r>
      <w:r w:rsidR="009F78CE">
        <w:t xml:space="preserve">a theoretical maximum of </w:t>
      </w:r>
      <w:r>
        <w:t>+</w:t>
      </w:r>
      <w:r w:rsidR="009F78CE">
        <w:t xml:space="preserve">21.5. </w:t>
      </w:r>
      <w:r w:rsidR="009F78CE" w:rsidRPr="009F78CE">
        <w:t>Because this range is not symmetrical around zero, the raw score was normalised to a 0 to 100% scale to express</w:t>
      </w:r>
      <w:r w:rsidR="009F78CE">
        <w:t xml:space="preserve"> each company's position on a consistent percentage basis,</w:t>
      </w:r>
      <w:r w:rsidR="009F78CE" w:rsidRPr="009F78CE">
        <w:t xml:space="preserve"> indicating its relative potential for DR participation</w:t>
      </w:r>
      <w:r>
        <w:t xml:space="preserve">. </w:t>
      </w:r>
      <w:r w:rsidR="00975A5A" w:rsidRPr="009F78CE">
        <w:t xml:space="preserve">A company with a low normalised score indicates a barrier-dominated profile and a correspondingly low likelihood of participation without first addressing the underlying barriers. A company with a high normalised score indicates a capability-dominated profile, where capability factors outweigh barriers, and a strong likelihood of viable DR participation under appropriate program conditions. It is noted that a normalised score of </w:t>
      </w:r>
      <w:r w:rsidR="00975A5A">
        <w:t>41.1</w:t>
      </w:r>
      <w:r w:rsidR="00975A5A" w:rsidRPr="009F78CE">
        <w:t xml:space="preserve">% corresponds to </w:t>
      </w:r>
      <w:r w:rsidR="00975A5A">
        <w:t xml:space="preserve">a raw score of zero, </w:t>
      </w:r>
      <w:r w:rsidR="00975A5A" w:rsidRPr="009F78CE">
        <w:t>the point at which barriers and capabilities exactly offset in the underlying raw score; scores below this threshold indicate a net barrier-dominated profile, while scores above it indicate a net capability-dominated profile.</w:t>
      </w:r>
    </w:p>
    <w:p w14:paraId="1D475B30" w14:textId="7F09C826" w:rsidR="00E371E1" w:rsidRDefault="00E371E1" w:rsidP="00C34D3C">
      <w:r>
        <w:t>Against this backdrop</w:t>
      </w:r>
      <w:r w:rsidR="002C5E6C" w:rsidRPr="002C5E6C">
        <w:t>, a high normalised score indicates a capability-dominated profile and a correspondingly stronger potential for DR participation, while a low normalised score indicates a barrier-dominated profile and a correspondingly weaker potential for participation under current conditions. The normalised score is best understood as a relative ranking measure, indicating each company's position within the cohort and against the theoretical best and worst possible outcomes under this framework, rather than a measured probability of participation under any specific level of incentive, since the relationship between incentive size and actual participation behaviour was not modelled or measured in this study</w:t>
      </w:r>
      <w:r w:rsidR="002C5E6C">
        <w:t>.</w:t>
      </w:r>
    </w:p>
    <w:p w14:paraId="2BE9CCC1" w14:textId="3C014513" w:rsidR="00C34D3C" w:rsidRPr="00C34D3C" w:rsidRDefault="00C34D3C" w:rsidP="00C34D3C">
      <w:r>
        <w:fldChar w:fldCharType="begin"/>
      </w:r>
      <w:r>
        <w:instrText xml:space="preserve"> REF _Ref230933638 \h </w:instrText>
      </w:r>
      <w:r>
        <w:fldChar w:fldCharType="separate"/>
      </w:r>
      <w:r w:rsidR="00036C9A">
        <w:t xml:space="preserve">Table </w:t>
      </w:r>
      <w:r w:rsidR="00036C9A">
        <w:rPr>
          <w:noProof/>
        </w:rPr>
        <w:t>9</w:t>
      </w:r>
      <w:r>
        <w:fldChar w:fldCharType="end"/>
      </w:r>
      <w:r w:rsidRPr="00C34D3C">
        <w:t xml:space="preserve"> </w:t>
      </w:r>
      <w:r w:rsidR="00D82E18">
        <w:t>presents</w:t>
      </w:r>
      <w:r w:rsidR="00D82E18" w:rsidRPr="00D82E18">
        <w:t xml:space="preserve"> the participating cohort, based on their ANZSIC characterisation, energy consumption and scoring results</w:t>
      </w:r>
      <w:r>
        <w:t>.</w:t>
      </w:r>
    </w:p>
    <w:p w14:paraId="54D48C7C" w14:textId="43EEDA90" w:rsidR="00672A68" w:rsidRDefault="00672A68" w:rsidP="00672A68">
      <w:pPr>
        <w:pStyle w:val="Caption"/>
        <w:keepNext/>
      </w:pPr>
      <w:bookmarkStart w:id="100" w:name="_Ref230933638"/>
      <w:bookmarkStart w:id="101" w:name="_Toc233788362"/>
      <w:r>
        <w:t xml:space="preserve">Table </w:t>
      </w:r>
      <w:fldSimple w:instr=" SEQ Table \* ARABIC ">
        <w:r w:rsidR="00036C9A">
          <w:rPr>
            <w:noProof/>
          </w:rPr>
          <w:t>9</w:t>
        </w:r>
      </w:fldSimple>
      <w:bookmarkEnd w:id="100"/>
      <w:r>
        <w:t>: Industrial Participants, Annual Energy Consumption and Score</w:t>
      </w:r>
      <w:bookmarkEnd w:id="101"/>
    </w:p>
    <w:tbl>
      <w:tblPr>
        <w:tblW w:w="8931" w:type="dxa"/>
        <w:jc w:val="center"/>
        <w:tblLayout w:type="fixed"/>
        <w:tblLook w:val="04A0" w:firstRow="1" w:lastRow="0" w:firstColumn="1" w:lastColumn="0" w:noHBand="0" w:noVBand="1"/>
      </w:tblPr>
      <w:tblGrid>
        <w:gridCol w:w="1560"/>
        <w:gridCol w:w="3260"/>
        <w:gridCol w:w="1701"/>
        <w:gridCol w:w="992"/>
        <w:gridCol w:w="1418"/>
      </w:tblGrid>
      <w:tr w:rsidR="0076681A" w:rsidRPr="0023587E" w14:paraId="4C519A4B" w14:textId="77777777" w:rsidTr="00F51F4C">
        <w:trPr>
          <w:trHeight w:val="778"/>
          <w:tblHeader/>
          <w:jc w:val="center"/>
        </w:trPr>
        <w:tc>
          <w:tcPr>
            <w:tcW w:w="1560" w:type="dxa"/>
            <w:tcBorders>
              <w:top w:val="nil"/>
              <w:left w:val="nil"/>
              <w:bottom w:val="nil"/>
              <w:right w:val="nil"/>
            </w:tcBorders>
            <w:shd w:val="clear" w:color="auto" w:fill="009B69" w:themeFill="accent4"/>
            <w:hideMark/>
          </w:tcPr>
          <w:p w14:paraId="791E5CB7" w14:textId="77777777" w:rsidR="0076681A" w:rsidRPr="0023587E" w:rsidRDefault="0076681A" w:rsidP="00F51F4C">
            <w:pPr>
              <w:spacing w:after="0" w:line="240" w:lineRule="auto"/>
              <w:rPr>
                <w:rFonts w:eastAsia="Times New Roman" w:cs="Times New Roman"/>
                <w:b/>
                <w:bCs/>
                <w:color w:val="FFFFFF" w:themeColor="background1"/>
                <w:spacing w:val="0"/>
                <w:sz w:val="20"/>
                <w:szCs w:val="20"/>
                <w:lang w:eastAsia="en-AU"/>
              </w:rPr>
            </w:pPr>
            <w:r w:rsidRPr="0023587E">
              <w:rPr>
                <w:rFonts w:eastAsia="Times New Roman" w:cs="Times New Roman"/>
                <w:b/>
                <w:bCs/>
                <w:color w:val="FFFFFF" w:themeColor="background1"/>
                <w:spacing w:val="0"/>
                <w:sz w:val="20"/>
                <w:szCs w:val="20"/>
                <w:lang w:eastAsia="en-AU"/>
              </w:rPr>
              <w:t>Industrial Participant</w:t>
            </w:r>
          </w:p>
        </w:tc>
        <w:tc>
          <w:tcPr>
            <w:tcW w:w="3260" w:type="dxa"/>
            <w:tcBorders>
              <w:top w:val="nil"/>
              <w:left w:val="nil"/>
              <w:bottom w:val="nil"/>
              <w:right w:val="nil"/>
            </w:tcBorders>
            <w:shd w:val="clear" w:color="auto" w:fill="009B69" w:themeFill="accent4"/>
          </w:tcPr>
          <w:p w14:paraId="3D11FDAF" w14:textId="77777777" w:rsidR="00FE1BB8" w:rsidRPr="00FE1BB8" w:rsidRDefault="00FE1BB8" w:rsidP="00F51F4C">
            <w:pPr>
              <w:spacing w:after="0" w:line="240" w:lineRule="auto"/>
              <w:jc w:val="center"/>
              <w:rPr>
                <w:rFonts w:eastAsia="Times New Roman" w:cs="Times New Roman"/>
                <w:b/>
                <w:bCs/>
                <w:color w:val="FFFFFF" w:themeColor="background1"/>
                <w:spacing w:val="0"/>
                <w:sz w:val="20"/>
                <w:szCs w:val="20"/>
                <w:lang w:eastAsia="en-AU"/>
              </w:rPr>
            </w:pPr>
            <w:r w:rsidRPr="00FE1BB8">
              <w:rPr>
                <w:rFonts w:eastAsia="Times New Roman" w:cs="Times New Roman"/>
                <w:b/>
                <w:bCs/>
                <w:color w:val="FFFFFF" w:themeColor="background1"/>
                <w:spacing w:val="0"/>
                <w:sz w:val="20"/>
                <w:szCs w:val="20"/>
                <w:lang w:eastAsia="en-AU"/>
              </w:rPr>
              <w:t>Categorisation</w:t>
            </w:r>
          </w:p>
          <w:p w14:paraId="67FFCC75" w14:textId="763DEEC6" w:rsidR="0076681A" w:rsidRPr="0023587E" w:rsidRDefault="00FE1BB8" w:rsidP="00F51F4C">
            <w:pPr>
              <w:spacing w:after="0" w:line="240" w:lineRule="auto"/>
              <w:jc w:val="center"/>
              <w:rPr>
                <w:rFonts w:eastAsia="Times New Roman" w:cs="Times New Roman"/>
                <w:b/>
                <w:bCs/>
                <w:color w:val="FFFFFF" w:themeColor="background1"/>
                <w:spacing w:val="0"/>
                <w:sz w:val="20"/>
                <w:szCs w:val="20"/>
                <w:lang w:eastAsia="en-AU"/>
              </w:rPr>
            </w:pPr>
            <w:r w:rsidRPr="00FE1BB8">
              <w:rPr>
                <w:rFonts w:eastAsia="Times New Roman" w:cs="Times New Roman"/>
                <w:b/>
                <w:bCs/>
                <w:color w:val="FFFFFF" w:themeColor="background1"/>
                <w:spacing w:val="0"/>
                <w:sz w:val="20"/>
                <w:szCs w:val="20"/>
                <w:lang w:eastAsia="en-AU"/>
              </w:rPr>
              <w:t>ANZSIC</w:t>
            </w:r>
          </w:p>
        </w:tc>
        <w:tc>
          <w:tcPr>
            <w:tcW w:w="1701" w:type="dxa"/>
            <w:tcBorders>
              <w:top w:val="nil"/>
              <w:left w:val="nil"/>
              <w:bottom w:val="nil"/>
              <w:right w:val="nil"/>
            </w:tcBorders>
            <w:shd w:val="clear" w:color="auto" w:fill="009B69" w:themeFill="accent4"/>
            <w:hideMark/>
          </w:tcPr>
          <w:p w14:paraId="1CD7D95C" w14:textId="45EF9999" w:rsidR="0076681A" w:rsidRPr="0023587E" w:rsidRDefault="0076681A" w:rsidP="00F51F4C">
            <w:pPr>
              <w:spacing w:after="0" w:line="240" w:lineRule="auto"/>
              <w:jc w:val="center"/>
              <w:rPr>
                <w:rFonts w:eastAsia="Times New Roman" w:cs="Times New Roman"/>
                <w:b/>
                <w:bCs/>
                <w:color w:val="FFFFFF" w:themeColor="background1"/>
                <w:spacing w:val="0"/>
                <w:sz w:val="20"/>
                <w:szCs w:val="20"/>
                <w:lang w:eastAsia="en-AU"/>
              </w:rPr>
            </w:pPr>
            <w:r w:rsidRPr="0023587E">
              <w:rPr>
                <w:rFonts w:eastAsia="Times New Roman" w:cs="Times New Roman"/>
                <w:b/>
                <w:bCs/>
                <w:color w:val="FFFFFF" w:themeColor="background1"/>
                <w:spacing w:val="0"/>
                <w:sz w:val="20"/>
                <w:szCs w:val="20"/>
                <w:lang w:eastAsia="en-AU"/>
              </w:rPr>
              <w:t xml:space="preserve">Energy </w:t>
            </w:r>
            <w:r w:rsidRPr="0023587E">
              <w:rPr>
                <w:rFonts w:eastAsia="Times New Roman" w:cs="Times New Roman"/>
                <w:b/>
                <w:bCs/>
                <w:color w:val="FFFFFF" w:themeColor="background1"/>
                <w:spacing w:val="0"/>
                <w:sz w:val="20"/>
                <w:szCs w:val="20"/>
                <w:lang w:eastAsia="en-AU"/>
              </w:rPr>
              <w:br/>
              <w:t>Consumption</w:t>
            </w:r>
            <w:r w:rsidRPr="0023587E">
              <w:rPr>
                <w:rFonts w:eastAsia="Times New Roman" w:cs="Times New Roman"/>
                <w:b/>
                <w:bCs/>
                <w:color w:val="FFFFFF" w:themeColor="background1"/>
                <w:spacing w:val="0"/>
                <w:sz w:val="20"/>
                <w:szCs w:val="20"/>
                <w:lang w:eastAsia="en-AU"/>
              </w:rPr>
              <w:br/>
            </w:r>
            <w:r w:rsidR="00F51F4C" w:rsidRPr="00F51F4C">
              <w:rPr>
                <w:rFonts w:eastAsia="Times New Roman" w:cs="Times New Roman"/>
                <w:b/>
                <w:bCs/>
                <w:color w:val="FFFFFF" w:themeColor="background1"/>
                <w:spacing w:val="0"/>
                <w:sz w:val="16"/>
                <w:szCs w:val="16"/>
                <w:lang w:eastAsia="en-AU"/>
              </w:rPr>
              <w:t>(</w:t>
            </w:r>
            <w:r w:rsidRPr="00F51F4C">
              <w:rPr>
                <w:rFonts w:eastAsia="Times New Roman" w:cs="Times New Roman"/>
                <w:b/>
                <w:bCs/>
                <w:color w:val="FFFFFF" w:themeColor="background1"/>
                <w:spacing w:val="0"/>
                <w:sz w:val="16"/>
                <w:szCs w:val="16"/>
                <w:lang w:eastAsia="en-AU"/>
              </w:rPr>
              <w:t>MWh/p.a.</w:t>
            </w:r>
            <w:r w:rsidR="00F51F4C" w:rsidRPr="00F51F4C">
              <w:rPr>
                <w:rFonts w:eastAsia="Times New Roman" w:cs="Times New Roman"/>
                <w:b/>
                <w:bCs/>
                <w:color w:val="FFFFFF" w:themeColor="background1"/>
                <w:spacing w:val="0"/>
                <w:sz w:val="16"/>
                <w:szCs w:val="16"/>
                <w:lang w:eastAsia="en-AU"/>
              </w:rPr>
              <w:t>)</w:t>
            </w:r>
          </w:p>
        </w:tc>
        <w:tc>
          <w:tcPr>
            <w:tcW w:w="992" w:type="dxa"/>
            <w:tcBorders>
              <w:top w:val="nil"/>
              <w:left w:val="nil"/>
              <w:bottom w:val="nil"/>
              <w:right w:val="nil"/>
            </w:tcBorders>
            <w:shd w:val="clear" w:color="auto" w:fill="009B69" w:themeFill="accent4"/>
          </w:tcPr>
          <w:p w14:paraId="49C4EADD" w14:textId="2C860BE4" w:rsidR="0076681A" w:rsidRPr="00677046" w:rsidRDefault="0076681A" w:rsidP="00F51F4C">
            <w:pPr>
              <w:pStyle w:val="TableBody"/>
              <w:spacing w:before="0" w:after="0"/>
              <w:jc w:val="center"/>
              <w:rPr>
                <w:rFonts w:eastAsia="Times New Roman" w:cs="Times New Roman"/>
                <w:b/>
                <w:bCs/>
                <w:color w:val="FFFFFF" w:themeColor="background1"/>
                <w:spacing w:val="0"/>
                <w:sz w:val="20"/>
                <w:szCs w:val="20"/>
                <w:lang w:eastAsia="en-AU"/>
              </w:rPr>
            </w:pPr>
            <w:r w:rsidRPr="00677046">
              <w:rPr>
                <w:b/>
                <w:bCs/>
                <w:color w:val="FFFFFF" w:themeColor="background1"/>
              </w:rPr>
              <w:t>Raw Score</w:t>
            </w:r>
          </w:p>
        </w:tc>
        <w:tc>
          <w:tcPr>
            <w:tcW w:w="1418" w:type="dxa"/>
            <w:tcBorders>
              <w:top w:val="nil"/>
              <w:left w:val="nil"/>
              <w:bottom w:val="nil"/>
              <w:right w:val="nil"/>
            </w:tcBorders>
            <w:shd w:val="clear" w:color="auto" w:fill="009B69" w:themeFill="accent4"/>
            <w:noWrap/>
            <w:hideMark/>
          </w:tcPr>
          <w:p w14:paraId="54E3E7CD" w14:textId="77777777" w:rsidR="00C34D3C" w:rsidRDefault="00C34D3C" w:rsidP="00F51F4C">
            <w:pPr>
              <w:spacing w:after="0" w:line="240" w:lineRule="auto"/>
              <w:jc w:val="center"/>
              <w:rPr>
                <w:rFonts w:eastAsia="Times New Roman" w:cs="Times New Roman"/>
                <w:b/>
                <w:bCs/>
                <w:color w:val="FFFFFF" w:themeColor="background1"/>
                <w:spacing w:val="0"/>
                <w:sz w:val="20"/>
                <w:szCs w:val="20"/>
                <w:lang w:eastAsia="en-AU"/>
              </w:rPr>
            </w:pPr>
            <w:r>
              <w:rPr>
                <w:rFonts w:eastAsia="Times New Roman" w:cs="Times New Roman"/>
                <w:b/>
                <w:bCs/>
                <w:color w:val="FFFFFF" w:themeColor="background1"/>
                <w:spacing w:val="0"/>
                <w:sz w:val="20"/>
                <w:szCs w:val="20"/>
                <w:lang w:eastAsia="en-AU"/>
              </w:rPr>
              <w:t>Normalised</w:t>
            </w:r>
          </w:p>
          <w:p w14:paraId="1FBA6216" w14:textId="5FDA4DB4" w:rsidR="0076681A" w:rsidRPr="0023587E" w:rsidRDefault="0076681A" w:rsidP="00F51F4C">
            <w:pPr>
              <w:spacing w:after="0" w:line="240" w:lineRule="auto"/>
              <w:jc w:val="center"/>
              <w:rPr>
                <w:rFonts w:eastAsia="Times New Roman" w:cs="Times New Roman"/>
                <w:b/>
                <w:bCs/>
                <w:color w:val="FFFFFF" w:themeColor="background1"/>
                <w:spacing w:val="0"/>
                <w:sz w:val="20"/>
                <w:szCs w:val="20"/>
                <w:lang w:eastAsia="en-AU"/>
              </w:rPr>
            </w:pPr>
            <w:r>
              <w:rPr>
                <w:rFonts w:eastAsia="Times New Roman" w:cs="Times New Roman"/>
                <w:b/>
                <w:bCs/>
                <w:color w:val="FFFFFF" w:themeColor="background1"/>
                <w:spacing w:val="0"/>
                <w:sz w:val="20"/>
                <w:szCs w:val="20"/>
                <w:lang w:eastAsia="en-AU"/>
              </w:rPr>
              <w:t>Score</w:t>
            </w:r>
          </w:p>
        </w:tc>
      </w:tr>
      <w:tr w:rsidR="0076681A" w:rsidRPr="00C04B41" w14:paraId="379B22BA" w14:textId="77777777" w:rsidTr="00F51F4C">
        <w:trPr>
          <w:trHeight w:val="301"/>
          <w:jc w:val="center"/>
        </w:trPr>
        <w:tc>
          <w:tcPr>
            <w:tcW w:w="1560" w:type="dxa"/>
            <w:tcBorders>
              <w:top w:val="nil"/>
              <w:left w:val="nil"/>
              <w:bottom w:val="nil"/>
              <w:right w:val="nil"/>
            </w:tcBorders>
            <w:noWrap/>
            <w:vAlign w:val="center"/>
            <w:hideMark/>
          </w:tcPr>
          <w:p w14:paraId="719900D7"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A</w:t>
            </w:r>
          </w:p>
        </w:tc>
        <w:tc>
          <w:tcPr>
            <w:tcW w:w="3260" w:type="dxa"/>
            <w:tcBorders>
              <w:top w:val="nil"/>
              <w:left w:val="nil"/>
              <w:bottom w:val="nil"/>
              <w:right w:val="nil"/>
            </w:tcBorders>
          </w:tcPr>
          <w:p w14:paraId="30DFFC94" w14:textId="490C9D2C" w:rsidR="0076681A" w:rsidRPr="00C04B41" w:rsidRDefault="0076681A" w:rsidP="0076681A">
            <w:pPr>
              <w:pStyle w:val="TableBody"/>
              <w:rPr>
                <w:rFonts w:eastAsia="Times New Roman" w:cs="Times New Roman"/>
                <w:color w:val="000000"/>
                <w:spacing w:val="0"/>
                <w:szCs w:val="19"/>
                <w:lang w:eastAsia="en-AU"/>
              </w:rPr>
            </w:pPr>
            <w:r w:rsidRPr="008F2F10">
              <w:t>Machinery and Equipment Manufacturing</w:t>
            </w:r>
          </w:p>
        </w:tc>
        <w:tc>
          <w:tcPr>
            <w:tcW w:w="1701" w:type="dxa"/>
            <w:tcBorders>
              <w:top w:val="nil"/>
              <w:left w:val="nil"/>
              <w:bottom w:val="nil"/>
              <w:right w:val="nil"/>
            </w:tcBorders>
            <w:noWrap/>
            <w:vAlign w:val="center"/>
            <w:hideMark/>
          </w:tcPr>
          <w:p w14:paraId="15C230E5" w14:textId="5B53974B"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315</w:t>
            </w:r>
          </w:p>
        </w:tc>
        <w:tc>
          <w:tcPr>
            <w:tcW w:w="992" w:type="dxa"/>
            <w:tcBorders>
              <w:top w:val="nil"/>
              <w:left w:val="nil"/>
              <w:bottom w:val="nil"/>
              <w:right w:val="nil"/>
            </w:tcBorders>
            <w:vAlign w:val="center"/>
          </w:tcPr>
          <w:p w14:paraId="2E5761CB" w14:textId="0916BA58" w:rsidR="0076681A" w:rsidRPr="00C04B41" w:rsidRDefault="0076681A" w:rsidP="0076681A">
            <w:pPr>
              <w:pStyle w:val="TableBody"/>
              <w:jc w:val="center"/>
              <w:rPr>
                <w:szCs w:val="19"/>
              </w:rPr>
            </w:pPr>
            <w:r>
              <w:t>-8.5</w:t>
            </w:r>
          </w:p>
        </w:tc>
        <w:tc>
          <w:tcPr>
            <w:tcW w:w="1418" w:type="dxa"/>
            <w:tcBorders>
              <w:top w:val="nil"/>
              <w:left w:val="nil"/>
              <w:bottom w:val="nil"/>
              <w:right w:val="nil"/>
            </w:tcBorders>
            <w:shd w:val="clear" w:color="000000" w:fill="CB2C18"/>
            <w:noWrap/>
            <w:vAlign w:val="center"/>
            <w:hideMark/>
          </w:tcPr>
          <w:p w14:paraId="55DA6D2C" w14:textId="7DFF29F3"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18%</w:t>
            </w:r>
          </w:p>
        </w:tc>
      </w:tr>
      <w:tr w:rsidR="0076681A" w:rsidRPr="00C04B41" w14:paraId="358F68AC" w14:textId="77777777" w:rsidTr="00F51F4C">
        <w:trPr>
          <w:trHeight w:val="301"/>
          <w:jc w:val="center"/>
        </w:trPr>
        <w:tc>
          <w:tcPr>
            <w:tcW w:w="1560" w:type="dxa"/>
            <w:tcBorders>
              <w:top w:val="nil"/>
              <w:left w:val="nil"/>
              <w:bottom w:val="nil"/>
              <w:right w:val="nil"/>
            </w:tcBorders>
            <w:noWrap/>
            <w:vAlign w:val="center"/>
            <w:hideMark/>
          </w:tcPr>
          <w:p w14:paraId="55900911"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B</w:t>
            </w:r>
          </w:p>
        </w:tc>
        <w:tc>
          <w:tcPr>
            <w:tcW w:w="3260" w:type="dxa"/>
            <w:tcBorders>
              <w:top w:val="nil"/>
              <w:left w:val="nil"/>
              <w:bottom w:val="nil"/>
              <w:right w:val="nil"/>
            </w:tcBorders>
          </w:tcPr>
          <w:p w14:paraId="664FC6D7" w14:textId="03F6846B" w:rsidR="0076681A" w:rsidRPr="00C04B41" w:rsidRDefault="0076681A" w:rsidP="0076681A">
            <w:pPr>
              <w:pStyle w:val="TableBody"/>
              <w:rPr>
                <w:rFonts w:eastAsia="Times New Roman" w:cs="Times New Roman"/>
                <w:color w:val="000000"/>
                <w:spacing w:val="0"/>
                <w:szCs w:val="19"/>
                <w:lang w:eastAsia="en-AU"/>
              </w:rPr>
            </w:pPr>
            <w:r w:rsidRPr="008F2F10">
              <w:t>Polymer Product and Rubber Product Manufacturing</w:t>
            </w:r>
          </w:p>
        </w:tc>
        <w:tc>
          <w:tcPr>
            <w:tcW w:w="1701" w:type="dxa"/>
            <w:tcBorders>
              <w:top w:val="nil"/>
              <w:left w:val="nil"/>
              <w:bottom w:val="nil"/>
              <w:right w:val="nil"/>
            </w:tcBorders>
            <w:noWrap/>
            <w:vAlign w:val="center"/>
            <w:hideMark/>
          </w:tcPr>
          <w:p w14:paraId="11B8C6AB" w14:textId="1BE97590"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650</w:t>
            </w:r>
          </w:p>
        </w:tc>
        <w:tc>
          <w:tcPr>
            <w:tcW w:w="992" w:type="dxa"/>
            <w:tcBorders>
              <w:top w:val="nil"/>
              <w:left w:val="nil"/>
              <w:bottom w:val="nil"/>
              <w:right w:val="nil"/>
            </w:tcBorders>
            <w:vAlign w:val="center"/>
          </w:tcPr>
          <w:p w14:paraId="2694513B" w14:textId="372E9639" w:rsidR="0076681A" w:rsidRPr="00C04B41" w:rsidRDefault="0076681A" w:rsidP="0076681A">
            <w:pPr>
              <w:pStyle w:val="TableBody"/>
              <w:jc w:val="center"/>
              <w:rPr>
                <w:szCs w:val="19"/>
              </w:rPr>
            </w:pPr>
            <w:r>
              <w:t>2</w:t>
            </w:r>
          </w:p>
        </w:tc>
        <w:tc>
          <w:tcPr>
            <w:tcW w:w="1418" w:type="dxa"/>
            <w:tcBorders>
              <w:top w:val="nil"/>
              <w:left w:val="nil"/>
              <w:bottom w:val="nil"/>
              <w:right w:val="nil"/>
            </w:tcBorders>
            <w:shd w:val="clear" w:color="000000" w:fill="CEDD82"/>
            <w:noWrap/>
            <w:vAlign w:val="center"/>
            <w:hideMark/>
          </w:tcPr>
          <w:p w14:paraId="78AA3A67" w14:textId="3ECF208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47%</w:t>
            </w:r>
          </w:p>
        </w:tc>
      </w:tr>
      <w:tr w:rsidR="0076681A" w:rsidRPr="00C04B41" w14:paraId="6A649509" w14:textId="77777777" w:rsidTr="00F51F4C">
        <w:trPr>
          <w:trHeight w:val="301"/>
          <w:jc w:val="center"/>
        </w:trPr>
        <w:tc>
          <w:tcPr>
            <w:tcW w:w="1560" w:type="dxa"/>
            <w:tcBorders>
              <w:top w:val="nil"/>
              <w:left w:val="nil"/>
              <w:bottom w:val="nil"/>
              <w:right w:val="nil"/>
            </w:tcBorders>
            <w:noWrap/>
            <w:vAlign w:val="center"/>
            <w:hideMark/>
          </w:tcPr>
          <w:p w14:paraId="59AF4DA6"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C</w:t>
            </w:r>
          </w:p>
        </w:tc>
        <w:tc>
          <w:tcPr>
            <w:tcW w:w="3260" w:type="dxa"/>
            <w:tcBorders>
              <w:top w:val="nil"/>
              <w:left w:val="nil"/>
              <w:bottom w:val="nil"/>
              <w:right w:val="nil"/>
            </w:tcBorders>
          </w:tcPr>
          <w:p w14:paraId="1F459452" w14:textId="2342B1C6" w:rsidR="0076681A" w:rsidRPr="00C04B41" w:rsidRDefault="0076681A" w:rsidP="0076681A">
            <w:pPr>
              <w:pStyle w:val="TableBody"/>
              <w:rPr>
                <w:rFonts w:eastAsia="Times New Roman" w:cs="Times New Roman"/>
                <w:color w:val="000000"/>
                <w:spacing w:val="0"/>
                <w:szCs w:val="19"/>
                <w:lang w:eastAsia="en-AU"/>
              </w:rPr>
            </w:pPr>
            <w:r w:rsidRPr="008F2F10">
              <w:t>Machinery and Equipment Manufacturing</w:t>
            </w:r>
          </w:p>
        </w:tc>
        <w:tc>
          <w:tcPr>
            <w:tcW w:w="1701" w:type="dxa"/>
            <w:tcBorders>
              <w:top w:val="nil"/>
              <w:left w:val="nil"/>
              <w:bottom w:val="nil"/>
              <w:right w:val="nil"/>
            </w:tcBorders>
            <w:noWrap/>
            <w:vAlign w:val="center"/>
            <w:hideMark/>
          </w:tcPr>
          <w:p w14:paraId="3542B7DD" w14:textId="1D8C026B"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500</w:t>
            </w:r>
          </w:p>
        </w:tc>
        <w:tc>
          <w:tcPr>
            <w:tcW w:w="992" w:type="dxa"/>
            <w:tcBorders>
              <w:top w:val="nil"/>
              <w:left w:val="nil"/>
              <w:bottom w:val="nil"/>
              <w:right w:val="nil"/>
            </w:tcBorders>
            <w:vAlign w:val="center"/>
          </w:tcPr>
          <w:p w14:paraId="621DA502" w14:textId="78010F93" w:rsidR="0076681A" w:rsidRPr="00C04B41" w:rsidRDefault="0076681A" w:rsidP="0076681A">
            <w:pPr>
              <w:pStyle w:val="TableBody"/>
              <w:jc w:val="center"/>
              <w:rPr>
                <w:szCs w:val="19"/>
              </w:rPr>
            </w:pPr>
            <w:r>
              <w:t>-0.5</w:t>
            </w:r>
          </w:p>
        </w:tc>
        <w:tc>
          <w:tcPr>
            <w:tcW w:w="1418" w:type="dxa"/>
            <w:tcBorders>
              <w:top w:val="nil"/>
              <w:left w:val="nil"/>
              <w:bottom w:val="nil"/>
              <w:right w:val="nil"/>
            </w:tcBorders>
            <w:shd w:val="clear" w:color="000000" w:fill="EDE683"/>
            <w:noWrap/>
            <w:vAlign w:val="center"/>
            <w:hideMark/>
          </w:tcPr>
          <w:p w14:paraId="5B947BF7" w14:textId="5C4AF891"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40%</w:t>
            </w:r>
          </w:p>
        </w:tc>
      </w:tr>
      <w:tr w:rsidR="0076681A" w:rsidRPr="00C04B41" w14:paraId="6938E097" w14:textId="77777777" w:rsidTr="00F51F4C">
        <w:trPr>
          <w:trHeight w:val="301"/>
          <w:jc w:val="center"/>
        </w:trPr>
        <w:tc>
          <w:tcPr>
            <w:tcW w:w="1560" w:type="dxa"/>
            <w:tcBorders>
              <w:top w:val="nil"/>
              <w:left w:val="nil"/>
              <w:bottom w:val="nil"/>
              <w:right w:val="nil"/>
            </w:tcBorders>
            <w:noWrap/>
            <w:vAlign w:val="center"/>
            <w:hideMark/>
          </w:tcPr>
          <w:p w14:paraId="2FB66019"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D</w:t>
            </w:r>
          </w:p>
        </w:tc>
        <w:tc>
          <w:tcPr>
            <w:tcW w:w="3260" w:type="dxa"/>
            <w:tcBorders>
              <w:top w:val="nil"/>
              <w:left w:val="nil"/>
              <w:bottom w:val="nil"/>
              <w:right w:val="nil"/>
            </w:tcBorders>
          </w:tcPr>
          <w:p w14:paraId="032AA206" w14:textId="50AAB58C" w:rsidR="0076681A" w:rsidRPr="00C04B41" w:rsidRDefault="0076681A" w:rsidP="0076681A">
            <w:pPr>
              <w:pStyle w:val="TableBody"/>
              <w:rPr>
                <w:rFonts w:eastAsia="Times New Roman" w:cs="Times New Roman"/>
                <w:color w:val="000000"/>
                <w:spacing w:val="0"/>
                <w:szCs w:val="19"/>
                <w:lang w:eastAsia="en-AU"/>
              </w:rPr>
            </w:pPr>
            <w:r w:rsidRPr="008F2F10">
              <w:t>Machinery and Equipment Manufacturing</w:t>
            </w:r>
          </w:p>
        </w:tc>
        <w:tc>
          <w:tcPr>
            <w:tcW w:w="1701" w:type="dxa"/>
            <w:tcBorders>
              <w:top w:val="nil"/>
              <w:left w:val="nil"/>
              <w:bottom w:val="nil"/>
              <w:right w:val="nil"/>
            </w:tcBorders>
            <w:noWrap/>
            <w:vAlign w:val="center"/>
            <w:hideMark/>
          </w:tcPr>
          <w:p w14:paraId="02917328" w14:textId="4B57D246"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895</w:t>
            </w:r>
          </w:p>
        </w:tc>
        <w:tc>
          <w:tcPr>
            <w:tcW w:w="992" w:type="dxa"/>
            <w:tcBorders>
              <w:top w:val="nil"/>
              <w:left w:val="nil"/>
              <w:bottom w:val="nil"/>
              <w:right w:val="nil"/>
            </w:tcBorders>
            <w:vAlign w:val="center"/>
          </w:tcPr>
          <w:p w14:paraId="6ACCFA06" w14:textId="74D30520" w:rsidR="0076681A" w:rsidRPr="00C04B41" w:rsidRDefault="0076681A" w:rsidP="0076681A">
            <w:pPr>
              <w:pStyle w:val="TableBody"/>
              <w:jc w:val="center"/>
              <w:rPr>
                <w:szCs w:val="19"/>
              </w:rPr>
            </w:pPr>
            <w:r>
              <w:t>-1.5</w:t>
            </w:r>
          </w:p>
        </w:tc>
        <w:tc>
          <w:tcPr>
            <w:tcW w:w="1418" w:type="dxa"/>
            <w:tcBorders>
              <w:top w:val="nil"/>
              <w:left w:val="nil"/>
              <w:bottom w:val="nil"/>
              <w:right w:val="nil"/>
            </w:tcBorders>
            <w:shd w:val="clear" w:color="000000" w:fill="F9EA84"/>
            <w:noWrap/>
            <w:vAlign w:val="center"/>
            <w:hideMark/>
          </w:tcPr>
          <w:p w14:paraId="20FB715E" w14:textId="5273363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37%</w:t>
            </w:r>
          </w:p>
        </w:tc>
      </w:tr>
      <w:tr w:rsidR="0076681A" w:rsidRPr="00C04B41" w14:paraId="7029F9A5" w14:textId="77777777" w:rsidTr="00F51F4C">
        <w:trPr>
          <w:trHeight w:val="301"/>
          <w:jc w:val="center"/>
        </w:trPr>
        <w:tc>
          <w:tcPr>
            <w:tcW w:w="1560" w:type="dxa"/>
            <w:tcBorders>
              <w:top w:val="nil"/>
              <w:left w:val="nil"/>
              <w:bottom w:val="nil"/>
              <w:right w:val="nil"/>
            </w:tcBorders>
            <w:noWrap/>
            <w:vAlign w:val="center"/>
            <w:hideMark/>
          </w:tcPr>
          <w:p w14:paraId="460CEF99"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E</w:t>
            </w:r>
          </w:p>
        </w:tc>
        <w:tc>
          <w:tcPr>
            <w:tcW w:w="3260" w:type="dxa"/>
            <w:tcBorders>
              <w:top w:val="nil"/>
              <w:left w:val="nil"/>
              <w:bottom w:val="nil"/>
              <w:right w:val="nil"/>
            </w:tcBorders>
          </w:tcPr>
          <w:p w14:paraId="45983FF5" w14:textId="53078D18" w:rsidR="0076681A" w:rsidRPr="00C04B41" w:rsidRDefault="0055353B" w:rsidP="0076681A">
            <w:pPr>
              <w:pStyle w:val="TableBody"/>
              <w:rPr>
                <w:rFonts w:eastAsia="Times New Roman" w:cs="Times New Roman"/>
                <w:color w:val="000000"/>
                <w:spacing w:val="0"/>
                <w:szCs w:val="19"/>
                <w:lang w:eastAsia="en-AU"/>
              </w:rPr>
            </w:pPr>
            <w:r w:rsidRPr="0055353B">
              <w:t>Internet Service Providers, Web Search Portals and Data Processing Services</w:t>
            </w:r>
          </w:p>
        </w:tc>
        <w:tc>
          <w:tcPr>
            <w:tcW w:w="1701" w:type="dxa"/>
            <w:tcBorders>
              <w:top w:val="nil"/>
              <w:left w:val="nil"/>
              <w:bottom w:val="nil"/>
              <w:right w:val="nil"/>
            </w:tcBorders>
            <w:noWrap/>
            <w:vAlign w:val="center"/>
            <w:hideMark/>
          </w:tcPr>
          <w:p w14:paraId="7950AC40" w14:textId="15966473"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2,400</w:t>
            </w:r>
          </w:p>
        </w:tc>
        <w:tc>
          <w:tcPr>
            <w:tcW w:w="992" w:type="dxa"/>
            <w:tcBorders>
              <w:top w:val="nil"/>
              <w:left w:val="nil"/>
              <w:bottom w:val="nil"/>
              <w:right w:val="nil"/>
            </w:tcBorders>
            <w:vAlign w:val="center"/>
          </w:tcPr>
          <w:p w14:paraId="345E3E51" w14:textId="29C69D20" w:rsidR="0076681A" w:rsidRPr="00C04B41" w:rsidRDefault="0076681A" w:rsidP="0076681A">
            <w:pPr>
              <w:pStyle w:val="TableBody"/>
              <w:jc w:val="center"/>
              <w:rPr>
                <w:szCs w:val="19"/>
              </w:rPr>
            </w:pPr>
            <w:r>
              <w:t>-5</w:t>
            </w:r>
          </w:p>
        </w:tc>
        <w:tc>
          <w:tcPr>
            <w:tcW w:w="1418" w:type="dxa"/>
            <w:tcBorders>
              <w:top w:val="nil"/>
              <w:left w:val="nil"/>
              <w:bottom w:val="nil"/>
              <w:right w:val="nil"/>
            </w:tcBorders>
            <w:shd w:val="clear" w:color="000000" w:fill="E79252"/>
            <w:noWrap/>
            <w:vAlign w:val="center"/>
            <w:hideMark/>
          </w:tcPr>
          <w:p w14:paraId="26ED1421" w14:textId="1DF75E66"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27%</w:t>
            </w:r>
          </w:p>
        </w:tc>
      </w:tr>
      <w:tr w:rsidR="0076681A" w:rsidRPr="00C04B41" w14:paraId="161D5556" w14:textId="77777777" w:rsidTr="00F51F4C">
        <w:trPr>
          <w:trHeight w:val="301"/>
          <w:jc w:val="center"/>
        </w:trPr>
        <w:tc>
          <w:tcPr>
            <w:tcW w:w="1560" w:type="dxa"/>
            <w:tcBorders>
              <w:top w:val="nil"/>
              <w:left w:val="nil"/>
              <w:bottom w:val="nil"/>
              <w:right w:val="nil"/>
            </w:tcBorders>
            <w:noWrap/>
            <w:vAlign w:val="center"/>
            <w:hideMark/>
          </w:tcPr>
          <w:p w14:paraId="155B2FF9"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F</w:t>
            </w:r>
          </w:p>
        </w:tc>
        <w:tc>
          <w:tcPr>
            <w:tcW w:w="3260" w:type="dxa"/>
            <w:tcBorders>
              <w:top w:val="nil"/>
              <w:left w:val="nil"/>
              <w:bottom w:val="nil"/>
              <w:right w:val="nil"/>
            </w:tcBorders>
          </w:tcPr>
          <w:p w14:paraId="65DF9D04" w14:textId="64452930" w:rsidR="0076681A" w:rsidRPr="00C04B41" w:rsidRDefault="0076681A" w:rsidP="0076681A">
            <w:pPr>
              <w:pStyle w:val="TableBody"/>
              <w:rPr>
                <w:rFonts w:eastAsia="Times New Roman" w:cs="Times New Roman"/>
                <w:color w:val="000000"/>
                <w:spacing w:val="0"/>
                <w:szCs w:val="19"/>
                <w:lang w:eastAsia="en-AU"/>
              </w:rPr>
            </w:pPr>
            <w:r w:rsidRPr="008F2F10">
              <w:t>Transport Equipment Manufacturing</w:t>
            </w:r>
          </w:p>
        </w:tc>
        <w:tc>
          <w:tcPr>
            <w:tcW w:w="1701" w:type="dxa"/>
            <w:tcBorders>
              <w:top w:val="nil"/>
              <w:left w:val="nil"/>
              <w:bottom w:val="nil"/>
              <w:right w:val="nil"/>
            </w:tcBorders>
            <w:noWrap/>
            <w:vAlign w:val="center"/>
            <w:hideMark/>
          </w:tcPr>
          <w:p w14:paraId="664C0ED7" w14:textId="7CDA82FA"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2,726</w:t>
            </w:r>
          </w:p>
        </w:tc>
        <w:tc>
          <w:tcPr>
            <w:tcW w:w="992" w:type="dxa"/>
            <w:tcBorders>
              <w:top w:val="nil"/>
              <w:left w:val="nil"/>
              <w:bottom w:val="nil"/>
              <w:right w:val="nil"/>
            </w:tcBorders>
            <w:vAlign w:val="center"/>
          </w:tcPr>
          <w:p w14:paraId="1D832D9C" w14:textId="69FB7768" w:rsidR="0076681A" w:rsidRPr="00C04B41" w:rsidRDefault="0076681A" w:rsidP="0076681A">
            <w:pPr>
              <w:pStyle w:val="TableBody"/>
              <w:jc w:val="center"/>
              <w:rPr>
                <w:szCs w:val="19"/>
              </w:rPr>
            </w:pPr>
            <w:r>
              <w:t>-3</w:t>
            </w:r>
          </w:p>
        </w:tc>
        <w:tc>
          <w:tcPr>
            <w:tcW w:w="1418" w:type="dxa"/>
            <w:tcBorders>
              <w:top w:val="nil"/>
              <w:left w:val="nil"/>
              <w:bottom w:val="nil"/>
              <w:right w:val="nil"/>
            </w:tcBorders>
            <w:shd w:val="clear" w:color="000000" w:fill="F7CD73"/>
            <w:noWrap/>
            <w:vAlign w:val="center"/>
            <w:hideMark/>
          </w:tcPr>
          <w:p w14:paraId="0EE22E77" w14:textId="55972C6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33%</w:t>
            </w:r>
          </w:p>
        </w:tc>
      </w:tr>
      <w:tr w:rsidR="0076681A" w:rsidRPr="00C04B41" w14:paraId="6D5044C6" w14:textId="77777777" w:rsidTr="00F51F4C">
        <w:trPr>
          <w:trHeight w:val="301"/>
          <w:jc w:val="center"/>
        </w:trPr>
        <w:tc>
          <w:tcPr>
            <w:tcW w:w="1560" w:type="dxa"/>
            <w:tcBorders>
              <w:top w:val="nil"/>
              <w:left w:val="nil"/>
              <w:bottom w:val="nil"/>
              <w:right w:val="nil"/>
            </w:tcBorders>
            <w:noWrap/>
            <w:vAlign w:val="center"/>
            <w:hideMark/>
          </w:tcPr>
          <w:p w14:paraId="7E5F905E"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G</w:t>
            </w:r>
          </w:p>
        </w:tc>
        <w:tc>
          <w:tcPr>
            <w:tcW w:w="3260" w:type="dxa"/>
            <w:tcBorders>
              <w:top w:val="nil"/>
              <w:left w:val="nil"/>
              <w:bottom w:val="nil"/>
              <w:right w:val="nil"/>
            </w:tcBorders>
          </w:tcPr>
          <w:p w14:paraId="263187C8" w14:textId="4C4A125E" w:rsidR="0076681A" w:rsidRPr="00C04B41" w:rsidRDefault="0076681A" w:rsidP="0076681A">
            <w:pPr>
              <w:pStyle w:val="TableBody"/>
              <w:rPr>
                <w:rFonts w:eastAsia="Times New Roman" w:cs="Times New Roman"/>
                <w:color w:val="000000"/>
                <w:spacing w:val="0"/>
                <w:szCs w:val="19"/>
                <w:lang w:eastAsia="en-AU"/>
              </w:rPr>
            </w:pPr>
            <w:r w:rsidRPr="008F2F10">
              <w:t>Food Product Manufacturing</w:t>
            </w:r>
          </w:p>
        </w:tc>
        <w:tc>
          <w:tcPr>
            <w:tcW w:w="1701" w:type="dxa"/>
            <w:tcBorders>
              <w:top w:val="nil"/>
              <w:left w:val="nil"/>
              <w:bottom w:val="nil"/>
              <w:right w:val="nil"/>
            </w:tcBorders>
            <w:noWrap/>
            <w:vAlign w:val="center"/>
            <w:hideMark/>
          </w:tcPr>
          <w:p w14:paraId="333254F8" w14:textId="4E978762"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100,000</w:t>
            </w:r>
          </w:p>
        </w:tc>
        <w:tc>
          <w:tcPr>
            <w:tcW w:w="992" w:type="dxa"/>
            <w:tcBorders>
              <w:top w:val="nil"/>
              <w:left w:val="nil"/>
              <w:bottom w:val="nil"/>
              <w:right w:val="nil"/>
            </w:tcBorders>
            <w:vAlign w:val="center"/>
          </w:tcPr>
          <w:p w14:paraId="6A966E61" w14:textId="4D7A22F4" w:rsidR="0076681A" w:rsidRPr="00C04B41" w:rsidRDefault="0076681A" w:rsidP="0076681A">
            <w:pPr>
              <w:pStyle w:val="TableBody"/>
              <w:jc w:val="center"/>
              <w:rPr>
                <w:szCs w:val="19"/>
              </w:rPr>
            </w:pPr>
            <w:r>
              <w:t>-10</w:t>
            </w:r>
          </w:p>
        </w:tc>
        <w:tc>
          <w:tcPr>
            <w:tcW w:w="1418" w:type="dxa"/>
            <w:tcBorders>
              <w:top w:val="nil"/>
              <w:left w:val="nil"/>
              <w:bottom w:val="nil"/>
              <w:right w:val="nil"/>
            </w:tcBorders>
            <w:shd w:val="clear" w:color="000000" w:fill="C00000"/>
            <w:noWrap/>
            <w:vAlign w:val="center"/>
            <w:hideMark/>
          </w:tcPr>
          <w:p w14:paraId="2CF27A72" w14:textId="31C19DDB"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14%</w:t>
            </w:r>
          </w:p>
        </w:tc>
      </w:tr>
      <w:tr w:rsidR="0076681A" w:rsidRPr="00C04B41" w14:paraId="2F88B000" w14:textId="77777777" w:rsidTr="00F51F4C">
        <w:trPr>
          <w:trHeight w:val="301"/>
          <w:jc w:val="center"/>
        </w:trPr>
        <w:tc>
          <w:tcPr>
            <w:tcW w:w="1560" w:type="dxa"/>
            <w:tcBorders>
              <w:top w:val="nil"/>
              <w:left w:val="nil"/>
              <w:bottom w:val="nil"/>
              <w:right w:val="nil"/>
            </w:tcBorders>
            <w:noWrap/>
            <w:vAlign w:val="center"/>
            <w:hideMark/>
          </w:tcPr>
          <w:p w14:paraId="3B6B4635"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H</w:t>
            </w:r>
          </w:p>
        </w:tc>
        <w:tc>
          <w:tcPr>
            <w:tcW w:w="3260" w:type="dxa"/>
            <w:tcBorders>
              <w:top w:val="nil"/>
              <w:left w:val="nil"/>
              <w:bottom w:val="nil"/>
              <w:right w:val="nil"/>
            </w:tcBorders>
          </w:tcPr>
          <w:p w14:paraId="162C9F14" w14:textId="50AF8A9F" w:rsidR="0076681A" w:rsidRPr="00C04B41" w:rsidRDefault="0076681A" w:rsidP="0076681A">
            <w:pPr>
              <w:pStyle w:val="TableBody"/>
              <w:rPr>
                <w:rFonts w:eastAsia="Times New Roman" w:cs="Times New Roman"/>
                <w:color w:val="000000"/>
                <w:spacing w:val="0"/>
                <w:szCs w:val="19"/>
                <w:lang w:eastAsia="en-AU"/>
              </w:rPr>
            </w:pPr>
            <w:r w:rsidRPr="008F2F10">
              <w:t>Wood Product Manufacturing</w:t>
            </w:r>
          </w:p>
        </w:tc>
        <w:tc>
          <w:tcPr>
            <w:tcW w:w="1701" w:type="dxa"/>
            <w:tcBorders>
              <w:top w:val="nil"/>
              <w:left w:val="nil"/>
              <w:bottom w:val="nil"/>
              <w:right w:val="nil"/>
            </w:tcBorders>
            <w:noWrap/>
            <w:vAlign w:val="center"/>
            <w:hideMark/>
          </w:tcPr>
          <w:p w14:paraId="1D7136D9" w14:textId="5532BA94"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7,500</w:t>
            </w:r>
          </w:p>
        </w:tc>
        <w:tc>
          <w:tcPr>
            <w:tcW w:w="992" w:type="dxa"/>
            <w:tcBorders>
              <w:top w:val="nil"/>
              <w:left w:val="nil"/>
              <w:bottom w:val="nil"/>
              <w:right w:val="nil"/>
            </w:tcBorders>
            <w:vAlign w:val="center"/>
          </w:tcPr>
          <w:p w14:paraId="57A23371" w14:textId="62F7AD48" w:rsidR="0076681A" w:rsidRPr="00C04B41" w:rsidRDefault="0076681A" w:rsidP="0076681A">
            <w:pPr>
              <w:pStyle w:val="TableBody"/>
              <w:jc w:val="center"/>
              <w:rPr>
                <w:szCs w:val="19"/>
              </w:rPr>
            </w:pPr>
            <w:r>
              <w:t>-6</w:t>
            </w:r>
          </w:p>
        </w:tc>
        <w:tc>
          <w:tcPr>
            <w:tcW w:w="1418" w:type="dxa"/>
            <w:tcBorders>
              <w:top w:val="nil"/>
              <w:left w:val="nil"/>
              <w:bottom w:val="nil"/>
              <w:right w:val="nil"/>
            </w:tcBorders>
            <w:shd w:val="clear" w:color="000000" w:fill="DF7542"/>
            <w:noWrap/>
            <w:vAlign w:val="center"/>
            <w:hideMark/>
          </w:tcPr>
          <w:p w14:paraId="1B51E346" w14:textId="1AFC685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25%</w:t>
            </w:r>
          </w:p>
        </w:tc>
      </w:tr>
      <w:tr w:rsidR="0076681A" w:rsidRPr="00C04B41" w14:paraId="674E96F4" w14:textId="77777777" w:rsidTr="00F51F4C">
        <w:trPr>
          <w:trHeight w:val="301"/>
          <w:jc w:val="center"/>
        </w:trPr>
        <w:tc>
          <w:tcPr>
            <w:tcW w:w="1560" w:type="dxa"/>
            <w:tcBorders>
              <w:top w:val="nil"/>
              <w:left w:val="nil"/>
              <w:bottom w:val="nil"/>
              <w:right w:val="nil"/>
            </w:tcBorders>
            <w:noWrap/>
            <w:vAlign w:val="center"/>
            <w:hideMark/>
          </w:tcPr>
          <w:p w14:paraId="29D4B2FD"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I</w:t>
            </w:r>
          </w:p>
        </w:tc>
        <w:tc>
          <w:tcPr>
            <w:tcW w:w="3260" w:type="dxa"/>
            <w:tcBorders>
              <w:top w:val="nil"/>
              <w:left w:val="nil"/>
              <w:bottom w:val="nil"/>
              <w:right w:val="nil"/>
            </w:tcBorders>
          </w:tcPr>
          <w:p w14:paraId="3FF9C897" w14:textId="7965D3DE" w:rsidR="0076681A" w:rsidRPr="00C04B41" w:rsidRDefault="0076681A" w:rsidP="0076681A">
            <w:pPr>
              <w:pStyle w:val="TableBody"/>
              <w:rPr>
                <w:rFonts w:eastAsia="Times New Roman" w:cs="Times New Roman"/>
                <w:color w:val="000000"/>
                <w:spacing w:val="0"/>
                <w:szCs w:val="19"/>
                <w:lang w:eastAsia="en-AU"/>
              </w:rPr>
            </w:pPr>
            <w:r w:rsidRPr="008F2F10">
              <w:t>Transport Equipment Manufacturing</w:t>
            </w:r>
          </w:p>
        </w:tc>
        <w:tc>
          <w:tcPr>
            <w:tcW w:w="1701" w:type="dxa"/>
            <w:tcBorders>
              <w:top w:val="nil"/>
              <w:left w:val="nil"/>
              <w:bottom w:val="nil"/>
              <w:right w:val="nil"/>
            </w:tcBorders>
            <w:noWrap/>
            <w:vAlign w:val="center"/>
            <w:hideMark/>
          </w:tcPr>
          <w:p w14:paraId="5FE35638" w14:textId="48DF778A"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10,300</w:t>
            </w:r>
          </w:p>
        </w:tc>
        <w:tc>
          <w:tcPr>
            <w:tcW w:w="992" w:type="dxa"/>
            <w:tcBorders>
              <w:top w:val="nil"/>
              <w:left w:val="nil"/>
              <w:bottom w:val="nil"/>
              <w:right w:val="nil"/>
            </w:tcBorders>
            <w:vAlign w:val="center"/>
          </w:tcPr>
          <w:p w14:paraId="7F4C65FC" w14:textId="69196985" w:rsidR="0076681A" w:rsidRPr="00C04B41" w:rsidRDefault="0076681A" w:rsidP="0076681A">
            <w:pPr>
              <w:pStyle w:val="TableBody"/>
              <w:jc w:val="center"/>
              <w:rPr>
                <w:szCs w:val="19"/>
              </w:rPr>
            </w:pPr>
            <w:r>
              <w:t>9</w:t>
            </w:r>
          </w:p>
        </w:tc>
        <w:tc>
          <w:tcPr>
            <w:tcW w:w="1418" w:type="dxa"/>
            <w:tcBorders>
              <w:top w:val="nil"/>
              <w:left w:val="nil"/>
              <w:bottom w:val="nil"/>
              <w:right w:val="nil"/>
            </w:tcBorders>
            <w:shd w:val="clear" w:color="000000" w:fill="76C47D"/>
            <w:noWrap/>
            <w:vAlign w:val="center"/>
            <w:hideMark/>
          </w:tcPr>
          <w:p w14:paraId="2F6F9908" w14:textId="7490CD44"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66%</w:t>
            </w:r>
          </w:p>
        </w:tc>
      </w:tr>
      <w:tr w:rsidR="0076681A" w:rsidRPr="00C04B41" w14:paraId="5F810F7F" w14:textId="77777777" w:rsidTr="00F51F4C">
        <w:trPr>
          <w:trHeight w:val="301"/>
          <w:jc w:val="center"/>
        </w:trPr>
        <w:tc>
          <w:tcPr>
            <w:tcW w:w="1560" w:type="dxa"/>
            <w:tcBorders>
              <w:top w:val="nil"/>
              <w:left w:val="nil"/>
              <w:bottom w:val="nil"/>
              <w:right w:val="nil"/>
            </w:tcBorders>
            <w:noWrap/>
            <w:vAlign w:val="center"/>
            <w:hideMark/>
          </w:tcPr>
          <w:p w14:paraId="4D0200AE"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L</w:t>
            </w:r>
          </w:p>
        </w:tc>
        <w:tc>
          <w:tcPr>
            <w:tcW w:w="3260" w:type="dxa"/>
            <w:tcBorders>
              <w:top w:val="nil"/>
              <w:left w:val="nil"/>
              <w:bottom w:val="nil"/>
              <w:right w:val="nil"/>
            </w:tcBorders>
          </w:tcPr>
          <w:p w14:paraId="19487D2E" w14:textId="527DF13F" w:rsidR="0076681A" w:rsidRPr="00C04B41" w:rsidRDefault="0076681A" w:rsidP="0076681A">
            <w:pPr>
              <w:pStyle w:val="TableBody"/>
              <w:rPr>
                <w:rFonts w:eastAsia="Times New Roman" w:cs="Times New Roman"/>
                <w:color w:val="000000"/>
                <w:spacing w:val="0"/>
                <w:szCs w:val="19"/>
                <w:lang w:eastAsia="en-AU"/>
              </w:rPr>
            </w:pPr>
            <w:r w:rsidRPr="008F2F10">
              <w:t>Basic Chemical and Chemical Product Manufacturing</w:t>
            </w:r>
          </w:p>
        </w:tc>
        <w:tc>
          <w:tcPr>
            <w:tcW w:w="1701" w:type="dxa"/>
            <w:tcBorders>
              <w:top w:val="nil"/>
              <w:left w:val="nil"/>
              <w:bottom w:val="nil"/>
              <w:right w:val="nil"/>
            </w:tcBorders>
            <w:noWrap/>
            <w:vAlign w:val="center"/>
            <w:hideMark/>
          </w:tcPr>
          <w:p w14:paraId="60E0FE95" w14:textId="4770A657" w:rsidR="0076681A" w:rsidRPr="00C04B41" w:rsidRDefault="00D82E18" w:rsidP="006C7818">
            <w:pPr>
              <w:spacing w:after="0" w:line="240" w:lineRule="auto"/>
              <w:jc w:val="center"/>
              <w:rPr>
                <w:rFonts w:eastAsia="Times New Roman" w:cs="Times New Roman"/>
                <w:color w:val="000000"/>
                <w:spacing w:val="0"/>
                <w:szCs w:val="19"/>
                <w:lang w:eastAsia="en-AU"/>
              </w:rPr>
            </w:pPr>
            <w:r>
              <w:rPr>
                <w:rFonts w:eastAsia="Times New Roman" w:cs="Times New Roman"/>
                <w:color w:val="000000"/>
                <w:spacing w:val="0"/>
                <w:szCs w:val="19"/>
                <w:lang w:eastAsia="en-AU"/>
              </w:rPr>
              <w:t>9,800</w:t>
            </w:r>
          </w:p>
        </w:tc>
        <w:tc>
          <w:tcPr>
            <w:tcW w:w="992" w:type="dxa"/>
            <w:tcBorders>
              <w:top w:val="nil"/>
              <w:left w:val="nil"/>
              <w:bottom w:val="nil"/>
              <w:right w:val="nil"/>
            </w:tcBorders>
            <w:vAlign w:val="center"/>
          </w:tcPr>
          <w:p w14:paraId="37417C4B" w14:textId="4289C941" w:rsidR="0076681A" w:rsidRPr="00C04B41" w:rsidRDefault="0076681A" w:rsidP="0076681A">
            <w:pPr>
              <w:pStyle w:val="TableBody"/>
              <w:jc w:val="center"/>
              <w:rPr>
                <w:szCs w:val="19"/>
              </w:rPr>
            </w:pPr>
            <w:r>
              <w:t>-7</w:t>
            </w:r>
          </w:p>
        </w:tc>
        <w:tc>
          <w:tcPr>
            <w:tcW w:w="1418" w:type="dxa"/>
            <w:tcBorders>
              <w:top w:val="nil"/>
              <w:left w:val="nil"/>
              <w:bottom w:val="nil"/>
              <w:right w:val="nil"/>
            </w:tcBorders>
            <w:shd w:val="clear" w:color="000000" w:fill="D75831"/>
            <w:noWrap/>
            <w:vAlign w:val="center"/>
            <w:hideMark/>
          </w:tcPr>
          <w:p w14:paraId="32937F22" w14:textId="3B3FA09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22%</w:t>
            </w:r>
          </w:p>
        </w:tc>
      </w:tr>
      <w:tr w:rsidR="0076681A" w:rsidRPr="00C04B41" w14:paraId="67204287" w14:textId="77777777" w:rsidTr="00F51F4C">
        <w:trPr>
          <w:trHeight w:val="301"/>
          <w:jc w:val="center"/>
        </w:trPr>
        <w:tc>
          <w:tcPr>
            <w:tcW w:w="1560" w:type="dxa"/>
            <w:tcBorders>
              <w:top w:val="nil"/>
              <w:left w:val="nil"/>
              <w:bottom w:val="nil"/>
              <w:right w:val="nil"/>
            </w:tcBorders>
            <w:noWrap/>
            <w:vAlign w:val="center"/>
            <w:hideMark/>
          </w:tcPr>
          <w:p w14:paraId="753C544C"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lastRenderedPageBreak/>
              <w:t>Company M</w:t>
            </w:r>
          </w:p>
        </w:tc>
        <w:tc>
          <w:tcPr>
            <w:tcW w:w="3260" w:type="dxa"/>
            <w:tcBorders>
              <w:top w:val="nil"/>
              <w:left w:val="nil"/>
              <w:bottom w:val="nil"/>
              <w:right w:val="nil"/>
            </w:tcBorders>
          </w:tcPr>
          <w:p w14:paraId="7D6DC3A7" w14:textId="449CD2A1" w:rsidR="0076681A" w:rsidRPr="00C04B41" w:rsidRDefault="0076681A" w:rsidP="0076681A">
            <w:pPr>
              <w:pStyle w:val="TableBody"/>
              <w:rPr>
                <w:rFonts w:eastAsia="Times New Roman" w:cs="Times New Roman"/>
                <w:color w:val="000000"/>
                <w:spacing w:val="0"/>
                <w:szCs w:val="19"/>
                <w:lang w:eastAsia="en-AU"/>
              </w:rPr>
            </w:pPr>
            <w:r w:rsidRPr="008F2F10">
              <w:t>Coal Mining</w:t>
            </w:r>
          </w:p>
        </w:tc>
        <w:tc>
          <w:tcPr>
            <w:tcW w:w="1701" w:type="dxa"/>
            <w:tcBorders>
              <w:top w:val="nil"/>
              <w:left w:val="nil"/>
              <w:bottom w:val="nil"/>
              <w:right w:val="nil"/>
            </w:tcBorders>
            <w:noWrap/>
            <w:vAlign w:val="center"/>
            <w:hideMark/>
          </w:tcPr>
          <w:p w14:paraId="267AEDA8" w14:textId="0CF711AD"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88,859</w:t>
            </w:r>
          </w:p>
        </w:tc>
        <w:tc>
          <w:tcPr>
            <w:tcW w:w="992" w:type="dxa"/>
            <w:tcBorders>
              <w:top w:val="nil"/>
              <w:left w:val="nil"/>
              <w:bottom w:val="nil"/>
              <w:right w:val="nil"/>
            </w:tcBorders>
            <w:vAlign w:val="center"/>
          </w:tcPr>
          <w:p w14:paraId="427C13D5" w14:textId="171F08A7" w:rsidR="0076681A" w:rsidRPr="00C04B41" w:rsidRDefault="0076681A" w:rsidP="0076681A">
            <w:pPr>
              <w:pStyle w:val="TableBody"/>
              <w:jc w:val="center"/>
              <w:rPr>
                <w:szCs w:val="19"/>
              </w:rPr>
            </w:pPr>
            <w:r>
              <w:t>2.5</w:t>
            </w:r>
          </w:p>
        </w:tc>
        <w:tc>
          <w:tcPr>
            <w:tcW w:w="1418" w:type="dxa"/>
            <w:tcBorders>
              <w:top w:val="nil"/>
              <w:left w:val="nil"/>
              <w:bottom w:val="nil"/>
              <w:right w:val="nil"/>
            </w:tcBorders>
            <w:shd w:val="clear" w:color="000000" w:fill="C7DB81"/>
            <w:noWrap/>
            <w:vAlign w:val="center"/>
            <w:hideMark/>
          </w:tcPr>
          <w:p w14:paraId="54FC1E39" w14:textId="1AB66AF6"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48%</w:t>
            </w:r>
          </w:p>
        </w:tc>
      </w:tr>
      <w:tr w:rsidR="0076681A" w:rsidRPr="00C04B41" w14:paraId="41F57A83" w14:textId="77777777" w:rsidTr="00F51F4C">
        <w:trPr>
          <w:trHeight w:val="301"/>
          <w:jc w:val="center"/>
        </w:trPr>
        <w:tc>
          <w:tcPr>
            <w:tcW w:w="1560" w:type="dxa"/>
            <w:tcBorders>
              <w:top w:val="nil"/>
              <w:left w:val="nil"/>
              <w:bottom w:val="nil"/>
              <w:right w:val="nil"/>
            </w:tcBorders>
            <w:noWrap/>
            <w:vAlign w:val="center"/>
            <w:hideMark/>
          </w:tcPr>
          <w:p w14:paraId="5BA51C5E"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N</w:t>
            </w:r>
          </w:p>
        </w:tc>
        <w:tc>
          <w:tcPr>
            <w:tcW w:w="3260" w:type="dxa"/>
            <w:tcBorders>
              <w:top w:val="nil"/>
              <w:left w:val="nil"/>
              <w:bottom w:val="nil"/>
              <w:right w:val="nil"/>
            </w:tcBorders>
          </w:tcPr>
          <w:p w14:paraId="2012AE39" w14:textId="4F495509" w:rsidR="0076681A" w:rsidRPr="00C04B41" w:rsidRDefault="0076681A" w:rsidP="0076681A">
            <w:pPr>
              <w:pStyle w:val="TableBody"/>
              <w:rPr>
                <w:rFonts w:eastAsia="Times New Roman" w:cs="Times New Roman"/>
                <w:color w:val="000000"/>
                <w:spacing w:val="0"/>
                <w:szCs w:val="19"/>
                <w:lang w:eastAsia="en-AU"/>
              </w:rPr>
            </w:pPr>
            <w:r w:rsidRPr="008F2F10">
              <w:t>Machinery and Equipment Manufacturing</w:t>
            </w:r>
          </w:p>
        </w:tc>
        <w:tc>
          <w:tcPr>
            <w:tcW w:w="1701" w:type="dxa"/>
            <w:tcBorders>
              <w:top w:val="nil"/>
              <w:left w:val="nil"/>
              <w:bottom w:val="nil"/>
              <w:right w:val="nil"/>
            </w:tcBorders>
            <w:noWrap/>
            <w:vAlign w:val="center"/>
            <w:hideMark/>
          </w:tcPr>
          <w:p w14:paraId="683E2E7E" w14:textId="76F7EB81"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3,000</w:t>
            </w:r>
          </w:p>
        </w:tc>
        <w:tc>
          <w:tcPr>
            <w:tcW w:w="992" w:type="dxa"/>
            <w:tcBorders>
              <w:top w:val="nil"/>
              <w:left w:val="nil"/>
              <w:bottom w:val="nil"/>
              <w:right w:val="nil"/>
            </w:tcBorders>
            <w:vAlign w:val="center"/>
          </w:tcPr>
          <w:p w14:paraId="19539A2A" w14:textId="1268C163" w:rsidR="0076681A" w:rsidRPr="00C04B41" w:rsidRDefault="0076681A" w:rsidP="0076681A">
            <w:pPr>
              <w:pStyle w:val="TableBody"/>
              <w:jc w:val="center"/>
              <w:rPr>
                <w:szCs w:val="19"/>
              </w:rPr>
            </w:pPr>
            <w:r>
              <w:t>-2.5</w:t>
            </w:r>
          </w:p>
        </w:tc>
        <w:tc>
          <w:tcPr>
            <w:tcW w:w="1418" w:type="dxa"/>
            <w:tcBorders>
              <w:top w:val="nil"/>
              <w:left w:val="nil"/>
              <w:bottom w:val="nil"/>
              <w:right w:val="nil"/>
            </w:tcBorders>
            <w:shd w:val="clear" w:color="000000" w:fill="FBDC7B"/>
            <w:noWrap/>
            <w:vAlign w:val="center"/>
            <w:hideMark/>
          </w:tcPr>
          <w:p w14:paraId="348A8AA4" w14:textId="5436CE77"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34%</w:t>
            </w:r>
          </w:p>
        </w:tc>
      </w:tr>
      <w:tr w:rsidR="0076681A" w:rsidRPr="00C04B41" w14:paraId="3817C591" w14:textId="77777777" w:rsidTr="00F51F4C">
        <w:trPr>
          <w:trHeight w:val="301"/>
          <w:jc w:val="center"/>
        </w:trPr>
        <w:tc>
          <w:tcPr>
            <w:tcW w:w="1560" w:type="dxa"/>
            <w:tcBorders>
              <w:top w:val="nil"/>
              <w:left w:val="nil"/>
              <w:bottom w:val="nil"/>
              <w:right w:val="nil"/>
            </w:tcBorders>
            <w:noWrap/>
            <w:vAlign w:val="center"/>
            <w:hideMark/>
          </w:tcPr>
          <w:p w14:paraId="0169D1A1"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AA</w:t>
            </w:r>
          </w:p>
        </w:tc>
        <w:tc>
          <w:tcPr>
            <w:tcW w:w="3260" w:type="dxa"/>
            <w:tcBorders>
              <w:top w:val="nil"/>
              <w:left w:val="nil"/>
              <w:bottom w:val="nil"/>
              <w:right w:val="nil"/>
            </w:tcBorders>
          </w:tcPr>
          <w:p w14:paraId="67B2179E" w14:textId="4B501F59" w:rsidR="0076681A" w:rsidRPr="00C04B41" w:rsidRDefault="0076681A" w:rsidP="0076681A">
            <w:pPr>
              <w:pStyle w:val="TableBody"/>
              <w:rPr>
                <w:rFonts w:eastAsia="Times New Roman" w:cs="Times New Roman"/>
                <w:color w:val="000000"/>
                <w:spacing w:val="0"/>
                <w:szCs w:val="19"/>
                <w:lang w:eastAsia="en-AU"/>
              </w:rPr>
            </w:pPr>
            <w:r w:rsidRPr="008F2F10">
              <w:t>Water Supply, Sewerage and Drainage Services</w:t>
            </w:r>
          </w:p>
        </w:tc>
        <w:tc>
          <w:tcPr>
            <w:tcW w:w="1701" w:type="dxa"/>
            <w:tcBorders>
              <w:top w:val="nil"/>
              <w:left w:val="nil"/>
              <w:bottom w:val="nil"/>
              <w:right w:val="nil"/>
            </w:tcBorders>
            <w:noWrap/>
            <w:vAlign w:val="center"/>
            <w:hideMark/>
          </w:tcPr>
          <w:p w14:paraId="539BBF64" w14:textId="07B28C04"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9,054</w:t>
            </w:r>
          </w:p>
        </w:tc>
        <w:tc>
          <w:tcPr>
            <w:tcW w:w="992" w:type="dxa"/>
            <w:tcBorders>
              <w:top w:val="nil"/>
              <w:left w:val="nil"/>
              <w:bottom w:val="nil"/>
              <w:right w:val="nil"/>
            </w:tcBorders>
            <w:vAlign w:val="center"/>
          </w:tcPr>
          <w:p w14:paraId="48719BEB" w14:textId="48FF6436" w:rsidR="0076681A" w:rsidRPr="00C04B41" w:rsidRDefault="0076681A" w:rsidP="0076681A">
            <w:pPr>
              <w:pStyle w:val="TableBody"/>
              <w:jc w:val="center"/>
              <w:rPr>
                <w:szCs w:val="19"/>
              </w:rPr>
            </w:pPr>
            <w:r>
              <w:t>-9</w:t>
            </w:r>
          </w:p>
        </w:tc>
        <w:tc>
          <w:tcPr>
            <w:tcW w:w="1418" w:type="dxa"/>
            <w:tcBorders>
              <w:top w:val="nil"/>
              <w:left w:val="nil"/>
              <w:bottom w:val="nil"/>
              <w:right w:val="nil"/>
            </w:tcBorders>
            <w:shd w:val="clear" w:color="000000" w:fill="E79252"/>
            <w:noWrap/>
            <w:vAlign w:val="center"/>
            <w:hideMark/>
          </w:tcPr>
          <w:p w14:paraId="190A381F" w14:textId="096E8D6F"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16%</w:t>
            </w:r>
          </w:p>
        </w:tc>
      </w:tr>
      <w:tr w:rsidR="0076681A" w:rsidRPr="00C04B41" w14:paraId="54919B95" w14:textId="77777777" w:rsidTr="00F51F4C">
        <w:trPr>
          <w:trHeight w:val="301"/>
          <w:jc w:val="center"/>
        </w:trPr>
        <w:tc>
          <w:tcPr>
            <w:tcW w:w="1560" w:type="dxa"/>
            <w:tcBorders>
              <w:top w:val="nil"/>
              <w:left w:val="nil"/>
              <w:bottom w:val="nil"/>
              <w:right w:val="nil"/>
            </w:tcBorders>
            <w:noWrap/>
            <w:vAlign w:val="center"/>
            <w:hideMark/>
          </w:tcPr>
          <w:p w14:paraId="03033062"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BB</w:t>
            </w:r>
          </w:p>
        </w:tc>
        <w:tc>
          <w:tcPr>
            <w:tcW w:w="3260" w:type="dxa"/>
            <w:tcBorders>
              <w:top w:val="nil"/>
              <w:left w:val="nil"/>
              <w:bottom w:val="nil"/>
              <w:right w:val="nil"/>
            </w:tcBorders>
          </w:tcPr>
          <w:p w14:paraId="76F6D8FF" w14:textId="5BCF7472" w:rsidR="0076681A" w:rsidRPr="00C04B41" w:rsidRDefault="0076681A" w:rsidP="0076681A">
            <w:pPr>
              <w:pStyle w:val="TableBody"/>
              <w:rPr>
                <w:rFonts w:eastAsia="Times New Roman" w:cs="Times New Roman"/>
                <w:color w:val="000000"/>
                <w:spacing w:val="0"/>
                <w:szCs w:val="19"/>
                <w:lang w:eastAsia="en-AU"/>
              </w:rPr>
            </w:pPr>
            <w:r w:rsidRPr="008F2F10">
              <w:t>Polymer Product and Rubber Product Manufacturing</w:t>
            </w:r>
          </w:p>
        </w:tc>
        <w:tc>
          <w:tcPr>
            <w:tcW w:w="1701" w:type="dxa"/>
            <w:tcBorders>
              <w:top w:val="nil"/>
              <w:left w:val="nil"/>
              <w:bottom w:val="nil"/>
              <w:right w:val="nil"/>
            </w:tcBorders>
            <w:noWrap/>
            <w:vAlign w:val="center"/>
            <w:hideMark/>
          </w:tcPr>
          <w:p w14:paraId="2C63D7E0" w14:textId="36410202"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7,550</w:t>
            </w:r>
          </w:p>
        </w:tc>
        <w:tc>
          <w:tcPr>
            <w:tcW w:w="992" w:type="dxa"/>
            <w:tcBorders>
              <w:top w:val="nil"/>
              <w:left w:val="nil"/>
              <w:bottom w:val="nil"/>
              <w:right w:val="nil"/>
            </w:tcBorders>
            <w:vAlign w:val="center"/>
          </w:tcPr>
          <w:p w14:paraId="06170DBF" w14:textId="09F50D86" w:rsidR="0076681A" w:rsidRPr="00C04B41" w:rsidRDefault="0076681A" w:rsidP="0076681A">
            <w:pPr>
              <w:pStyle w:val="TableBody"/>
              <w:jc w:val="center"/>
              <w:rPr>
                <w:szCs w:val="19"/>
              </w:rPr>
            </w:pPr>
            <w:r>
              <w:t>-1</w:t>
            </w:r>
          </w:p>
        </w:tc>
        <w:tc>
          <w:tcPr>
            <w:tcW w:w="1418" w:type="dxa"/>
            <w:tcBorders>
              <w:top w:val="nil"/>
              <w:left w:val="nil"/>
              <w:bottom w:val="nil"/>
              <w:right w:val="nil"/>
            </w:tcBorders>
            <w:shd w:val="clear" w:color="000000" w:fill="C1DA81"/>
            <w:noWrap/>
            <w:vAlign w:val="center"/>
            <w:hideMark/>
          </w:tcPr>
          <w:p w14:paraId="0D5D6FAB" w14:textId="45AE0A8B"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38%</w:t>
            </w:r>
          </w:p>
        </w:tc>
      </w:tr>
      <w:tr w:rsidR="0076681A" w:rsidRPr="00C04B41" w14:paraId="6E8EF51B" w14:textId="77777777" w:rsidTr="00F51F4C">
        <w:trPr>
          <w:trHeight w:val="301"/>
          <w:jc w:val="center"/>
        </w:trPr>
        <w:tc>
          <w:tcPr>
            <w:tcW w:w="1560" w:type="dxa"/>
            <w:tcBorders>
              <w:top w:val="nil"/>
              <w:left w:val="nil"/>
              <w:bottom w:val="nil"/>
              <w:right w:val="nil"/>
            </w:tcBorders>
            <w:noWrap/>
            <w:vAlign w:val="center"/>
            <w:hideMark/>
          </w:tcPr>
          <w:p w14:paraId="710A8043"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CC</w:t>
            </w:r>
          </w:p>
        </w:tc>
        <w:tc>
          <w:tcPr>
            <w:tcW w:w="3260" w:type="dxa"/>
            <w:tcBorders>
              <w:top w:val="nil"/>
              <w:left w:val="nil"/>
              <w:bottom w:val="nil"/>
              <w:right w:val="nil"/>
            </w:tcBorders>
          </w:tcPr>
          <w:p w14:paraId="60DD24D6" w14:textId="40B30E75" w:rsidR="0076681A" w:rsidRPr="00C04B41" w:rsidRDefault="0076681A" w:rsidP="0076681A">
            <w:pPr>
              <w:pStyle w:val="TableBody"/>
              <w:rPr>
                <w:rFonts w:eastAsia="Times New Roman" w:cs="Times New Roman"/>
                <w:color w:val="000000"/>
                <w:spacing w:val="0"/>
                <w:szCs w:val="19"/>
                <w:lang w:eastAsia="en-AU"/>
              </w:rPr>
            </w:pPr>
            <w:r w:rsidRPr="008F2F10">
              <w:t>Beverage and Tobacco Product Manufacturing</w:t>
            </w:r>
          </w:p>
        </w:tc>
        <w:tc>
          <w:tcPr>
            <w:tcW w:w="1701" w:type="dxa"/>
            <w:tcBorders>
              <w:top w:val="nil"/>
              <w:left w:val="nil"/>
              <w:bottom w:val="nil"/>
              <w:right w:val="nil"/>
            </w:tcBorders>
            <w:noWrap/>
            <w:vAlign w:val="center"/>
            <w:hideMark/>
          </w:tcPr>
          <w:p w14:paraId="3AE78213" w14:textId="76EF9968"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6,556</w:t>
            </w:r>
          </w:p>
        </w:tc>
        <w:tc>
          <w:tcPr>
            <w:tcW w:w="992" w:type="dxa"/>
            <w:tcBorders>
              <w:top w:val="nil"/>
              <w:left w:val="nil"/>
              <w:bottom w:val="nil"/>
              <w:right w:val="nil"/>
            </w:tcBorders>
            <w:vAlign w:val="center"/>
          </w:tcPr>
          <w:p w14:paraId="1BAD07D9" w14:textId="2056F7BA" w:rsidR="0076681A" w:rsidRPr="00C04B41" w:rsidRDefault="0076681A" w:rsidP="0076681A">
            <w:pPr>
              <w:pStyle w:val="TableBody"/>
              <w:jc w:val="center"/>
              <w:rPr>
                <w:szCs w:val="19"/>
              </w:rPr>
            </w:pPr>
            <w:r>
              <w:t>6.5</w:t>
            </w:r>
          </w:p>
        </w:tc>
        <w:tc>
          <w:tcPr>
            <w:tcW w:w="1418" w:type="dxa"/>
            <w:tcBorders>
              <w:top w:val="nil"/>
              <w:left w:val="nil"/>
              <w:bottom w:val="nil"/>
              <w:right w:val="nil"/>
            </w:tcBorders>
            <w:shd w:val="clear" w:color="000000" w:fill="63BE7B"/>
            <w:noWrap/>
            <w:vAlign w:val="center"/>
            <w:hideMark/>
          </w:tcPr>
          <w:p w14:paraId="5E75F6EE" w14:textId="606EF1F6"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59%</w:t>
            </w:r>
          </w:p>
        </w:tc>
      </w:tr>
      <w:tr w:rsidR="0076681A" w:rsidRPr="00C04B41" w14:paraId="76247DF0" w14:textId="77777777" w:rsidTr="00F51F4C">
        <w:trPr>
          <w:trHeight w:val="301"/>
          <w:jc w:val="center"/>
        </w:trPr>
        <w:tc>
          <w:tcPr>
            <w:tcW w:w="1560" w:type="dxa"/>
            <w:tcBorders>
              <w:top w:val="nil"/>
              <w:left w:val="nil"/>
              <w:bottom w:val="nil"/>
              <w:right w:val="nil"/>
            </w:tcBorders>
            <w:noWrap/>
            <w:vAlign w:val="center"/>
            <w:hideMark/>
          </w:tcPr>
          <w:p w14:paraId="7D5DF52E"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DD</w:t>
            </w:r>
          </w:p>
        </w:tc>
        <w:tc>
          <w:tcPr>
            <w:tcW w:w="3260" w:type="dxa"/>
            <w:tcBorders>
              <w:top w:val="nil"/>
              <w:left w:val="nil"/>
              <w:bottom w:val="nil"/>
              <w:right w:val="nil"/>
            </w:tcBorders>
          </w:tcPr>
          <w:p w14:paraId="57B04D92" w14:textId="303E7E90" w:rsidR="0076681A" w:rsidRPr="00C04B41" w:rsidRDefault="0076681A" w:rsidP="0076681A">
            <w:pPr>
              <w:pStyle w:val="TableBody"/>
              <w:rPr>
                <w:rFonts w:eastAsia="Times New Roman" w:cs="Times New Roman"/>
                <w:color w:val="000000"/>
                <w:spacing w:val="0"/>
                <w:szCs w:val="19"/>
                <w:lang w:eastAsia="en-AU"/>
              </w:rPr>
            </w:pPr>
            <w:r w:rsidRPr="008F2F10">
              <w:t>Non-Metallic Mineral Product Manufacturing</w:t>
            </w:r>
          </w:p>
        </w:tc>
        <w:tc>
          <w:tcPr>
            <w:tcW w:w="1701" w:type="dxa"/>
            <w:tcBorders>
              <w:top w:val="nil"/>
              <w:left w:val="nil"/>
              <w:bottom w:val="nil"/>
              <w:right w:val="nil"/>
            </w:tcBorders>
            <w:noWrap/>
            <w:vAlign w:val="center"/>
            <w:hideMark/>
          </w:tcPr>
          <w:p w14:paraId="1893E6F7" w14:textId="1EDB21E7"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280</w:t>
            </w:r>
          </w:p>
        </w:tc>
        <w:tc>
          <w:tcPr>
            <w:tcW w:w="992" w:type="dxa"/>
            <w:tcBorders>
              <w:top w:val="nil"/>
              <w:left w:val="nil"/>
              <w:bottom w:val="nil"/>
              <w:right w:val="nil"/>
            </w:tcBorders>
            <w:vAlign w:val="center"/>
          </w:tcPr>
          <w:p w14:paraId="63515A11" w14:textId="4CE32514" w:rsidR="0076681A" w:rsidRPr="00C04B41" w:rsidRDefault="0076681A" w:rsidP="0076681A">
            <w:pPr>
              <w:pStyle w:val="TableBody"/>
              <w:jc w:val="center"/>
              <w:rPr>
                <w:szCs w:val="19"/>
              </w:rPr>
            </w:pPr>
            <w:r>
              <w:t>-3</w:t>
            </w:r>
          </w:p>
        </w:tc>
        <w:tc>
          <w:tcPr>
            <w:tcW w:w="1418" w:type="dxa"/>
            <w:tcBorders>
              <w:top w:val="nil"/>
              <w:left w:val="nil"/>
              <w:bottom w:val="nil"/>
              <w:right w:val="nil"/>
            </w:tcBorders>
            <w:shd w:val="clear" w:color="000000" w:fill="DAE182"/>
            <w:noWrap/>
            <w:vAlign w:val="center"/>
            <w:hideMark/>
          </w:tcPr>
          <w:p w14:paraId="7D1051F1" w14:textId="76A3349D"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33%</w:t>
            </w:r>
          </w:p>
        </w:tc>
      </w:tr>
      <w:tr w:rsidR="0076681A" w:rsidRPr="00C04B41" w14:paraId="1976AAEE" w14:textId="77777777" w:rsidTr="00F51F4C">
        <w:trPr>
          <w:trHeight w:val="301"/>
          <w:jc w:val="center"/>
        </w:trPr>
        <w:tc>
          <w:tcPr>
            <w:tcW w:w="1560" w:type="dxa"/>
            <w:tcBorders>
              <w:top w:val="nil"/>
              <w:left w:val="nil"/>
              <w:bottom w:val="nil"/>
              <w:right w:val="nil"/>
            </w:tcBorders>
            <w:noWrap/>
            <w:vAlign w:val="center"/>
            <w:hideMark/>
          </w:tcPr>
          <w:p w14:paraId="710055E6"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EE</w:t>
            </w:r>
          </w:p>
        </w:tc>
        <w:tc>
          <w:tcPr>
            <w:tcW w:w="3260" w:type="dxa"/>
            <w:tcBorders>
              <w:top w:val="nil"/>
              <w:left w:val="nil"/>
              <w:bottom w:val="nil"/>
              <w:right w:val="nil"/>
            </w:tcBorders>
          </w:tcPr>
          <w:p w14:paraId="12771E61" w14:textId="688A2EE8" w:rsidR="0076681A" w:rsidRPr="00C04B41" w:rsidRDefault="0076681A" w:rsidP="0076681A">
            <w:pPr>
              <w:pStyle w:val="TableBody"/>
              <w:rPr>
                <w:rFonts w:eastAsia="Times New Roman" w:cs="Times New Roman"/>
                <w:color w:val="000000"/>
                <w:spacing w:val="0"/>
                <w:szCs w:val="19"/>
                <w:lang w:eastAsia="en-AU"/>
              </w:rPr>
            </w:pPr>
            <w:r w:rsidRPr="008F2F10">
              <w:t>Beverage and Tobacco Product Manufacturing</w:t>
            </w:r>
          </w:p>
        </w:tc>
        <w:tc>
          <w:tcPr>
            <w:tcW w:w="1701" w:type="dxa"/>
            <w:tcBorders>
              <w:top w:val="nil"/>
              <w:left w:val="nil"/>
              <w:bottom w:val="nil"/>
              <w:right w:val="nil"/>
            </w:tcBorders>
            <w:noWrap/>
            <w:vAlign w:val="center"/>
            <w:hideMark/>
          </w:tcPr>
          <w:p w14:paraId="34EC402E" w14:textId="219CABCA"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1,477</w:t>
            </w:r>
          </w:p>
        </w:tc>
        <w:tc>
          <w:tcPr>
            <w:tcW w:w="992" w:type="dxa"/>
            <w:tcBorders>
              <w:top w:val="nil"/>
              <w:left w:val="nil"/>
              <w:bottom w:val="nil"/>
              <w:right w:val="nil"/>
            </w:tcBorders>
            <w:vAlign w:val="center"/>
          </w:tcPr>
          <w:p w14:paraId="6C769C74" w14:textId="52B9173C" w:rsidR="0076681A" w:rsidRPr="00C04B41" w:rsidRDefault="0076681A" w:rsidP="0076681A">
            <w:pPr>
              <w:pStyle w:val="TableBody"/>
              <w:jc w:val="center"/>
              <w:rPr>
                <w:szCs w:val="19"/>
              </w:rPr>
            </w:pPr>
            <w:r>
              <w:t>2.5</w:t>
            </w:r>
          </w:p>
        </w:tc>
        <w:tc>
          <w:tcPr>
            <w:tcW w:w="1418" w:type="dxa"/>
            <w:tcBorders>
              <w:top w:val="nil"/>
              <w:left w:val="nil"/>
              <w:bottom w:val="nil"/>
              <w:right w:val="nil"/>
            </w:tcBorders>
            <w:shd w:val="clear" w:color="000000" w:fill="95CD7E"/>
            <w:noWrap/>
            <w:vAlign w:val="center"/>
            <w:hideMark/>
          </w:tcPr>
          <w:p w14:paraId="666706A4" w14:textId="72E7A1E6"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48%</w:t>
            </w:r>
          </w:p>
        </w:tc>
      </w:tr>
      <w:tr w:rsidR="0076681A" w:rsidRPr="00C04B41" w14:paraId="299F6370" w14:textId="77777777" w:rsidTr="00F51F4C">
        <w:trPr>
          <w:trHeight w:val="301"/>
          <w:jc w:val="center"/>
        </w:trPr>
        <w:tc>
          <w:tcPr>
            <w:tcW w:w="1560" w:type="dxa"/>
            <w:tcBorders>
              <w:top w:val="nil"/>
              <w:left w:val="nil"/>
              <w:bottom w:val="nil"/>
              <w:right w:val="nil"/>
            </w:tcBorders>
            <w:noWrap/>
            <w:vAlign w:val="center"/>
            <w:hideMark/>
          </w:tcPr>
          <w:p w14:paraId="78882EC5"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FF</w:t>
            </w:r>
          </w:p>
        </w:tc>
        <w:tc>
          <w:tcPr>
            <w:tcW w:w="3260" w:type="dxa"/>
            <w:tcBorders>
              <w:top w:val="nil"/>
              <w:left w:val="nil"/>
              <w:bottom w:val="nil"/>
              <w:right w:val="nil"/>
            </w:tcBorders>
          </w:tcPr>
          <w:p w14:paraId="5505B118" w14:textId="183656E5" w:rsidR="0076681A" w:rsidRPr="00C04B41" w:rsidRDefault="0076681A" w:rsidP="0076681A">
            <w:pPr>
              <w:pStyle w:val="TableBody"/>
              <w:rPr>
                <w:rFonts w:eastAsia="Times New Roman" w:cs="Times New Roman"/>
                <w:color w:val="000000"/>
                <w:spacing w:val="0"/>
                <w:szCs w:val="19"/>
                <w:lang w:eastAsia="en-AU"/>
              </w:rPr>
            </w:pPr>
            <w:r w:rsidRPr="008F2F10">
              <w:t>Polymer Product and Rubber Product Manufacturing</w:t>
            </w:r>
          </w:p>
        </w:tc>
        <w:tc>
          <w:tcPr>
            <w:tcW w:w="1701" w:type="dxa"/>
            <w:tcBorders>
              <w:top w:val="nil"/>
              <w:left w:val="nil"/>
              <w:bottom w:val="nil"/>
              <w:right w:val="nil"/>
            </w:tcBorders>
            <w:noWrap/>
            <w:vAlign w:val="center"/>
            <w:hideMark/>
          </w:tcPr>
          <w:p w14:paraId="1B773241" w14:textId="7ED53957"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7,528</w:t>
            </w:r>
          </w:p>
        </w:tc>
        <w:tc>
          <w:tcPr>
            <w:tcW w:w="992" w:type="dxa"/>
            <w:tcBorders>
              <w:top w:val="nil"/>
              <w:left w:val="nil"/>
              <w:bottom w:val="nil"/>
              <w:right w:val="nil"/>
            </w:tcBorders>
            <w:vAlign w:val="center"/>
          </w:tcPr>
          <w:p w14:paraId="153B804F" w14:textId="60E07BCE" w:rsidR="0076681A" w:rsidRPr="00C04B41" w:rsidRDefault="0076681A" w:rsidP="0076681A">
            <w:pPr>
              <w:pStyle w:val="TableBody"/>
              <w:jc w:val="center"/>
              <w:rPr>
                <w:szCs w:val="19"/>
              </w:rPr>
            </w:pPr>
            <w:r>
              <w:t>-9</w:t>
            </w:r>
          </w:p>
        </w:tc>
        <w:tc>
          <w:tcPr>
            <w:tcW w:w="1418" w:type="dxa"/>
            <w:tcBorders>
              <w:top w:val="nil"/>
              <w:left w:val="nil"/>
              <w:bottom w:val="nil"/>
              <w:right w:val="nil"/>
            </w:tcBorders>
            <w:shd w:val="clear" w:color="000000" w:fill="E79252"/>
            <w:noWrap/>
            <w:vAlign w:val="center"/>
            <w:hideMark/>
          </w:tcPr>
          <w:p w14:paraId="46CFB6AA" w14:textId="0C5610C0" w:rsidR="0076681A" w:rsidRPr="0076681A" w:rsidRDefault="0076681A" w:rsidP="0076681A">
            <w:pPr>
              <w:pStyle w:val="TableBody"/>
              <w:jc w:val="center"/>
              <w:rPr>
                <w:rFonts w:eastAsia="Times New Roman" w:cs="Times New Roman"/>
                <w:color w:val="000000" w:themeColor="text1"/>
                <w:spacing w:val="0"/>
                <w:szCs w:val="19"/>
                <w:lang w:eastAsia="en-AU"/>
              </w:rPr>
            </w:pPr>
            <w:r w:rsidRPr="0076681A">
              <w:rPr>
                <w:color w:val="000000" w:themeColor="text1"/>
              </w:rPr>
              <w:t>16%</w:t>
            </w:r>
          </w:p>
        </w:tc>
      </w:tr>
      <w:tr w:rsidR="0076681A" w:rsidRPr="00C04B41" w14:paraId="35159ADE" w14:textId="77777777" w:rsidTr="00F51F4C">
        <w:trPr>
          <w:trHeight w:val="301"/>
          <w:jc w:val="center"/>
        </w:trPr>
        <w:tc>
          <w:tcPr>
            <w:tcW w:w="1560" w:type="dxa"/>
            <w:tcBorders>
              <w:top w:val="nil"/>
              <w:left w:val="nil"/>
              <w:bottom w:val="nil"/>
              <w:right w:val="nil"/>
            </w:tcBorders>
            <w:noWrap/>
            <w:vAlign w:val="center"/>
            <w:hideMark/>
          </w:tcPr>
          <w:p w14:paraId="62B684B2"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GG</w:t>
            </w:r>
          </w:p>
        </w:tc>
        <w:tc>
          <w:tcPr>
            <w:tcW w:w="3260" w:type="dxa"/>
            <w:tcBorders>
              <w:top w:val="nil"/>
              <w:left w:val="nil"/>
              <w:bottom w:val="nil"/>
              <w:right w:val="nil"/>
            </w:tcBorders>
          </w:tcPr>
          <w:p w14:paraId="68517E68" w14:textId="77B05625" w:rsidR="0076681A" w:rsidRPr="00C04B41" w:rsidRDefault="0076681A" w:rsidP="0076681A">
            <w:pPr>
              <w:pStyle w:val="TableBody"/>
              <w:rPr>
                <w:rFonts w:eastAsia="Times New Roman" w:cs="Times New Roman"/>
                <w:color w:val="000000"/>
                <w:spacing w:val="0"/>
                <w:szCs w:val="19"/>
                <w:lang w:eastAsia="en-AU"/>
              </w:rPr>
            </w:pPr>
            <w:r w:rsidRPr="008F2F10">
              <w:t>Beverage and Tobacco Product Manufacturing</w:t>
            </w:r>
          </w:p>
        </w:tc>
        <w:tc>
          <w:tcPr>
            <w:tcW w:w="1701" w:type="dxa"/>
            <w:tcBorders>
              <w:top w:val="nil"/>
              <w:left w:val="nil"/>
              <w:bottom w:val="nil"/>
              <w:right w:val="nil"/>
            </w:tcBorders>
            <w:noWrap/>
            <w:vAlign w:val="center"/>
            <w:hideMark/>
          </w:tcPr>
          <w:p w14:paraId="0F0D85AC" w14:textId="5667D489"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1,260</w:t>
            </w:r>
          </w:p>
        </w:tc>
        <w:tc>
          <w:tcPr>
            <w:tcW w:w="992" w:type="dxa"/>
            <w:tcBorders>
              <w:top w:val="nil"/>
              <w:left w:val="nil"/>
              <w:bottom w:val="nil"/>
              <w:right w:val="nil"/>
            </w:tcBorders>
            <w:vAlign w:val="center"/>
          </w:tcPr>
          <w:p w14:paraId="31C245BC" w14:textId="4984F2FE" w:rsidR="0076681A" w:rsidRPr="00C04B41" w:rsidRDefault="0076681A" w:rsidP="0076681A">
            <w:pPr>
              <w:pStyle w:val="TableBody"/>
              <w:jc w:val="center"/>
              <w:rPr>
                <w:szCs w:val="19"/>
              </w:rPr>
            </w:pPr>
            <w:r>
              <w:t>-0.5</w:t>
            </w:r>
          </w:p>
        </w:tc>
        <w:tc>
          <w:tcPr>
            <w:tcW w:w="1418" w:type="dxa"/>
            <w:tcBorders>
              <w:top w:val="nil"/>
              <w:left w:val="nil"/>
              <w:bottom w:val="nil"/>
              <w:right w:val="nil"/>
            </w:tcBorders>
            <w:shd w:val="clear" w:color="000000" w:fill="BBD881"/>
            <w:noWrap/>
            <w:vAlign w:val="center"/>
            <w:hideMark/>
          </w:tcPr>
          <w:p w14:paraId="14CDC545" w14:textId="7B43B817" w:rsidR="0076681A" w:rsidRPr="00C04B41" w:rsidRDefault="0076681A" w:rsidP="0076681A">
            <w:pPr>
              <w:pStyle w:val="TableBody"/>
              <w:jc w:val="center"/>
              <w:rPr>
                <w:rFonts w:eastAsia="Times New Roman" w:cs="Times New Roman"/>
                <w:spacing w:val="0"/>
                <w:szCs w:val="19"/>
                <w:lang w:eastAsia="en-AU"/>
              </w:rPr>
            </w:pPr>
            <w:r>
              <w:t>40%</w:t>
            </w:r>
          </w:p>
        </w:tc>
      </w:tr>
      <w:tr w:rsidR="0076681A" w:rsidRPr="00C04B41" w14:paraId="2BC5A5DC" w14:textId="77777777" w:rsidTr="00F51F4C">
        <w:trPr>
          <w:trHeight w:val="301"/>
          <w:jc w:val="center"/>
        </w:trPr>
        <w:tc>
          <w:tcPr>
            <w:tcW w:w="1560" w:type="dxa"/>
            <w:tcBorders>
              <w:top w:val="nil"/>
              <w:left w:val="nil"/>
              <w:bottom w:val="nil"/>
              <w:right w:val="nil"/>
            </w:tcBorders>
            <w:noWrap/>
            <w:vAlign w:val="center"/>
            <w:hideMark/>
          </w:tcPr>
          <w:p w14:paraId="18E31656"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HH</w:t>
            </w:r>
          </w:p>
        </w:tc>
        <w:tc>
          <w:tcPr>
            <w:tcW w:w="3260" w:type="dxa"/>
            <w:tcBorders>
              <w:top w:val="nil"/>
              <w:left w:val="nil"/>
              <w:bottom w:val="nil"/>
              <w:right w:val="nil"/>
            </w:tcBorders>
          </w:tcPr>
          <w:p w14:paraId="46306A2B" w14:textId="42E5CA2B" w:rsidR="0076681A" w:rsidRPr="00C04B41" w:rsidRDefault="0076681A" w:rsidP="0076681A">
            <w:pPr>
              <w:pStyle w:val="TableBody"/>
              <w:rPr>
                <w:rFonts w:eastAsia="Times New Roman" w:cs="Times New Roman"/>
                <w:color w:val="000000"/>
                <w:spacing w:val="0"/>
                <w:szCs w:val="19"/>
                <w:lang w:eastAsia="en-AU"/>
              </w:rPr>
            </w:pPr>
            <w:r w:rsidRPr="008F2F10">
              <w:t>Machinery and Equipment Manufacturing</w:t>
            </w:r>
          </w:p>
        </w:tc>
        <w:tc>
          <w:tcPr>
            <w:tcW w:w="1701" w:type="dxa"/>
            <w:tcBorders>
              <w:top w:val="nil"/>
              <w:left w:val="nil"/>
              <w:bottom w:val="nil"/>
              <w:right w:val="nil"/>
            </w:tcBorders>
            <w:noWrap/>
            <w:vAlign w:val="center"/>
            <w:hideMark/>
          </w:tcPr>
          <w:p w14:paraId="5ADC92FE" w14:textId="196B588A"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1,136</w:t>
            </w:r>
          </w:p>
        </w:tc>
        <w:tc>
          <w:tcPr>
            <w:tcW w:w="992" w:type="dxa"/>
            <w:tcBorders>
              <w:top w:val="nil"/>
              <w:left w:val="nil"/>
              <w:bottom w:val="nil"/>
              <w:right w:val="nil"/>
            </w:tcBorders>
            <w:vAlign w:val="center"/>
          </w:tcPr>
          <w:p w14:paraId="081759BF" w14:textId="6DDA9AD6" w:rsidR="0076681A" w:rsidRPr="00C04B41" w:rsidRDefault="0076681A" w:rsidP="0076681A">
            <w:pPr>
              <w:pStyle w:val="TableBody"/>
              <w:jc w:val="center"/>
              <w:rPr>
                <w:szCs w:val="19"/>
              </w:rPr>
            </w:pPr>
            <w:r>
              <w:t>-12</w:t>
            </w:r>
          </w:p>
        </w:tc>
        <w:tc>
          <w:tcPr>
            <w:tcW w:w="1418" w:type="dxa"/>
            <w:tcBorders>
              <w:top w:val="nil"/>
              <w:left w:val="nil"/>
              <w:bottom w:val="nil"/>
              <w:right w:val="nil"/>
            </w:tcBorders>
            <w:shd w:val="clear" w:color="000000" w:fill="CF3A21"/>
            <w:noWrap/>
            <w:vAlign w:val="center"/>
            <w:hideMark/>
          </w:tcPr>
          <w:p w14:paraId="5B000B7D" w14:textId="350F30CD" w:rsidR="0076681A" w:rsidRPr="00C04B41" w:rsidRDefault="0076681A" w:rsidP="0076681A">
            <w:pPr>
              <w:pStyle w:val="TableBody"/>
              <w:jc w:val="center"/>
              <w:rPr>
                <w:rFonts w:eastAsia="Times New Roman" w:cs="Times New Roman"/>
                <w:spacing w:val="0"/>
                <w:szCs w:val="19"/>
                <w:lang w:eastAsia="en-AU"/>
              </w:rPr>
            </w:pPr>
            <w:r>
              <w:t>8%</w:t>
            </w:r>
          </w:p>
        </w:tc>
      </w:tr>
      <w:tr w:rsidR="0076681A" w:rsidRPr="00C04B41" w14:paraId="18EDCAAA" w14:textId="77777777" w:rsidTr="00F51F4C">
        <w:trPr>
          <w:trHeight w:val="301"/>
          <w:jc w:val="center"/>
        </w:trPr>
        <w:tc>
          <w:tcPr>
            <w:tcW w:w="1560" w:type="dxa"/>
            <w:tcBorders>
              <w:top w:val="nil"/>
              <w:left w:val="nil"/>
              <w:bottom w:val="nil"/>
              <w:right w:val="nil"/>
            </w:tcBorders>
            <w:noWrap/>
            <w:vAlign w:val="center"/>
            <w:hideMark/>
          </w:tcPr>
          <w:p w14:paraId="5878AE87"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II</w:t>
            </w:r>
          </w:p>
        </w:tc>
        <w:tc>
          <w:tcPr>
            <w:tcW w:w="3260" w:type="dxa"/>
            <w:tcBorders>
              <w:top w:val="nil"/>
              <w:left w:val="nil"/>
              <w:bottom w:val="nil"/>
              <w:right w:val="nil"/>
            </w:tcBorders>
          </w:tcPr>
          <w:p w14:paraId="3E207E32" w14:textId="0489AFDD" w:rsidR="0076681A" w:rsidRPr="00C04B41" w:rsidRDefault="0076681A" w:rsidP="0076681A">
            <w:pPr>
              <w:pStyle w:val="TableBody"/>
              <w:rPr>
                <w:rFonts w:eastAsia="Times New Roman" w:cs="Times New Roman"/>
                <w:color w:val="000000"/>
                <w:spacing w:val="0"/>
                <w:szCs w:val="19"/>
                <w:lang w:eastAsia="en-AU"/>
              </w:rPr>
            </w:pPr>
            <w:r w:rsidRPr="008F2F10">
              <w:t>Waste Collection, Treatment and Disposal Services</w:t>
            </w:r>
          </w:p>
        </w:tc>
        <w:tc>
          <w:tcPr>
            <w:tcW w:w="1701" w:type="dxa"/>
            <w:tcBorders>
              <w:top w:val="nil"/>
              <w:left w:val="nil"/>
              <w:bottom w:val="nil"/>
              <w:right w:val="nil"/>
            </w:tcBorders>
            <w:noWrap/>
            <w:vAlign w:val="center"/>
            <w:hideMark/>
          </w:tcPr>
          <w:p w14:paraId="28CC676E" w14:textId="4A65CAC3"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1,016</w:t>
            </w:r>
          </w:p>
        </w:tc>
        <w:tc>
          <w:tcPr>
            <w:tcW w:w="992" w:type="dxa"/>
            <w:tcBorders>
              <w:top w:val="nil"/>
              <w:left w:val="nil"/>
              <w:bottom w:val="nil"/>
              <w:right w:val="nil"/>
            </w:tcBorders>
            <w:vAlign w:val="center"/>
          </w:tcPr>
          <w:p w14:paraId="18E540C8" w14:textId="1EB6A29A" w:rsidR="0076681A" w:rsidRPr="00C04B41" w:rsidRDefault="0076681A" w:rsidP="0076681A">
            <w:pPr>
              <w:pStyle w:val="TableBody"/>
              <w:jc w:val="center"/>
              <w:rPr>
                <w:szCs w:val="19"/>
              </w:rPr>
            </w:pPr>
            <w:r>
              <w:t>-3</w:t>
            </w:r>
          </w:p>
        </w:tc>
        <w:tc>
          <w:tcPr>
            <w:tcW w:w="1418" w:type="dxa"/>
            <w:tcBorders>
              <w:top w:val="nil"/>
              <w:left w:val="nil"/>
              <w:bottom w:val="nil"/>
              <w:right w:val="nil"/>
            </w:tcBorders>
            <w:shd w:val="clear" w:color="000000" w:fill="DAE182"/>
            <w:noWrap/>
            <w:vAlign w:val="center"/>
            <w:hideMark/>
          </w:tcPr>
          <w:p w14:paraId="44A8C080" w14:textId="1A5D1E9D" w:rsidR="0076681A" w:rsidRPr="00C04B41" w:rsidRDefault="0076681A" w:rsidP="0076681A">
            <w:pPr>
              <w:pStyle w:val="TableBody"/>
              <w:jc w:val="center"/>
              <w:rPr>
                <w:rFonts w:eastAsia="Times New Roman" w:cs="Times New Roman"/>
                <w:spacing w:val="0"/>
                <w:szCs w:val="19"/>
                <w:lang w:eastAsia="en-AU"/>
              </w:rPr>
            </w:pPr>
            <w:r>
              <w:t>33%</w:t>
            </w:r>
          </w:p>
        </w:tc>
      </w:tr>
      <w:tr w:rsidR="0076681A" w:rsidRPr="00C04B41" w14:paraId="51E9F33D" w14:textId="77777777" w:rsidTr="00F51F4C">
        <w:trPr>
          <w:trHeight w:val="301"/>
          <w:jc w:val="center"/>
        </w:trPr>
        <w:tc>
          <w:tcPr>
            <w:tcW w:w="1560" w:type="dxa"/>
            <w:tcBorders>
              <w:top w:val="nil"/>
              <w:left w:val="nil"/>
              <w:bottom w:val="nil"/>
              <w:right w:val="nil"/>
            </w:tcBorders>
            <w:noWrap/>
            <w:vAlign w:val="center"/>
            <w:hideMark/>
          </w:tcPr>
          <w:p w14:paraId="75849F44" w14:textId="77777777" w:rsidR="0076681A" w:rsidRPr="00C04B41" w:rsidRDefault="0076681A" w:rsidP="0076681A">
            <w:pPr>
              <w:spacing w:after="0" w:line="240" w:lineRule="auto"/>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Company LL</w:t>
            </w:r>
          </w:p>
        </w:tc>
        <w:tc>
          <w:tcPr>
            <w:tcW w:w="3260" w:type="dxa"/>
            <w:tcBorders>
              <w:top w:val="nil"/>
              <w:left w:val="nil"/>
              <w:bottom w:val="nil"/>
              <w:right w:val="nil"/>
            </w:tcBorders>
          </w:tcPr>
          <w:p w14:paraId="3C35279B" w14:textId="312C5567" w:rsidR="0076681A" w:rsidRPr="00C04B41" w:rsidRDefault="0076681A" w:rsidP="0076681A">
            <w:pPr>
              <w:pStyle w:val="TableBody"/>
              <w:rPr>
                <w:rFonts w:eastAsia="Times New Roman" w:cs="Times New Roman"/>
                <w:color w:val="000000"/>
                <w:spacing w:val="0"/>
                <w:szCs w:val="19"/>
                <w:lang w:eastAsia="en-AU"/>
              </w:rPr>
            </w:pPr>
            <w:r w:rsidRPr="008F2F10">
              <w:t>Food Product Manufacturing</w:t>
            </w:r>
          </w:p>
        </w:tc>
        <w:tc>
          <w:tcPr>
            <w:tcW w:w="1701" w:type="dxa"/>
            <w:tcBorders>
              <w:top w:val="nil"/>
              <w:left w:val="nil"/>
              <w:bottom w:val="nil"/>
              <w:right w:val="nil"/>
            </w:tcBorders>
            <w:noWrap/>
            <w:vAlign w:val="center"/>
            <w:hideMark/>
          </w:tcPr>
          <w:p w14:paraId="7BDEE6CA" w14:textId="7F961874" w:rsidR="0076681A" w:rsidRPr="00C04B41" w:rsidRDefault="0076681A" w:rsidP="006C7818">
            <w:pPr>
              <w:spacing w:after="0" w:line="240" w:lineRule="auto"/>
              <w:jc w:val="center"/>
              <w:rPr>
                <w:rFonts w:eastAsia="Times New Roman" w:cs="Times New Roman"/>
                <w:color w:val="000000"/>
                <w:spacing w:val="0"/>
                <w:szCs w:val="19"/>
                <w:lang w:eastAsia="en-AU"/>
              </w:rPr>
            </w:pPr>
            <w:r w:rsidRPr="00C04B41">
              <w:rPr>
                <w:rFonts w:eastAsia="Times New Roman" w:cs="Times New Roman"/>
                <w:color w:val="000000"/>
                <w:spacing w:val="0"/>
                <w:szCs w:val="19"/>
                <w:lang w:eastAsia="en-AU"/>
              </w:rPr>
              <w:t>3,026</w:t>
            </w:r>
          </w:p>
        </w:tc>
        <w:tc>
          <w:tcPr>
            <w:tcW w:w="992" w:type="dxa"/>
            <w:tcBorders>
              <w:top w:val="nil"/>
              <w:left w:val="nil"/>
              <w:bottom w:val="nil"/>
              <w:right w:val="nil"/>
            </w:tcBorders>
            <w:vAlign w:val="center"/>
          </w:tcPr>
          <w:p w14:paraId="5A5428CB" w14:textId="2C1C93C8" w:rsidR="0076681A" w:rsidRPr="00C04B41" w:rsidRDefault="0076681A" w:rsidP="0076681A">
            <w:pPr>
              <w:pStyle w:val="TableBody"/>
              <w:jc w:val="center"/>
              <w:rPr>
                <w:szCs w:val="19"/>
              </w:rPr>
            </w:pPr>
            <w:r>
              <w:t>-9</w:t>
            </w:r>
          </w:p>
        </w:tc>
        <w:tc>
          <w:tcPr>
            <w:tcW w:w="1418" w:type="dxa"/>
            <w:tcBorders>
              <w:top w:val="nil"/>
              <w:left w:val="nil"/>
              <w:bottom w:val="nil"/>
              <w:right w:val="nil"/>
            </w:tcBorders>
            <w:shd w:val="clear" w:color="000000" w:fill="E79252"/>
            <w:noWrap/>
            <w:vAlign w:val="center"/>
            <w:hideMark/>
          </w:tcPr>
          <w:p w14:paraId="3148D396" w14:textId="397800DA" w:rsidR="0076681A" w:rsidRPr="00C04B41" w:rsidRDefault="0076681A" w:rsidP="0076681A">
            <w:pPr>
              <w:pStyle w:val="TableBody"/>
              <w:jc w:val="center"/>
              <w:rPr>
                <w:rFonts w:eastAsia="Times New Roman" w:cs="Times New Roman"/>
                <w:spacing w:val="0"/>
                <w:szCs w:val="19"/>
                <w:lang w:eastAsia="en-AU"/>
              </w:rPr>
            </w:pPr>
            <w:r>
              <w:t>16%</w:t>
            </w:r>
          </w:p>
        </w:tc>
      </w:tr>
    </w:tbl>
    <w:p w14:paraId="00BA76D6" w14:textId="12FD5A74" w:rsidR="00E251AA" w:rsidRDefault="00E251AA" w:rsidP="00277715"/>
    <w:p w14:paraId="6A2956BD" w14:textId="1952A018" w:rsidR="003B4902" w:rsidRDefault="003B4902" w:rsidP="00777CAF">
      <w:pPr>
        <w:pStyle w:val="Heading3"/>
      </w:pPr>
      <w:bookmarkStart w:id="102" w:name="_Ref233713705"/>
      <w:bookmarkStart w:id="103" w:name="_Toc233788311"/>
      <w:r>
        <w:t>Score Distribution</w:t>
      </w:r>
      <w:bookmarkEnd w:id="102"/>
      <w:bookmarkEnd w:id="103"/>
    </w:p>
    <w:p w14:paraId="3485D0E0" w14:textId="79CCC2A3" w:rsidR="0093216F" w:rsidRDefault="0093216F" w:rsidP="0093216F">
      <w:r>
        <w:t xml:space="preserve">Across the 22 assessed companies, raw scores ranged from −12.0 to +9.0, with a mean of −3.1 and a median of −3.0. Normalised scores ranged from 8% to 66%. Only five </w:t>
      </w:r>
      <w:r w:rsidR="00F51F4C">
        <w:t xml:space="preserve">(5) </w:t>
      </w:r>
      <w:r>
        <w:t xml:space="preserve">companies, representing 23% of the cohort, recorded a positive raw score, indicating that barriers outweigh capability factors for the vast majority of participants under current conditions. </w:t>
      </w:r>
      <w:r w:rsidR="003B4902">
        <w:t xml:space="preserve">Seventeen (17) companies (77%) recorded negative raw scores, confirming a cohort that is, on paper, </w:t>
      </w:r>
      <w:r w:rsidR="00FC1DCD">
        <w:t>barrier dominated</w:t>
      </w:r>
      <w:r w:rsidR="003B4902">
        <w:t>.</w:t>
      </w:r>
    </w:p>
    <w:p w14:paraId="0CAAEF61" w14:textId="3005B6E5" w:rsidR="0093216F" w:rsidDel="00A80680" w:rsidRDefault="0093216F" w:rsidP="0093216F">
      <w:r>
        <w:t xml:space="preserve">The score distribution can be characterised across four </w:t>
      </w:r>
      <w:r w:rsidR="00F51F4C">
        <w:t xml:space="preserve">(4) </w:t>
      </w:r>
      <w:r>
        <w:t xml:space="preserve">bands. Two </w:t>
      </w:r>
      <w:r w:rsidR="000B3E15">
        <w:t xml:space="preserve">(2) </w:t>
      </w:r>
      <w:r>
        <w:t>companies recorded scores at or above +3.0, indicating a</w:t>
      </w:r>
      <w:r w:rsidR="00E371E1">
        <w:t xml:space="preserve"> profile with</w:t>
      </w:r>
      <w:r>
        <w:t xml:space="preserve"> high readiness </w:t>
      </w:r>
      <w:r w:rsidR="00E371E1">
        <w:t xml:space="preserve">potential for DR </w:t>
      </w:r>
      <w:r w:rsidR="003C60EE">
        <w:t>participation, where</w:t>
      </w:r>
      <w:r>
        <w:t xml:space="preserve"> capability factors substantially outweigh barriers: Company I (Transport Equipment Manufacturing, +9.0, 66%) and Company CC (Beverage and Tobacco Product Manufacturing, +6.5, 59%). Three </w:t>
      </w:r>
      <w:r w:rsidR="000B3E15">
        <w:t xml:space="preserve">(3) </w:t>
      </w:r>
      <w:r>
        <w:t xml:space="preserve">companies recorded moderate positive scores between 0 and +3.0: Company M (Coal Mining, +2.5, 48%), Company EE (Beverage and Tobacco Product Manufacturing, +2.5, 48%), and Company B (Polymer Product and Rubber Product Manufacturing, +2.0, 47%). Eight </w:t>
      </w:r>
      <w:r w:rsidR="000B3E15">
        <w:t xml:space="preserve">(8) </w:t>
      </w:r>
      <w:r>
        <w:t xml:space="preserve">companies recorded scores between −5 and 0, </w:t>
      </w:r>
      <w:commentRangeStart w:id="104"/>
      <w:commentRangeStart w:id="105"/>
      <w:r>
        <w:t>indicating that barriers are present but potentially addressable through targeted intervention</w:t>
      </w:r>
      <w:commentRangeEnd w:id="104"/>
      <w:r w:rsidR="005E68D1">
        <w:rPr>
          <w:rStyle w:val="CommentReference"/>
          <w:sz w:val="19"/>
          <w:szCs w:val="24"/>
        </w:rPr>
        <w:commentReference w:id="104"/>
      </w:r>
      <w:commentRangeEnd w:id="105"/>
      <w:r w:rsidR="006F226A">
        <w:rPr>
          <w:rStyle w:val="CommentReference"/>
          <w:sz w:val="19"/>
          <w:szCs w:val="24"/>
        </w:rPr>
        <w:commentReference w:id="105"/>
      </w:r>
      <w:r>
        <w:t xml:space="preserve">. </w:t>
      </w:r>
      <w:r w:rsidDel="00A80680">
        <w:t xml:space="preserve">Nine </w:t>
      </w:r>
      <w:r w:rsidR="000B3E15" w:rsidDel="00A80680">
        <w:t xml:space="preserve">(9) </w:t>
      </w:r>
      <w:r w:rsidDel="00A80680">
        <w:t>companies recorded scores at or below −5.0, indicating profiles deeply dominated by barriers, with severe structural constraints on DR participation.</w:t>
      </w:r>
    </w:p>
    <w:p w14:paraId="6817563A" w14:textId="2AE2B42A" w:rsidR="00A0635E" w:rsidRDefault="0093216F" w:rsidP="0093216F">
      <w:r>
        <w:t xml:space="preserve">Company I is the highest-scoring participant in the cohort, with a score of +9.0 (66%). This result reflects a profile combining confirmed dynamic operational capability, on-site generation, </w:t>
      </w:r>
      <w:r w:rsidR="00D82E18">
        <w:t xml:space="preserve">DR </w:t>
      </w:r>
      <w:r>
        <w:t>participation availability, the absence of a dominant continuous process constraint, and a comparatively short-notice</w:t>
      </w:r>
      <w:r w:rsidR="00FC1DCD">
        <w:t xml:space="preserve"> period</w:t>
      </w:r>
      <w:r>
        <w:t xml:space="preserve"> tolerance</w:t>
      </w:r>
      <w:r w:rsidR="00FC1DCD">
        <w:t xml:space="preserve"> of</w:t>
      </w:r>
      <w:r w:rsidR="003B4902">
        <w:t xml:space="preserve"> approximately 8 hours</w:t>
      </w:r>
      <w:r>
        <w:t xml:space="preserve">. Company HH is the lowest-scoring participant at −12.0 (8%), </w:t>
      </w:r>
      <w:r>
        <w:lastRenderedPageBreak/>
        <w:t>reflecting the simultaneous presence of organisational inertia, labour cost, technology availability, data deficiency, and continuous process barriers, with limited offsetting capability factors.</w:t>
      </w:r>
    </w:p>
    <w:p w14:paraId="1F141668" w14:textId="4DA35166" w:rsidR="00FC1DCD" w:rsidRDefault="00A0635E" w:rsidP="0093216F">
      <w:r w:rsidRPr="00193252">
        <w:t xml:space="preserve">The specific intervention required depends on which barrier is present: a Data Deficiency barrier is addressable through a structured Level 2 Energy Audit under AS 3598.2, of the kind proposed in the follow-on customer-centric DSM study in Section </w:t>
      </w:r>
      <w:r>
        <w:fldChar w:fldCharType="begin"/>
      </w:r>
      <w:r>
        <w:instrText xml:space="preserve"> REF _Ref233710158 \r \h </w:instrText>
      </w:r>
      <w:r>
        <w:fldChar w:fldCharType="separate"/>
      </w:r>
      <w:r w:rsidR="00036C9A">
        <w:t>8.2</w:t>
      </w:r>
      <w:r>
        <w:fldChar w:fldCharType="end"/>
      </w:r>
      <w:r w:rsidRPr="00193252">
        <w:t>, which would establish the equipment-level sub-metering needed to credibly identify and commit to flexible loads.</w:t>
      </w:r>
    </w:p>
    <w:p w14:paraId="6550A709" w14:textId="77777777" w:rsidR="00FC1DCD" w:rsidRDefault="00A0635E" w:rsidP="0093216F">
      <w:r w:rsidRPr="00193252">
        <w:t>An Access and Awareness barrier is addressable through targeted energy literacy and DR program education, requiring no capital investment, only improved information and engagement with existing market mechanisms.</w:t>
      </w:r>
    </w:p>
    <w:p w14:paraId="55379F3D" w14:textId="77777777" w:rsidR="00FC1DCD" w:rsidRDefault="00A0635E" w:rsidP="0093216F">
      <w:r w:rsidRPr="00A80680">
        <w:t>A Technology Availability barrier, where the underlying process itself is not a continuous one, is addressable through modest capital investment in sub-metering, automated control interfaces, or on-site generation.</w:t>
      </w:r>
    </w:p>
    <w:p w14:paraId="7A723D09" w14:textId="0CD0A21E" w:rsidR="00FC1DCD" w:rsidRDefault="00A0635E" w:rsidP="0093216F">
      <w:r w:rsidRPr="00A80680">
        <w:t>Even where a Continuous Process barrier is present, separable, non-production loads, such as air compressors and pumping systems, typically remain available for curtailment independently of the constrained process itself, as discussed further in Section</w:t>
      </w:r>
      <w:r>
        <w:t xml:space="preserve"> </w:t>
      </w:r>
      <w:r>
        <w:fldChar w:fldCharType="begin"/>
      </w:r>
      <w:r>
        <w:instrText xml:space="preserve"> REF _Ref230923949 \r \h </w:instrText>
      </w:r>
      <w:r>
        <w:fldChar w:fldCharType="separate"/>
      </w:r>
      <w:r w:rsidR="00036C9A">
        <w:t>5.5.4</w:t>
      </w:r>
      <w:r>
        <w:fldChar w:fldCharType="end"/>
      </w:r>
      <w:r w:rsidRPr="00A80680">
        <w:t>. This was directly demonstrated by a supplementary cohort participant with a continuous process and a below-threshold classification score</w:t>
      </w:r>
      <w:r w:rsidR="007A5F05">
        <w:t xml:space="preserve"> of -1 (38%)</w:t>
      </w:r>
      <w:r w:rsidRPr="00A80680">
        <w:t xml:space="preserve">, who independently shifted its operational window to create a curtailment interval and ramped flexible loads down to between 50 and 75% of normal consumption, confirming that load shifting remains operationally achievable even within a constrained facility when the company is motivated to investigate it; this case is discussed in further detail in Section </w:t>
      </w:r>
      <w:r>
        <w:fldChar w:fldCharType="begin"/>
      </w:r>
      <w:r>
        <w:instrText xml:space="preserve"> REF _Ref230925613 \r \h </w:instrText>
      </w:r>
      <w:r>
        <w:fldChar w:fldCharType="separate"/>
      </w:r>
      <w:r w:rsidR="00036C9A">
        <w:t>5.5.5</w:t>
      </w:r>
      <w:r>
        <w:fldChar w:fldCharType="end"/>
      </w:r>
      <w:r>
        <w:t>.</w:t>
      </w:r>
    </w:p>
    <w:p w14:paraId="7CC9798F" w14:textId="751DFA4D" w:rsidR="00672A68" w:rsidRDefault="00A0635E" w:rsidP="0093216F">
      <w:r w:rsidRPr="00A80680">
        <w:t xml:space="preserve">Notably, Company I </w:t>
      </w:r>
      <w:r>
        <w:t>and</w:t>
      </w:r>
      <w:r w:rsidRPr="00A80680">
        <w:t xml:space="preserve"> Company CC, the two highest-scoring participants in the cohort, both had prior or current enrolment in a formal DR program, consistent with the framework's weighting of Existing DR Participation as the strongest single predictor of continued and future participation. It is noted that a Labour Cost barrier, where present in this band, is not resolved through these interventions, as it reflects a structural economic constraint requiring the incentive redesign discussed in Section </w:t>
      </w:r>
      <w:r>
        <w:fldChar w:fldCharType="begin"/>
      </w:r>
      <w:r>
        <w:instrText xml:space="preserve"> REF _Ref230925613 \r \h </w:instrText>
      </w:r>
      <w:r>
        <w:fldChar w:fldCharType="separate"/>
      </w:r>
      <w:r w:rsidR="00036C9A">
        <w:t>5.5.5</w:t>
      </w:r>
      <w:r>
        <w:fldChar w:fldCharType="end"/>
      </w:r>
      <w:r w:rsidRPr="00A80680">
        <w:t>, rather than a site-level fix.</w:t>
      </w:r>
    </w:p>
    <w:p w14:paraId="2A541F0C" w14:textId="12F2B764" w:rsidR="004F46F4" w:rsidRPr="00D82E18" w:rsidRDefault="0093216F" w:rsidP="0093216F">
      <w:pPr>
        <w:pStyle w:val="Heading3"/>
      </w:pPr>
      <w:bookmarkStart w:id="106" w:name="_Toc233788312"/>
      <w:r w:rsidRPr="00D82E18">
        <w:t>Sector-Level Patterns</w:t>
      </w:r>
      <w:bookmarkEnd w:id="106"/>
    </w:p>
    <w:p w14:paraId="5E1050FD" w14:textId="4D9CDE03" w:rsidR="0093216F" w:rsidRDefault="0093216F" w:rsidP="0093216F">
      <w:r>
        <w:t xml:space="preserve">At the sector level, the Transport Equipment Manufacturing sector recorded the highest average raw score (+3.0), driven primarily by Company I's high score of +9.0, compared with Company F's −3.0. The Beverage and Tobacco Product Manufacturing sector recorded the second-highest sector average (+2.8), with participants scoring positively or near-neutral: </w:t>
      </w:r>
      <w:r w:rsidR="00CE058E">
        <w:t xml:space="preserve">company CC </w:t>
      </w:r>
      <w:r>
        <w:t>+6.5 (</w:t>
      </w:r>
      <w:r w:rsidR="00CE058E">
        <w:t>59%</w:t>
      </w:r>
      <w:r>
        <w:t xml:space="preserve">), </w:t>
      </w:r>
      <w:r w:rsidR="00CE058E">
        <w:t xml:space="preserve">Company EE </w:t>
      </w:r>
      <w:r>
        <w:t>+2.5 (</w:t>
      </w:r>
      <w:r w:rsidR="00CE058E">
        <w:t>48%</w:t>
      </w:r>
      <w:r>
        <w:t xml:space="preserve">), and </w:t>
      </w:r>
      <w:r w:rsidR="00CE058E">
        <w:t xml:space="preserve">Company GG </w:t>
      </w:r>
      <w:r>
        <w:t>−0.5 (</w:t>
      </w:r>
      <w:r w:rsidR="00283CD2">
        <w:t>40%</w:t>
      </w:r>
      <w:r>
        <w:t>). The Coal Mining sector (Company M only) recorded +2.5</w:t>
      </w:r>
      <w:r w:rsidR="00283CD2">
        <w:t xml:space="preserve"> (48%)</w:t>
      </w:r>
      <w:r>
        <w:t>.</w:t>
      </w:r>
    </w:p>
    <w:p w14:paraId="7DBB3BD1" w14:textId="4390E97D" w:rsidR="0093216F" w:rsidRDefault="0093216F" w:rsidP="0093216F">
      <w:r>
        <w:t>The Machinery and Equipment Manufacturing sector</w:t>
      </w:r>
      <w:r w:rsidR="00F51F4C">
        <w:t>,</w:t>
      </w:r>
      <w:r>
        <w:t xml:space="preserve"> the largest in the cohort at </w:t>
      </w:r>
      <w:r w:rsidR="00283CD2">
        <w:t xml:space="preserve">five (5) </w:t>
      </w:r>
      <w:r>
        <w:t>companies</w:t>
      </w:r>
      <w:r w:rsidR="00F51F4C">
        <w:t>,</w:t>
      </w:r>
      <w:r>
        <w:t xml:space="preserve"> recorded the lowest average score of any multi-company sector at −5.0, with every individual company scoring negatively. Scores within this sector ranged from −0.5 (Company C) to −12.0 (Company HH), illustrating that within-sector variation is as analytically significant as between-sector differences. </w:t>
      </w:r>
      <w:r w:rsidR="00283CD2" w:rsidRPr="00283CD2">
        <w:t>The Data Processing Services sector (Company E only) recorded −5.0 independently, consistent with the technology and data deficiency profile typical of a data centre operating environment</w:t>
      </w:r>
      <w:r w:rsidR="00283CD2">
        <w:t xml:space="preserve">. </w:t>
      </w:r>
      <w:r>
        <w:t xml:space="preserve">The Food Product Manufacturing sector recorded an average of −9.5, driven by </w:t>
      </w:r>
      <w:r w:rsidR="00BF37D9">
        <w:t xml:space="preserve">a combination of large-scale continuous processes, strict regulatory and food safety constraints, and limited dynamic operational capability across both </w:t>
      </w:r>
      <w:r>
        <w:t>participants.</w:t>
      </w:r>
    </w:p>
    <w:p w14:paraId="79A84ECF" w14:textId="00F8D776" w:rsidR="00283CD2" w:rsidRDefault="00283CD2" w:rsidP="0093216F">
      <w:r w:rsidRPr="00283CD2">
        <w:t>As with the earlier analysis, sector averages should not be used as the basis for program targeting. The within-sector variation observed, particularly in Machinery and Equipment Manufacturing and Polymer Product Manufacturing, which ranged from +2.0 to −9.0 across three companies, confirms that site-specific assessment remains the more reliable and equitable basis for determining DR readiness</w:t>
      </w:r>
      <w:r>
        <w:t>.</w:t>
      </w:r>
    </w:p>
    <w:p w14:paraId="01C90AE8" w14:textId="0816E60C" w:rsidR="0093216F" w:rsidRPr="00D82E18" w:rsidRDefault="0093216F" w:rsidP="0093216F">
      <w:pPr>
        <w:pStyle w:val="Heading3"/>
      </w:pPr>
      <w:bookmarkStart w:id="107" w:name="_Toc233788313"/>
      <w:r w:rsidRPr="00D82E18">
        <w:t>Notice Period Results</w:t>
      </w:r>
      <w:bookmarkEnd w:id="107"/>
    </w:p>
    <w:p w14:paraId="4DABF3C5" w14:textId="2682E2D2" w:rsidR="0093216F" w:rsidRDefault="00BF37D9" w:rsidP="0093216F">
      <w:r w:rsidRPr="00BF37D9">
        <w:t xml:space="preserve">Within the primary cohort, the minimum notice period responses ranged from one </w:t>
      </w:r>
      <w:r w:rsidR="00F51F4C">
        <w:t xml:space="preserve">(1) </w:t>
      </w:r>
      <w:r w:rsidRPr="00BF37D9">
        <w:t xml:space="preserve">hour to an absolute unwillingness to participate regardless of lead time. One company indicated a willingness to respond with as little as one hour's notice, reflecting a high degree of operational scheduling flexibility and an absence of continuous process dependency. One company indicated a minimum of eight hours, reflecting a facility where production adjustments require advance coordination but remain feasible within a working day. </w:t>
      </w:r>
      <w:r w:rsidRPr="00BF37D9">
        <w:lastRenderedPageBreak/>
        <w:t>Two companies</w:t>
      </w:r>
      <w:r w:rsidR="00157F79">
        <w:t>, Company L and Company G,</w:t>
      </w:r>
      <w:r w:rsidR="00777CAF">
        <w:t xml:space="preserve"> </w:t>
      </w:r>
      <w:r w:rsidRPr="00BF37D9">
        <w:t xml:space="preserve">expressed an absolute unwillingness to interrupt operations under any notice period, citing irreversible production losses, health and safety obligations, or contractual commitments that make </w:t>
      </w:r>
      <w:r w:rsidR="00D82E18">
        <w:t>DR</w:t>
      </w:r>
      <w:r w:rsidRPr="00BF37D9">
        <w:t xml:space="preserve"> operationally impractical regardless of lead time.</w:t>
      </w:r>
      <w:r>
        <w:t xml:space="preserve"> </w:t>
      </w:r>
    </w:p>
    <w:p w14:paraId="4C319DBD" w14:textId="743A535B" w:rsidR="00BF37D9" w:rsidRDefault="00BF37D9" w:rsidP="0093216F">
      <w:r w:rsidRPr="00BF37D9">
        <w:t>Where a participant was unable to provide a definitive response to the notice period question</w:t>
      </w:r>
      <w:r>
        <w:t xml:space="preserve">, </w:t>
      </w:r>
      <w:r w:rsidRPr="00BF37D9">
        <w:t>either due to uncertainty about their operational constraints or insufficient information to make a reliable assessment</w:t>
      </w:r>
      <w:r>
        <w:t xml:space="preserve">, </w:t>
      </w:r>
      <w:r w:rsidRPr="00BF37D9">
        <w:t xml:space="preserve">a default value of </w:t>
      </w:r>
      <w:r w:rsidR="00777CAF">
        <w:t>24 hours was assigned to ensure</w:t>
      </w:r>
      <w:r w:rsidRPr="00BF37D9">
        <w:t xml:space="preserve"> scoring consistency and normalisation across the cohort. This conservative default reflects the least favourable notice period weighting in the framework and ensures that unconfirmed flexibility is not inadvertently credited in the composite score</w:t>
      </w:r>
      <w:r>
        <w:t>.</w:t>
      </w:r>
    </w:p>
    <w:p w14:paraId="1E1C6A1B" w14:textId="66304496" w:rsidR="00A0635E" w:rsidRDefault="00FC1DCD" w:rsidP="0093216F">
      <w:r>
        <w:t xml:space="preserve">Figure 14 illustrates the number of hours of notice period reported by the participating companies. </w:t>
      </w:r>
    </w:p>
    <w:p w14:paraId="0B187375" w14:textId="77777777" w:rsidR="009373DA" w:rsidRDefault="00A0635E" w:rsidP="00777CAF">
      <w:pPr>
        <w:keepNext/>
        <w:jc w:val="center"/>
      </w:pPr>
      <w:r>
        <w:rPr>
          <w:noProof/>
        </w:rPr>
        <w:drawing>
          <wp:inline distT="0" distB="0" distL="0" distR="0" wp14:anchorId="0F078E28" wp14:editId="470383D2">
            <wp:extent cx="4572000" cy="4110446"/>
            <wp:effectExtent l="0" t="0" r="0" b="4445"/>
            <wp:docPr id="1975738380" name="Chart 1">
              <a:extLst xmlns:a="http://schemas.openxmlformats.org/drawingml/2006/main">
                <a:ext uri="{FF2B5EF4-FFF2-40B4-BE49-F238E27FC236}">
                  <a16:creationId xmlns:a16="http://schemas.microsoft.com/office/drawing/2014/main" id="{CD6D1F73-164A-091C-05FF-822FAD2442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205089" w14:textId="2B8147AE" w:rsidR="00A0635E" w:rsidRPr="00277715" w:rsidRDefault="009373DA" w:rsidP="00777CAF">
      <w:pPr>
        <w:pStyle w:val="Caption"/>
      </w:pPr>
      <w:bookmarkStart w:id="108" w:name="_Toc233788351"/>
      <w:r>
        <w:t xml:space="preserve">Figure </w:t>
      </w:r>
      <w:fldSimple w:instr=" SEQ Figure \* ARABIC ">
        <w:r w:rsidR="00036C9A">
          <w:rPr>
            <w:noProof/>
          </w:rPr>
          <w:t>14</w:t>
        </w:r>
      </w:fldSimple>
      <w:r>
        <w:t xml:space="preserve">: </w:t>
      </w:r>
      <w:r w:rsidR="00FC1DCD">
        <w:t xml:space="preserve">Hourly </w:t>
      </w:r>
      <w:r>
        <w:t>Notice Period per Participating Company</w:t>
      </w:r>
      <w:bookmarkEnd w:id="108"/>
    </w:p>
    <w:p w14:paraId="1D720478" w14:textId="40457319" w:rsidR="00277715" w:rsidRDefault="00277715" w:rsidP="00277715">
      <w:pPr>
        <w:pStyle w:val="Heading2"/>
      </w:pPr>
      <w:bookmarkStart w:id="109" w:name="_Ref230609183"/>
      <w:bookmarkStart w:id="110" w:name="_Toc233788314"/>
      <w:r>
        <w:t>Load Identification &amp; Characterisation</w:t>
      </w:r>
      <w:bookmarkEnd w:id="109"/>
      <w:bookmarkEnd w:id="110"/>
    </w:p>
    <w:p w14:paraId="00FC9281" w14:textId="132445BF" w:rsidR="0029545D" w:rsidRDefault="00F84C5F" w:rsidP="0029545D">
      <w:r>
        <w:t xml:space="preserve">As discussed in section </w:t>
      </w:r>
      <w:r>
        <w:fldChar w:fldCharType="begin"/>
      </w:r>
      <w:r>
        <w:instrText xml:space="preserve"> REF _Ref230609911 \r \h </w:instrText>
      </w:r>
      <w:r>
        <w:fldChar w:fldCharType="separate"/>
      </w:r>
      <w:r w:rsidR="00036C9A">
        <w:t>4.2.4</w:t>
      </w:r>
      <w:r>
        <w:fldChar w:fldCharType="end"/>
      </w:r>
      <w:r>
        <w:t xml:space="preserve"> </w:t>
      </w:r>
      <w:r>
        <w:fldChar w:fldCharType="begin"/>
      </w:r>
      <w:r>
        <w:instrText xml:space="preserve"> REF _Ref230609911 \h </w:instrText>
      </w:r>
      <w:r>
        <w:fldChar w:fldCharType="separate"/>
      </w:r>
      <w:r w:rsidR="00036C9A" w:rsidRPr="00F827B5">
        <w:t>Load Categories &amp; Characterisation</w:t>
      </w:r>
      <w:r>
        <w:fldChar w:fldCharType="end"/>
      </w:r>
      <w:r w:rsidR="003C3E65">
        <w:t xml:space="preserve">, </w:t>
      </w:r>
      <w:r w:rsidR="00F51F4C">
        <w:t>nine (</w:t>
      </w:r>
      <w:r w:rsidR="003C3E65">
        <w:t>9</w:t>
      </w:r>
      <w:r w:rsidR="00F51F4C">
        <w:t>)</w:t>
      </w:r>
      <w:r w:rsidR="003C3E65">
        <w:t xml:space="preserve"> load categories were identified across 11 industrial sectors in this assessment; these categories span the full spectrum of energy-intensive activities among</w:t>
      </w:r>
      <w:r w:rsidR="0029545D">
        <w:t xml:space="preserve"> industrial participants, from background infrastructure to heavy machinery production. The categories and their defining characteristics are presented </w:t>
      </w:r>
      <w:r w:rsidR="0087722E">
        <w:t>below</w:t>
      </w:r>
      <w:r w:rsidR="0029545D">
        <w:t>.</w:t>
      </w:r>
      <w:r>
        <w:t xml:space="preserve"> </w:t>
      </w:r>
    </w:p>
    <w:p w14:paraId="4C6B5847" w14:textId="0CFF63E5" w:rsidR="0087722E" w:rsidRDefault="0087722E" w:rsidP="0087722E">
      <w:pPr>
        <w:pStyle w:val="Heading3"/>
      </w:pPr>
      <w:bookmarkStart w:id="111" w:name="_Toc233788315"/>
      <w:r>
        <w:t>Characterisation</w:t>
      </w:r>
      <w:bookmarkEnd w:id="111"/>
    </w:p>
    <w:p w14:paraId="66E362AC" w14:textId="7B485F3D" w:rsidR="004D1A09" w:rsidRPr="00D82E18" w:rsidRDefault="004D1A09" w:rsidP="0087722E">
      <w:pPr>
        <w:pStyle w:val="Heading4"/>
      </w:pPr>
      <w:r w:rsidRPr="00D82E18">
        <w:t>Mechanical Loads</w:t>
      </w:r>
    </w:p>
    <w:p w14:paraId="74151EF7" w14:textId="35288F61" w:rsidR="00582B2E" w:rsidRDefault="00292394" w:rsidP="008D2F21">
      <w:r w:rsidRPr="00292394">
        <w:t xml:space="preserve">Mechanical loads constitute the largest single category, with </w:t>
      </w:r>
      <w:r w:rsidR="009E7074">
        <w:rPr>
          <w:color w:val="000000" w:themeColor="text1"/>
        </w:rPr>
        <w:t>1</w:t>
      </w:r>
      <w:r w:rsidR="00D55DA8">
        <w:rPr>
          <w:color w:val="000000" w:themeColor="text1"/>
        </w:rPr>
        <w:t>7</w:t>
      </w:r>
      <w:r w:rsidRPr="003C3E65">
        <w:rPr>
          <w:color w:val="000000" w:themeColor="text1"/>
        </w:rPr>
        <w:t xml:space="preserve"> </w:t>
      </w:r>
      <w:r w:rsidRPr="00292394">
        <w:t>distinct equipment types identified. This category encompasses production-critical machinery</w:t>
      </w:r>
      <w:r>
        <w:t>,</w:t>
      </w:r>
      <w:r w:rsidRPr="00292394">
        <w:t xml:space="preserve"> including CNC machines, machine presses,</w:t>
      </w:r>
      <w:r w:rsidR="004B7292">
        <w:t xml:space="preserve"> cutting machines,</w:t>
      </w:r>
      <w:r w:rsidRPr="00292394">
        <w:t xml:space="preserve"> overhead cranes, chippers, refiner guns, board forming machines, roll presses, trimming machines, </w:t>
      </w:r>
      <w:r w:rsidRPr="004B7292">
        <w:t>moulders, planers, and conveyors</w:t>
      </w:r>
      <w:r w:rsidRPr="00292394">
        <w:t xml:space="preserve">. The majority of mechanical loads operate on a continuous or on-demand basis and are either manned or hybrid in their control dependency, meaning their operation is directly tied to production schedules and labour availability. As a consequence, </w:t>
      </w:r>
      <w:r>
        <w:t xml:space="preserve">the </w:t>
      </w:r>
      <w:r w:rsidRPr="00292394">
        <w:t xml:space="preserve">flexibility potential for most mechanical loads </w:t>
      </w:r>
      <w:r>
        <w:t>was</w:t>
      </w:r>
      <w:r w:rsidRPr="00292394">
        <w:t xml:space="preserve"> rated low</w:t>
      </w:r>
      <w:r>
        <w:t>, as the interruption or curtailment of these loads would directly impact production output, process continuity, or workplace safety</w:t>
      </w:r>
      <w:r w:rsidRPr="00292394">
        <w:t>.</w:t>
      </w:r>
    </w:p>
    <w:p w14:paraId="49764B1D" w14:textId="4B7CEC09" w:rsidR="008D2F21" w:rsidRDefault="008D2F21" w:rsidP="008D2F21">
      <w:r>
        <w:lastRenderedPageBreak/>
        <w:t xml:space="preserve">The prevalence of continuous mechanical loads across the cohort is a significant constraint on aggregate DR potential. Many participants reported that their core production equipment could not be interrupted mid-cycle without incurring material quality losses, equipment damage, or safety incidents; this finding underscores the importance of distinguishing between theoretical and operationally realisable load flexibility. </w:t>
      </w:r>
    </w:p>
    <w:p w14:paraId="0706C1E2" w14:textId="70FE7E3C" w:rsidR="00582B2E" w:rsidRPr="00D82E18" w:rsidRDefault="00292394" w:rsidP="0087722E">
      <w:pPr>
        <w:pStyle w:val="Heading4"/>
      </w:pPr>
      <w:r w:rsidRPr="00D82E18">
        <w:t>Thermal loads</w:t>
      </w:r>
    </w:p>
    <w:p w14:paraId="1B4593A9" w14:textId="48F92FBC" w:rsidR="008D2F21" w:rsidRPr="00292394" w:rsidRDefault="00254B23" w:rsidP="008D2F21">
      <w:r>
        <w:rPr>
          <w:color w:val="000000" w:themeColor="text1"/>
        </w:rPr>
        <w:t>Eleven (</w:t>
      </w:r>
      <w:r w:rsidR="000B3E15">
        <w:rPr>
          <w:color w:val="000000" w:themeColor="text1"/>
        </w:rPr>
        <w:t>11</w:t>
      </w:r>
      <w:r>
        <w:rPr>
          <w:color w:val="000000" w:themeColor="text1"/>
        </w:rPr>
        <w:t>)</w:t>
      </w:r>
      <w:r w:rsidR="008D2F21" w:rsidRPr="003C3E65">
        <w:rPr>
          <w:color w:val="000000" w:themeColor="text1"/>
        </w:rPr>
        <w:t xml:space="preserve"> </w:t>
      </w:r>
      <w:r w:rsidR="008D2F21">
        <w:t>thermal load types were identified, including furnaces, coal and gas boilers, plastic injection machines, vulcanisers, curing ovens, infra-red ovens, hot presses, and industrial stirrers. Thermal loads exhibit a bimodal flexibility profile. Continuous thermal loads, such as furnaces, boilers, and stirrers, are rated as low flexibility, as they form the backbone of uninterruptible process-heat requirements. Batch thermal loads, including plastic injection machines, vulcanisers, curing ovens, and infra-red ovens, are rated as having medium flexibility, as their cycle-based operation allows for scheduling adjustments, provided sufficient advance notice and operational planning are in place.</w:t>
      </w:r>
    </w:p>
    <w:p w14:paraId="2B01DCCA" w14:textId="694A5BDC" w:rsidR="00292394" w:rsidRPr="00D82E18" w:rsidRDefault="00292394" w:rsidP="0087722E">
      <w:pPr>
        <w:pStyle w:val="Heading4"/>
      </w:pPr>
      <w:r w:rsidRPr="00D82E18">
        <w:t>Compressed Air</w:t>
      </w:r>
    </w:p>
    <w:p w14:paraId="017FEDA1" w14:textId="5041B5BF" w:rsidR="00292394" w:rsidRDefault="008D2F21" w:rsidP="00292394">
      <w:r>
        <w:t>Air compressors were the only equipment type identified within the compressed air category, appearing across multiple participants in various industrial settings. Despite their ubiquity, air compressors are notable as the only load type in the study rated highly flexible. Their cyclical operation pattern and automated control make them well-suited to demand response: compressor cycling can typically be adjusted within short timeframes, and stored air pressure provides a degree of operational buffer that allows brief interruptions without immediately impacting downstream processes. This characteristic makes compressed air systems a logical entry point for industrial DR participation, and one that warrants further investigation as a candidate for standardised control interfaces.</w:t>
      </w:r>
    </w:p>
    <w:p w14:paraId="23CBEE77" w14:textId="1AABD57A" w:rsidR="00292394" w:rsidRPr="00D82E18" w:rsidRDefault="00292394" w:rsidP="0087722E">
      <w:pPr>
        <w:pStyle w:val="Heading4"/>
      </w:pPr>
      <w:r w:rsidRPr="00D82E18">
        <w:t>Environmental Control</w:t>
      </w:r>
    </w:p>
    <w:p w14:paraId="6DE0FDED" w14:textId="5AD561F1" w:rsidR="008D2F21" w:rsidRDefault="003C3E65" w:rsidP="008D2F21">
      <w:r w:rsidRPr="003C3E65">
        <w:rPr>
          <w:color w:val="000000" w:themeColor="text1"/>
        </w:rPr>
        <w:t>Six</w:t>
      </w:r>
      <w:r w:rsidR="008D2F21" w:rsidRPr="003C3E65">
        <w:rPr>
          <w:color w:val="000000" w:themeColor="text1"/>
        </w:rPr>
        <w:t xml:space="preserve"> </w:t>
      </w:r>
      <w:r w:rsidR="000B3E15">
        <w:rPr>
          <w:color w:val="000000" w:themeColor="text1"/>
        </w:rPr>
        <w:t xml:space="preserve">(6) </w:t>
      </w:r>
      <w:r w:rsidR="008D2F21">
        <w:t>environmental control load types were identified: refrigeration chillers, process ventilation fans,</w:t>
      </w:r>
      <w:r w:rsidR="004B7292">
        <w:t xml:space="preserve"> </w:t>
      </w:r>
      <w:r w:rsidR="008D2F21">
        <w:t>humidifiers</w:t>
      </w:r>
      <w:r w:rsidR="004B7292">
        <w:t xml:space="preserve">, </w:t>
      </w:r>
      <w:r w:rsidR="008D2F21">
        <w:t>HEPA filtration systems</w:t>
      </w:r>
      <w:r w:rsidR="004B7292">
        <w:t>, Odour Control Furnace, and condenser systems</w:t>
      </w:r>
      <w:r w:rsidR="008D2F21">
        <w:t>. Flexibility ratings across this category are mixed. Refrigeration systems and HEPA filtration are rated low flexibility, particularly in food processing and pharmaceutical manufacturing contexts, where strict temperature and air quality standards impose regulatory constraints on any interruption. Process ventilation fans exhibit medium flexibility in some applications, depending on whether their primary function is comfort ventilation or safety-critical fume extraction.</w:t>
      </w:r>
    </w:p>
    <w:p w14:paraId="61880ED1" w14:textId="215D913C" w:rsidR="00292394" w:rsidRDefault="008D2F21" w:rsidP="008D2F21">
      <w:r>
        <w:t>The regulatory and quality-assurance constraints observed in this category illustrate a broader challenge for industrial DR programs: the potential for flexibility cannot be assessed in isolation from the compliance obligations governing a facility's operating environment. This is an area where greater collaboration between energy market operators, industry regulators, and standards bodies would be beneficial; a gap that future research could productively address.</w:t>
      </w:r>
    </w:p>
    <w:p w14:paraId="3BAD471F" w14:textId="07C78954" w:rsidR="00292394" w:rsidRPr="00422F41" w:rsidRDefault="00292394" w:rsidP="0087722E">
      <w:pPr>
        <w:pStyle w:val="Heading4"/>
      </w:pPr>
      <w:r w:rsidRPr="00422F41">
        <w:t>Pumping and Water Systems</w:t>
      </w:r>
    </w:p>
    <w:p w14:paraId="018E54AB" w14:textId="3091990F" w:rsidR="00292394" w:rsidRDefault="00F33B9A" w:rsidP="00292394">
      <w:r w:rsidRPr="003C3E65">
        <w:rPr>
          <w:color w:val="000000" w:themeColor="text1"/>
        </w:rPr>
        <w:t xml:space="preserve">Three </w:t>
      </w:r>
      <w:r w:rsidRPr="00F33B9A">
        <w:t>pumping and water system load types were identified: water pumps, wastewater treatment systems, and reverse osmosis (RO) water systems. All three are rated high flexibility, making this the most consistently flexible category in the taxonomy. Pumping loads are inherently schedulable; coupled with water storage capacity, they can provide a natural buffer that decouples pumping activity from instantaneous demand, allowing operations to be shifted to off-peak periods without disrupting production. Wastewater treatment processes similarly offer batch scheduling flexibility, provided that buffer tank capacity is sufficient to absorb the deferral period</w:t>
      </w:r>
      <w:r>
        <w:t>.</w:t>
      </w:r>
    </w:p>
    <w:p w14:paraId="7439E26E" w14:textId="6ABDCBAB" w:rsidR="00F33B9A" w:rsidRDefault="00E31B95" w:rsidP="00292394">
      <w:r w:rsidRPr="00E31B95">
        <w:t>The high flexibility of pumping loads, combined with their large energy consumption in mining and large-scale processing applications, suggests that this category may contribute a substantial proportion of accessible DR capacity relative to the number of load types. Further quantification of this capacity, particularly within the mining sector, where pumping loads are often substantial, would benefit from more detailed load studies</w:t>
      </w:r>
      <w:r>
        <w:t>.</w:t>
      </w:r>
    </w:p>
    <w:p w14:paraId="4C52E6E2" w14:textId="1C6FC270" w:rsidR="00292394" w:rsidRPr="00422F41" w:rsidRDefault="00292394" w:rsidP="0087722E">
      <w:pPr>
        <w:pStyle w:val="Heading4"/>
      </w:pPr>
      <w:r w:rsidRPr="00422F41">
        <w:t>Testing and Specialised Loads</w:t>
      </w:r>
    </w:p>
    <w:p w14:paraId="23703FE0" w14:textId="79C7CB9D" w:rsidR="00292394" w:rsidRDefault="008C52EC" w:rsidP="00292394">
      <w:r>
        <w:rPr>
          <w:color w:val="000000" w:themeColor="text1"/>
        </w:rPr>
        <w:t>Four</w:t>
      </w:r>
      <w:r w:rsidR="00735722">
        <w:rPr>
          <w:color w:val="000000" w:themeColor="text1"/>
        </w:rPr>
        <w:t xml:space="preserve"> </w:t>
      </w:r>
      <w:r w:rsidR="000B3E15">
        <w:rPr>
          <w:color w:val="000000" w:themeColor="text1"/>
        </w:rPr>
        <w:t xml:space="preserve">(4) </w:t>
      </w:r>
      <w:r w:rsidR="00E11EDD">
        <w:t xml:space="preserve">specialised load types were identified: high-voltage and low-voltage (HV/LV) electrical testing equipment, transmission testing rigs, transformer winding and testing equipment, and process ventilation fan testing. These loads are characterised by batch operation, hybrid control dependency, and medium </w:t>
      </w:r>
      <w:r w:rsidR="00E11EDD">
        <w:lastRenderedPageBreak/>
        <w:t xml:space="preserve">flexibility. Their DR suitability is primarily determined by scheduling flexibility rather than </w:t>
      </w:r>
      <w:r w:rsidR="00563EF6">
        <w:t>the ability to interrupt testing proceedings</w:t>
      </w:r>
      <w:r w:rsidR="00E11EDD">
        <w:t>. Testing activities can, in principle, be deferred or rescheduled, but the lead time required to do so may be significant, and in some cases, testing schedules are driven by external customer commitments or regulatory requirements.</w:t>
      </w:r>
    </w:p>
    <w:p w14:paraId="244F362A" w14:textId="7B7A944C" w:rsidR="00292394" w:rsidRPr="00422F41" w:rsidRDefault="00292394" w:rsidP="0087722E">
      <w:pPr>
        <w:pStyle w:val="Heading4"/>
      </w:pPr>
      <w:r w:rsidRPr="00422F41">
        <w:t>Fabrication</w:t>
      </w:r>
    </w:p>
    <w:p w14:paraId="0DDDAF2B" w14:textId="0D47A3A0" w:rsidR="00292394" w:rsidRDefault="008531B0" w:rsidP="00292394">
      <w:r>
        <w:t>Similar to compressed air, w</w:t>
      </w:r>
      <w:r w:rsidR="00E31B95" w:rsidRPr="00E31B95">
        <w:t>elding machines were the sole fabrication load type identified across the cohort. These loads are on-demand and manned, rated low flexibility, as their operation is directly tied to skilled labour availability and project scheduling. While individual welding events may be short in duration, the aggregate demand from welding operations in heavy engineering facilities can be material. The manned and project-driven nature of this load type limits the applicability of automated or preprogrammed DR response strategies.</w:t>
      </w:r>
    </w:p>
    <w:p w14:paraId="75CABB7F" w14:textId="6DC5C878" w:rsidR="0087722E" w:rsidRPr="00422F41" w:rsidRDefault="00292394" w:rsidP="0087722E">
      <w:pPr>
        <w:pStyle w:val="Heading4"/>
      </w:pPr>
      <w:r w:rsidRPr="00422F41">
        <w:t>Surface Treatment</w:t>
      </w:r>
    </w:p>
    <w:p w14:paraId="1C712FB1" w14:textId="7567B7D2" w:rsidR="00E11EDD" w:rsidRDefault="00735722" w:rsidP="0087722E">
      <w:pPr>
        <w:spacing w:after="160" w:line="276" w:lineRule="auto"/>
      </w:pPr>
      <w:r>
        <w:rPr>
          <w:color w:val="000000" w:themeColor="text1"/>
        </w:rPr>
        <w:t xml:space="preserve">Four </w:t>
      </w:r>
      <w:r w:rsidR="000B3E15">
        <w:rPr>
          <w:color w:val="000000" w:themeColor="text1"/>
        </w:rPr>
        <w:t xml:space="preserve">(4) </w:t>
      </w:r>
      <w:r w:rsidR="0087722E">
        <w:t>surface-treatment load types were identified: shot and sand</w:t>
      </w:r>
      <w:r w:rsidR="00563EF6">
        <w:t xml:space="preserve"> </w:t>
      </w:r>
      <w:r w:rsidR="0087722E">
        <w:t>blasting equipment, painting machines, and wash bays. Shot and sand blasters, and painting machines are rated medium flexibility given their batch operating mode, while wash bays are rated low flexibility due to their on-demand, manned operation. Surface treatment loads are generally post-production activities; as such, they may offer more scheduling than upstream production loads, provided that buffer stock or work-in-progress inventory can absorb the deferral.</w:t>
      </w:r>
    </w:p>
    <w:p w14:paraId="40CD3BD4" w14:textId="30CF5743" w:rsidR="00E11EDD" w:rsidRPr="00422F41" w:rsidRDefault="00E11EDD" w:rsidP="0087722E">
      <w:pPr>
        <w:pStyle w:val="Heading4"/>
      </w:pPr>
      <w:r w:rsidRPr="00422F41">
        <w:t>Background Loads</w:t>
      </w:r>
    </w:p>
    <w:p w14:paraId="22A1C633" w14:textId="58B11C45" w:rsidR="00E31B95" w:rsidRPr="00E31B95" w:rsidRDefault="00607FFC" w:rsidP="00E31B95">
      <w:r w:rsidRPr="003C3E65">
        <w:rPr>
          <w:color w:val="000000" w:themeColor="text1"/>
        </w:rPr>
        <w:t xml:space="preserve">Five </w:t>
      </w:r>
      <w:r w:rsidR="000B3E15">
        <w:rPr>
          <w:color w:val="000000" w:themeColor="text1"/>
        </w:rPr>
        <w:t xml:space="preserve">(5) </w:t>
      </w:r>
      <w:r w:rsidRPr="00607FFC">
        <w:t>background load types were identified: lighting</w:t>
      </w:r>
      <w:r>
        <w:t>, air-conditioning systems</w:t>
      </w:r>
      <w:r w:rsidRPr="00607FFC">
        <w:t xml:space="preserve">, servers and cooling infrastructure, hot water systems, and electric forklifts. </w:t>
      </w:r>
      <w:r w:rsidR="008531B0">
        <w:t xml:space="preserve">HVAC systems are rated as having medium flexibility, as their cyclical operation and thermal inertia allow for short-duration curtailment or setpoint adjustment without immediate impacts on comfort or process quality. </w:t>
      </w:r>
      <w:r w:rsidRPr="00607FFC">
        <w:t>Lighting, servers, and hot water systems</w:t>
      </w:r>
      <w:r w:rsidR="008531B0">
        <w:t xml:space="preserve">, by contrast, </w:t>
      </w:r>
      <w:r w:rsidRPr="00607FFC">
        <w:t>are continuous automated loads rated low flexibility</w:t>
      </w:r>
      <w:r>
        <w:t xml:space="preserve">; </w:t>
      </w:r>
      <w:r w:rsidRPr="00607FFC">
        <w:t>they represent essential building services that cannot be meaningfully curtailed without impacting occupant safety, data integrity, or hygiene standards. Electric forklifts represent a partial exception</w:t>
      </w:r>
      <w:r>
        <w:t>,</w:t>
      </w:r>
      <w:r w:rsidRPr="00607FFC">
        <w:t xml:space="preserve"> </w:t>
      </w:r>
      <w:r w:rsidR="008531B0">
        <w:t xml:space="preserve">in which charging schedules can be managed and there is some flexibility to shift the </w:t>
      </w:r>
      <w:r w:rsidRPr="00607FFC">
        <w:t>charging load to off-peak periods.</w:t>
      </w:r>
    </w:p>
    <w:p w14:paraId="594CA59A" w14:textId="22B28B38" w:rsidR="004D1A09" w:rsidRPr="00422F41" w:rsidRDefault="00582B2E" w:rsidP="0087722E">
      <w:pPr>
        <w:pStyle w:val="Heading3"/>
      </w:pPr>
      <w:bookmarkStart w:id="112" w:name="_Ref230907727"/>
      <w:bookmarkStart w:id="113" w:name="_Toc233788316"/>
      <w:r w:rsidRPr="00422F41">
        <w:t>Taxonomy of Load</w:t>
      </w:r>
      <w:r w:rsidR="00E11EDD" w:rsidRPr="00422F41">
        <w:t xml:space="preserve"> Categories</w:t>
      </w:r>
      <w:r w:rsidRPr="00422F41">
        <w:t xml:space="preserve"> </w:t>
      </w:r>
      <w:r w:rsidR="0087722E" w:rsidRPr="00422F41">
        <w:t>and Industrial Loads</w:t>
      </w:r>
      <w:bookmarkEnd w:id="112"/>
      <w:bookmarkEnd w:id="113"/>
    </w:p>
    <w:p w14:paraId="58D19F24" w14:textId="000B0CD4" w:rsidR="00394942" w:rsidRDefault="00CC5B22" w:rsidP="00292394">
      <w:r>
        <w:t>T</w:t>
      </w:r>
      <w:r w:rsidR="00277715" w:rsidRPr="005960B2">
        <w:t>he</w:t>
      </w:r>
      <w:r w:rsidR="00422F41">
        <w:t xml:space="preserve"> t</w:t>
      </w:r>
      <w:r w:rsidR="00277715" w:rsidRPr="005960B2">
        <w:t xml:space="preserve">axonomy of load developed </w:t>
      </w:r>
      <w:r w:rsidR="00422F41">
        <w:t>from the</w:t>
      </w:r>
      <w:r w:rsidR="00EA54F9">
        <w:t xml:space="preserve"> industrial load identified across the industrial </w:t>
      </w:r>
      <w:r w:rsidR="00277715" w:rsidRPr="005960B2">
        <w:t>stakeholders</w:t>
      </w:r>
      <w:r w:rsidR="00422F41">
        <w:t xml:space="preserve"> that have medium and high flexibility potential</w:t>
      </w:r>
      <w:r w:rsidR="00277715" w:rsidRPr="005960B2">
        <w:t>, including operational type, control dependency, and flexibility potential assigned to each load type</w:t>
      </w:r>
      <w:r>
        <w:t xml:space="preserve">, is presented below in </w:t>
      </w:r>
      <w:r w:rsidRPr="005960B2">
        <w:fldChar w:fldCharType="begin"/>
      </w:r>
      <w:r w:rsidRPr="005960B2">
        <w:instrText xml:space="preserve"> REF _Ref230350476 \h </w:instrText>
      </w:r>
      <w:r>
        <w:instrText xml:space="preserve"> \* MERGEFORMAT </w:instrText>
      </w:r>
      <w:r w:rsidRPr="005960B2">
        <w:fldChar w:fldCharType="separate"/>
      </w:r>
      <w:r w:rsidR="00036C9A" w:rsidRPr="00A8240A">
        <w:t>Table</w:t>
      </w:r>
      <w:r w:rsidR="00036C9A">
        <w:t xml:space="preserve"> 10</w:t>
      </w:r>
      <w:r w:rsidRPr="005960B2">
        <w:fldChar w:fldCharType="end"/>
      </w:r>
      <w:r w:rsidR="00277715" w:rsidRPr="005960B2">
        <w:t xml:space="preserve">. </w:t>
      </w:r>
      <w:r w:rsidR="00422F41">
        <w:t xml:space="preserve">The Full taxonomy of load is presented in </w:t>
      </w:r>
      <w:r w:rsidR="00422F41">
        <w:fldChar w:fldCharType="begin"/>
      </w:r>
      <w:r w:rsidR="00422F41">
        <w:instrText xml:space="preserve"> REF _Ref231042905 \r \h </w:instrText>
      </w:r>
      <w:r w:rsidR="00422F41">
        <w:fldChar w:fldCharType="separate"/>
      </w:r>
      <w:r w:rsidR="00036C9A">
        <w:t>Appendix C</w:t>
      </w:r>
      <w:r w:rsidR="00422F41">
        <w:fldChar w:fldCharType="end"/>
      </w:r>
      <w:r w:rsidR="00422F41">
        <w:t>.</w:t>
      </w:r>
    </w:p>
    <w:p w14:paraId="71CBD436" w14:textId="5D478A22" w:rsidR="0006331B" w:rsidRDefault="0006331B" w:rsidP="0006331B">
      <w:r w:rsidRPr="0006331B">
        <w:t>It is acknowledged that this taxonomy characterises load types by their general operating profile, control dependency, and indicative flexibility potential, rather than by their specific suitability for individual DSM strategies</w:t>
      </w:r>
      <w:r>
        <w:t xml:space="preserve">, such as those presented in </w:t>
      </w:r>
      <w:r>
        <w:fldChar w:fldCharType="begin"/>
      </w:r>
      <w:r>
        <w:instrText xml:space="preserve"> REF _Ref230832957 \h  \* MERGEFORMAT </w:instrText>
      </w:r>
      <w:r>
        <w:fldChar w:fldCharType="separate"/>
      </w:r>
      <w:r w:rsidR="00036C9A">
        <w:t xml:space="preserve">Table </w:t>
      </w:r>
      <w:r w:rsidR="00036C9A">
        <w:rPr>
          <w:noProof/>
        </w:rPr>
        <w:t>2</w:t>
      </w:r>
      <w:r>
        <w:fldChar w:fldCharType="end"/>
      </w:r>
      <w:r>
        <w:t xml:space="preserve"> in Section </w:t>
      </w:r>
      <w:r>
        <w:fldChar w:fldCharType="begin"/>
      </w:r>
      <w:r>
        <w:instrText xml:space="preserve"> REF _Ref233680049 \r \h  \* MERGEFORMAT </w:instrText>
      </w:r>
      <w:r>
        <w:fldChar w:fldCharType="separate"/>
      </w:r>
      <w:r w:rsidR="00036C9A">
        <w:t>2.1.3.1</w:t>
      </w:r>
      <w:r>
        <w:fldChar w:fldCharType="end"/>
      </w:r>
      <w:r w:rsidRPr="0006331B">
        <w:t xml:space="preserve"> or market mechanisms such as FCAS, wholesale energy markets, or local network flexibility services. Establishing which load categories could realistically participate in a given mechanism, and under what ramping, scheduling, or response-time constraints, requires a level of equipment-specific technical detail that was not available from the majority of participants in this study, consistent with the data deficiency barrier identified in Section </w:t>
      </w:r>
      <w:r>
        <w:fldChar w:fldCharType="begin"/>
      </w:r>
      <w:r>
        <w:instrText xml:space="preserve"> REF _Ref233679882 \r \h  \* MERGEFORMAT </w:instrText>
      </w:r>
      <w:r>
        <w:fldChar w:fldCharType="separate"/>
      </w:r>
      <w:r w:rsidR="00036C9A">
        <w:t>5.1</w:t>
      </w:r>
      <w:r>
        <w:fldChar w:fldCharType="end"/>
      </w:r>
      <w:r w:rsidRPr="0006331B">
        <w:t xml:space="preserve">. This level of detail can only be reliably established through a structured, site-based energy assessment of the kind proposed in the customer-centric demand-side management study outlined in Section </w:t>
      </w:r>
      <w:r>
        <w:fldChar w:fldCharType="begin"/>
      </w:r>
      <w:r>
        <w:instrText xml:space="preserve"> REF _Ref230770895 \r \h  \* MERGEFORMAT </w:instrText>
      </w:r>
      <w:r>
        <w:fldChar w:fldCharType="separate"/>
      </w:r>
      <w:r w:rsidR="00036C9A">
        <w:t>8</w:t>
      </w:r>
      <w:r>
        <w:fldChar w:fldCharType="end"/>
      </w:r>
      <w:r w:rsidRPr="0006331B">
        <w:t>, which would generate the equipment-level data needed to map specific load types to specific DSM strategies and market participation pathways with confidence.</w:t>
      </w:r>
    </w:p>
    <w:p w14:paraId="7E572AF7" w14:textId="77777777" w:rsidR="00AA20B9" w:rsidRDefault="00AA20B9" w:rsidP="00AA20B9">
      <w:r>
        <w:t>The operation types referenced in Table 10 are defined as follows:</w:t>
      </w:r>
    </w:p>
    <w:p w14:paraId="4AA75A80" w14:textId="77777777" w:rsidR="00AA20B9" w:rsidRDefault="00AA20B9" w:rsidP="00777CAF">
      <w:pPr>
        <w:pStyle w:val="ListParagraph"/>
        <w:numPr>
          <w:ilvl w:val="0"/>
          <w:numId w:val="34"/>
        </w:numPr>
      </w:pPr>
      <w:r>
        <w:t>Continuous: equipment or processes that operate without interruption for the duration of the production cycle, where stopping mid-cycle results in product loss, equipment damage, or process restart penalties.</w:t>
      </w:r>
    </w:p>
    <w:p w14:paraId="1147BC24" w14:textId="77777777" w:rsidR="00AA20B9" w:rsidRDefault="00AA20B9" w:rsidP="00777CAF">
      <w:pPr>
        <w:pStyle w:val="ListParagraph"/>
        <w:numPr>
          <w:ilvl w:val="0"/>
          <w:numId w:val="34"/>
        </w:numPr>
      </w:pPr>
      <w:r>
        <w:t>Batch: equipment or processes with a defined start and end to each production cycle, where the load is technically schedulable in time, subject to operational and economic constraints such as labour cost and production planning requirements.</w:t>
      </w:r>
    </w:p>
    <w:p w14:paraId="08096A2D" w14:textId="77777777" w:rsidR="00AA20B9" w:rsidRDefault="00AA20B9" w:rsidP="00777CAF">
      <w:pPr>
        <w:pStyle w:val="ListParagraph"/>
        <w:numPr>
          <w:ilvl w:val="0"/>
          <w:numId w:val="34"/>
        </w:numPr>
      </w:pPr>
      <w:r>
        <w:lastRenderedPageBreak/>
        <w:t>Cyclical: equipment that operates in a repeating on-off or high-low pattern as part of its normal function, independent of any single production event, such as compressors or pumps responding to pressure or level setpoints.</w:t>
      </w:r>
    </w:p>
    <w:p w14:paraId="6C3B038E" w14:textId="77777777" w:rsidR="00AA20B9" w:rsidRDefault="00AA20B9" w:rsidP="00777CAF">
      <w:pPr>
        <w:pStyle w:val="ListParagraph"/>
        <w:numPr>
          <w:ilvl w:val="0"/>
          <w:numId w:val="34"/>
        </w:numPr>
      </w:pPr>
      <w:r>
        <w:t>On-demand: equipment that is activated as required by an operator or a specific task, with no fixed operating schedule, typically tied to labour availability and immediate production needs.</w:t>
      </w:r>
    </w:p>
    <w:p w14:paraId="5550A195" w14:textId="77777777" w:rsidR="00AA20B9" w:rsidRDefault="00AA20B9" w:rsidP="00AA20B9">
      <w:r>
        <w:t>The control dependency categories are defined as follows:</w:t>
      </w:r>
    </w:p>
    <w:p w14:paraId="505FEE73" w14:textId="77777777" w:rsidR="00AA20B9" w:rsidRDefault="00AA20B9" w:rsidP="00777CAF">
      <w:pPr>
        <w:pStyle w:val="ListParagraph"/>
        <w:numPr>
          <w:ilvl w:val="0"/>
          <w:numId w:val="33"/>
        </w:numPr>
      </w:pPr>
      <w:r>
        <w:t>Automated: equipment that operates under programmed or automatic control with minimal or no direct operator intervention during normal operation.</w:t>
      </w:r>
    </w:p>
    <w:p w14:paraId="0B4B85B3" w14:textId="77777777" w:rsidR="00AA20B9" w:rsidRDefault="00AA20B9" w:rsidP="00777CAF">
      <w:pPr>
        <w:pStyle w:val="ListParagraph"/>
        <w:numPr>
          <w:ilvl w:val="0"/>
          <w:numId w:val="33"/>
        </w:numPr>
      </w:pPr>
      <w:r>
        <w:t>Manned: equipment that requires direct operator control or supervision to function, such that its operation is inherently tied to labour presence and availability.</w:t>
      </w:r>
    </w:p>
    <w:p w14:paraId="6C5C25DA" w14:textId="48C749FD" w:rsidR="00AA20B9" w:rsidRDefault="00AA20B9" w:rsidP="00AA20B9">
      <w:pPr>
        <w:pStyle w:val="ListParagraph"/>
        <w:numPr>
          <w:ilvl w:val="0"/>
          <w:numId w:val="33"/>
        </w:numPr>
      </w:pPr>
      <w:r>
        <w:t>Hybrid: equipment that combines automated control with a degree of operator oversight or intervention, such that full automation is not achieved</w:t>
      </w:r>
      <w:r w:rsidR="00CC5B22">
        <w:t>,</w:t>
      </w:r>
      <w:r>
        <w:t xml:space="preserve"> but some operational flexibility exists independent of direct manual control.</w:t>
      </w:r>
    </w:p>
    <w:p w14:paraId="2B6056DC" w14:textId="79C60067" w:rsidR="00CC5B22" w:rsidRDefault="00CC5B22" w:rsidP="0006331B">
      <w:r>
        <w:t>Flexibility potential, as assigned in Table 10, reflects the practical capacity of each load type to be curtailed, shifted, or modulated without unacceptable operational safety or product consequence and is informed by both the operation type and control dependency classification above.</w:t>
      </w:r>
    </w:p>
    <w:p w14:paraId="3C93A09F" w14:textId="5DD4211B" w:rsidR="00B83541" w:rsidRDefault="00B83541" w:rsidP="00B83541">
      <w:pPr>
        <w:pStyle w:val="Caption"/>
        <w:keepNext/>
      </w:pPr>
      <w:bookmarkStart w:id="114" w:name="_Ref230350476"/>
      <w:bookmarkStart w:id="115" w:name="_Toc233788363"/>
      <w:r w:rsidRPr="00A8240A">
        <w:t>Table</w:t>
      </w:r>
      <w:r>
        <w:t xml:space="preserve"> </w:t>
      </w:r>
      <w:fldSimple w:instr=" SEQ Table \* ARABIC ">
        <w:r w:rsidR="00036C9A">
          <w:rPr>
            <w:noProof/>
          </w:rPr>
          <w:t>10</w:t>
        </w:r>
      </w:fldSimple>
      <w:bookmarkEnd w:id="114"/>
      <w:r>
        <w:t xml:space="preserve">: Taxonomy of </w:t>
      </w:r>
      <w:r w:rsidR="0087722E">
        <w:t xml:space="preserve">Industrial </w:t>
      </w:r>
      <w:r>
        <w:t>Load</w:t>
      </w:r>
      <w:r w:rsidR="0087722E">
        <w:t>s</w:t>
      </w:r>
      <w:r>
        <w:t xml:space="preserve"> Identified Across Participating </w:t>
      </w:r>
      <w:r w:rsidR="0087722E">
        <w:t>Industries</w:t>
      </w:r>
      <w:r w:rsidR="00910886">
        <w:t xml:space="preserve"> with Medium and High Flexibility Potential</w:t>
      </w:r>
      <w:bookmarkEnd w:id="115"/>
    </w:p>
    <w:tbl>
      <w:tblPr>
        <w:tblStyle w:val="AdvitechTable"/>
        <w:tblW w:w="4486" w:type="pct"/>
        <w:jc w:val="center"/>
        <w:tblLook w:val="0420" w:firstRow="1" w:lastRow="0" w:firstColumn="0" w:lastColumn="0" w:noHBand="0" w:noVBand="1"/>
      </w:tblPr>
      <w:tblGrid>
        <w:gridCol w:w="2977"/>
        <w:gridCol w:w="1843"/>
        <w:gridCol w:w="1700"/>
        <w:gridCol w:w="2127"/>
      </w:tblGrid>
      <w:tr w:rsidR="00342F3C" w:rsidRPr="00563EF6" w14:paraId="47C40114" w14:textId="77777777" w:rsidTr="00563EF6">
        <w:trPr>
          <w:cnfStyle w:val="100000000000" w:firstRow="1" w:lastRow="0" w:firstColumn="0" w:lastColumn="0" w:oddVBand="0" w:evenVBand="0" w:oddHBand="0" w:evenHBand="0" w:firstRowFirstColumn="0" w:firstRowLastColumn="0" w:lastRowFirstColumn="0" w:lastRowLastColumn="0"/>
          <w:cantSplit/>
          <w:tblHeader/>
          <w:jc w:val="center"/>
        </w:trPr>
        <w:tc>
          <w:tcPr>
            <w:tcW w:w="1721" w:type="pct"/>
            <w:vAlign w:val="top"/>
          </w:tcPr>
          <w:p w14:paraId="46F627D1" w14:textId="23F0A0A6" w:rsidR="00342F3C" w:rsidRPr="00563EF6" w:rsidRDefault="00342F3C" w:rsidP="00563EF6">
            <w:pPr>
              <w:pStyle w:val="TableBody"/>
              <w:spacing w:before="120"/>
              <w:rPr>
                <w:b/>
                <w:bCs/>
                <w:szCs w:val="19"/>
              </w:rPr>
            </w:pPr>
            <w:r w:rsidRPr="00563EF6">
              <w:rPr>
                <w:b/>
                <w:bCs/>
                <w:szCs w:val="19"/>
              </w:rPr>
              <w:t>Equipment /</w:t>
            </w:r>
            <w:r w:rsidR="00563EF6">
              <w:rPr>
                <w:b/>
                <w:bCs/>
                <w:szCs w:val="19"/>
              </w:rPr>
              <w:t xml:space="preserve"> </w:t>
            </w:r>
            <w:r w:rsidRPr="00563EF6">
              <w:rPr>
                <w:b/>
                <w:bCs/>
                <w:szCs w:val="19"/>
              </w:rPr>
              <w:t xml:space="preserve">Load </w:t>
            </w:r>
            <w:r w:rsidR="00563EF6" w:rsidRPr="00563EF6">
              <w:rPr>
                <w:b/>
                <w:bCs/>
                <w:szCs w:val="19"/>
              </w:rPr>
              <w:t>T</w:t>
            </w:r>
            <w:r w:rsidRPr="00563EF6">
              <w:rPr>
                <w:b/>
                <w:bCs/>
                <w:szCs w:val="19"/>
              </w:rPr>
              <w:t>ype</w:t>
            </w:r>
          </w:p>
        </w:tc>
        <w:tc>
          <w:tcPr>
            <w:tcW w:w="1065" w:type="pct"/>
            <w:vAlign w:val="top"/>
          </w:tcPr>
          <w:p w14:paraId="6C6269F2" w14:textId="1E3C716A" w:rsidR="00342F3C" w:rsidRPr="00563EF6" w:rsidRDefault="00342F3C" w:rsidP="00563EF6">
            <w:pPr>
              <w:pStyle w:val="TableBody"/>
              <w:spacing w:before="120"/>
              <w:rPr>
                <w:b/>
                <w:bCs/>
                <w:szCs w:val="19"/>
              </w:rPr>
            </w:pPr>
            <w:r w:rsidRPr="00563EF6">
              <w:rPr>
                <w:b/>
                <w:bCs/>
                <w:szCs w:val="19"/>
              </w:rPr>
              <w:t>Operation Type</w:t>
            </w:r>
          </w:p>
        </w:tc>
        <w:tc>
          <w:tcPr>
            <w:tcW w:w="983" w:type="pct"/>
            <w:vAlign w:val="top"/>
          </w:tcPr>
          <w:p w14:paraId="16874DC5" w14:textId="286FB5DE" w:rsidR="00342F3C" w:rsidRPr="00563EF6" w:rsidRDefault="00342F3C" w:rsidP="00563EF6">
            <w:pPr>
              <w:pStyle w:val="TableBody"/>
              <w:spacing w:before="120"/>
              <w:rPr>
                <w:b/>
                <w:bCs/>
                <w:szCs w:val="19"/>
              </w:rPr>
            </w:pPr>
            <w:r w:rsidRPr="00563EF6">
              <w:rPr>
                <w:b/>
                <w:bCs/>
                <w:szCs w:val="19"/>
              </w:rPr>
              <w:t>Dependency</w:t>
            </w:r>
          </w:p>
        </w:tc>
        <w:tc>
          <w:tcPr>
            <w:tcW w:w="1230" w:type="pct"/>
            <w:vAlign w:val="top"/>
          </w:tcPr>
          <w:p w14:paraId="7CD809F3" w14:textId="4BEC7A08" w:rsidR="00342F3C" w:rsidRPr="00563EF6" w:rsidRDefault="00342F3C" w:rsidP="00563EF6">
            <w:pPr>
              <w:pStyle w:val="TableBody"/>
              <w:spacing w:before="120"/>
              <w:rPr>
                <w:b/>
                <w:bCs/>
                <w:szCs w:val="19"/>
              </w:rPr>
            </w:pPr>
            <w:r w:rsidRPr="00563EF6">
              <w:rPr>
                <w:b/>
                <w:bCs/>
                <w:szCs w:val="19"/>
              </w:rPr>
              <w:t>Flexibility Potential</w:t>
            </w:r>
          </w:p>
        </w:tc>
      </w:tr>
      <w:tr w:rsidR="00342F3C" w:rsidRPr="00563EF6" w14:paraId="0B9A21AE" w14:textId="77777777" w:rsidTr="00563EF6">
        <w:trPr>
          <w:trHeight w:val="57"/>
          <w:jc w:val="center"/>
        </w:trPr>
        <w:tc>
          <w:tcPr>
            <w:tcW w:w="4999" w:type="pct"/>
            <w:gridSpan w:val="4"/>
            <w:shd w:val="clear" w:color="auto" w:fill="D9D9D9" w:themeFill="background1" w:themeFillShade="D9"/>
          </w:tcPr>
          <w:p w14:paraId="3A167BDA" w14:textId="44774A8F" w:rsidR="00342F3C" w:rsidRPr="00563EF6" w:rsidRDefault="00342F3C" w:rsidP="00342F3C">
            <w:pPr>
              <w:pStyle w:val="TableBody"/>
              <w:jc w:val="center"/>
              <w:rPr>
                <w:b/>
                <w:bCs/>
                <w:color w:val="000000" w:themeColor="text1"/>
                <w:szCs w:val="19"/>
              </w:rPr>
            </w:pPr>
            <w:r w:rsidRPr="00563EF6">
              <w:rPr>
                <w:b/>
                <w:bCs/>
                <w:color w:val="000000" w:themeColor="text1"/>
                <w:szCs w:val="19"/>
              </w:rPr>
              <w:t>Mechanical Loads</w:t>
            </w:r>
          </w:p>
        </w:tc>
      </w:tr>
      <w:tr w:rsidR="00342F3C" w:rsidRPr="00563EF6" w14:paraId="023DCF44" w14:textId="77777777" w:rsidTr="00563EF6">
        <w:trPr>
          <w:jc w:val="center"/>
        </w:trPr>
        <w:tc>
          <w:tcPr>
            <w:tcW w:w="1721" w:type="pct"/>
            <w:vAlign w:val="top"/>
          </w:tcPr>
          <w:p w14:paraId="5C662537" w14:textId="4F790FF4" w:rsidR="00342F3C" w:rsidRPr="00563EF6" w:rsidRDefault="00342F3C" w:rsidP="00342F3C">
            <w:pPr>
              <w:pStyle w:val="TableBody"/>
              <w:rPr>
                <w:szCs w:val="19"/>
              </w:rPr>
            </w:pPr>
            <w:r w:rsidRPr="00563EF6">
              <w:rPr>
                <w:szCs w:val="19"/>
              </w:rPr>
              <w:t>Winery equipment (presses, crushers, RVD, et cetera)</w:t>
            </w:r>
          </w:p>
        </w:tc>
        <w:tc>
          <w:tcPr>
            <w:tcW w:w="1065" w:type="pct"/>
            <w:vAlign w:val="top"/>
          </w:tcPr>
          <w:p w14:paraId="55AE9D59" w14:textId="570C0148" w:rsidR="00342F3C" w:rsidRPr="00563EF6" w:rsidRDefault="00342F3C" w:rsidP="0006331B">
            <w:pPr>
              <w:pStyle w:val="TableBody"/>
              <w:jc w:val="center"/>
              <w:rPr>
                <w:szCs w:val="19"/>
              </w:rPr>
            </w:pPr>
            <w:r w:rsidRPr="00563EF6">
              <w:rPr>
                <w:szCs w:val="19"/>
              </w:rPr>
              <w:t>On-</w:t>
            </w:r>
            <w:r w:rsidR="00545687" w:rsidRPr="00563EF6">
              <w:rPr>
                <w:szCs w:val="19"/>
              </w:rPr>
              <w:t>d</w:t>
            </w:r>
            <w:r w:rsidRPr="00563EF6">
              <w:rPr>
                <w:szCs w:val="19"/>
              </w:rPr>
              <w:t>emand</w:t>
            </w:r>
          </w:p>
        </w:tc>
        <w:tc>
          <w:tcPr>
            <w:tcW w:w="983" w:type="pct"/>
            <w:vAlign w:val="top"/>
          </w:tcPr>
          <w:p w14:paraId="26D74E87" w14:textId="669CA120" w:rsidR="00342F3C" w:rsidRPr="00563EF6" w:rsidRDefault="00342F3C" w:rsidP="00563EF6">
            <w:pPr>
              <w:pStyle w:val="TableBody"/>
              <w:jc w:val="center"/>
              <w:rPr>
                <w:szCs w:val="19"/>
              </w:rPr>
            </w:pPr>
            <w:r w:rsidRPr="00563EF6">
              <w:rPr>
                <w:szCs w:val="19"/>
              </w:rPr>
              <w:t>Hybrid</w:t>
            </w:r>
          </w:p>
        </w:tc>
        <w:tc>
          <w:tcPr>
            <w:tcW w:w="1230" w:type="pct"/>
            <w:vAlign w:val="top"/>
          </w:tcPr>
          <w:p w14:paraId="3708826A" w14:textId="1A9347F9"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21E0855A" w14:textId="77777777" w:rsidTr="00563EF6">
        <w:trPr>
          <w:jc w:val="center"/>
        </w:trPr>
        <w:tc>
          <w:tcPr>
            <w:tcW w:w="1721" w:type="pct"/>
            <w:vAlign w:val="top"/>
          </w:tcPr>
          <w:p w14:paraId="5340B4AA" w14:textId="23E85768" w:rsidR="00342F3C" w:rsidRPr="00563EF6" w:rsidRDefault="00342F3C" w:rsidP="00342F3C">
            <w:pPr>
              <w:pStyle w:val="TableBody"/>
              <w:rPr>
                <w:szCs w:val="19"/>
              </w:rPr>
            </w:pPr>
            <w:r w:rsidRPr="00563EF6">
              <w:rPr>
                <w:szCs w:val="19"/>
              </w:rPr>
              <w:t>Chippers</w:t>
            </w:r>
          </w:p>
        </w:tc>
        <w:tc>
          <w:tcPr>
            <w:tcW w:w="1065" w:type="pct"/>
            <w:vAlign w:val="top"/>
          </w:tcPr>
          <w:p w14:paraId="745FBBF1" w14:textId="4E8653D9" w:rsidR="00342F3C" w:rsidRPr="00563EF6" w:rsidRDefault="00342F3C" w:rsidP="0006331B">
            <w:pPr>
              <w:pStyle w:val="TableBody"/>
              <w:jc w:val="center"/>
              <w:rPr>
                <w:szCs w:val="19"/>
              </w:rPr>
            </w:pPr>
            <w:r w:rsidRPr="00563EF6">
              <w:rPr>
                <w:szCs w:val="19"/>
              </w:rPr>
              <w:t>Batch</w:t>
            </w:r>
          </w:p>
        </w:tc>
        <w:tc>
          <w:tcPr>
            <w:tcW w:w="983" w:type="pct"/>
            <w:vAlign w:val="top"/>
          </w:tcPr>
          <w:p w14:paraId="17B9F2C1" w14:textId="780E953D" w:rsidR="00342F3C" w:rsidRPr="00563EF6" w:rsidRDefault="00342F3C" w:rsidP="00563EF6">
            <w:pPr>
              <w:pStyle w:val="TableBody"/>
              <w:jc w:val="center"/>
              <w:rPr>
                <w:szCs w:val="19"/>
              </w:rPr>
            </w:pPr>
            <w:r w:rsidRPr="00563EF6">
              <w:rPr>
                <w:szCs w:val="19"/>
              </w:rPr>
              <w:t>Hybrid</w:t>
            </w:r>
          </w:p>
        </w:tc>
        <w:tc>
          <w:tcPr>
            <w:tcW w:w="1230" w:type="pct"/>
            <w:vAlign w:val="top"/>
          </w:tcPr>
          <w:p w14:paraId="53A2A6A9" w14:textId="4049B70B"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5983A018" w14:textId="77777777" w:rsidTr="00563EF6">
        <w:trPr>
          <w:jc w:val="center"/>
        </w:trPr>
        <w:tc>
          <w:tcPr>
            <w:tcW w:w="4999" w:type="pct"/>
            <w:gridSpan w:val="4"/>
            <w:shd w:val="clear" w:color="auto" w:fill="D9D9D9" w:themeFill="background1" w:themeFillShade="D9"/>
            <w:vAlign w:val="top"/>
          </w:tcPr>
          <w:p w14:paraId="49D05CC4" w14:textId="0F384FA0" w:rsidR="00342F3C" w:rsidRPr="00563EF6" w:rsidRDefault="00342F3C" w:rsidP="00342F3C">
            <w:pPr>
              <w:pStyle w:val="TableBody"/>
              <w:jc w:val="center"/>
              <w:rPr>
                <w:b/>
                <w:bCs/>
                <w:szCs w:val="19"/>
              </w:rPr>
            </w:pPr>
            <w:r w:rsidRPr="00563EF6">
              <w:rPr>
                <w:b/>
                <w:bCs/>
                <w:szCs w:val="19"/>
              </w:rPr>
              <w:t>Thermal Loads</w:t>
            </w:r>
          </w:p>
        </w:tc>
      </w:tr>
      <w:tr w:rsidR="00342F3C" w:rsidRPr="00563EF6" w14:paraId="3197DC95" w14:textId="77777777" w:rsidTr="00563EF6">
        <w:trPr>
          <w:jc w:val="center"/>
        </w:trPr>
        <w:tc>
          <w:tcPr>
            <w:tcW w:w="1721" w:type="pct"/>
            <w:vAlign w:val="top"/>
          </w:tcPr>
          <w:p w14:paraId="23F385C4" w14:textId="1D325960" w:rsidR="00342F3C" w:rsidRPr="00563EF6" w:rsidRDefault="00342F3C" w:rsidP="00342F3C">
            <w:pPr>
              <w:pStyle w:val="TableBody"/>
              <w:rPr>
                <w:szCs w:val="19"/>
              </w:rPr>
            </w:pPr>
            <w:r w:rsidRPr="00563EF6">
              <w:rPr>
                <w:szCs w:val="19"/>
              </w:rPr>
              <w:t>Dryer</w:t>
            </w:r>
          </w:p>
        </w:tc>
        <w:tc>
          <w:tcPr>
            <w:tcW w:w="1065" w:type="pct"/>
            <w:vAlign w:val="top"/>
          </w:tcPr>
          <w:p w14:paraId="505F74D6" w14:textId="2F9B7BC3" w:rsidR="00342F3C" w:rsidRPr="00563EF6" w:rsidRDefault="00342F3C" w:rsidP="00563EF6">
            <w:pPr>
              <w:pStyle w:val="TableBody"/>
              <w:jc w:val="center"/>
              <w:rPr>
                <w:szCs w:val="19"/>
              </w:rPr>
            </w:pPr>
            <w:r w:rsidRPr="00563EF6">
              <w:rPr>
                <w:szCs w:val="19"/>
              </w:rPr>
              <w:t>Batch</w:t>
            </w:r>
          </w:p>
        </w:tc>
        <w:tc>
          <w:tcPr>
            <w:tcW w:w="983" w:type="pct"/>
            <w:vAlign w:val="top"/>
          </w:tcPr>
          <w:p w14:paraId="79121E44" w14:textId="7AE7B10B" w:rsidR="00342F3C" w:rsidRPr="00563EF6" w:rsidRDefault="00342F3C" w:rsidP="00563EF6">
            <w:pPr>
              <w:pStyle w:val="TableBody"/>
              <w:jc w:val="center"/>
              <w:rPr>
                <w:szCs w:val="19"/>
              </w:rPr>
            </w:pPr>
            <w:r w:rsidRPr="00563EF6">
              <w:rPr>
                <w:szCs w:val="19"/>
              </w:rPr>
              <w:t>Automated</w:t>
            </w:r>
          </w:p>
        </w:tc>
        <w:tc>
          <w:tcPr>
            <w:tcW w:w="1230" w:type="pct"/>
            <w:vAlign w:val="top"/>
          </w:tcPr>
          <w:p w14:paraId="471FFF74" w14:textId="257FDE98"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198A1B13" w14:textId="77777777" w:rsidTr="00563EF6">
        <w:trPr>
          <w:jc w:val="center"/>
        </w:trPr>
        <w:tc>
          <w:tcPr>
            <w:tcW w:w="1721" w:type="pct"/>
            <w:vAlign w:val="top"/>
          </w:tcPr>
          <w:p w14:paraId="21580EC0" w14:textId="0539AFF4" w:rsidR="00342F3C" w:rsidRPr="00563EF6" w:rsidRDefault="00342F3C" w:rsidP="00342F3C">
            <w:pPr>
              <w:pStyle w:val="TableBody"/>
              <w:rPr>
                <w:szCs w:val="19"/>
              </w:rPr>
            </w:pPr>
            <w:r w:rsidRPr="00563EF6">
              <w:rPr>
                <w:szCs w:val="19"/>
              </w:rPr>
              <w:t>Oil heating</w:t>
            </w:r>
          </w:p>
        </w:tc>
        <w:tc>
          <w:tcPr>
            <w:tcW w:w="1065" w:type="pct"/>
            <w:vAlign w:val="top"/>
          </w:tcPr>
          <w:p w14:paraId="4A3AAE05" w14:textId="57272D73" w:rsidR="00342F3C" w:rsidRPr="00563EF6" w:rsidRDefault="00342F3C" w:rsidP="00563EF6">
            <w:pPr>
              <w:pStyle w:val="TableBody"/>
              <w:jc w:val="center"/>
              <w:rPr>
                <w:szCs w:val="19"/>
              </w:rPr>
            </w:pPr>
            <w:r w:rsidRPr="00563EF6">
              <w:rPr>
                <w:szCs w:val="19"/>
              </w:rPr>
              <w:t>Cyclical</w:t>
            </w:r>
          </w:p>
        </w:tc>
        <w:tc>
          <w:tcPr>
            <w:tcW w:w="983" w:type="pct"/>
            <w:vAlign w:val="top"/>
          </w:tcPr>
          <w:p w14:paraId="4832E097" w14:textId="0C251BBD" w:rsidR="00342F3C" w:rsidRPr="00563EF6" w:rsidRDefault="00342F3C" w:rsidP="00563EF6">
            <w:pPr>
              <w:pStyle w:val="TableBody"/>
              <w:jc w:val="center"/>
              <w:rPr>
                <w:szCs w:val="19"/>
              </w:rPr>
            </w:pPr>
            <w:r w:rsidRPr="00563EF6">
              <w:rPr>
                <w:szCs w:val="19"/>
              </w:rPr>
              <w:t>Automated</w:t>
            </w:r>
          </w:p>
        </w:tc>
        <w:tc>
          <w:tcPr>
            <w:tcW w:w="1230" w:type="pct"/>
            <w:vAlign w:val="top"/>
          </w:tcPr>
          <w:p w14:paraId="62DED479" w14:textId="06A5E519"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2FBE99B9" w14:textId="77777777" w:rsidTr="00563EF6">
        <w:trPr>
          <w:jc w:val="center"/>
        </w:trPr>
        <w:tc>
          <w:tcPr>
            <w:tcW w:w="1721" w:type="pct"/>
            <w:vAlign w:val="top"/>
          </w:tcPr>
          <w:p w14:paraId="227110AF" w14:textId="4FAC92EF" w:rsidR="00342F3C" w:rsidRPr="00563EF6" w:rsidRDefault="00342F3C" w:rsidP="00342F3C">
            <w:pPr>
              <w:pStyle w:val="TableBody"/>
              <w:rPr>
                <w:szCs w:val="19"/>
              </w:rPr>
            </w:pPr>
            <w:r w:rsidRPr="00563EF6">
              <w:rPr>
                <w:szCs w:val="19"/>
              </w:rPr>
              <w:t>Plastic injection machines</w:t>
            </w:r>
          </w:p>
        </w:tc>
        <w:tc>
          <w:tcPr>
            <w:tcW w:w="1065" w:type="pct"/>
            <w:vAlign w:val="top"/>
          </w:tcPr>
          <w:p w14:paraId="6699BED9" w14:textId="2A8DBDA8" w:rsidR="00342F3C" w:rsidRPr="00563EF6" w:rsidRDefault="00342F3C" w:rsidP="00563EF6">
            <w:pPr>
              <w:pStyle w:val="TableBody"/>
              <w:jc w:val="center"/>
              <w:rPr>
                <w:szCs w:val="19"/>
              </w:rPr>
            </w:pPr>
            <w:r w:rsidRPr="00563EF6">
              <w:rPr>
                <w:szCs w:val="19"/>
              </w:rPr>
              <w:t>Batch</w:t>
            </w:r>
          </w:p>
        </w:tc>
        <w:tc>
          <w:tcPr>
            <w:tcW w:w="983" w:type="pct"/>
            <w:vAlign w:val="top"/>
          </w:tcPr>
          <w:p w14:paraId="333B6A4B" w14:textId="1AB19FEA" w:rsidR="00342F3C" w:rsidRPr="00563EF6" w:rsidRDefault="00342F3C" w:rsidP="00563EF6">
            <w:pPr>
              <w:pStyle w:val="TableBody"/>
              <w:jc w:val="center"/>
              <w:rPr>
                <w:szCs w:val="19"/>
              </w:rPr>
            </w:pPr>
            <w:r w:rsidRPr="00563EF6">
              <w:rPr>
                <w:szCs w:val="19"/>
              </w:rPr>
              <w:t>Automated</w:t>
            </w:r>
          </w:p>
        </w:tc>
        <w:tc>
          <w:tcPr>
            <w:tcW w:w="1230" w:type="pct"/>
            <w:vAlign w:val="top"/>
          </w:tcPr>
          <w:p w14:paraId="09698276" w14:textId="2B508B3B"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34C475D6" w14:textId="77777777" w:rsidTr="00563EF6">
        <w:trPr>
          <w:jc w:val="center"/>
        </w:trPr>
        <w:tc>
          <w:tcPr>
            <w:tcW w:w="1721" w:type="pct"/>
            <w:vAlign w:val="top"/>
          </w:tcPr>
          <w:p w14:paraId="17AD8452" w14:textId="4BFA2B41" w:rsidR="00342F3C" w:rsidRPr="00563EF6" w:rsidRDefault="00342F3C" w:rsidP="00342F3C">
            <w:pPr>
              <w:pStyle w:val="TableBody"/>
              <w:rPr>
                <w:szCs w:val="19"/>
              </w:rPr>
            </w:pPr>
            <w:r w:rsidRPr="00563EF6">
              <w:rPr>
                <w:szCs w:val="19"/>
              </w:rPr>
              <w:t>Vulcanisers</w:t>
            </w:r>
          </w:p>
        </w:tc>
        <w:tc>
          <w:tcPr>
            <w:tcW w:w="1065" w:type="pct"/>
            <w:vAlign w:val="top"/>
          </w:tcPr>
          <w:p w14:paraId="76B9ECD7" w14:textId="575A27C4" w:rsidR="00342F3C" w:rsidRPr="00563EF6" w:rsidRDefault="00342F3C" w:rsidP="00563EF6">
            <w:pPr>
              <w:pStyle w:val="TableBody"/>
              <w:jc w:val="center"/>
              <w:rPr>
                <w:szCs w:val="19"/>
              </w:rPr>
            </w:pPr>
            <w:r w:rsidRPr="00563EF6">
              <w:rPr>
                <w:szCs w:val="19"/>
              </w:rPr>
              <w:t>Batch</w:t>
            </w:r>
          </w:p>
        </w:tc>
        <w:tc>
          <w:tcPr>
            <w:tcW w:w="983" w:type="pct"/>
            <w:vAlign w:val="top"/>
          </w:tcPr>
          <w:p w14:paraId="55BFF701" w14:textId="38B46B29" w:rsidR="00342F3C" w:rsidRPr="00563EF6" w:rsidRDefault="00342F3C" w:rsidP="00563EF6">
            <w:pPr>
              <w:pStyle w:val="TableBody"/>
              <w:jc w:val="center"/>
              <w:rPr>
                <w:szCs w:val="19"/>
              </w:rPr>
            </w:pPr>
            <w:r w:rsidRPr="00563EF6">
              <w:rPr>
                <w:szCs w:val="19"/>
              </w:rPr>
              <w:t>Automated</w:t>
            </w:r>
          </w:p>
        </w:tc>
        <w:tc>
          <w:tcPr>
            <w:tcW w:w="1230" w:type="pct"/>
            <w:vAlign w:val="top"/>
          </w:tcPr>
          <w:p w14:paraId="4073C7CA" w14:textId="7C7FDF61"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0A7D0FD5" w14:textId="77777777" w:rsidTr="00563EF6">
        <w:trPr>
          <w:jc w:val="center"/>
        </w:trPr>
        <w:tc>
          <w:tcPr>
            <w:tcW w:w="1721" w:type="pct"/>
            <w:vAlign w:val="top"/>
          </w:tcPr>
          <w:p w14:paraId="68A125AE" w14:textId="31240BFF" w:rsidR="00342F3C" w:rsidRPr="00563EF6" w:rsidRDefault="00342F3C" w:rsidP="00342F3C">
            <w:pPr>
              <w:pStyle w:val="TableBody"/>
              <w:rPr>
                <w:szCs w:val="19"/>
              </w:rPr>
            </w:pPr>
            <w:r w:rsidRPr="00563EF6">
              <w:rPr>
                <w:szCs w:val="19"/>
              </w:rPr>
              <w:t>Infra-red / curing ovens</w:t>
            </w:r>
          </w:p>
        </w:tc>
        <w:tc>
          <w:tcPr>
            <w:tcW w:w="1065" w:type="pct"/>
            <w:vAlign w:val="top"/>
          </w:tcPr>
          <w:p w14:paraId="092F6625" w14:textId="4EECF301" w:rsidR="00342F3C" w:rsidRPr="00563EF6" w:rsidRDefault="00342F3C" w:rsidP="00563EF6">
            <w:pPr>
              <w:pStyle w:val="TableBody"/>
              <w:jc w:val="center"/>
              <w:rPr>
                <w:szCs w:val="19"/>
              </w:rPr>
            </w:pPr>
            <w:r w:rsidRPr="00563EF6">
              <w:rPr>
                <w:szCs w:val="19"/>
              </w:rPr>
              <w:t>Batch</w:t>
            </w:r>
          </w:p>
        </w:tc>
        <w:tc>
          <w:tcPr>
            <w:tcW w:w="983" w:type="pct"/>
            <w:vAlign w:val="top"/>
          </w:tcPr>
          <w:p w14:paraId="7A6E5C6D" w14:textId="73333E22" w:rsidR="00342F3C" w:rsidRPr="00563EF6" w:rsidRDefault="00342F3C" w:rsidP="00563EF6">
            <w:pPr>
              <w:pStyle w:val="TableBody"/>
              <w:jc w:val="center"/>
              <w:rPr>
                <w:szCs w:val="19"/>
              </w:rPr>
            </w:pPr>
            <w:r w:rsidRPr="00563EF6">
              <w:rPr>
                <w:szCs w:val="19"/>
              </w:rPr>
              <w:t>Hybrid</w:t>
            </w:r>
          </w:p>
        </w:tc>
        <w:tc>
          <w:tcPr>
            <w:tcW w:w="1230" w:type="pct"/>
            <w:vAlign w:val="top"/>
          </w:tcPr>
          <w:p w14:paraId="76DCAA45" w14:textId="0FE39737" w:rsidR="00342F3C" w:rsidRPr="00563EF6" w:rsidRDefault="00342F3C" w:rsidP="00910886">
            <w:pPr>
              <w:pStyle w:val="TableBody"/>
              <w:jc w:val="center"/>
              <w:rPr>
                <w:color w:val="826600" w:themeColor="accent2" w:themeShade="80"/>
                <w:szCs w:val="19"/>
              </w:rPr>
            </w:pPr>
            <w:r w:rsidRPr="00563EF6">
              <w:rPr>
                <w:color w:val="826600" w:themeColor="accent2" w:themeShade="80"/>
                <w:szCs w:val="19"/>
              </w:rPr>
              <w:t>Medium</w:t>
            </w:r>
          </w:p>
        </w:tc>
      </w:tr>
      <w:tr w:rsidR="00342F3C" w:rsidRPr="00563EF6" w14:paraId="279B3F6E" w14:textId="77777777" w:rsidTr="00563EF6">
        <w:trPr>
          <w:jc w:val="center"/>
        </w:trPr>
        <w:tc>
          <w:tcPr>
            <w:tcW w:w="4999" w:type="pct"/>
            <w:gridSpan w:val="4"/>
            <w:shd w:val="clear" w:color="auto" w:fill="D9D9D9" w:themeFill="background1" w:themeFillShade="D9"/>
            <w:vAlign w:val="top"/>
          </w:tcPr>
          <w:p w14:paraId="07ECEF0B" w14:textId="1F8E3340" w:rsidR="00342F3C" w:rsidRPr="00563EF6" w:rsidRDefault="00342F3C" w:rsidP="00342F3C">
            <w:pPr>
              <w:pStyle w:val="TableBody"/>
              <w:jc w:val="center"/>
              <w:rPr>
                <w:b/>
                <w:bCs/>
                <w:szCs w:val="19"/>
              </w:rPr>
            </w:pPr>
            <w:r w:rsidRPr="00563EF6">
              <w:rPr>
                <w:b/>
                <w:bCs/>
                <w:color w:val="000000" w:themeColor="text1"/>
                <w:szCs w:val="19"/>
              </w:rPr>
              <w:t>Compressed Air</w:t>
            </w:r>
          </w:p>
        </w:tc>
      </w:tr>
      <w:tr w:rsidR="00342F3C" w:rsidRPr="00563EF6" w14:paraId="487B9724" w14:textId="77777777" w:rsidTr="00563EF6">
        <w:trPr>
          <w:jc w:val="center"/>
        </w:trPr>
        <w:tc>
          <w:tcPr>
            <w:tcW w:w="1721" w:type="pct"/>
            <w:vAlign w:val="top"/>
          </w:tcPr>
          <w:p w14:paraId="055D7338" w14:textId="6CB9EA06" w:rsidR="00342F3C" w:rsidRPr="00563EF6" w:rsidRDefault="00342F3C" w:rsidP="00342F3C">
            <w:pPr>
              <w:pStyle w:val="TableBody"/>
              <w:rPr>
                <w:szCs w:val="19"/>
              </w:rPr>
            </w:pPr>
            <w:r w:rsidRPr="00563EF6">
              <w:rPr>
                <w:szCs w:val="19"/>
              </w:rPr>
              <w:t>Air compressors</w:t>
            </w:r>
          </w:p>
        </w:tc>
        <w:tc>
          <w:tcPr>
            <w:tcW w:w="1065" w:type="pct"/>
            <w:vAlign w:val="top"/>
          </w:tcPr>
          <w:p w14:paraId="6D19E543" w14:textId="3353DE1F" w:rsidR="00342F3C" w:rsidRPr="00563EF6" w:rsidRDefault="00342F3C" w:rsidP="00563EF6">
            <w:pPr>
              <w:pStyle w:val="TableBody"/>
              <w:jc w:val="center"/>
              <w:rPr>
                <w:szCs w:val="19"/>
              </w:rPr>
            </w:pPr>
            <w:r w:rsidRPr="00563EF6">
              <w:rPr>
                <w:szCs w:val="19"/>
              </w:rPr>
              <w:t>Cyclical</w:t>
            </w:r>
          </w:p>
        </w:tc>
        <w:tc>
          <w:tcPr>
            <w:tcW w:w="983" w:type="pct"/>
            <w:vAlign w:val="top"/>
          </w:tcPr>
          <w:p w14:paraId="157D24D8" w14:textId="337D1212" w:rsidR="00342F3C" w:rsidRPr="00563EF6" w:rsidRDefault="00342F3C" w:rsidP="00563EF6">
            <w:pPr>
              <w:pStyle w:val="TableBody"/>
              <w:jc w:val="center"/>
              <w:rPr>
                <w:szCs w:val="19"/>
              </w:rPr>
            </w:pPr>
            <w:r w:rsidRPr="00563EF6">
              <w:rPr>
                <w:szCs w:val="19"/>
              </w:rPr>
              <w:t>Automated</w:t>
            </w:r>
          </w:p>
        </w:tc>
        <w:tc>
          <w:tcPr>
            <w:tcW w:w="1230" w:type="pct"/>
            <w:vAlign w:val="top"/>
          </w:tcPr>
          <w:p w14:paraId="7CFB1C5A" w14:textId="602B08F7" w:rsidR="00342F3C" w:rsidRPr="00563EF6" w:rsidRDefault="00342F3C" w:rsidP="00563EF6">
            <w:pPr>
              <w:pStyle w:val="TableBody"/>
              <w:jc w:val="center"/>
              <w:rPr>
                <w:szCs w:val="19"/>
              </w:rPr>
            </w:pPr>
            <w:r w:rsidRPr="00563EF6">
              <w:rPr>
                <w:color w:val="004D34" w:themeColor="accent4" w:themeShade="80"/>
                <w:szCs w:val="19"/>
              </w:rPr>
              <w:t>High</w:t>
            </w:r>
          </w:p>
        </w:tc>
      </w:tr>
      <w:tr w:rsidR="00342F3C" w:rsidRPr="00563EF6" w14:paraId="0800DE74" w14:textId="77777777" w:rsidTr="00563EF6">
        <w:trPr>
          <w:jc w:val="center"/>
        </w:trPr>
        <w:tc>
          <w:tcPr>
            <w:tcW w:w="4999" w:type="pct"/>
            <w:gridSpan w:val="4"/>
            <w:shd w:val="clear" w:color="auto" w:fill="D9D9D9" w:themeFill="background1" w:themeFillShade="D9"/>
          </w:tcPr>
          <w:p w14:paraId="3182F514" w14:textId="601F31E7" w:rsidR="00342F3C" w:rsidRPr="00563EF6" w:rsidRDefault="00342F3C" w:rsidP="00C557EE">
            <w:pPr>
              <w:pStyle w:val="TableBody"/>
              <w:jc w:val="center"/>
              <w:rPr>
                <w:szCs w:val="19"/>
              </w:rPr>
            </w:pPr>
            <w:r w:rsidRPr="00563EF6">
              <w:rPr>
                <w:b/>
                <w:bCs/>
                <w:color w:val="000000" w:themeColor="text1"/>
                <w:szCs w:val="19"/>
              </w:rPr>
              <w:t>Environmental Control – System maintaining safety-critical, regulatory, or process safety</w:t>
            </w:r>
          </w:p>
        </w:tc>
      </w:tr>
      <w:tr w:rsidR="00C557EE" w:rsidRPr="00563EF6" w14:paraId="778206F3" w14:textId="77777777" w:rsidTr="00563EF6">
        <w:trPr>
          <w:jc w:val="center"/>
        </w:trPr>
        <w:tc>
          <w:tcPr>
            <w:tcW w:w="1721" w:type="pct"/>
            <w:vAlign w:val="top"/>
          </w:tcPr>
          <w:p w14:paraId="58A46A6C" w14:textId="566FF10D" w:rsidR="00C557EE" w:rsidRPr="00563EF6" w:rsidRDefault="00C557EE" w:rsidP="00C557EE">
            <w:pPr>
              <w:pStyle w:val="TableBody"/>
              <w:rPr>
                <w:szCs w:val="19"/>
              </w:rPr>
            </w:pPr>
            <w:r w:rsidRPr="00563EF6">
              <w:rPr>
                <w:szCs w:val="19"/>
              </w:rPr>
              <w:t>Refrigeration (chillers)</w:t>
            </w:r>
          </w:p>
        </w:tc>
        <w:tc>
          <w:tcPr>
            <w:tcW w:w="1065" w:type="pct"/>
            <w:vAlign w:val="top"/>
          </w:tcPr>
          <w:p w14:paraId="3693956A" w14:textId="1F7F7630" w:rsidR="00C557EE" w:rsidRPr="00563EF6" w:rsidRDefault="00C557EE" w:rsidP="00563EF6">
            <w:pPr>
              <w:pStyle w:val="TableBody"/>
              <w:jc w:val="center"/>
              <w:rPr>
                <w:szCs w:val="19"/>
              </w:rPr>
            </w:pPr>
            <w:r w:rsidRPr="00563EF6">
              <w:rPr>
                <w:szCs w:val="19"/>
              </w:rPr>
              <w:t>Continuous</w:t>
            </w:r>
          </w:p>
        </w:tc>
        <w:tc>
          <w:tcPr>
            <w:tcW w:w="983" w:type="pct"/>
            <w:vAlign w:val="top"/>
          </w:tcPr>
          <w:p w14:paraId="56D7D7BA" w14:textId="77E5C994" w:rsidR="00C557EE" w:rsidRPr="00563EF6" w:rsidRDefault="00C557EE" w:rsidP="00563EF6">
            <w:pPr>
              <w:pStyle w:val="TableBody"/>
              <w:jc w:val="center"/>
              <w:rPr>
                <w:szCs w:val="19"/>
              </w:rPr>
            </w:pPr>
            <w:r w:rsidRPr="00563EF6">
              <w:rPr>
                <w:szCs w:val="19"/>
              </w:rPr>
              <w:t>Automated</w:t>
            </w:r>
          </w:p>
        </w:tc>
        <w:tc>
          <w:tcPr>
            <w:tcW w:w="1230" w:type="pct"/>
            <w:vAlign w:val="top"/>
          </w:tcPr>
          <w:p w14:paraId="317BDAB4" w14:textId="5E3D695A" w:rsidR="00C557EE" w:rsidRPr="00563EF6" w:rsidRDefault="00422F41" w:rsidP="00910886">
            <w:pPr>
              <w:pStyle w:val="TableBody"/>
              <w:jc w:val="center"/>
              <w:rPr>
                <w:szCs w:val="19"/>
              </w:rPr>
            </w:pPr>
            <w:r w:rsidRPr="00563EF6">
              <w:rPr>
                <w:color w:val="826600" w:themeColor="accent2" w:themeShade="80"/>
                <w:szCs w:val="19"/>
              </w:rPr>
              <w:t>Medium</w:t>
            </w:r>
          </w:p>
        </w:tc>
      </w:tr>
      <w:tr w:rsidR="00C557EE" w:rsidRPr="00563EF6" w14:paraId="7FA66284" w14:textId="77777777" w:rsidTr="00563EF6">
        <w:trPr>
          <w:jc w:val="center"/>
        </w:trPr>
        <w:tc>
          <w:tcPr>
            <w:tcW w:w="4999" w:type="pct"/>
            <w:gridSpan w:val="4"/>
            <w:shd w:val="clear" w:color="auto" w:fill="D9D9D9" w:themeFill="background1" w:themeFillShade="D9"/>
          </w:tcPr>
          <w:p w14:paraId="055A98D9" w14:textId="313ABA46" w:rsidR="00C557EE" w:rsidRPr="00563EF6" w:rsidRDefault="00C557EE" w:rsidP="00C557EE">
            <w:pPr>
              <w:pStyle w:val="TableBody"/>
              <w:jc w:val="center"/>
              <w:rPr>
                <w:szCs w:val="19"/>
              </w:rPr>
            </w:pPr>
            <w:r w:rsidRPr="00563EF6">
              <w:rPr>
                <w:szCs w:val="19"/>
              </w:rPr>
              <w:t>Pumping and Water Systems</w:t>
            </w:r>
          </w:p>
        </w:tc>
      </w:tr>
      <w:tr w:rsidR="00C557EE" w:rsidRPr="00563EF6" w14:paraId="229E2745" w14:textId="77777777" w:rsidTr="00563EF6">
        <w:trPr>
          <w:jc w:val="center"/>
        </w:trPr>
        <w:tc>
          <w:tcPr>
            <w:tcW w:w="1721" w:type="pct"/>
            <w:vAlign w:val="top"/>
          </w:tcPr>
          <w:p w14:paraId="540DC031" w14:textId="6B4FE999" w:rsidR="00C557EE" w:rsidRPr="00563EF6" w:rsidRDefault="00C557EE" w:rsidP="00C557EE">
            <w:pPr>
              <w:pStyle w:val="TableBody"/>
              <w:rPr>
                <w:szCs w:val="19"/>
              </w:rPr>
            </w:pPr>
            <w:r w:rsidRPr="00563EF6">
              <w:rPr>
                <w:szCs w:val="19"/>
              </w:rPr>
              <w:t>General pumping systems</w:t>
            </w:r>
          </w:p>
        </w:tc>
        <w:tc>
          <w:tcPr>
            <w:tcW w:w="1065" w:type="pct"/>
            <w:vAlign w:val="top"/>
          </w:tcPr>
          <w:p w14:paraId="2E92F8D6" w14:textId="73C18EA9" w:rsidR="00C557EE" w:rsidRPr="00563EF6" w:rsidRDefault="00C557EE" w:rsidP="00563EF6">
            <w:pPr>
              <w:pStyle w:val="TableBody"/>
              <w:jc w:val="center"/>
              <w:rPr>
                <w:szCs w:val="19"/>
              </w:rPr>
            </w:pPr>
            <w:r w:rsidRPr="00563EF6">
              <w:rPr>
                <w:szCs w:val="19"/>
              </w:rPr>
              <w:t>Cyclical</w:t>
            </w:r>
          </w:p>
        </w:tc>
        <w:tc>
          <w:tcPr>
            <w:tcW w:w="983" w:type="pct"/>
            <w:vAlign w:val="top"/>
          </w:tcPr>
          <w:p w14:paraId="5760E5D5" w14:textId="638AE1CD" w:rsidR="00C557EE" w:rsidRPr="00563EF6" w:rsidRDefault="00C557EE" w:rsidP="00563EF6">
            <w:pPr>
              <w:pStyle w:val="TableBody"/>
              <w:jc w:val="center"/>
              <w:rPr>
                <w:szCs w:val="19"/>
              </w:rPr>
            </w:pPr>
            <w:r w:rsidRPr="00563EF6">
              <w:rPr>
                <w:szCs w:val="19"/>
              </w:rPr>
              <w:t>Automated</w:t>
            </w:r>
          </w:p>
        </w:tc>
        <w:tc>
          <w:tcPr>
            <w:tcW w:w="1230" w:type="pct"/>
            <w:vAlign w:val="top"/>
          </w:tcPr>
          <w:p w14:paraId="3B5E1025" w14:textId="620571C7" w:rsidR="00C557EE" w:rsidRPr="00563EF6" w:rsidRDefault="00C557EE" w:rsidP="00910886">
            <w:pPr>
              <w:pStyle w:val="TableBody"/>
              <w:jc w:val="center"/>
              <w:rPr>
                <w:color w:val="004D34" w:themeColor="accent4" w:themeShade="80"/>
                <w:szCs w:val="19"/>
              </w:rPr>
            </w:pPr>
            <w:r w:rsidRPr="00563EF6">
              <w:rPr>
                <w:color w:val="004D34" w:themeColor="accent4" w:themeShade="80"/>
                <w:szCs w:val="19"/>
              </w:rPr>
              <w:t>High</w:t>
            </w:r>
          </w:p>
        </w:tc>
      </w:tr>
      <w:tr w:rsidR="00C557EE" w:rsidRPr="00563EF6" w14:paraId="64215EFA" w14:textId="77777777" w:rsidTr="00563EF6">
        <w:trPr>
          <w:jc w:val="center"/>
        </w:trPr>
        <w:tc>
          <w:tcPr>
            <w:tcW w:w="1721" w:type="pct"/>
            <w:vAlign w:val="top"/>
          </w:tcPr>
          <w:p w14:paraId="5098C5C4" w14:textId="74FF7C81" w:rsidR="00C557EE" w:rsidRPr="00563EF6" w:rsidRDefault="00C557EE" w:rsidP="00C557EE">
            <w:pPr>
              <w:pStyle w:val="TableBody"/>
              <w:rPr>
                <w:szCs w:val="19"/>
              </w:rPr>
            </w:pPr>
            <w:r w:rsidRPr="00563EF6">
              <w:rPr>
                <w:szCs w:val="19"/>
              </w:rPr>
              <w:t>Wastewater treatments</w:t>
            </w:r>
          </w:p>
        </w:tc>
        <w:tc>
          <w:tcPr>
            <w:tcW w:w="1065" w:type="pct"/>
            <w:vAlign w:val="top"/>
          </w:tcPr>
          <w:p w14:paraId="0FE7D941" w14:textId="1AC42865" w:rsidR="00C557EE" w:rsidRPr="00563EF6" w:rsidRDefault="00C557EE" w:rsidP="00563EF6">
            <w:pPr>
              <w:pStyle w:val="TableBody"/>
              <w:jc w:val="center"/>
              <w:rPr>
                <w:szCs w:val="19"/>
              </w:rPr>
            </w:pPr>
            <w:r w:rsidRPr="00563EF6">
              <w:rPr>
                <w:szCs w:val="19"/>
              </w:rPr>
              <w:t>Batch</w:t>
            </w:r>
          </w:p>
        </w:tc>
        <w:tc>
          <w:tcPr>
            <w:tcW w:w="983" w:type="pct"/>
            <w:vAlign w:val="top"/>
          </w:tcPr>
          <w:p w14:paraId="4C865F6A" w14:textId="724E656F" w:rsidR="00C557EE" w:rsidRPr="00563EF6" w:rsidRDefault="00C557EE" w:rsidP="00563EF6">
            <w:pPr>
              <w:pStyle w:val="TableBody"/>
              <w:jc w:val="center"/>
              <w:rPr>
                <w:szCs w:val="19"/>
              </w:rPr>
            </w:pPr>
            <w:r w:rsidRPr="00563EF6">
              <w:rPr>
                <w:szCs w:val="19"/>
              </w:rPr>
              <w:t>Automated</w:t>
            </w:r>
          </w:p>
        </w:tc>
        <w:tc>
          <w:tcPr>
            <w:tcW w:w="1230" w:type="pct"/>
            <w:vAlign w:val="top"/>
          </w:tcPr>
          <w:p w14:paraId="5A074650" w14:textId="44963CC0" w:rsidR="00C557EE" w:rsidRPr="00563EF6" w:rsidRDefault="00C557EE" w:rsidP="00910886">
            <w:pPr>
              <w:pStyle w:val="TableBody"/>
              <w:jc w:val="center"/>
              <w:rPr>
                <w:color w:val="004D34" w:themeColor="accent4" w:themeShade="80"/>
                <w:szCs w:val="19"/>
              </w:rPr>
            </w:pPr>
            <w:r w:rsidRPr="00563EF6">
              <w:rPr>
                <w:color w:val="004D34" w:themeColor="accent4" w:themeShade="80"/>
                <w:szCs w:val="19"/>
              </w:rPr>
              <w:t>High</w:t>
            </w:r>
          </w:p>
        </w:tc>
      </w:tr>
      <w:tr w:rsidR="00C557EE" w:rsidRPr="00563EF6" w14:paraId="2CAC54E8" w14:textId="77777777" w:rsidTr="00563EF6">
        <w:trPr>
          <w:jc w:val="center"/>
        </w:trPr>
        <w:tc>
          <w:tcPr>
            <w:tcW w:w="1721" w:type="pct"/>
            <w:vAlign w:val="top"/>
          </w:tcPr>
          <w:p w14:paraId="0E3DF955" w14:textId="52A55B1B" w:rsidR="00C557EE" w:rsidRPr="00563EF6" w:rsidRDefault="00C557EE" w:rsidP="00C557EE">
            <w:pPr>
              <w:pStyle w:val="TableBody"/>
              <w:rPr>
                <w:szCs w:val="19"/>
              </w:rPr>
            </w:pPr>
            <w:r w:rsidRPr="00563EF6">
              <w:rPr>
                <w:szCs w:val="19"/>
              </w:rPr>
              <w:t>RO water system</w:t>
            </w:r>
          </w:p>
        </w:tc>
        <w:tc>
          <w:tcPr>
            <w:tcW w:w="1065" w:type="pct"/>
            <w:vAlign w:val="top"/>
          </w:tcPr>
          <w:p w14:paraId="7A92DBE9" w14:textId="2CA4EDFB" w:rsidR="00C557EE" w:rsidRPr="00563EF6" w:rsidRDefault="00C557EE" w:rsidP="00563EF6">
            <w:pPr>
              <w:pStyle w:val="TableBody"/>
              <w:jc w:val="center"/>
              <w:rPr>
                <w:szCs w:val="19"/>
              </w:rPr>
            </w:pPr>
            <w:r w:rsidRPr="00563EF6">
              <w:rPr>
                <w:szCs w:val="19"/>
              </w:rPr>
              <w:t>Batch</w:t>
            </w:r>
          </w:p>
        </w:tc>
        <w:tc>
          <w:tcPr>
            <w:tcW w:w="983" w:type="pct"/>
            <w:vAlign w:val="top"/>
          </w:tcPr>
          <w:p w14:paraId="6F0B7606" w14:textId="4E4A817C" w:rsidR="00C557EE" w:rsidRPr="00563EF6" w:rsidRDefault="00C557EE" w:rsidP="00563EF6">
            <w:pPr>
              <w:pStyle w:val="TableBody"/>
              <w:jc w:val="center"/>
              <w:rPr>
                <w:szCs w:val="19"/>
              </w:rPr>
            </w:pPr>
            <w:r w:rsidRPr="00563EF6">
              <w:rPr>
                <w:szCs w:val="19"/>
              </w:rPr>
              <w:t>Automated</w:t>
            </w:r>
          </w:p>
        </w:tc>
        <w:tc>
          <w:tcPr>
            <w:tcW w:w="1230" w:type="pct"/>
            <w:vAlign w:val="top"/>
          </w:tcPr>
          <w:p w14:paraId="25BBB21A" w14:textId="1B5660F1" w:rsidR="00C557EE" w:rsidRPr="00563EF6" w:rsidRDefault="00C557EE" w:rsidP="00910886">
            <w:pPr>
              <w:pStyle w:val="TableBody"/>
              <w:jc w:val="center"/>
              <w:rPr>
                <w:color w:val="004D34" w:themeColor="accent4" w:themeShade="80"/>
                <w:szCs w:val="19"/>
              </w:rPr>
            </w:pPr>
            <w:r w:rsidRPr="00563EF6">
              <w:rPr>
                <w:color w:val="004D34" w:themeColor="accent4" w:themeShade="80"/>
                <w:szCs w:val="19"/>
              </w:rPr>
              <w:t>High</w:t>
            </w:r>
          </w:p>
        </w:tc>
      </w:tr>
      <w:tr w:rsidR="00C557EE" w:rsidRPr="00563EF6" w14:paraId="6BD666ED" w14:textId="77777777" w:rsidTr="00563EF6">
        <w:trPr>
          <w:jc w:val="center"/>
        </w:trPr>
        <w:tc>
          <w:tcPr>
            <w:tcW w:w="4999" w:type="pct"/>
            <w:gridSpan w:val="4"/>
            <w:shd w:val="clear" w:color="auto" w:fill="D9D9D9" w:themeFill="background1" w:themeFillShade="D9"/>
          </w:tcPr>
          <w:p w14:paraId="43493DD8" w14:textId="75C35F6F" w:rsidR="00C557EE" w:rsidRPr="00563EF6" w:rsidRDefault="00C557EE" w:rsidP="00C557EE">
            <w:pPr>
              <w:pStyle w:val="TableBody"/>
              <w:jc w:val="center"/>
              <w:rPr>
                <w:b/>
                <w:bCs/>
                <w:szCs w:val="19"/>
              </w:rPr>
            </w:pPr>
            <w:r w:rsidRPr="00563EF6">
              <w:rPr>
                <w:b/>
                <w:bCs/>
                <w:szCs w:val="19"/>
              </w:rPr>
              <w:t>Testing / Specialised Loads</w:t>
            </w:r>
          </w:p>
        </w:tc>
      </w:tr>
      <w:tr w:rsidR="00C557EE" w:rsidRPr="00563EF6" w14:paraId="3174B029" w14:textId="77777777" w:rsidTr="00563EF6">
        <w:trPr>
          <w:jc w:val="center"/>
        </w:trPr>
        <w:tc>
          <w:tcPr>
            <w:tcW w:w="1721" w:type="pct"/>
            <w:vAlign w:val="top"/>
          </w:tcPr>
          <w:p w14:paraId="4B35E518" w14:textId="0FB81CF3" w:rsidR="00C557EE" w:rsidRPr="00563EF6" w:rsidRDefault="00C557EE" w:rsidP="00C557EE">
            <w:pPr>
              <w:pStyle w:val="TableBody"/>
              <w:rPr>
                <w:szCs w:val="19"/>
              </w:rPr>
            </w:pPr>
            <w:r w:rsidRPr="00563EF6">
              <w:rPr>
                <w:szCs w:val="19"/>
              </w:rPr>
              <w:lastRenderedPageBreak/>
              <w:t>High &amp; Low Voltage testing</w:t>
            </w:r>
          </w:p>
        </w:tc>
        <w:tc>
          <w:tcPr>
            <w:tcW w:w="1065" w:type="pct"/>
            <w:vAlign w:val="top"/>
          </w:tcPr>
          <w:p w14:paraId="6DA295D8" w14:textId="253B5C6A" w:rsidR="00C557EE" w:rsidRPr="00563EF6" w:rsidRDefault="00C557EE" w:rsidP="00563EF6">
            <w:pPr>
              <w:pStyle w:val="TableBody"/>
              <w:jc w:val="center"/>
              <w:rPr>
                <w:szCs w:val="19"/>
              </w:rPr>
            </w:pPr>
            <w:r w:rsidRPr="00563EF6">
              <w:rPr>
                <w:szCs w:val="19"/>
              </w:rPr>
              <w:t>Batch</w:t>
            </w:r>
          </w:p>
        </w:tc>
        <w:tc>
          <w:tcPr>
            <w:tcW w:w="983" w:type="pct"/>
            <w:vAlign w:val="top"/>
          </w:tcPr>
          <w:p w14:paraId="115B6E4A" w14:textId="71550295" w:rsidR="00C557EE" w:rsidRPr="00563EF6" w:rsidRDefault="00C557EE" w:rsidP="00563EF6">
            <w:pPr>
              <w:pStyle w:val="TableBody"/>
              <w:jc w:val="center"/>
              <w:rPr>
                <w:szCs w:val="19"/>
              </w:rPr>
            </w:pPr>
            <w:r w:rsidRPr="00563EF6">
              <w:rPr>
                <w:szCs w:val="19"/>
              </w:rPr>
              <w:t>Hybrid</w:t>
            </w:r>
          </w:p>
        </w:tc>
        <w:tc>
          <w:tcPr>
            <w:tcW w:w="1230" w:type="pct"/>
            <w:vAlign w:val="top"/>
          </w:tcPr>
          <w:p w14:paraId="7BA2D93B" w14:textId="6550F12F" w:rsidR="00C557EE" w:rsidRPr="00563EF6" w:rsidRDefault="00C557EE" w:rsidP="00910886">
            <w:pPr>
              <w:pStyle w:val="TableBody"/>
              <w:jc w:val="center"/>
              <w:rPr>
                <w:color w:val="826600" w:themeColor="accent2" w:themeShade="80"/>
                <w:szCs w:val="19"/>
              </w:rPr>
            </w:pPr>
            <w:r w:rsidRPr="00563EF6">
              <w:rPr>
                <w:color w:val="826600" w:themeColor="accent2" w:themeShade="80"/>
                <w:szCs w:val="19"/>
              </w:rPr>
              <w:t>Medium</w:t>
            </w:r>
          </w:p>
        </w:tc>
      </w:tr>
      <w:tr w:rsidR="00C557EE" w:rsidRPr="00563EF6" w14:paraId="7E894931" w14:textId="77777777" w:rsidTr="00563EF6">
        <w:trPr>
          <w:jc w:val="center"/>
        </w:trPr>
        <w:tc>
          <w:tcPr>
            <w:tcW w:w="1721" w:type="pct"/>
            <w:vAlign w:val="top"/>
          </w:tcPr>
          <w:p w14:paraId="206DC424" w14:textId="6D417702" w:rsidR="00C557EE" w:rsidRPr="00563EF6" w:rsidRDefault="00C557EE" w:rsidP="00C557EE">
            <w:pPr>
              <w:pStyle w:val="TableBody"/>
              <w:rPr>
                <w:szCs w:val="19"/>
              </w:rPr>
            </w:pPr>
            <w:r w:rsidRPr="00563EF6">
              <w:rPr>
                <w:szCs w:val="19"/>
              </w:rPr>
              <w:t>Transformer winding &amp; testing</w:t>
            </w:r>
          </w:p>
        </w:tc>
        <w:tc>
          <w:tcPr>
            <w:tcW w:w="1065" w:type="pct"/>
            <w:vAlign w:val="top"/>
          </w:tcPr>
          <w:p w14:paraId="2E0A57F2" w14:textId="037F66E4" w:rsidR="00C557EE" w:rsidRPr="00563EF6" w:rsidRDefault="00C557EE" w:rsidP="00563EF6">
            <w:pPr>
              <w:pStyle w:val="TableBody"/>
              <w:jc w:val="center"/>
              <w:rPr>
                <w:szCs w:val="19"/>
              </w:rPr>
            </w:pPr>
            <w:r w:rsidRPr="00563EF6">
              <w:rPr>
                <w:szCs w:val="19"/>
              </w:rPr>
              <w:t>Batch</w:t>
            </w:r>
          </w:p>
        </w:tc>
        <w:tc>
          <w:tcPr>
            <w:tcW w:w="983" w:type="pct"/>
            <w:vAlign w:val="top"/>
          </w:tcPr>
          <w:p w14:paraId="5DDCA199" w14:textId="499AE051" w:rsidR="00C557EE" w:rsidRPr="00563EF6" w:rsidRDefault="00C557EE" w:rsidP="00563EF6">
            <w:pPr>
              <w:pStyle w:val="TableBody"/>
              <w:jc w:val="center"/>
              <w:rPr>
                <w:szCs w:val="19"/>
              </w:rPr>
            </w:pPr>
            <w:r w:rsidRPr="00563EF6">
              <w:rPr>
                <w:szCs w:val="19"/>
              </w:rPr>
              <w:t>Hybrid</w:t>
            </w:r>
          </w:p>
        </w:tc>
        <w:tc>
          <w:tcPr>
            <w:tcW w:w="1230" w:type="pct"/>
            <w:vAlign w:val="top"/>
          </w:tcPr>
          <w:p w14:paraId="74305DBE" w14:textId="559C52B3" w:rsidR="00C557EE" w:rsidRPr="00563EF6" w:rsidRDefault="00C557EE" w:rsidP="00910886">
            <w:pPr>
              <w:pStyle w:val="TableBody"/>
              <w:jc w:val="center"/>
              <w:rPr>
                <w:color w:val="826600" w:themeColor="accent2" w:themeShade="80"/>
                <w:szCs w:val="19"/>
              </w:rPr>
            </w:pPr>
            <w:r w:rsidRPr="00563EF6">
              <w:rPr>
                <w:color w:val="826600" w:themeColor="accent2" w:themeShade="80"/>
                <w:szCs w:val="19"/>
              </w:rPr>
              <w:t>Medium</w:t>
            </w:r>
          </w:p>
        </w:tc>
      </w:tr>
      <w:tr w:rsidR="00C557EE" w:rsidRPr="00563EF6" w14:paraId="4B719583" w14:textId="77777777" w:rsidTr="00563EF6">
        <w:trPr>
          <w:jc w:val="center"/>
        </w:trPr>
        <w:tc>
          <w:tcPr>
            <w:tcW w:w="1721" w:type="pct"/>
            <w:vAlign w:val="top"/>
          </w:tcPr>
          <w:p w14:paraId="0CB6E2CA" w14:textId="691D7D9C" w:rsidR="00C557EE" w:rsidRPr="00563EF6" w:rsidRDefault="00C557EE" w:rsidP="00C557EE">
            <w:pPr>
              <w:pStyle w:val="TableBody"/>
              <w:rPr>
                <w:szCs w:val="19"/>
              </w:rPr>
            </w:pPr>
            <w:r w:rsidRPr="00563EF6">
              <w:rPr>
                <w:szCs w:val="19"/>
              </w:rPr>
              <w:t>Transmission testing</w:t>
            </w:r>
          </w:p>
        </w:tc>
        <w:tc>
          <w:tcPr>
            <w:tcW w:w="1065" w:type="pct"/>
            <w:vAlign w:val="top"/>
          </w:tcPr>
          <w:p w14:paraId="5F271135" w14:textId="2B68A8AF" w:rsidR="00C557EE" w:rsidRPr="00563EF6" w:rsidRDefault="00C557EE" w:rsidP="00563EF6">
            <w:pPr>
              <w:pStyle w:val="TableBody"/>
              <w:jc w:val="center"/>
              <w:rPr>
                <w:szCs w:val="19"/>
              </w:rPr>
            </w:pPr>
            <w:r w:rsidRPr="00563EF6">
              <w:rPr>
                <w:szCs w:val="19"/>
              </w:rPr>
              <w:t>Batch</w:t>
            </w:r>
          </w:p>
        </w:tc>
        <w:tc>
          <w:tcPr>
            <w:tcW w:w="983" w:type="pct"/>
            <w:vAlign w:val="top"/>
          </w:tcPr>
          <w:p w14:paraId="78CC1670" w14:textId="691C0156" w:rsidR="00C557EE" w:rsidRPr="00563EF6" w:rsidRDefault="00C557EE" w:rsidP="00563EF6">
            <w:pPr>
              <w:pStyle w:val="TableBody"/>
              <w:jc w:val="center"/>
              <w:rPr>
                <w:szCs w:val="19"/>
              </w:rPr>
            </w:pPr>
            <w:r w:rsidRPr="00563EF6">
              <w:rPr>
                <w:szCs w:val="19"/>
              </w:rPr>
              <w:t>Hybrid</w:t>
            </w:r>
          </w:p>
        </w:tc>
        <w:tc>
          <w:tcPr>
            <w:tcW w:w="1230" w:type="pct"/>
            <w:vAlign w:val="top"/>
          </w:tcPr>
          <w:p w14:paraId="4885AE03" w14:textId="726C302F" w:rsidR="00C557EE" w:rsidRPr="00563EF6" w:rsidRDefault="00C557EE" w:rsidP="00910886">
            <w:pPr>
              <w:pStyle w:val="TableBody"/>
              <w:jc w:val="center"/>
              <w:rPr>
                <w:color w:val="826600" w:themeColor="accent2" w:themeShade="80"/>
                <w:szCs w:val="19"/>
              </w:rPr>
            </w:pPr>
            <w:r w:rsidRPr="00563EF6">
              <w:rPr>
                <w:color w:val="826600" w:themeColor="accent2" w:themeShade="80"/>
                <w:szCs w:val="19"/>
              </w:rPr>
              <w:t>Medium</w:t>
            </w:r>
          </w:p>
        </w:tc>
      </w:tr>
      <w:tr w:rsidR="00C557EE" w:rsidRPr="00563EF6" w14:paraId="226E35E6" w14:textId="77777777" w:rsidTr="00563EF6">
        <w:trPr>
          <w:jc w:val="center"/>
        </w:trPr>
        <w:tc>
          <w:tcPr>
            <w:tcW w:w="1721" w:type="pct"/>
            <w:vAlign w:val="top"/>
          </w:tcPr>
          <w:p w14:paraId="3197DFF2" w14:textId="3B816326" w:rsidR="00C557EE" w:rsidRPr="00563EF6" w:rsidRDefault="00C557EE" w:rsidP="00C557EE">
            <w:pPr>
              <w:pStyle w:val="TableBody"/>
              <w:rPr>
                <w:szCs w:val="19"/>
              </w:rPr>
            </w:pPr>
            <w:r w:rsidRPr="00563EF6">
              <w:rPr>
                <w:szCs w:val="19"/>
              </w:rPr>
              <w:t>Ventilation fan testing</w:t>
            </w:r>
          </w:p>
        </w:tc>
        <w:tc>
          <w:tcPr>
            <w:tcW w:w="1065" w:type="pct"/>
            <w:vAlign w:val="top"/>
          </w:tcPr>
          <w:p w14:paraId="2A770E79" w14:textId="6DC58E2E" w:rsidR="00C557EE" w:rsidRPr="00563EF6" w:rsidRDefault="00C557EE" w:rsidP="00563EF6">
            <w:pPr>
              <w:pStyle w:val="TableBody"/>
              <w:jc w:val="center"/>
              <w:rPr>
                <w:szCs w:val="19"/>
              </w:rPr>
            </w:pPr>
            <w:r w:rsidRPr="00563EF6">
              <w:rPr>
                <w:szCs w:val="19"/>
              </w:rPr>
              <w:t>Batch</w:t>
            </w:r>
          </w:p>
        </w:tc>
        <w:tc>
          <w:tcPr>
            <w:tcW w:w="983" w:type="pct"/>
            <w:vAlign w:val="top"/>
          </w:tcPr>
          <w:p w14:paraId="3472FD57" w14:textId="4EEC71B2" w:rsidR="00C557EE" w:rsidRPr="00563EF6" w:rsidRDefault="00C557EE" w:rsidP="00563EF6">
            <w:pPr>
              <w:pStyle w:val="TableBody"/>
              <w:jc w:val="center"/>
              <w:rPr>
                <w:szCs w:val="19"/>
              </w:rPr>
            </w:pPr>
            <w:r w:rsidRPr="00563EF6">
              <w:rPr>
                <w:szCs w:val="19"/>
              </w:rPr>
              <w:t>Hybrid</w:t>
            </w:r>
          </w:p>
        </w:tc>
        <w:tc>
          <w:tcPr>
            <w:tcW w:w="1230" w:type="pct"/>
            <w:vAlign w:val="top"/>
          </w:tcPr>
          <w:p w14:paraId="3A6DD416" w14:textId="5FD2A496" w:rsidR="00C557EE" w:rsidRPr="00563EF6" w:rsidRDefault="00C557EE" w:rsidP="00910886">
            <w:pPr>
              <w:pStyle w:val="TableBody"/>
              <w:jc w:val="center"/>
              <w:rPr>
                <w:color w:val="826600" w:themeColor="accent2" w:themeShade="80"/>
                <w:szCs w:val="19"/>
              </w:rPr>
            </w:pPr>
            <w:r w:rsidRPr="00563EF6">
              <w:rPr>
                <w:color w:val="826600" w:themeColor="accent2" w:themeShade="80"/>
                <w:szCs w:val="19"/>
              </w:rPr>
              <w:t>Medium</w:t>
            </w:r>
          </w:p>
        </w:tc>
      </w:tr>
      <w:tr w:rsidR="00C557EE" w:rsidRPr="00563EF6" w14:paraId="49320BFE" w14:textId="77777777" w:rsidTr="00563EF6">
        <w:trPr>
          <w:jc w:val="center"/>
        </w:trPr>
        <w:tc>
          <w:tcPr>
            <w:tcW w:w="4999" w:type="pct"/>
            <w:gridSpan w:val="4"/>
            <w:shd w:val="clear" w:color="auto" w:fill="D9D9D9" w:themeFill="background1" w:themeFillShade="D9"/>
          </w:tcPr>
          <w:p w14:paraId="226CF64F" w14:textId="664DA630" w:rsidR="00C557EE" w:rsidRPr="00563EF6" w:rsidRDefault="00C557EE" w:rsidP="00C557EE">
            <w:pPr>
              <w:pStyle w:val="TableBody"/>
              <w:jc w:val="center"/>
              <w:rPr>
                <w:b/>
                <w:bCs/>
                <w:color w:val="000000" w:themeColor="text1"/>
                <w:szCs w:val="19"/>
              </w:rPr>
            </w:pPr>
            <w:r w:rsidRPr="00563EF6">
              <w:rPr>
                <w:b/>
                <w:bCs/>
                <w:color w:val="000000" w:themeColor="text1"/>
                <w:szCs w:val="19"/>
              </w:rPr>
              <w:t>Fabrication</w:t>
            </w:r>
          </w:p>
        </w:tc>
      </w:tr>
      <w:tr w:rsidR="00C557EE" w:rsidRPr="00563EF6" w14:paraId="427226FB" w14:textId="77777777" w:rsidTr="00563EF6">
        <w:trPr>
          <w:jc w:val="center"/>
        </w:trPr>
        <w:tc>
          <w:tcPr>
            <w:tcW w:w="1721" w:type="pct"/>
            <w:vAlign w:val="top"/>
          </w:tcPr>
          <w:p w14:paraId="7F1DC962" w14:textId="407E6C1A" w:rsidR="00C557EE" w:rsidRPr="00563EF6" w:rsidRDefault="00C557EE" w:rsidP="00C557EE">
            <w:pPr>
              <w:pStyle w:val="TableBody"/>
              <w:rPr>
                <w:szCs w:val="19"/>
              </w:rPr>
            </w:pPr>
            <w:r w:rsidRPr="00563EF6">
              <w:rPr>
                <w:szCs w:val="19"/>
              </w:rPr>
              <w:t>Welding machines</w:t>
            </w:r>
          </w:p>
        </w:tc>
        <w:tc>
          <w:tcPr>
            <w:tcW w:w="1065" w:type="pct"/>
            <w:vAlign w:val="top"/>
          </w:tcPr>
          <w:p w14:paraId="34C3AEBC" w14:textId="4D05FE81" w:rsidR="00C557EE" w:rsidRPr="00563EF6" w:rsidRDefault="00C557EE" w:rsidP="00563EF6">
            <w:pPr>
              <w:pStyle w:val="TableBody"/>
              <w:jc w:val="center"/>
              <w:rPr>
                <w:szCs w:val="19"/>
              </w:rPr>
            </w:pPr>
            <w:r w:rsidRPr="00563EF6">
              <w:rPr>
                <w:szCs w:val="19"/>
              </w:rPr>
              <w:t>On-demand</w:t>
            </w:r>
          </w:p>
        </w:tc>
        <w:tc>
          <w:tcPr>
            <w:tcW w:w="983" w:type="pct"/>
            <w:vAlign w:val="top"/>
          </w:tcPr>
          <w:p w14:paraId="52133F22" w14:textId="7A018BA1" w:rsidR="00C557EE" w:rsidRPr="00563EF6" w:rsidRDefault="00C557EE" w:rsidP="00563EF6">
            <w:pPr>
              <w:pStyle w:val="TableBody"/>
              <w:jc w:val="center"/>
              <w:rPr>
                <w:szCs w:val="19"/>
              </w:rPr>
            </w:pPr>
            <w:r w:rsidRPr="00563EF6">
              <w:rPr>
                <w:szCs w:val="19"/>
              </w:rPr>
              <w:t>Manned</w:t>
            </w:r>
          </w:p>
        </w:tc>
        <w:tc>
          <w:tcPr>
            <w:tcW w:w="1230" w:type="pct"/>
            <w:vAlign w:val="top"/>
          </w:tcPr>
          <w:p w14:paraId="4769D737" w14:textId="0A7A41A5" w:rsidR="00C557EE" w:rsidRPr="00563EF6" w:rsidRDefault="00422F41" w:rsidP="00910886">
            <w:pPr>
              <w:pStyle w:val="TableBody"/>
              <w:jc w:val="center"/>
              <w:rPr>
                <w:szCs w:val="19"/>
              </w:rPr>
            </w:pPr>
            <w:r w:rsidRPr="00563EF6">
              <w:rPr>
                <w:color w:val="826600" w:themeColor="accent2" w:themeShade="80"/>
                <w:szCs w:val="19"/>
              </w:rPr>
              <w:t>Medium</w:t>
            </w:r>
          </w:p>
        </w:tc>
      </w:tr>
      <w:tr w:rsidR="00C557EE" w:rsidRPr="00563EF6" w14:paraId="2BF96C33" w14:textId="77777777" w:rsidTr="00563EF6">
        <w:trPr>
          <w:jc w:val="center"/>
        </w:trPr>
        <w:tc>
          <w:tcPr>
            <w:tcW w:w="4999" w:type="pct"/>
            <w:gridSpan w:val="4"/>
            <w:shd w:val="clear" w:color="auto" w:fill="D9D9D9" w:themeFill="background1" w:themeFillShade="D9"/>
          </w:tcPr>
          <w:p w14:paraId="3AC17D87" w14:textId="19B93F1D" w:rsidR="00C557EE" w:rsidRPr="00563EF6" w:rsidRDefault="00C557EE" w:rsidP="00C557EE">
            <w:pPr>
              <w:pStyle w:val="TableBody"/>
              <w:jc w:val="center"/>
              <w:rPr>
                <w:b/>
                <w:bCs/>
                <w:color w:val="000000" w:themeColor="text1"/>
                <w:szCs w:val="19"/>
              </w:rPr>
            </w:pPr>
            <w:r w:rsidRPr="00563EF6">
              <w:rPr>
                <w:b/>
                <w:bCs/>
                <w:color w:val="000000" w:themeColor="text1"/>
                <w:szCs w:val="19"/>
              </w:rPr>
              <w:t>Surface Treatment</w:t>
            </w:r>
          </w:p>
        </w:tc>
      </w:tr>
      <w:tr w:rsidR="00BD5BA0" w:rsidRPr="00563EF6" w14:paraId="3F82B7AB" w14:textId="77777777" w:rsidTr="00563EF6">
        <w:trPr>
          <w:jc w:val="center"/>
        </w:trPr>
        <w:tc>
          <w:tcPr>
            <w:tcW w:w="1721" w:type="pct"/>
            <w:vAlign w:val="top"/>
          </w:tcPr>
          <w:p w14:paraId="7404CB1F" w14:textId="21C40089" w:rsidR="00BD5BA0" w:rsidRPr="00563EF6" w:rsidRDefault="00BD5BA0" w:rsidP="00BD5BA0">
            <w:pPr>
              <w:pStyle w:val="TableBody"/>
              <w:rPr>
                <w:szCs w:val="19"/>
              </w:rPr>
            </w:pPr>
            <w:r w:rsidRPr="00563EF6">
              <w:rPr>
                <w:szCs w:val="19"/>
              </w:rPr>
              <w:t>Shot / Sand blasters</w:t>
            </w:r>
          </w:p>
        </w:tc>
        <w:tc>
          <w:tcPr>
            <w:tcW w:w="1065" w:type="pct"/>
            <w:vAlign w:val="top"/>
          </w:tcPr>
          <w:p w14:paraId="76F14E48" w14:textId="77554D3A" w:rsidR="00BD5BA0" w:rsidRPr="00563EF6" w:rsidRDefault="00BD5BA0" w:rsidP="00563EF6">
            <w:pPr>
              <w:pStyle w:val="TableBody"/>
              <w:jc w:val="center"/>
              <w:rPr>
                <w:szCs w:val="19"/>
              </w:rPr>
            </w:pPr>
            <w:r w:rsidRPr="00563EF6">
              <w:rPr>
                <w:szCs w:val="19"/>
              </w:rPr>
              <w:t>Batch</w:t>
            </w:r>
          </w:p>
        </w:tc>
        <w:tc>
          <w:tcPr>
            <w:tcW w:w="983" w:type="pct"/>
            <w:vAlign w:val="top"/>
          </w:tcPr>
          <w:p w14:paraId="22552143" w14:textId="1E809286" w:rsidR="00BD5BA0" w:rsidRPr="00563EF6" w:rsidRDefault="00BD5BA0" w:rsidP="00563EF6">
            <w:pPr>
              <w:pStyle w:val="TableBody"/>
              <w:jc w:val="center"/>
              <w:rPr>
                <w:szCs w:val="19"/>
              </w:rPr>
            </w:pPr>
            <w:r w:rsidRPr="00563EF6">
              <w:rPr>
                <w:szCs w:val="19"/>
              </w:rPr>
              <w:t>Hybrid</w:t>
            </w:r>
          </w:p>
        </w:tc>
        <w:tc>
          <w:tcPr>
            <w:tcW w:w="1230" w:type="pct"/>
            <w:vAlign w:val="top"/>
          </w:tcPr>
          <w:p w14:paraId="36E9B99E" w14:textId="4581DA3F" w:rsidR="00BD5BA0" w:rsidRPr="00563EF6" w:rsidRDefault="00BD5BA0" w:rsidP="00910886">
            <w:pPr>
              <w:pStyle w:val="TableBody"/>
              <w:jc w:val="center"/>
              <w:rPr>
                <w:color w:val="826600" w:themeColor="accent2" w:themeShade="80"/>
                <w:szCs w:val="19"/>
              </w:rPr>
            </w:pPr>
            <w:r w:rsidRPr="00563EF6">
              <w:rPr>
                <w:color w:val="826600" w:themeColor="accent2" w:themeShade="80"/>
                <w:szCs w:val="19"/>
              </w:rPr>
              <w:t>Medium</w:t>
            </w:r>
          </w:p>
        </w:tc>
      </w:tr>
      <w:tr w:rsidR="00BD5BA0" w:rsidRPr="00563EF6" w14:paraId="66D5CA0C" w14:textId="77777777" w:rsidTr="00563EF6">
        <w:trPr>
          <w:jc w:val="center"/>
        </w:trPr>
        <w:tc>
          <w:tcPr>
            <w:tcW w:w="1721" w:type="pct"/>
            <w:vAlign w:val="top"/>
          </w:tcPr>
          <w:p w14:paraId="61942412" w14:textId="219E8C3D" w:rsidR="00BD5BA0" w:rsidRPr="00563EF6" w:rsidRDefault="00BD5BA0" w:rsidP="00BD5BA0">
            <w:pPr>
              <w:pStyle w:val="TableBody"/>
              <w:rPr>
                <w:szCs w:val="19"/>
              </w:rPr>
            </w:pPr>
            <w:r w:rsidRPr="00563EF6">
              <w:rPr>
                <w:szCs w:val="19"/>
              </w:rPr>
              <w:t>Painting machines</w:t>
            </w:r>
          </w:p>
        </w:tc>
        <w:tc>
          <w:tcPr>
            <w:tcW w:w="1065" w:type="pct"/>
            <w:vAlign w:val="top"/>
          </w:tcPr>
          <w:p w14:paraId="0B38BFA0" w14:textId="5A76C278" w:rsidR="00BD5BA0" w:rsidRPr="00563EF6" w:rsidRDefault="00BD5BA0" w:rsidP="00563EF6">
            <w:pPr>
              <w:pStyle w:val="TableBody"/>
              <w:jc w:val="center"/>
              <w:rPr>
                <w:szCs w:val="19"/>
              </w:rPr>
            </w:pPr>
            <w:r w:rsidRPr="00563EF6">
              <w:rPr>
                <w:szCs w:val="19"/>
              </w:rPr>
              <w:t>Batch</w:t>
            </w:r>
          </w:p>
        </w:tc>
        <w:tc>
          <w:tcPr>
            <w:tcW w:w="983" w:type="pct"/>
            <w:vAlign w:val="top"/>
          </w:tcPr>
          <w:p w14:paraId="1B1C24FC" w14:textId="190F6C48" w:rsidR="00BD5BA0" w:rsidRPr="00563EF6" w:rsidRDefault="00BD5BA0" w:rsidP="00563EF6">
            <w:pPr>
              <w:pStyle w:val="TableBody"/>
              <w:jc w:val="center"/>
              <w:rPr>
                <w:szCs w:val="19"/>
              </w:rPr>
            </w:pPr>
            <w:r w:rsidRPr="00563EF6">
              <w:rPr>
                <w:szCs w:val="19"/>
              </w:rPr>
              <w:t>Hybrid</w:t>
            </w:r>
          </w:p>
        </w:tc>
        <w:tc>
          <w:tcPr>
            <w:tcW w:w="1230" w:type="pct"/>
            <w:vAlign w:val="top"/>
          </w:tcPr>
          <w:p w14:paraId="21C39271" w14:textId="7FB9D534" w:rsidR="00BD5BA0" w:rsidRPr="00563EF6" w:rsidRDefault="00BD5BA0" w:rsidP="00910886">
            <w:pPr>
              <w:pStyle w:val="TableBody"/>
              <w:jc w:val="center"/>
              <w:rPr>
                <w:color w:val="826600" w:themeColor="accent2" w:themeShade="80"/>
                <w:szCs w:val="19"/>
              </w:rPr>
            </w:pPr>
            <w:r w:rsidRPr="00563EF6">
              <w:rPr>
                <w:color w:val="826600" w:themeColor="accent2" w:themeShade="80"/>
                <w:szCs w:val="19"/>
              </w:rPr>
              <w:t>Medium</w:t>
            </w:r>
          </w:p>
        </w:tc>
      </w:tr>
      <w:tr w:rsidR="00BD5BA0" w:rsidRPr="00563EF6" w14:paraId="43B3643E" w14:textId="77777777" w:rsidTr="00563EF6">
        <w:trPr>
          <w:jc w:val="center"/>
        </w:trPr>
        <w:tc>
          <w:tcPr>
            <w:tcW w:w="1721" w:type="pct"/>
            <w:vAlign w:val="top"/>
          </w:tcPr>
          <w:p w14:paraId="57807E6D" w14:textId="17351DEF" w:rsidR="00BD5BA0" w:rsidRPr="00563EF6" w:rsidRDefault="00BD5BA0" w:rsidP="00BD5BA0">
            <w:pPr>
              <w:pStyle w:val="TableBody"/>
              <w:rPr>
                <w:szCs w:val="19"/>
              </w:rPr>
            </w:pPr>
            <w:r w:rsidRPr="00563EF6">
              <w:rPr>
                <w:szCs w:val="19"/>
              </w:rPr>
              <w:t>Wash bay</w:t>
            </w:r>
          </w:p>
        </w:tc>
        <w:tc>
          <w:tcPr>
            <w:tcW w:w="1065" w:type="pct"/>
            <w:vAlign w:val="top"/>
          </w:tcPr>
          <w:p w14:paraId="777EFA74" w14:textId="6BCA1EFB" w:rsidR="00BD5BA0" w:rsidRPr="00563EF6" w:rsidRDefault="00BD5BA0" w:rsidP="00563EF6">
            <w:pPr>
              <w:pStyle w:val="TableBody"/>
              <w:jc w:val="center"/>
              <w:rPr>
                <w:szCs w:val="19"/>
              </w:rPr>
            </w:pPr>
            <w:r w:rsidRPr="00563EF6">
              <w:rPr>
                <w:szCs w:val="19"/>
              </w:rPr>
              <w:t>On-demand</w:t>
            </w:r>
          </w:p>
        </w:tc>
        <w:tc>
          <w:tcPr>
            <w:tcW w:w="983" w:type="pct"/>
            <w:vAlign w:val="top"/>
          </w:tcPr>
          <w:p w14:paraId="5D5B32B1" w14:textId="44137620" w:rsidR="00BD5BA0" w:rsidRPr="00563EF6" w:rsidRDefault="00BD5BA0" w:rsidP="00563EF6">
            <w:pPr>
              <w:pStyle w:val="TableBody"/>
              <w:jc w:val="center"/>
              <w:rPr>
                <w:szCs w:val="19"/>
              </w:rPr>
            </w:pPr>
            <w:r w:rsidRPr="00563EF6">
              <w:rPr>
                <w:szCs w:val="19"/>
              </w:rPr>
              <w:t>Manned</w:t>
            </w:r>
          </w:p>
        </w:tc>
        <w:tc>
          <w:tcPr>
            <w:tcW w:w="1230" w:type="pct"/>
            <w:vAlign w:val="top"/>
          </w:tcPr>
          <w:p w14:paraId="0EB4A890" w14:textId="086EE982" w:rsidR="00BD5BA0" w:rsidRPr="00563EF6" w:rsidRDefault="00422F41" w:rsidP="00910886">
            <w:pPr>
              <w:pStyle w:val="TableBody"/>
              <w:jc w:val="center"/>
              <w:rPr>
                <w:color w:val="826600" w:themeColor="accent2" w:themeShade="80"/>
                <w:szCs w:val="19"/>
              </w:rPr>
            </w:pPr>
            <w:r w:rsidRPr="00563EF6">
              <w:rPr>
                <w:color w:val="826600" w:themeColor="accent2" w:themeShade="80"/>
                <w:szCs w:val="19"/>
              </w:rPr>
              <w:t>Medium</w:t>
            </w:r>
          </w:p>
        </w:tc>
      </w:tr>
      <w:tr w:rsidR="002C0A83" w:rsidRPr="00563EF6" w14:paraId="634BAAC8" w14:textId="77777777" w:rsidTr="00563EF6">
        <w:trPr>
          <w:jc w:val="center"/>
        </w:trPr>
        <w:tc>
          <w:tcPr>
            <w:tcW w:w="4999" w:type="pct"/>
            <w:gridSpan w:val="4"/>
            <w:shd w:val="clear" w:color="auto" w:fill="D9D9D9" w:themeFill="background1" w:themeFillShade="D9"/>
          </w:tcPr>
          <w:p w14:paraId="51C73BBD" w14:textId="31B35F96" w:rsidR="002C0A83" w:rsidRPr="00563EF6" w:rsidRDefault="00BD5BA0" w:rsidP="002C0A83">
            <w:pPr>
              <w:pStyle w:val="TableBody"/>
              <w:jc w:val="center"/>
              <w:rPr>
                <w:b/>
                <w:bCs/>
                <w:szCs w:val="19"/>
              </w:rPr>
            </w:pPr>
            <w:r w:rsidRPr="00563EF6">
              <w:rPr>
                <w:b/>
                <w:bCs/>
                <w:szCs w:val="19"/>
              </w:rPr>
              <w:t>Background Loads – building services and ancillary infrastructure with no safety consequence</w:t>
            </w:r>
          </w:p>
        </w:tc>
      </w:tr>
      <w:tr w:rsidR="00BD5BA0" w:rsidRPr="00563EF6" w14:paraId="72A370C9" w14:textId="77777777" w:rsidTr="00563EF6">
        <w:trPr>
          <w:jc w:val="center"/>
        </w:trPr>
        <w:tc>
          <w:tcPr>
            <w:tcW w:w="1721" w:type="pct"/>
            <w:vAlign w:val="top"/>
          </w:tcPr>
          <w:p w14:paraId="2C6B603A" w14:textId="62D1DC2F" w:rsidR="00BD5BA0" w:rsidRPr="00563EF6" w:rsidRDefault="00BD5BA0" w:rsidP="00BD5BA0">
            <w:pPr>
              <w:pStyle w:val="TableBody"/>
              <w:rPr>
                <w:szCs w:val="19"/>
              </w:rPr>
            </w:pPr>
            <w:r w:rsidRPr="00563EF6">
              <w:rPr>
                <w:szCs w:val="19"/>
              </w:rPr>
              <w:t>Comfort air conditioning</w:t>
            </w:r>
          </w:p>
        </w:tc>
        <w:tc>
          <w:tcPr>
            <w:tcW w:w="1065" w:type="pct"/>
            <w:vAlign w:val="top"/>
          </w:tcPr>
          <w:p w14:paraId="2E575BA0" w14:textId="27F8DD5A" w:rsidR="00BD5BA0" w:rsidRPr="00563EF6" w:rsidRDefault="00BD5BA0" w:rsidP="00563EF6">
            <w:pPr>
              <w:pStyle w:val="TableBody"/>
              <w:jc w:val="center"/>
              <w:rPr>
                <w:szCs w:val="19"/>
              </w:rPr>
            </w:pPr>
            <w:r w:rsidRPr="00563EF6">
              <w:rPr>
                <w:szCs w:val="19"/>
              </w:rPr>
              <w:t>Cyclical</w:t>
            </w:r>
          </w:p>
        </w:tc>
        <w:tc>
          <w:tcPr>
            <w:tcW w:w="983" w:type="pct"/>
            <w:vAlign w:val="top"/>
          </w:tcPr>
          <w:p w14:paraId="6862D8B2" w14:textId="11509D37" w:rsidR="00BD5BA0" w:rsidRPr="00563EF6" w:rsidRDefault="00BD5BA0" w:rsidP="00563EF6">
            <w:pPr>
              <w:pStyle w:val="TableBody"/>
              <w:jc w:val="center"/>
              <w:rPr>
                <w:szCs w:val="19"/>
              </w:rPr>
            </w:pPr>
            <w:r w:rsidRPr="00563EF6">
              <w:rPr>
                <w:szCs w:val="19"/>
              </w:rPr>
              <w:t>Automated</w:t>
            </w:r>
          </w:p>
        </w:tc>
        <w:tc>
          <w:tcPr>
            <w:tcW w:w="1230" w:type="pct"/>
            <w:vAlign w:val="top"/>
          </w:tcPr>
          <w:p w14:paraId="3320211F" w14:textId="5CAC0073" w:rsidR="00BD5BA0" w:rsidRPr="00563EF6" w:rsidRDefault="00BD5BA0" w:rsidP="00910886">
            <w:pPr>
              <w:pStyle w:val="TableBody"/>
              <w:jc w:val="center"/>
              <w:rPr>
                <w:color w:val="826600" w:themeColor="accent2" w:themeShade="80"/>
                <w:szCs w:val="19"/>
              </w:rPr>
            </w:pPr>
            <w:r w:rsidRPr="00563EF6">
              <w:rPr>
                <w:color w:val="826600" w:themeColor="accent2" w:themeShade="80"/>
                <w:szCs w:val="19"/>
              </w:rPr>
              <w:t>Medium</w:t>
            </w:r>
          </w:p>
        </w:tc>
      </w:tr>
      <w:tr w:rsidR="00BD5BA0" w:rsidRPr="00563EF6" w14:paraId="6C07C6DD" w14:textId="77777777" w:rsidTr="00563EF6">
        <w:trPr>
          <w:jc w:val="center"/>
        </w:trPr>
        <w:tc>
          <w:tcPr>
            <w:tcW w:w="1721" w:type="pct"/>
            <w:vAlign w:val="top"/>
          </w:tcPr>
          <w:p w14:paraId="4631AC4C" w14:textId="10BC2E8B" w:rsidR="00BD5BA0" w:rsidRPr="00563EF6" w:rsidRDefault="00BD5BA0" w:rsidP="00BD5BA0">
            <w:pPr>
              <w:pStyle w:val="TableBody"/>
              <w:rPr>
                <w:szCs w:val="19"/>
              </w:rPr>
            </w:pPr>
            <w:r w:rsidRPr="00563EF6">
              <w:rPr>
                <w:szCs w:val="19"/>
              </w:rPr>
              <w:t>Electric forklifts</w:t>
            </w:r>
          </w:p>
        </w:tc>
        <w:tc>
          <w:tcPr>
            <w:tcW w:w="1065" w:type="pct"/>
            <w:vAlign w:val="top"/>
          </w:tcPr>
          <w:p w14:paraId="7AABC0F0" w14:textId="1E5251C1" w:rsidR="00BD5BA0" w:rsidRPr="00563EF6" w:rsidRDefault="00BD5BA0" w:rsidP="00563EF6">
            <w:pPr>
              <w:pStyle w:val="TableBody"/>
              <w:jc w:val="center"/>
              <w:rPr>
                <w:szCs w:val="19"/>
              </w:rPr>
            </w:pPr>
            <w:r w:rsidRPr="00563EF6">
              <w:rPr>
                <w:szCs w:val="19"/>
              </w:rPr>
              <w:t>On-demand</w:t>
            </w:r>
          </w:p>
        </w:tc>
        <w:tc>
          <w:tcPr>
            <w:tcW w:w="983" w:type="pct"/>
            <w:vAlign w:val="top"/>
          </w:tcPr>
          <w:p w14:paraId="2A15B585" w14:textId="571728FC" w:rsidR="00BD5BA0" w:rsidRPr="00563EF6" w:rsidRDefault="00BD5BA0" w:rsidP="00563EF6">
            <w:pPr>
              <w:pStyle w:val="TableBody"/>
              <w:jc w:val="center"/>
              <w:rPr>
                <w:szCs w:val="19"/>
              </w:rPr>
            </w:pPr>
            <w:r w:rsidRPr="00563EF6">
              <w:rPr>
                <w:szCs w:val="19"/>
              </w:rPr>
              <w:t>Manned</w:t>
            </w:r>
          </w:p>
        </w:tc>
        <w:tc>
          <w:tcPr>
            <w:tcW w:w="1230" w:type="pct"/>
            <w:vAlign w:val="top"/>
          </w:tcPr>
          <w:p w14:paraId="1DE16C63" w14:textId="2E8C3D84" w:rsidR="00BD5BA0" w:rsidRPr="00563EF6" w:rsidRDefault="00BD5BA0" w:rsidP="00910886">
            <w:pPr>
              <w:pStyle w:val="TableBody"/>
              <w:jc w:val="center"/>
              <w:rPr>
                <w:color w:val="826600" w:themeColor="accent2" w:themeShade="80"/>
                <w:szCs w:val="19"/>
              </w:rPr>
            </w:pPr>
            <w:r w:rsidRPr="00563EF6">
              <w:rPr>
                <w:color w:val="826600" w:themeColor="accent2" w:themeShade="80"/>
                <w:szCs w:val="19"/>
              </w:rPr>
              <w:t>Medium</w:t>
            </w:r>
          </w:p>
        </w:tc>
      </w:tr>
    </w:tbl>
    <w:p w14:paraId="7B509F4C" w14:textId="77777777" w:rsidR="00277715" w:rsidRPr="00277715" w:rsidRDefault="00277715" w:rsidP="00277715">
      <w:pPr>
        <w:pStyle w:val="ListBullet"/>
        <w:numPr>
          <w:ilvl w:val="0"/>
          <w:numId w:val="0"/>
        </w:numPr>
      </w:pPr>
    </w:p>
    <w:p w14:paraId="1D255576" w14:textId="377A2210" w:rsidR="00394942" w:rsidRDefault="00E36C7E" w:rsidP="00394942">
      <w:r>
        <w:fldChar w:fldCharType="begin"/>
      </w:r>
      <w:r>
        <w:instrText xml:space="preserve"> REF _Ref230350476 \h </w:instrText>
      </w:r>
      <w:r>
        <w:fldChar w:fldCharType="separate"/>
      </w:r>
      <w:r w:rsidR="00036C9A" w:rsidRPr="00A8240A">
        <w:t>Table</w:t>
      </w:r>
      <w:r w:rsidR="00036C9A">
        <w:t xml:space="preserve"> </w:t>
      </w:r>
      <w:r w:rsidR="00036C9A">
        <w:rPr>
          <w:noProof/>
        </w:rPr>
        <w:t>10</w:t>
      </w:r>
      <w:r>
        <w:fldChar w:fldCharType="end"/>
      </w:r>
      <w:r w:rsidR="00394942">
        <w:t xml:space="preserve"> above</w:t>
      </w:r>
      <w:r w:rsidR="00422F41">
        <w:t>,</w:t>
      </w:r>
      <w:r w:rsidR="00394942">
        <w:t xml:space="preserve"> outlines the load categories based on</w:t>
      </w:r>
      <w:r w:rsidR="00227435">
        <w:t xml:space="preserve"> the</w:t>
      </w:r>
      <w:r w:rsidR="00394942">
        <w:t xml:space="preserve"> type</w:t>
      </w:r>
      <w:r w:rsidR="00227435">
        <w:t>s</w:t>
      </w:r>
      <w:r w:rsidR="00394942">
        <w:t xml:space="preserve"> of equipment </w:t>
      </w:r>
      <w:r w:rsidR="00227435">
        <w:t xml:space="preserve">reported by the industrial participants </w:t>
      </w:r>
      <w:r w:rsidR="00394942">
        <w:t>during the stakeholders’ engagement interview. Mechanical loads were the most widely distributed category across the participating facilities</w:t>
      </w:r>
      <w:r w:rsidR="00227435">
        <w:t>,</w:t>
      </w:r>
      <w:r w:rsidR="00394942">
        <w:t xml:space="preserve"> with </w:t>
      </w:r>
      <w:r w:rsidR="00617D6D">
        <w:t>15</w:t>
      </w:r>
      <w:r w:rsidR="00394942">
        <w:t xml:space="preserve"> companies acknowledging the use of equipment falling under this category, reflecting the dominance of capital equipment in mid-sized manufacturing and engineering operations. </w:t>
      </w:r>
      <w:r w:rsidR="00227435">
        <w:t>The thermal category was the second most popular category with equipment used across different types of sectors</w:t>
      </w:r>
      <w:r w:rsidR="00394942">
        <w:t xml:space="preserve"> such as food processing, manufacturing</w:t>
      </w:r>
      <w:r w:rsidR="00227435">
        <w:t>,</w:t>
      </w:r>
      <w:r w:rsidR="00394942">
        <w:t xml:space="preserve"> and mining. Compressed air systems, while representing only a single equipment type, appeared across a broad range of participants and consistently in combination with other high-demand mechanical and thermal loads.</w:t>
      </w:r>
      <w:r w:rsidR="00A81BB5">
        <w:t xml:space="preserve"> </w:t>
      </w:r>
    </w:p>
    <w:p w14:paraId="03807CDD" w14:textId="77777777" w:rsidR="00910886" w:rsidRDefault="00832A34" w:rsidP="00910886">
      <w:r w:rsidRPr="00832A34">
        <w:t xml:space="preserve">Pumping and water system loads, while present in fewer facilities, were concentrated </w:t>
      </w:r>
      <w:r w:rsidR="00227435">
        <w:t>among the highest-energy-consuming participants,</w:t>
      </w:r>
      <w:r>
        <w:t xml:space="preserve"> </w:t>
      </w:r>
      <w:r w:rsidRPr="00832A34">
        <w:t>notably in mining and large-scale food processing</w:t>
      </w:r>
      <w:r>
        <w:t xml:space="preserve">, </w:t>
      </w:r>
      <w:r w:rsidRPr="00832A34">
        <w:t>where their contribution to total facility demand is proportionally significant. Specialised testing loads were confined to participants whose primary business involves electrical testing and equipment commissioning, making them sector-specific rather than broadly distributed.</w:t>
      </w:r>
    </w:p>
    <w:p w14:paraId="3EDB3327" w14:textId="333FEACB" w:rsidR="00E36C7E" w:rsidRDefault="00910886" w:rsidP="00910886">
      <w:r>
        <w:fldChar w:fldCharType="begin"/>
      </w:r>
      <w:r>
        <w:instrText xml:space="preserve"> REF _Ref230357097 \h </w:instrText>
      </w:r>
      <w:r>
        <w:fldChar w:fldCharType="separate"/>
      </w:r>
      <w:r w:rsidR="00036C9A">
        <w:t xml:space="preserve">Figure </w:t>
      </w:r>
      <w:r w:rsidR="00036C9A">
        <w:rPr>
          <w:noProof/>
        </w:rPr>
        <w:t>15</w:t>
      </w:r>
      <w:r>
        <w:fldChar w:fldCharType="end"/>
      </w:r>
      <w:r>
        <w:t xml:space="preserve"> and </w:t>
      </w:r>
      <w:r>
        <w:fldChar w:fldCharType="begin"/>
      </w:r>
      <w:r>
        <w:instrText xml:space="preserve"> REF _Ref230936118 \h </w:instrText>
      </w:r>
      <w:r>
        <w:fldChar w:fldCharType="separate"/>
      </w:r>
      <w:r w:rsidR="00036C9A">
        <w:t xml:space="preserve">Figure </w:t>
      </w:r>
      <w:r w:rsidR="00036C9A">
        <w:rPr>
          <w:noProof/>
        </w:rPr>
        <w:t>16</w:t>
      </w:r>
      <w:r>
        <w:fldChar w:fldCharType="end"/>
      </w:r>
      <w:r w:rsidR="00E36C7E">
        <w:t xml:space="preserve">, </w:t>
      </w:r>
      <w:r w:rsidR="00E36C7E" w:rsidRPr="00E36C7E">
        <w:t>present the load characterisation results as stacked bar charts, illustrating the distribution of load categories across individual companies within the primary and supplementary cohorts</w:t>
      </w:r>
      <w:r w:rsidR="00E36C7E">
        <w:t>,</w:t>
      </w:r>
      <w:r w:rsidR="00E36C7E" w:rsidRPr="00E36C7E">
        <w:t xml:space="preserve"> respectively. Each bar represents a load category, with the stacked segments </w:t>
      </w:r>
      <w:r w:rsidR="00E36C7E">
        <w:t>indicating which companies in the cohort reported equipment in</w:t>
      </w:r>
      <w:r w:rsidR="00E36C7E" w:rsidRPr="00E36C7E">
        <w:t xml:space="preserve"> that category. This format allows the concentration and </w:t>
      </w:r>
      <w:r>
        <w:t>spreads</w:t>
      </w:r>
      <w:r w:rsidR="00E36C7E">
        <w:t xml:space="preserve"> of each load type to be assessed simultaneously, revealing not only how many companies operate within a given category but also </w:t>
      </w:r>
      <w:r w:rsidR="00E36C7E" w:rsidRPr="00E36C7E">
        <w:t>which specific participants contribute to it</w:t>
      </w:r>
      <w:r w:rsidR="00E36C7E">
        <w:t>.</w:t>
      </w:r>
    </w:p>
    <w:p w14:paraId="0F99A3EF" w14:textId="77777777" w:rsidR="00394942" w:rsidRDefault="00394942" w:rsidP="00394942">
      <w:pPr>
        <w:keepNext/>
      </w:pPr>
      <w:r>
        <w:rPr>
          <w:noProof/>
        </w:rPr>
        <w:lastRenderedPageBreak/>
        <w:drawing>
          <wp:inline distT="0" distB="0" distL="0" distR="0" wp14:anchorId="3AB21642" wp14:editId="6CE4E707">
            <wp:extent cx="6120130" cy="4152900"/>
            <wp:effectExtent l="0" t="0" r="13970" b="0"/>
            <wp:docPr id="651954404" name="Chart 1">
              <a:extLst xmlns:a="http://schemas.openxmlformats.org/drawingml/2006/main">
                <a:ext uri="{FF2B5EF4-FFF2-40B4-BE49-F238E27FC236}">
                  <a16:creationId xmlns:a16="http://schemas.microsoft.com/office/drawing/2014/main" id="{15279A83-8868-AD9C-DFFC-79A06E299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1F7328C" w14:textId="3D7AD8D6" w:rsidR="00394942" w:rsidRDefault="00394942" w:rsidP="00394942">
      <w:pPr>
        <w:pStyle w:val="Caption"/>
      </w:pPr>
      <w:bookmarkStart w:id="116" w:name="_Ref230357097"/>
      <w:bookmarkStart w:id="117" w:name="_Toc233788352"/>
      <w:r>
        <w:t xml:space="preserve">Figure </w:t>
      </w:r>
      <w:fldSimple w:instr=" SEQ Figure \* ARABIC ">
        <w:r w:rsidR="00036C9A">
          <w:rPr>
            <w:noProof/>
          </w:rPr>
          <w:t>15</w:t>
        </w:r>
      </w:fldSimple>
      <w:bookmarkEnd w:id="116"/>
      <w:r>
        <w:t xml:space="preserve">: Load Characterisation in </w:t>
      </w:r>
      <w:r w:rsidR="00617D6D">
        <w:t xml:space="preserve">Primary </w:t>
      </w:r>
      <w:r>
        <w:t>Industrial Sector</w:t>
      </w:r>
      <w:r w:rsidR="009060AF">
        <w:t>s</w:t>
      </w:r>
      <w:bookmarkEnd w:id="117"/>
    </w:p>
    <w:p w14:paraId="666A8980" w14:textId="77777777" w:rsidR="00DA0106" w:rsidRDefault="00222B21" w:rsidP="00DA0106">
      <w:pPr>
        <w:keepNext/>
      </w:pPr>
      <w:r>
        <w:rPr>
          <w:noProof/>
        </w:rPr>
        <w:drawing>
          <wp:inline distT="0" distB="0" distL="0" distR="0" wp14:anchorId="7CA6F84A" wp14:editId="247FEC49">
            <wp:extent cx="6233160" cy="4023360"/>
            <wp:effectExtent l="0" t="0" r="15240" b="15240"/>
            <wp:docPr id="1298076026" name="Chart 1">
              <a:extLst xmlns:a="http://schemas.openxmlformats.org/drawingml/2006/main">
                <a:ext uri="{FF2B5EF4-FFF2-40B4-BE49-F238E27FC236}">
                  <a16:creationId xmlns:a16="http://schemas.microsoft.com/office/drawing/2014/main" id="{4D078699-CB80-4920-A8C3-B1C06ADB7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161497F" w14:textId="69E39DD9" w:rsidR="00222B21" w:rsidRDefault="00DA0106" w:rsidP="00DA0106">
      <w:pPr>
        <w:pStyle w:val="Caption"/>
      </w:pPr>
      <w:bookmarkStart w:id="118" w:name="_Ref230936118"/>
      <w:bookmarkStart w:id="119" w:name="_Toc233788353"/>
      <w:r>
        <w:t xml:space="preserve">Figure </w:t>
      </w:r>
      <w:fldSimple w:instr=" SEQ Figure \* ARABIC ">
        <w:r w:rsidR="00036C9A">
          <w:rPr>
            <w:noProof/>
          </w:rPr>
          <w:t>16</w:t>
        </w:r>
      </w:fldSimple>
      <w:bookmarkEnd w:id="118"/>
      <w:r>
        <w:t>: Load Characterisation in the Supplementary Industrial Sectors</w:t>
      </w:r>
      <w:bookmarkEnd w:id="119"/>
    </w:p>
    <w:p w14:paraId="29AE661D" w14:textId="06AF78FA" w:rsidR="00E36C7E" w:rsidRDefault="00E36C7E" w:rsidP="00222B21">
      <w:r>
        <w:lastRenderedPageBreak/>
        <w:fldChar w:fldCharType="begin"/>
      </w:r>
      <w:r>
        <w:instrText xml:space="preserve"> REF _Ref230357097 \h </w:instrText>
      </w:r>
      <w:r>
        <w:fldChar w:fldCharType="separate"/>
      </w:r>
      <w:r w:rsidR="00036C9A">
        <w:t xml:space="preserve">Figure </w:t>
      </w:r>
      <w:r w:rsidR="00036C9A">
        <w:rPr>
          <w:noProof/>
        </w:rPr>
        <w:t>15</w:t>
      </w:r>
      <w:r>
        <w:fldChar w:fldCharType="end"/>
      </w:r>
      <w:r w:rsidRPr="00E36C7E">
        <w:t xml:space="preserve"> shows that within the primary cohort, Compressed Air and Mechanical Loads are the two most broadly distributed categories, appearing across the largest number of individual companies. Company F and Company I account for the widest load category coverage within the primary cohort, each reporting equipment across the greatest number of categories</w:t>
      </w:r>
      <w:r w:rsidR="003069EA">
        <w:t>,</w:t>
      </w:r>
      <w:r w:rsidRPr="00E36C7E">
        <w:t xml:space="preserve"> a result consistent with their roles as manufacturers and maintainers of complex industrial equipment requiring diverse energy-consuming processes. Thermal loads are distributed across a moderate number of participants, with notable contributions from Companies H, G,</w:t>
      </w:r>
      <w:r w:rsidR="00910886">
        <w:t xml:space="preserve"> L,</w:t>
      </w:r>
      <w:r w:rsidRPr="00E36C7E">
        <w:t xml:space="preserve"> and F. Environmental Control loads are concentrated among a smaller number of participants, reflecting the sector-specific nature of process-critical cooling, ventilation, and filtration requirements. Testing and Specialised loads appear only in Companies C, F, I, and N, confirming their sector-specific distribution</w:t>
      </w:r>
      <w:r>
        <w:t>.</w:t>
      </w:r>
    </w:p>
    <w:p w14:paraId="7B18C115" w14:textId="2C0646C3" w:rsidR="00222B21" w:rsidRDefault="003069EA" w:rsidP="00222B21">
      <w:r>
        <w:fldChar w:fldCharType="begin"/>
      </w:r>
      <w:r>
        <w:instrText xml:space="preserve"> REF _Ref230936118 \h </w:instrText>
      </w:r>
      <w:r>
        <w:fldChar w:fldCharType="separate"/>
      </w:r>
      <w:r w:rsidR="00036C9A">
        <w:t xml:space="preserve">Figure </w:t>
      </w:r>
      <w:r w:rsidR="00036C9A">
        <w:rPr>
          <w:noProof/>
        </w:rPr>
        <w:t>16</w:t>
      </w:r>
      <w:r>
        <w:fldChar w:fldCharType="end"/>
      </w:r>
      <w:r w:rsidR="00E36C7E" w:rsidRPr="00E36C7E">
        <w:t xml:space="preserve"> shows that within the supplementary cohort, Compressed Air</w:t>
      </w:r>
      <w:r w:rsidR="00CD072F">
        <w:t xml:space="preserve">, Environmental </w:t>
      </w:r>
      <w:r w:rsidR="00836EF8">
        <w:t>C</w:t>
      </w:r>
      <w:r w:rsidR="00CD072F">
        <w:t>ontrol</w:t>
      </w:r>
      <w:r w:rsidR="00E36C7E" w:rsidRPr="00E36C7E">
        <w:t xml:space="preserve"> and Background Loads are the most broadly distributed categories, each appearing across the majority of supplementary participants. This is consistent with the finding noted in Section </w:t>
      </w:r>
      <w:r>
        <w:fldChar w:fldCharType="begin"/>
      </w:r>
      <w:r>
        <w:instrText xml:space="preserve"> REF _Ref230907727 \r \h </w:instrText>
      </w:r>
      <w:r>
        <w:fldChar w:fldCharType="separate"/>
      </w:r>
      <w:r w:rsidR="00036C9A">
        <w:t>5.4.2</w:t>
      </w:r>
      <w:r>
        <w:fldChar w:fldCharType="end"/>
      </w:r>
      <w:r w:rsidR="00E36C7E" w:rsidRPr="00E36C7E">
        <w:t xml:space="preserve"> that compressed air is among the most </w:t>
      </w:r>
      <w:r>
        <w:t>widespread</w:t>
      </w:r>
      <w:r w:rsidR="00E36C7E" w:rsidRPr="00E36C7E">
        <w:t xml:space="preserve"> load types in industrial settings, and that background loads such as lighting and HVAC are present in virtually all facilities</w:t>
      </w:r>
      <w:r>
        <w:t>,</w:t>
      </w:r>
      <w:r w:rsidR="00E36C7E" w:rsidRPr="00E36C7E">
        <w:t xml:space="preserve"> regardless of sector. The supplementary cohort also shows a more prominent </w:t>
      </w:r>
      <w:r>
        <w:t xml:space="preserve">presence of Pumping and Water System than the primary cohort, driven by </w:t>
      </w:r>
      <w:r w:rsidR="00D10886">
        <w:t>participants in waste management, water treatment, and beverage processing</w:t>
      </w:r>
      <w:r w:rsidR="00E36C7E" w:rsidRPr="00E36C7E">
        <w:t>.</w:t>
      </w:r>
    </w:p>
    <w:p w14:paraId="3FAB557B" w14:textId="3ED0C222" w:rsidR="004513F9" w:rsidRPr="00222B21" w:rsidRDefault="004513F9" w:rsidP="004513F9">
      <w:r>
        <w:t>It is worth noting that t</w:t>
      </w:r>
      <w:r w:rsidRPr="004513F9">
        <w:t xml:space="preserve">he supplementary cohort </w:t>
      </w:r>
      <w:r w:rsidR="00D10886">
        <w:t>exhibits a more complete and evenly distributed load profile across all nine categories than</w:t>
      </w:r>
      <w:r w:rsidRPr="004513F9">
        <w:t xml:space="preserve"> the primary cohort. This is almost certainly a methodological effect rather than a real operational difference: the supplementary cohort data comes from energy audits, which systematically capture all load types present at a facility, whereas primary cohort data comes from self-reported interviews, where participants naturally focus on what they consider their most significant or energy-intensive loads. This reinforces the limitation discussed in Section </w:t>
      </w:r>
      <w:r>
        <w:fldChar w:fldCharType="begin"/>
      </w:r>
      <w:r>
        <w:instrText xml:space="preserve"> REF _Ref230856447 \r \h </w:instrText>
      </w:r>
      <w:r>
        <w:fldChar w:fldCharType="separate"/>
      </w:r>
      <w:r w:rsidR="00036C9A">
        <w:t>4.1.6</w:t>
      </w:r>
      <w:r>
        <w:fldChar w:fldCharType="end"/>
      </w:r>
      <w:r>
        <w:t xml:space="preserve">, where </w:t>
      </w:r>
      <w:r w:rsidRPr="004513F9">
        <w:t>self-reported data underrepresents loads that participants do not perceive as primary energy consumers, even when those loads (such as compressed air or background systems) are operationally significant and potentially highly flexible from a DR perspective</w:t>
      </w:r>
      <w:r>
        <w:t>.</w:t>
      </w:r>
    </w:p>
    <w:p w14:paraId="5534DFB8" w14:textId="31D95BCF" w:rsidR="00495841" w:rsidRPr="00D10886" w:rsidRDefault="00351E60" w:rsidP="00277715">
      <w:pPr>
        <w:pStyle w:val="Heading2"/>
      </w:pPr>
      <w:bookmarkStart w:id="120" w:name="_Ref230768478"/>
      <w:bookmarkStart w:id="121" w:name="_Ref230768487"/>
      <w:bookmarkStart w:id="122" w:name="_Toc233788317"/>
      <w:r w:rsidRPr="00D10886">
        <w:t>Findings and Discussion</w:t>
      </w:r>
      <w:bookmarkEnd w:id="120"/>
      <w:bookmarkEnd w:id="121"/>
      <w:bookmarkEnd w:id="122"/>
    </w:p>
    <w:p w14:paraId="75611974" w14:textId="11EA990C" w:rsidR="00DA7A90" w:rsidRDefault="0049497A" w:rsidP="0049497A">
      <w:r w:rsidRPr="0049497A">
        <w:t>The analysis conducted across the 22-company participant cohort produced a set of findings that are both empirically grounded and analytically significant. This section presents those findings thematically, moving from the classification results and sector-level patterns through to the operational, economic, and systemic observations that together define the industrial DR landscape in the Hunter Valley. Throughout, the findings are contextualised against the relevant literature and connected to the broader implications for industrial DR program design, incentive structures, and future research priorities in the NEM</w:t>
      </w:r>
      <w:r>
        <w:t>.</w:t>
      </w:r>
    </w:p>
    <w:p w14:paraId="7FEB3900" w14:textId="1B4A0DAD" w:rsidR="0049497A" w:rsidRPr="00D10886" w:rsidRDefault="0049497A" w:rsidP="0049497A">
      <w:pPr>
        <w:pStyle w:val="Heading3"/>
      </w:pPr>
      <w:bookmarkStart w:id="123" w:name="_Toc233788318"/>
      <w:r w:rsidRPr="00D10886">
        <w:t>Classification Results and DR Participation Potential</w:t>
      </w:r>
      <w:bookmarkEnd w:id="123"/>
    </w:p>
    <w:p w14:paraId="7D861113" w14:textId="06D53D5B" w:rsidR="0049497A" w:rsidRDefault="0049497A" w:rsidP="0049497A">
      <w:r w:rsidRPr="0049497A">
        <w:t xml:space="preserve">Across the </w:t>
      </w:r>
      <w:r w:rsidR="0087125C">
        <w:t>22</w:t>
      </w:r>
      <w:r w:rsidRPr="0049497A">
        <w:t xml:space="preserve"> assessed companies, the combined barrier and capability assessment produced raw scores ranging from −1</w:t>
      </w:r>
      <w:r w:rsidR="002F2085">
        <w:t>2</w:t>
      </w:r>
      <w:r w:rsidRPr="0049497A">
        <w:t xml:space="preserve"> to +</w:t>
      </w:r>
      <w:r w:rsidR="002F2085">
        <w:t>9</w:t>
      </w:r>
      <w:r w:rsidRPr="0049497A">
        <w:t>. The mean raw score of −</w:t>
      </w:r>
      <w:r w:rsidR="0087125C">
        <w:t xml:space="preserve">3.1 and a median of -3. re. </w:t>
      </w:r>
      <w:r w:rsidR="00CD072F" w:rsidRPr="00CD072F">
        <w:t>These results confirm a cohort that is, on balance, barrier-dominated: 77% of companies recorded a negative raw score, reflecting a combination of conditions that would make DR participation difficult to initiate or sustain under current market and program arrangements. The remaining 23% recorded positive raw scores, indicating that their operational and capability profiles are more conducive to participation, subject to the specific barriers present at each site.</w:t>
      </w:r>
      <w:r w:rsidR="00777CAF">
        <w:t xml:space="preserve"> </w:t>
      </w:r>
      <w:r w:rsidR="00CD072F">
        <w:t>It is important to note that a negative composite score does not necessarily indicate t</w:t>
      </w:r>
      <w:r w:rsidR="00E72AC0">
        <w:t>h</w:t>
      </w:r>
      <w:r w:rsidR="00CD072F">
        <w:t>at a company is unsuitable for any form of DR participation</w:t>
      </w:r>
      <w:r w:rsidR="00E40F83">
        <w:t xml:space="preserve"> as discussed in section </w:t>
      </w:r>
      <w:r w:rsidR="00E40F83">
        <w:fldChar w:fldCharType="begin"/>
      </w:r>
      <w:r w:rsidR="00E40F83">
        <w:instrText xml:space="preserve"> REF _Ref233713705 \r \h </w:instrText>
      </w:r>
      <w:r w:rsidR="00E40F83">
        <w:fldChar w:fldCharType="separate"/>
      </w:r>
      <w:r w:rsidR="00036C9A">
        <w:t>5.3.1</w:t>
      </w:r>
      <w:r w:rsidR="00E40F83">
        <w:fldChar w:fldCharType="end"/>
      </w:r>
      <w:r w:rsidR="00E40F83">
        <w:t>. Even</w:t>
      </w:r>
      <w:r w:rsidR="00E40F83" w:rsidRPr="00E40F83">
        <w:t xml:space="preserve"> companies with a dominant Continuous Process barrier typically retain separable, non-production loads, such as compressed air and pumping systems, that remain available for curtailment independently of the constrained process itself. A negative score therefore reflects constrained or partial DR potential at the whole-site level, rather than the complete absence of accessible flexibility</w:t>
      </w:r>
      <w:r>
        <w:t>.</w:t>
      </w:r>
    </w:p>
    <w:p w14:paraId="1C748AAB" w14:textId="1C9CEC30" w:rsidR="0049497A" w:rsidRDefault="00D10886" w:rsidP="0049497A">
      <w:r>
        <w:fldChar w:fldCharType="begin"/>
      </w:r>
      <w:r>
        <w:instrText xml:space="preserve"> REF _Ref231044223 \h </w:instrText>
      </w:r>
      <w:r>
        <w:fldChar w:fldCharType="separate"/>
      </w:r>
      <w:r w:rsidR="00036C9A">
        <w:t xml:space="preserve">Table </w:t>
      </w:r>
      <w:r w:rsidR="00036C9A">
        <w:rPr>
          <w:noProof/>
        </w:rPr>
        <w:t>11</w:t>
      </w:r>
      <w:r>
        <w:fldChar w:fldCharType="end"/>
      </w:r>
      <w:r w:rsidR="0049497A" w:rsidRPr="0049497A">
        <w:t xml:space="preserve"> groups the cohort into four score bands, summarising the profile characteristics and primary constraints associated with each band. The groupings are illustrative rather than prescriptive</w:t>
      </w:r>
      <w:r w:rsidR="0049497A">
        <w:t xml:space="preserve">; </w:t>
      </w:r>
      <w:r w:rsidR="0049497A" w:rsidRPr="0049497A">
        <w:t>they reflect the composite barrier and capability assessment rather than a single determinative factor</w:t>
      </w:r>
      <w:r w:rsidR="0049497A">
        <w:t>.</w:t>
      </w:r>
    </w:p>
    <w:p w14:paraId="56A562F5" w14:textId="787074FD" w:rsidR="0055339B" w:rsidRDefault="0055339B" w:rsidP="0055339B">
      <w:pPr>
        <w:pStyle w:val="Caption"/>
        <w:keepNext/>
      </w:pPr>
      <w:bookmarkStart w:id="124" w:name="_Ref231044223"/>
      <w:bookmarkStart w:id="125" w:name="_Toc233788364"/>
      <w:r>
        <w:lastRenderedPageBreak/>
        <w:t xml:space="preserve">Table </w:t>
      </w:r>
      <w:fldSimple w:instr=" SEQ Table \* ARABIC ">
        <w:r w:rsidR="00036C9A">
          <w:rPr>
            <w:noProof/>
          </w:rPr>
          <w:t>11</w:t>
        </w:r>
      </w:fldSimple>
      <w:bookmarkEnd w:id="124"/>
      <w:r>
        <w:t xml:space="preserve">: </w:t>
      </w:r>
      <w:r w:rsidRPr="0055339B">
        <w:t xml:space="preserve">DR </w:t>
      </w:r>
      <w:r>
        <w:t>P</w:t>
      </w:r>
      <w:r w:rsidRPr="0055339B">
        <w:t xml:space="preserve">articipation </w:t>
      </w:r>
      <w:r>
        <w:t>P</w:t>
      </w:r>
      <w:r w:rsidRPr="0055339B">
        <w:t xml:space="preserve">otential </w:t>
      </w:r>
      <w:r>
        <w:t>S</w:t>
      </w:r>
      <w:r w:rsidRPr="0055339B">
        <w:t xml:space="preserve">core </w:t>
      </w:r>
      <w:r>
        <w:t>B</w:t>
      </w:r>
      <w:r w:rsidRPr="0055339B">
        <w:t xml:space="preserve">ands </w:t>
      </w:r>
      <w:r>
        <w:t>A</w:t>
      </w:r>
      <w:r w:rsidRPr="0055339B">
        <w:t xml:space="preserve">cross </w:t>
      </w:r>
      <w:r>
        <w:t>Participating</w:t>
      </w:r>
      <w:r w:rsidRPr="0055339B">
        <w:t xml:space="preserve"> </w:t>
      </w:r>
      <w:r>
        <w:t>C</w:t>
      </w:r>
      <w:r w:rsidRPr="0055339B">
        <w:t>ohort</w:t>
      </w:r>
      <w:bookmarkEnd w:id="125"/>
    </w:p>
    <w:tbl>
      <w:tblPr>
        <w:tblStyle w:val="AdvitechTable"/>
        <w:tblW w:w="0" w:type="auto"/>
        <w:tblLook w:val="0420" w:firstRow="1" w:lastRow="0" w:firstColumn="0" w:lastColumn="0" w:noHBand="0" w:noVBand="1"/>
      </w:tblPr>
      <w:tblGrid>
        <w:gridCol w:w="2127"/>
        <w:gridCol w:w="1701"/>
        <w:gridCol w:w="1559"/>
        <w:gridCol w:w="4241"/>
      </w:tblGrid>
      <w:tr w:rsidR="0049497A" w:rsidRPr="0049497A" w14:paraId="63ECA8B8" w14:textId="77777777" w:rsidTr="002F6F91">
        <w:trPr>
          <w:cnfStyle w:val="100000000000" w:firstRow="1" w:lastRow="0" w:firstColumn="0" w:lastColumn="0" w:oddVBand="0" w:evenVBand="0" w:oddHBand="0" w:evenHBand="0" w:firstRowFirstColumn="0" w:firstRowLastColumn="0" w:lastRowFirstColumn="0" w:lastRowLastColumn="0"/>
          <w:tblHeader/>
        </w:trPr>
        <w:tc>
          <w:tcPr>
            <w:tcW w:w="2127" w:type="dxa"/>
            <w:vAlign w:val="top"/>
          </w:tcPr>
          <w:p w14:paraId="0C69C874" w14:textId="19AFA234" w:rsidR="0049497A" w:rsidRPr="0049497A" w:rsidRDefault="0049497A" w:rsidP="0049497A">
            <w:pPr>
              <w:pStyle w:val="TableBody"/>
              <w:rPr>
                <w:b/>
                <w:bCs/>
              </w:rPr>
            </w:pPr>
            <w:r w:rsidRPr="0049497A">
              <w:rPr>
                <w:b/>
                <w:bCs/>
              </w:rPr>
              <w:t>Score Band</w:t>
            </w:r>
          </w:p>
        </w:tc>
        <w:tc>
          <w:tcPr>
            <w:tcW w:w="1701" w:type="dxa"/>
            <w:vAlign w:val="top"/>
          </w:tcPr>
          <w:p w14:paraId="513BCCC0" w14:textId="01EE688E" w:rsidR="0049497A" w:rsidRPr="0049497A" w:rsidRDefault="0049497A" w:rsidP="0049497A">
            <w:pPr>
              <w:pStyle w:val="TableBody"/>
              <w:rPr>
                <w:b/>
                <w:bCs/>
              </w:rPr>
            </w:pPr>
            <w:r w:rsidRPr="0049497A">
              <w:rPr>
                <w:b/>
                <w:bCs/>
              </w:rPr>
              <w:t>Companies</w:t>
            </w:r>
          </w:p>
        </w:tc>
        <w:tc>
          <w:tcPr>
            <w:tcW w:w="1559" w:type="dxa"/>
            <w:vAlign w:val="top"/>
          </w:tcPr>
          <w:p w14:paraId="7E2ACDF1" w14:textId="322DC3E3" w:rsidR="0049497A" w:rsidRPr="0049497A" w:rsidRDefault="0049497A" w:rsidP="0049497A">
            <w:pPr>
              <w:pStyle w:val="TableBody"/>
              <w:rPr>
                <w:b/>
                <w:bCs/>
              </w:rPr>
            </w:pPr>
            <w:r w:rsidRPr="0049497A">
              <w:rPr>
                <w:b/>
                <w:bCs/>
              </w:rPr>
              <w:t>Raw Score Range</w:t>
            </w:r>
          </w:p>
        </w:tc>
        <w:tc>
          <w:tcPr>
            <w:tcW w:w="4241" w:type="dxa"/>
            <w:vAlign w:val="top"/>
          </w:tcPr>
          <w:p w14:paraId="4B2BA1D8" w14:textId="20C0AD11" w:rsidR="0049497A" w:rsidRPr="0049497A" w:rsidRDefault="0049497A" w:rsidP="0049497A">
            <w:pPr>
              <w:pStyle w:val="TableBody"/>
              <w:rPr>
                <w:b/>
                <w:bCs/>
              </w:rPr>
            </w:pPr>
            <w:r w:rsidRPr="0049497A">
              <w:rPr>
                <w:b/>
                <w:bCs/>
              </w:rPr>
              <w:t>Profile Summary</w:t>
            </w:r>
          </w:p>
        </w:tc>
      </w:tr>
      <w:tr w:rsidR="0049497A" w14:paraId="7C3BEADB" w14:textId="77777777" w:rsidTr="002F6F91">
        <w:trPr>
          <w:cantSplit/>
        </w:trPr>
        <w:tc>
          <w:tcPr>
            <w:tcW w:w="2127" w:type="dxa"/>
            <w:vAlign w:val="top"/>
          </w:tcPr>
          <w:p w14:paraId="47A7FE67" w14:textId="77777777" w:rsidR="0049497A" w:rsidRDefault="0049497A" w:rsidP="0049497A">
            <w:pPr>
              <w:pStyle w:val="TableBody"/>
            </w:pPr>
            <w:r w:rsidRPr="00DD6490">
              <w:t xml:space="preserve">High readiness </w:t>
            </w:r>
          </w:p>
          <w:p w14:paraId="09117F1A" w14:textId="5F1B9E9E" w:rsidR="0049497A" w:rsidRDefault="0049497A" w:rsidP="0049497A">
            <w:pPr>
              <w:pStyle w:val="TableBody"/>
            </w:pPr>
            <w:r w:rsidRPr="00DD6490">
              <w:t>(≥ +</w:t>
            </w:r>
            <w:r w:rsidR="0055339B">
              <w:t>2</w:t>
            </w:r>
            <w:r w:rsidRPr="00DD6490">
              <w:t>.</w:t>
            </w:r>
            <w:r w:rsidR="0055339B">
              <w:t>5</w:t>
            </w:r>
            <w:r w:rsidRPr="00DD6490">
              <w:t>)</w:t>
            </w:r>
          </w:p>
        </w:tc>
        <w:tc>
          <w:tcPr>
            <w:tcW w:w="1701" w:type="dxa"/>
            <w:vAlign w:val="top"/>
          </w:tcPr>
          <w:p w14:paraId="7F45BD44" w14:textId="4D62659D" w:rsidR="0049497A" w:rsidRDefault="0049497A" w:rsidP="0049497A">
            <w:pPr>
              <w:pStyle w:val="TableBody"/>
            </w:pPr>
            <w:r w:rsidRPr="00DD6490">
              <w:t>CC, EE, I, M</w:t>
            </w:r>
          </w:p>
        </w:tc>
        <w:tc>
          <w:tcPr>
            <w:tcW w:w="1559" w:type="dxa"/>
            <w:vAlign w:val="top"/>
          </w:tcPr>
          <w:p w14:paraId="317ADC14" w14:textId="61F6533B" w:rsidR="0049497A" w:rsidRDefault="0049497A" w:rsidP="0049497A">
            <w:pPr>
              <w:pStyle w:val="TableBody"/>
            </w:pPr>
            <w:r w:rsidRPr="00DD6490">
              <w:t>+2</w:t>
            </w:r>
            <w:r w:rsidR="0087125C">
              <w:t>.5</w:t>
            </w:r>
            <w:r w:rsidRPr="00DD6490">
              <w:t xml:space="preserve"> to +</w:t>
            </w:r>
            <w:r w:rsidR="00D10886">
              <w:t>9</w:t>
            </w:r>
          </w:p>
        </w:tc>
        <w:tc>
          <w:tcPr>
            <w:tcW w:w="4241" w:type="dxa"/>
            <w:vAlign w:val="top"/>
          </w:tcPr>
          <w:p w14:paraId="5159C734" w14:textId="43090F77" w:rsidR="0049497A" w:rsidRDefault="0049497A" w:rsidP="0049497A">
            <w:pPr>
              <w:pStyle w:val="TableBody"/>
            </w:pPr>
            <w:r w:rsidRPr="00DD6490">
              <w:t>Dynamic operation confirmed; on-site generation present; expressed DR interest. Primary constraint: notice period and incentive structure.</w:t>
            </w:r>
          </w:p>
        </w:tc>
      </w:tr>
      <w:tr w:rsidR="0049497A" w14:paraId="72558C68" w14:textId="77777777" w:rsidTr="0049497A">
        <w:tc>
          <w:tcPr>
            <w:tcW w:w="2127" w:type="dxa"/>
            <w:vAlign w:val="top"/>
          </w:tcPr>
          <w:p w14:paraId="73A25D02" w14:textId="77777777" w:rsidR="0049497A" w:rsidRDefault="0049497A" w:rsidP="0049497A">
            <w:pPr>
              <w:pStyle w:val="TableBody"/>
            </w:pPr>
            <w:r w:rsidRPr="00DD6490">
              <w:t xml:space="preserve">Moderate readiness </w:t>
            </w:r>
          </w:p>
          <w:p w14:paraId="21ADD304" w14:textId="520418D1" w:rsidR="0049497A" w:rsidRDefault="0049497A" w:rsidP="0049497A">
            <w:pPr>
              <w:pStyle w:val="TableBody"/>
            </w:pPr>
            <w:r w:rsidRPr="00DD6490">
              <w:t>(0 to +2)</w:t>
            </w:r>
          </w:p>
        </w:tc>
        <w:tc>
          <w:tcPr>
            <w:tcW w:w="1701" w:type="dxa"/>
            <w:vAlign w:val="top"/>
          </w:tcPr>
          <w:p w14:paraId="2484F2E2" w14:textId="41A108E3" w:rsidR="0049497A" w:rsidRDefault="0049497A" w:rsidP="0049497A">
            <w:pPr>
              <w:pStyle w:val="TableBody"/>
            </w:pPr>
            <w:r w:rsidRPr="00DD6490">
              <w:t xml:space="preserve">B, </w:t>
            </w:r>
          </w:p>
        </w:tc>
        <w:tc>
          <w:tcPr>
            <w:tcW w:w="1559" w:type="dxa"/>
            <w:vAlign w:val="top"/>
          </w:tcPr>
          <w:p w14:paraId="1B6684F2" w14:textId="5E2AB42F" w:rsidR="0049497A" w:rsidRDefault="0087125C" w:rsidP="0049497A">
            <w:pPr>
              <w:pStyle w:val="TableBody"/>
            </w:pPr>
            <w:r>
              <w:t xml:space="preserve">0 - </w:t>
            </w:r>
            <w:r w:rsidR="0049497A" w:rsidRPr="00DD6490">
              <w:t>+2.0</w:t>
            </w:r>
          </w:p>
        </w:tc>
        <w:tc>
          <w:tcPr>
            <w:tcW w:w="4241" w:type="dxa"/>
            <w:vAlign w:val="top"/>
          </w:tcPr>
          <w:p w14:paraId="4706FE46" w14:textId="28CF7E45" w:rsidR="0049497A" w:rsidRDefault="0049497A" w:rsidP="0049497A">
            <w:pPr>
              <w:pStyle w:val="TableBody"/>
            </w:pPr>
            <w:r w:rsidRPr="00DD6490">
              <w:t xml:space="preserve">Mixed barrier and capability profile. Specific barriers </w:t>
            </w:r>
            <w:r w:rsidR="0055339B">
              <w:t xml:space="preserve">are </w:t>
            </w:r>
            <w:r w:rsidRPr="00DD6490">
              <w:t xml:space="preserve">addressable through targeted </w:t>
            </w:r>
            <w:r w:rsidR="0055339B">
              <w:t xml:space="preserve">interventions (e.g., </w:t>
            </w:r>
            <w:r w:rsidRPr="00DD6490">
              <w:t>auditing, submetering). Good entry-point candidates.</w:t>
            </w:r>
          </w:p>
        </w:tc>
      </w:tr>
      <w:tr w:rsidR="0049497A" w14:paraId="616EBC23" w14:textId="77777777" w:rsidTr="0049497A">
        <w:tc>
          <w:tcPr>
            <w:tcW w:w="2127" w:type="dxa"/>
            <w:vAlign w:val="top"/>
          </w:tcPr>
          <w:p w14:paraId="7088CA36" w14:textId="77777777" w:rsidR="0049497A" w:rsidRDefault="0049497A" w:rsidP="0049497A">
            <w:pPr>
              <w:pStyle w:val="TableBody"/>
            </w:pPr>
            <w:r w:rsidRPr="00DD6490">
              <w:t xml:space="preserve">Below threshold </w:t>
            </w:r>
          </w:p>
          <w:p w14:paraId="56F86ED6" w14:textId="36D6FBDB" w:rsidR="0049497A" w:rsidRDefault="0049497A" w:rsidP="0049497A">
            <w:pPr>
              <w:pStyle w:val="TableBody"/>
            </w:pPr>
            <w:r w:rsidRPr="00DD6490">
              <w:t>(−3 to 0)</w:t>
            </w:r>
          </w:p>
        </w:tc>
        <w:tc>
          <w:tcPr>
            <w:tcW w:w="1701" w:type="dxa"/>
            <w:vAlign w:val="top"/>
          </w:tcPr>
          <w:p w14:paraId="13C0E7BA" w14:textId="4FA6CF10" w:rsidR="0049497A" w:rsidRDefault="0055339B" w:rsidP="0049497A">
            <w:pPr>
              <w:pStyle w:val="TableBody"/>
            </w:pPr>
            <w:r>
              <w:t xml:space="preserve">II, GG, DD, </w:t>
            </w:r>
            <w:r w:rsidR="0049497A" w:rsidRPr="00DD6490">
              <w:t>C, D, N, F</w:t>
            </w:r>
            <w:r>
              <w:t>, BB</w:t>
            </w:r>
          </w:p>
        </w:tc>
        <w:tc>
          <w:tcPr>
            <w:tcW w:w="1559" w:type="dxa"/>
            <w:vAlign w:val="top"/>
          </w:tcPr>
          <w:p w14:paraId="6A869832" w14:textId="3D103D9C" w:rsidR="0049497A" w:rsidRDefault="0049497A" w:rsidP="0049497A">
            <w:pPr>
              <w:pStyle w:val="TableBody"/>
            </w:pPr>
            <w:r w:rsidRPr="00DD6490">
              <w:t>−0.5 to −3.0</w:t>
            </w:r>
          </w:p>
        </w:tc>
        <w:tc>
          <w:tcPr>
            <w:tcW w:w="4241" w:type="dxa"/>
            <w:vAlign w:val="top"/>
          </w:tcPr>
          <w:p w14:paraId="488996E5" w14:textId="5F42F693" w:rsidR="0049497A" w:rsidRDefault="0049497A" w:rsidP="0049497A">
            <w:pPr>
              <w:pStyle w:val="TableBody"/>
            </w:pPr>
            <w:r w:rsidRPr="00DD6490">
              <w:t xml:space="preserve">Structural barriers present but not dominant. Technology and data deficiency are primary constraints. DR </w:t>
            </w:r>
            <w:r w:rsidR="0055339B">
              <w:t xml:space="preserve">is </w:t>
            </w:r>
            <w:r w:rsidRPr="00DD6490">
              <w:t>possible with investment in metering and capability building.</w:t>
            </w:r>
          </w:p>
        </w:tc>
      </w:tr>
      <w:tr w:rsidR="0049497A" w14:paraId="5E3CF68D" w14:textId="77777777" w:rsidTr="0049497A">
        <w:tc>
          <w:tcPr>
            <w:tcW w:w="2127" w:type="dxa"/>
            <w:vAlign w:val="top"/>
          </w:tcPr>
          <w:p w14:paraId="1F35FCBB" w14:textId="77777777" w:rsidR="0049497A" w:rsidRDefault="0049497A" w:rsidP="0049497A">
            <w:pPr>
              <w:pStyle w:val="TableBody"/>
            </w:pPr>
            <w:r w:rsidRPr="00DD6490">
              <w:t xml:space="preserve">Barrier-dominated </w:t>
            </w:r>
          </w:p>
          <w:p w14:paraId="70346899" w14:textId="4AC268A9" w:rsidR="0049497A" w:rsidRDefault="0049497A" w:rsidP="0049497A">
            <w:pPr>
              <w:pStyle w:val="TableBody"/>
            </w:pPr>
            <w:r w:rsidRPr="00DD6490">
              <w:t>(&lt; −3)</w:t>
            </w:r>
          </w:p>
        </w:tc>
        <w:tc>
          <w:tcPr>
            <w:tcW w:w="1701" w:type="dxa"/>
            <w:vAlign w:val="top"/>
          </w:tcPr>
          <w:p w14:paraId="259DA647" w14:textId="52C3DD8F" w:rsidR="0049497A" w:rsidRDefault="0049497A" w:rsidP="0049497A">
            <w:pPr>
              <w:pStyle w:val="TableBody"/>
            </w:pPr>
            <w:r w:rsidRPr="00DD6490">
              <w:t>A, E, H, L, AA, FF, HH, LL, G</w:t>
            </w:r>
          </w:p>
        </w:tc>
        <w:tc>
          <w:tcPr>
            <w:tcW w:w="1559" w:type="dxa"/>
            <w:vAlign w:val="top"/>
          </w:tcPr>
          <w:p w14:paraId="2C00AC77" w14:textId="05488C01" w:rsidR="0049497A" w:rsidRDefault="0049497A" w:rsidP="0049497A">
            <w:pPr>
              <w:pStyle w:val="TableBody"/>
            </w:pPr>
            <w:r w:rsidRPr="00DD6490">
              <w:t>−5 to −1</w:t>
            </w:r>
            <w:r w:rsidR="0087125C">
              <w:t>2</w:t>
            </w:r>
          </w:p>
        </w:tc>
        <w:tc>
          <w:tcPr>
            <w:tcW w:w="4241" w:type="dxa"/>
            <w:vAlign w:val="top"/>
          </w:tcPr>
          <w:p w14:paraId="30E50D53" w14:textId="5CECE67E" w:rsidR="0049497A" w:rsidRDefault="0049497A" w:rsidP="0049497A">
            <w:pPr>
              <w:pStyle w:val="TableBody"/>
            </w:pPr>
            <w:r w:rsidRPr="00DD6490">
              <w:t xml:space="preserve">Continuous process, technology gaps, and organisational constraints combine to significantly limit accessible DR capacity. Partial participation </w:t>
            </w:r>
            <w:r>
              <w:t>is possible only through separable loads</w:t>
            </w:r>
            <w:r w:rsidRPr="00DD6490">
              <w:t>.</w:t>
            </w:r>
          </w:p>
        </w:tc>
      </w:tr>
    </w:tbl>
    <w:p w14:paraId="5C67FE7B" w14:textId="77777777" w:rsidR="0049497A" w:rsidRDefault="0049497A" w:rsidP="0049497A"/>
    <w:p w14:paraId="134A5058" w14:textId="7DD421D1" w:rsidR="001A184D" w:rsidRDefault="001A184D" w:rsidP="0049497A">
      <w:r w:rsidRPr="001A184D">
        <w:t xml:space="preserve">The most significant finding from the classification analysis is that </w:t>
      </w:r>
      <w:r>
        <w:t xml:space="preserve">only </w:t>
      </w:r>
      <w:r w:rsidR="00BB0343">
        <w:t>two</w:t>
      </w:r>
      <w:r w:rsidRPr="001A184D">
        <w:t xml:space="preserve"> compan</w:t>
      </w:r>
      <w:r w:rsidR="00BB0343">
        <w:t>ies</w:t>
      </w:r>
      <w:r w:rsidRPr="001A184D">
        <w:t xml:space="preserve"> in the cohort had prior or current enrolment in a formal DR program</w:t>
      </w:r>
      <w:r w:rsidR="00CD072F">
        <w:t>, representing 9% of the cohort</w:t>
      </w:r>
      <w:r w:rsidRPr="001A184D">
        <w:t xml:space="preserve">. </w:t>
      </w:r>
      <w:r w:rsidR="00CD072F" w:rsidRPr="00CD072F">
        <w:t xml:space="preserve">While this is a small fraction, it is analytically significant: </w:t>
      </w:r>
      <w:r w:rsidR="00E40F83" w:rsidRPr="00E40F83">
        <w:t xml:space="preserve"> </w:t>
      </w:r>
      <w:r w:rsidR="00E40F83">
        <w:t>b</w:t>
      </w:r>
      <w:r w:rsidR="00E40F83" w:rsidRPr="00E40F83">
        <w:t xml:space="preserve">oth companies scored among the highest in the cohort, </w:t>
      </w:r>
      <w:r w:rsidR="00E40F83">
        <w:t xml:space="preserve">even without the positive weighting of (+4) existing participation. The positive scoring is </w:t>
      </w:r>
      <w:r w:rsidR="00E40F83" w:rsidRPr="00E40F83">
        <w:t xml:space="preserve">driven primarily by strong performance across multiple capability factors, including dynamic operational capability and on-site generation, rather than by the Existing DR Participation weighting itself. The presence of the Existing DR </w:t>
      </w:r>
      <w:r w:rsidR="00E40F83">
        <w:t>p</w:t>
      </w:r>
      <w:r w:rsidR="00E40F83" w:rsidRPr="00E40F83">
        <w:t xml:space="preserve">articipation capability factor in both companies is nonetheless a meaningful observation: it indicates that these two companies, already operating at a high level of DR </w:t>
      </w:r>
      <w:r w:rsidR="00E40F83">
        <w:t>potential</w:t>
      </w:r>
      <w:r w:rsidR="00E40F83" w:rsidRPr="00E40F83">
        <w:t xml:space="preserve"> on other measures, had also gone on to translate that readiness into actual program enrolment, whereas the rest of the cohort had not. The remaining 91% of the cohort, despite the broad interest expressed, had not translated willingness into active program enrolment.</w:t>
      </w:r>
      <w:r w:rsidR="00CD072F" w:rsidRPr="00CD072F">
        <w:t xml:space="preserve"> </w:t>
      </w:r>
      <w:r w:rsidRPr="001A184D">
        <w:t>This is the clearest possible illustration of the activation gap identified by Lashmar et al. in the Australian commercial and industrial context</w:t>
      </w:r>
      <w:r>
        <w:t>, where</w:t>
      </w:r>
      <w:r w:rsidRPr="001A184D">
        <w:t xml:space="preserve"> the gap between a company's expressed interest in DR participation and its actual enrolment in a program is not primarily a question of willingness, but of accessibility, infrastructure, and program design</w:t>
      </w:r>
      <w:r>
        <w:t xml:space="preserve"> </w:t>
      </w:r>
      <w:sdt>
        <w:sdtPr>
          <w:id w:val="-1400820112"/>
          <w:citation/>
        </w:sdtPr>
        <w:sdtEndPr/>
        <w:sdtContent>
          <w:r>
            <w:fldChar w:fldCharType="begin"/>
          </w:r>
          <w:r>
            <w:instrText xml:space="preserve"> CITATION Las23 \l 3081 </w:instrText>
          </w:r>
          <w:r>
            <w:fldChar w:fldCharType="separate"/>
          </w:r>
          <w:r w:rsidR="00036C9A">
            <w:rPr>
              <w:noProof/>
            </w:rPr>
            <w:t>(Lashmar, et al., 2023)</w:t>
          </w:r>
          <w:r>
            <w:fldChar w:fldCharType="end"/>
          </w:r>
        </w:sdtContent>
      </w:sdt>
      <w:r w:rsidR="00B2023A">
        <w:t>.</w:t>
      </w:r>
    </w:p>
    <w:p w14:paraId="33D242E1" w14:textId="7181F605" w:rsidR="001A184D" w:rsidRPr="00D10886" w:rsidRDefault="001A184D" w:rsidP="001A184D">
      <w:pPr>
        <w:pStyle w:val="Heading3"/>
      </w:pPr>
      <w:bookmarkStart w:id="126" w:name="_Toc233788319"/>
      <w:r w:rsidRPr="00D10886">
        <w:t>DR Suitability is Site-Specific, Not Sector</w:t>
      </w:r>
      <w:r w:rsidR="00E72AC0">
        <w:t>-</w:t>
      </w:r>
      <w:r w:rsidRPr="00D10886">
        <w:t>Specific</w:t>
      </w:r>
      <w:bookmarkEnd w:id="126"/>
    </w:p>
    <w:p w14:paraId="3DB131CB" w14:textId="636427A5" w:rsidR="001A184D" w:rsidRDefault="001A184D" w:rsidP="0049497A">
      <w:r w:rsidRPr="001A184D">
        <w:t xml:space="preserve">The classification results confirm a finding that emerged clearly during the stakeholder engagement: </w:t>
      </w:r>
      <w:r>
        <w:t>no single industry sector presents a uniformly accessible demand-response</w:t>
      </w:r>
      <w:r w:rsidRPr="001A184D">
        <w:t xml:space="preserve"> opportunity. DR suitability depends on</w:t>
      </w:r>
      <w:r>
        <w:t xml:space="preserve"> the interoperability between barriers and capability factors, and </w:t>
      </w:r>
      <w:r w:rsidRPr="001A184D">
        <w:t xml:space="preserve">the specific combination of operational flexibility, energy awareness, available data, and technical constraints at each </w:t>
      </w:r>
      <w:r>
        <w:t xml:space="preserve">site, </w:t>
      </w:r>
      <w:r w:rsidRPr="001A184D">
        <w:t>not on the sector to which a company belongs</w:t>
      </w:r>
      <w:r>
        <w:t>.</w:t>
      </w:r>
    </w:p>
    <w:p w14:paraId="4FE73A0D" w14:textId="4E6ADAF9" w:rsidR="00BB0343" w:rsidRDefault="00BB0343" w:rsidP="0049497A">
      <w:r w:rsidRPr="00BB0343">
        <w:t xml:space="preserve">The </w:t>
      </w:r>
      <w:r>
        <w:t>transport and equipment</w:t>
      </w:r>
      <w:r w:rsidRPr="00BB0343">
        <w:t xml:space="preserve"> manufacturing sector recorded the highest average raw scores across the cohort, </w:t>
      </w:r>
      <w:r>
        <w:t xml:space="preserve">followed by the beverage and tobacco product manufacturing and </w:t>
      </w:r>
      <w:r w:rsidR="00D35C6A">
        <w:t>c</w:t>
      </w:r>
      <w:r>
        <w:t>oal mining</w:t>
      </w:r>
      <w:r w:rsidR="00D35C6A">
        <w:t xml:space="preserve"> sectors, with average raw scores of </w:t>
      </w:r>
      <w:r>
        <w:t>9, 6.5, 2.5</w:t>
      </w:r>
      <w:r w:rsidR="00D35C6A">
        <w:t>, and 2.5, respectively</w:t>
      </w:r>
      <w:r w:rsidRPr="00BB0343">
        <w:t xml:space="preserve">. </w:t>
      </w:r>
      <w:r w:rsidR="00D35C6A">
        <w:t xml:space="preserve">Food and tobacco product manufacturing was featured by </w:t>
      </w:r>
      <w:r w:rsidR="00E72AC0">
        <w:t xml:space="preserve">three </w:t>
      </w:r>
      <w:r w:rsidR="00D35C6A">
        <w:t>wineries; these results reflect the wineries' combination of seasonal batch production, which provides significant scheduling flexibility outside the harvest window, on-site photovoltaic generation, and the absence of continuous process constraints at their operational scale, confirming dynamic operational</w:t>
      </w:r>
      <w:r w:rsidRPr="00BB0343">
        <w:t xml:space="preserve"> capability. However, this profile is not inherent to the beverage sector: it reflects a specific set of operational conditions present at these </w:t>
      </w:r>
      <w:r w:rsidR="00D10886">
        <w:t>four</w:t>
      </w:r>
      <w:r w:rsidRPr="00BB0343">
        <w:t xml:space="preserve"> </w:t>
      </w:r>
      <w:r w:rsidR="00B2023A">
        <w:t xml:space="preserve">(4) </w:t>
      </w:r>
      <w:r w:rsidRPr="00BB0343">
        <w:t>facilities.</w:t>
      </w:r>
    </w:p>
    <w:p w14:paraId="0D957F1F" w14:textId="7DABAB50" w:rsidR="00D35C6A" w:rsidRDefault="00D35C6A" w:rsidP="0049497A">
      <w:r w:rsidRPr="00D35C6A">
        <w:lastRenderedPageBreak/>
        <w:t>The most instructive finding at the sector level is the within-sector variance. Within the polymer products sector, scores ranged from +</w:t>
      </w:r>
      <w:r w:rsidR="00497B5A">
        <w:t>2</w:t>
      </w:r>
      <w:r w:rsidRPr="00D35C6A">
        <w:t xml:space="preserve"> </w:t>
      </w:r>
      <w:r w:rsidR="00497B5A">
        <w:t xml:space="preserve">(Company B) </w:t>
      </w:r>
      <w:r w:rsidRPr="00D35C6A">
        <w:t>to −</w:t>
      </w:r>
      <w:r w:rsidR="00497B5A">
        <w:t>9 (Company FF)</w:t>
      </w:r>
      <w:r w:rsidRPr="00D35C6A">
        <w:t xml:space="preserve"> across three </w:t>
      </w:r>
      <w:r w:rsidR="00B2023A">
        <w:t xml:space="preserve">(3) </w:t>
      </w:r>
      <w:r w:rsidRPr="00D35C6A">
        <w:t>companies in the same ANZSIC classification</w:t>
      </w:r>
      <w:r>
        <w:t xml:space="preserve">; </w:t>
      </w:r>
      <w:r w:rsidRPr="00D35C6A">
        <w:t xml:space="preserve">a spread of </w:t>
      </w:r>
      <w:r w:rsidR="00497B5A">
        <w:t>eleven (11)</w:t>
      </w:r>
      <w:r w:rsidR="00B2023A">
        <w:t xml:space="preserve"> </w:t>
      </w:r>
      <w:r w:rsidRPr="00D35C6A">
        <w:t>points driven entirely by site-specific differences in continuous process dependency, data availability, and technology infrastructure. Similarly, within machinery and equipment manufacturing</w:t>
      </w:r>
      <w:r>
        <w:t>,</w:t>
      </w:r>
      <w:r w:rsidRPr="00D35C6A">
        <w:t xml:space="preserve"> the largest sector in the cohort </w:t>
      </w:r>
      <w:r>
        <w:t>with</w:t>
      </w:r>
      <w:r w:rsidRPr="00D35C6A">
        <w:t xml:space="preserve"> </w:t>
      </w:r>
      <w:r w:rsidR="00196115">
        <w:t>five</w:t>
      </w:r>
      <w:r w:rsidR="00196115" w:rsidRPr="00D35C6A">
        <w:t xml:space="preserve"> </w:t>
      </w:r>
      <w:r w:rsidRPr="00D35C6A">
        <w:t>companies</w:t>
      </w:r>
      <w:r>
        <w:t>,</w:t>
      </w:r>
      <w:r w:rsidRPr="00D35C6A">
        <w:t xml:space="preserve"> every company recorded a negative score, but for reasons that differed substantially across participants: some were constrained by CNC machinery cycles, others by data deficiency, others by organisational inertia. </w:t>
      </w:r>
      <w:r w:rsidR="00196115">
        <w:t>This within-</w:t>
      </w:r>
      <w:r w:rsidRPr="00D35C6A">
        <w:t xml:space="preserve">sector </w:t>
      </w:r>
      <w:r w:rsidR="00196115">
        <w:t xml:space="preserve">spread exceeds the between-sector variation in several cases, confirming that sector </w:t>
      </w:r>
      <w:r w:rsidRPr="00D35C6A">
        <w:t>label explains very little of this variation</w:t>
      </w:r>
      <w:r w:rsidR="00196115">
        <w:t xml:space="preserve"> in DR readiness across this cohort</w:t>
      </w:r>
      <w:r w:rsidRPr="00D35C6A">
        <w:t>.</w:t>
      </w:r>
    </w:p>
    <w:p w14:paraId="001ED4E0" w14:textId="31200EE8" w:rsidR="00D35C6A" w:rsidRDefault="00D35C6A" w:rsidP="0049497A">
      <w:r w:rsidRPr="00D35C6A">
        <w:t>This finding has a direct implication for how industrial DR programs are designed and targeted. Sector-based eligibility criteria</w:t>
      </w:r>
      <w:r>
        <w:t>,</w:t>
      </w:r>
      <w:r w:rsidRPr="00D35C6A">
        <w:t xml:space="preserve"> which have historically simplified program administration</w:t>
      </w:r>
      <w:r>
        <w:t>,</w:t>
      </w:r>
      <w:r w:rsidRPr="00D35C6A">
        <w:t xml:space="preserve"> will systematically exclude viable participants </w:t>
      </w:r>
      <w:r>
        <w:t>from low-scoring sectors and include non-viable participants from</w:t>
      </w:r>
      <w:r w:rsidRPr="00D35C6A">
        <w:t xml:space="preserve"> high-scoring sectors. The barrier and capability framework developed in this study provides a more accurate and equitable basis for site-level assessment</w:t>
      </w:r>
      <w:r w:rsidR="005D2A6A">
        <w:t xml:space="preserve">, and underscores the </w:t>
      </w:r>
      <w:r w:rsidR="003C60EE">
        <w:t>importance</w:t>
      </w:r>
      <w:r w:rsidR="005D2A6A">
        <w:t xml:space="preserve"> of the customer-centric, site-based assessment approach and the standardised technical and governance framework proposed as future research priorities in Section </w:t>
      </w:r>
      <w:r w:rsidR="005D2A6A">
        <w:fldChar w:fldCharType="begin"/>
      </w:r>
      <w:r w:rsidR="005D2A6A">
        <w:instrText xml:space="preserve"> REF _Ref230770895 \r \h </w:instrText>
      </w:r>
      <w:r w:rsidR="005D2A6A">
        <w:fldChar w:fldCharType="separate"/>
      </w:r>
      <w:r w:rsidR="00036C9A">
        <w:t>8</w:t>
      </w:r>
      <w:r w:rsidR="005D2A6A">
        <w:fldChar w:fldCharType="end"/>
      </w:r>
      <w:r w:rsidRPr="00D35C6A">
        <w:t xml:space="preserve">. It is consistent with Williams et al.'s finding that industrial DSM flexibility depends on process-specific conditions rather than sector-level </w:t>
      </w:r>
      <w:r w:rsidR="00B2023A" w:rsidRPr="00D35C6A">
        <w:t>generalisations and</w:t>
      </w:r>
      <w:r w:rsidRPr="00D35C6A">
        <w:t xml:space="preserve"> reinforces the case for site-specific assessment methodologies of the kind proposed in the follow-on research program</w:t>
      </w:r>
      <w:sdt>
        <w:sdtPr>
          <w:id w:val="-143965075"/>
          <w:citation/>
        </w:sdtPr>
        <w:sdtEndPr/>
        <w:sdtContent>
          <w:r>
            <w:fldChar w:fldCharType="begin"/>
          </w:r>
          <w:r>
            <w:instrText xml:space="preserve"> CITATION Wil23 \l 3081 </w:instrText>
          </w:r>
          <w:r>
            <w:fldChar w:fldCharType="separate"/>
          </w:r>
          <w:r w:rsidR="00036C9A">
            <w:rPr>
              <w:noProof/>
            </w:rPr>
            <w:t xml:space="preserve"> (Williams, et al., 2023)</w:t>
          </w:r>
          <w:r>
            <w:fldChar w:fldCharType="end"/>
          </w:r>
        </w:sdtContent>
      </w:sdt>
      <w:r w:rsidR="00B2023A">
        <w:t>.</w:t>
      </w:r>
    </w:p>
    <w:p w14:paraId="32378C91" w14:textId="59863B2D" w:rsidR="00D35C6A" w:rsidRPr="00D10886" w:rsidRDefault="00D35C6A" w:rsidP="00D35C6A">
      <w:pPr>
        <w:pStyle w:val="Heading3"/>
      </w:pPr>
      <w:bookmarkStart w:id="127" w:name="_Toc233788320"/>
      <w:r w:rsidRPr="00D10886">
        <w:t>Data Deficiency, Energy Auditing, and the Path to DR Readiness</w:t>
      </w:r>
      <w:bookmarkEnd w:id="127"/>
    </w:p>
    <w:p w14:paraId="03BBCE76" w14:textId="07E8CB3B" w:rsidR="00D35C6A" w:rsidRDefault="00D35C6A" w:rsidP="00D35C6A">
      <w:r>
        <w:t>Technology Availability and Data Deficiency were the two most prevalent barriers in the cohort, each present in 73% of participating companies. Their co-occurrence reflects a structural link: a facility without adequate submetering cannot understand its load profile at the equipment level; without that understanding, it cannot identify which loads are flexible, commit to a curtailment quantum, or verify its DR response. The data deficiency is, in part, a direct consequence of the technology gap.</w:t>
      </w:r>
    </w:p>
    <w:p w14:paraId="56EC3F63" w14:textId="3B2BD603" w:rsidR="00D35C6A" w:rsidRDefault="00D35C6A" w:rsidP="00D35C6A">
      <w:r>
        <w:t xml:space="preserve">An important distinction emerged from the engagement between two levels of energy awareness. Most companies had a reasonable understanding of their overall energy consumption, monthly billing totals, </w:t>
      </w:r>
      <w:r w:rsidR="0030133B">
        <w:t>ToU</w:t>
      </w:r>
      <w:r>
        <w:t xml:space="preserve"> charge periods, and approximate annual figures were generally known. What was almost universally absent was the next level of granularity: the distribution of that consumption across individual processes and equipment, and how it varied in real time. This distinction maps directly onto the difference between a Level 1 and a Level 2 Energy Audit under AS 3598: the former captures aggregate billing data, while the latter provides the equipment-level load disaggregation that DR participation requires. Very few companies had undertaken a Level 2 audit, and fewer still maintained ongoing submetering after completing one.</w:t>
      </w:r>
    </w:p>
    <w:p w14:paraId="40488D7C" w14:textId="677050A3" w:rsidR="00D35C6A" w:rsidRDefault="00D35C6A" w:rsidP="00D35C6A">
      <w:r>
        <w:t>A clear pattern emerged between</w:t>
      </w:r>
      <w:r w:rsidR="00D10886">
        <w:t xml:space="preserve"> companies that had undertaken</w:t>
      </w:r>
      <w:r>
        <w:t xml:space="preserve"> prior energy audit</w:t>
      </w:r>
      <w:r w:rsidR="00D10886">
        <w:t>s</w:t>
      </w:r>
      <w:r>
        <w:t xml:space="preserve"> and </w:t>
      </w:r>
      <w:r w:rsidR="00851E52">
        <w:t>the potential for DR participation</w:t>
      </w:r>
      <w:r>
        <w:t>. Companies that had previously conducted a formal energy audit consistently scored higher in the capability assessment. Energy use data</w:t>
      </w:r>
      <w:r w:rsidR="00851E52">
        <w:t xml:space="preserve">, </w:t>
      </w:r>
      <w:r>
        <w:t>the capability factor most closely associated with prior auditing</w:t>
      </w:r>
      <w:r w:rsidR="00851E52">
        <w:t>,</w:t>
      </w:r>
      <w:r>
        <w:t xml:space="preserve"> was present in 95% of the cohort at the basic level, but this high prevalence reflects an awareness of overall consumption rather than equipment-level understanding. The companies that genuinely stood apart in terms of DR readiness were those that had gone beyond basic billing awareness to obtain a structured map of their energy consumption at the process and equipment level.</w:t>
      </w:r>
    </w:p>
    <w:p w14:paraId="62C5CE3F" w14:textId="6ADC9373" w:rsidR="00D35C6A" w:rsidRDefault="00D35C6A" w:rsidP="00851E52">
      <w:r>
        <w:t>Several high-energy companies</w:t>
      </w:r>
      <w:r w:rsidR="00851E52">
        <w:t xml:space="preserve">, </w:t>
      </w:r>
      <w:r>
        <w:t>particularly in mining and food processing</w:t>
      </w:r>
      <w:r w:rsidR="00851E52">
        <w:t>,</w:t>
      </w:r>
      <w:r>
        <w:t xml:space="preserve"> engaged external energy consultants as a routine practice. For these companies, energy literacy in the formal sense was not a barrier: they had the data. What constrained them was not awareness but operational inflexibility</w:t>
      </w:r>
      <w:r w:rsidR="00851E52">
        <w:t>, including</w:t>
      </w:r>
      <w:r>
        <w:t xml:space="preserve"> continuous processes, strict food safety and quality assurance obligations, or staffing requirements that made curtailment practically impermissible regardless of how complete their energy picture was. This confirms that energy literacy and data availability, while necessary conditions for DR participation, are not sufficient conditions</w:t>
      </w:r>
      <w:r w:rsidR="00851E52">
        <w:t>.</w:t>
      </w:r>
    </w:p>
    <w:p w14:paraId="3A3B5195" w14:textId="0E8E5E2B" w:rsidR="00851E52" w:rsidRPr="00386D6F" w:rsidRDefault="00851E52" w:rsidP="00851E52">
      <w:pPr>
        <w:pStyle w:val="Heading3"/>
      </w:pPr>
      <w:bookmarkStart w:id="128" w:name="_Ref230923949"/>
      <w:bookmarkStart w:id="129" w:name="_Toc233788321"/>
      <w:r w:rsidRPr="00386D6F">
        <w:t>Continuous Processes, Separable Loads, and Accessible DR Capacity</w:t>
      </w:r>
      <w:bookmarkEnd w:id="128"/>
      <w:bookmarkEnd w:id="129"/>
    </w:p>
    <w:p w14:paraId="0ED4653D" w14:textId="2767FF5C" w:rsidR="00851E52" w:rsidRDefault="00851E52" w:rsidP="00851E52">
      <w:r>
        <w:t xml:space="preserve">The continuous process barrier was present in 68% of the cohort and carries the highest negative weighting in the classification framework. Its prevalence means that for the majority of participating companies, a significant fraction of total facility load is structurally inaccessible for curtailment, not because the company is unwilling, but because the process cannot be interrupted without incurring </w:t>
      </w:r>
      <w:r>
        <w:lastRenderedPageBreak/>
        <w:t>product loss, equipment damage, or health and safety risk within the one-hour notice threshold defined in the framework.</w:t>
      </w:r>
    </w:p>
    <w:p w14:paraId="053CA08B" w14:textId="1EB50FFA" w:rsidR="00851E52" w:rsidRDefault="00851E52" w:rsidP="00851E52">
      <w:r>
        <w:t>However, continuous process constraints do not render a facility entirely unsuitable for DR. In every case where such a constraint was identified, the facility also operated discrete, separable loads, compressed-air systems, comfort HVAC, lighting, pumping, forklift charging, and surface-treatment equipment, which were not subject to the same restriction. The continuous process barrier reduces the accessible DR capacity relative to total facility demand; it does not eliminate it. For continuous process facilities, the most readily accessible DR pathway is curtailment or shifting of these non-production loads, which, in some facilities, represented a meaningful fraction of total consumption.</w:t>
      </w:r>
    </w:p>
    <w:p w14:paraId="01E79DA3" w14:textId="0A0728C6" w:rsidR="00851E52" w:rsidRDefault="00851E52" w:rsidP="00851E52">
      <w:r>
        <w:t>This observation was reinforced by one supplementary cohort participant,</w:t>
      </w:r>
      <w:r w:rsidR="007A5F05">
        <w:t xml:space="preserve"> Company BB</w:t>
      </w:r>
      <w:r>
        <w:t xml:space="preserve"> operating an </w:t>
      </w:r>
      <w:r w:rsidR="00193252">
        <w:t>18-to 24-hour, two-to three-shift</w:t>
      </w:r>
      <w:r>
        <w:t xml:space="preserve"> working pattern with a continuous production process, that independently undertook a load management assessment. The company shifted its operational window by one hour in each direction to create a two-hour interval during which flexible loads were ramped down to between 50% and 75% of normal consumption. Despite having a continuous process and scoring below the positive threshold in the classification framework, this company demonstrated that load shifting is operationally achievable when the company itself is motivated to investigate it. The finding from their assessment is discussed in further detail in Section </w:t>
      </w:r>
      <w:r w:rsidR="00A31385">
        <w:t>5.5.5</w:t>
      </w:r>
      <w:r w:rsidR="00C565A0">
        <w:t xml:space="preserve"> </w:t>
      </w:r>
      <w:r>
        <w:t>below.</w:t>
      </w:r>
    </w:p>
    <w:p w14:paraId="144B2DAA" w14:textId="1BBE0CBB" w:rsidR="00851E52" w:rsidRDefault="00851E52" w:rsidP="00851E52">
      <w:r>
        <w:t>Accurately quantifying the separable load fraction of a continuous process facility was not possible for most participants without submetering data. This is one of the most concrete and actionable gaps identified in this study: the accessible DR capacity of continuous-process facilities cannot be credibly estimated without equipment-level consumption data. This reinforces, from a different angle, the same conclusion reached through the data deficiency analysis: the metering infrastructure gap is not merely an organisational inconvenience; it is the primary obstacle between theoretical and operationally accessible industrial DR capacity</w:t>
      </w:r>
      <w:r w:rsidR="00C565A0">
        <w:t>.</w:t>
      </w:r>
    </w:p>
    <w:p w14:paraId="0C91F4A5" w14:textId="04061DD2" w:rsidR="00851E52" w:rsidRPr="00386D6F" w:rsidRDefault="00C565A0" w:rsidP="00851E52">
      <w:pPr>
        <w:pStyle w:val="Heading3"/>
      </w:pPr>
      <w:bookmarkStart w:id="130" w:name="_Ref230925613"/>
      <w:bookmarkStart w:id="131" w:name="_Toc233788322"/>
      <w:r w:rsidRPr="00386D6F">
        <w:t>Labour Cost, Incentive Thresholds, and the Economics of Industrial DR</w:t>
      </w:r>
      <w:bookmarkEnd w:id="130"/>
      <w:bookmarkEnd w:id="131"/>
      <w:r w:rsidRPr="00386D6F">
        <w:t xml:space="preserve"> </w:t>
      </w:r>
    </w:p>
    <w:p w14:paraId="20056834" w14:textId="6805160D" w:rsidR="00C565A0" w:rsidRDefault="00C565A0" w:rsidP="00C565A0">
      <w:r>
        <w:t>The Labour Cost barrier was present in 55% of the cohort and emerged from the engagement as one of the most analytically important findings in the study, not because it was the most prevalent barrier, but because it defines the minimum incentive threshold that DR programs must meet to be commercially viable for labour-intensive mid-sized industrial companies.</w:t>
      </w:r>
    </w:p>
    <w:p w14:paraId="0A7B5176" w14:textId="75866255" w:rsidR="00C565A0" w:rsidRDefault="00C565A0" w:rsidP="00C565A0">
      <w:r>
        <w:t xml:space="preserve">The fundamental economic logic is straightforward. Electricity costs typically represent a small fraction of total operating costs for industrial consumers. The dominant cost item is labour </w:t>
      </w:r>
      <w:sdt>
        <w:sdtPr>
          <w:id w:val="221340258"/>
          <w:citation/>
        </w:sdtPr>
        <w:sdtEndPr/>
        <w:sdtContent>
          <w:r>
            <w:fldChar w:fldCharType="begin"/>
          </w:r>
          <w:r>
            <w:instrText xml:space="preserve"> CITATION Wil23 \l 3081 </w:instrText>
          </w:r>
          <w:r>
            <w:fldChar w:fldCharType="separate"/>
          </w:r>
          <w:r w:rsidR="00036C9A">
            <w:rPr>
              <w:noProof/>
            </w:rPr>
            <w:t>(Williams, et al., 2023)</w:t>
          </w:r>
          <w:r>
            <w:fldChar w:fldCharType="end"/>
          </w:r>
        </w:sdtContent>
      </w:sdt>
      <w:r>
        <w:t>. When a DR event requires curtailing or rescheduling a production process, the energy cost savings achieved are rarely sufficient to offset the labour costs incurred due to idle time, shift penalty rates, or standby supervision.</w:t>
      </w:r>
    </w:p>
    <w:p w14:paraId="559FEDF7" w14:textId="5DD94F08" w:rsidR="00C565A0" w:rsidRDefault="00C565A0" w:rsidP="00C565A0">
      <w:r>
        <w:t xml:space="preserve">This dynamic was directly evidenced by the supplementary cohort participant who undertook the shift-timing assessment described in Section </w:t>
      </w:r>
      <w:r>
        <w:fldChar w:fldCharType="begin"/>
      </w:r>
      <w:r>
        <w:instrText xml:space="preserve"> REF _Ref230923949 \r \h </w:instrText>
      </w:r>
      <w:r>
        <w:fldChar w:fldCharType="separate"/>
      </w:r>
      <w:r w:rsidR="00036C9A">
        <w:t>5.5.4</w:t>
      </w:r>
      <w:r>
        <w:fldChar w:fldCharType="end"/>
      </w:r>
      <w:r>
        <w:t>, when the energy savings from the two-hour ramp-down window were quantified against the associated labour cost, driven by the shift premium required for an earlier start and later finish, the net financial benefit was negative. The company did not proceed with a DR program. This outcome is not a failure of motivation; it is a rational commercial response to an incentive structure not designed around the cost structures of labour-intensive industry.</w:t>
      </w:r>
    </w:p>
    <w:p w14:paraId="310C45B4" w14:textId="17C1BAED" w:rsidR="00C565A0" w:rsidRPr="00C565A0" w:rsidRDefault="00C565A0" w:rsidP="00C565A0">
      <w:r w:rsidRPr="00C565A0">
        <w:t>The minimum incentive required for industrial DR participation is therefore not the energy cost differential between peak and off-peak periods. It is the full operational cost of the curtailment event</w:t>
      </w:r>
      <w:r>
        <w:t xml:space="preserve">, </w:t>
      </w:r>
      <w:r w:rsidRPr="00C565A0">
        <w:t>which, for labour-intensive facilities, means the cost of displaced labour plus any product loss, restart costs, or compliance overhead</w:t>
      </w:r>
      <w:r>
        <w:t>.</w:t>
      </w:r>
    </w:p>
    <w:p w14:paraId="3B6CD9EE" w14:textId="59A42D0A" w:rsidR="00851E52" w:rsidRDefault="00C565A0" w:rsidP="00851E52">
      <w:r w:rsidRPr="00C565A0">
        <w:t xml:space="preserve">A related economic barrier </w:t>
      </w:r>
      <w:r>
        <w:t>is the</w:t>
      </w:r>
      <w:r w:rsidRPr="00C565A0">
        <w:t xml:space="preserve"> capital investment in demand management infrastructure. The payback period for submetering, control systems, or on-site generation is typically </w:t>
      </w:r>
      <w:r w:rsidR="00B2023A">
        <w:t>3</w:t>
      </w:r>
      <w:r w:rsidRPr="00C565A0">
        <w:t xml:space="preserve"> to </w:t>
      </w:r>
      <w:r w:rsidR="00B2023A">
        <w:t>4</w:t>
      </w:r>
      <w:r w:rsidRPr="00C565A0">
        <w:t xml:space="preserve"> years. Electricity contracts, however, are commonly negotiated on </w:t>
      </w:r>
      <w:r w:rsidR="00B2023A">
        <w:t>12</w:t>
      </w:r>
      <w:r w:rsidR="00B2023A" w:rsidRPr="00C565A0">
        <w:t>-to-24-month</w:t>
      </w:r>
      <w:r w:rsidRPr="00C565A0">
        <w:t xml:space="preserve"> terms. This creates a rational reluctance to commit capital, as the financial case depends on tariff conditions </w:t>
      </w:r>
      <w:r w:rsidR="001040AD">
        <w:t>that the company cannot guarantee to maintain</w:t>
      </w:r>
      <w:r w:rsidRPr="00C565A0">
        <w:t xml:space="preserve">. This is a </w:t>
      </w:r>
      <w:r w:rsidR="00386D6F">
        <w:t>market-design issue rather than a company-level problem, and it will not be resolved without greater tariff stability, explicit DR investment incentives, or multi-year DR program contracts that provide the revenue certainty necessary to justify upfront capital expenditures</w:t>
      </w:r>
      <w:r w:rsidR="001040AD">
        <w:t>.</w:t>
      </w:r>
    </w:p>
    <w:p w14:paraId="02BDD693" w14:textId="12EA3448" w:rsidR="00B21F81" w:rsidRDefault="00B21F81" w:rsidP="00777CAF">
      <w:pPr>
        <w:pStyle w:val="Heading3"/>
      </w:pPr>
      <w:bookmarkStart w:id="132" w:name="_Toc233788323"/>
      <w:r>
        <w:lastRenderedPageBreak/>
        <w:t>Seasonal Consumption Patterns</w:t>
      </w:r>
      <w:bookmarkEnd w:id="132"/>
    </w:p>
    <w:p w14:paraId="4C84256B" w14:textId="77777777" w:rsidR="00FA53EE" w:rsidRDefault="00B21F81" w:rsidP="00851E52">
      <w:r w:rsidRPr="00B21F81">
        <w:t xml:space="preserve">A supplementary analysis of seasonal consumption patterns was conducted for twelve facilities within the cohort for which sufficiently detailed tariff-period billing data was available, examining the proportion of annual electricity consumption occurring in off-peak, shoulder, and peak tariff windows. </w:t>
      </w:r>
    </w:p>
    <w:p w14:paraId="52A006FF" w14:textId="6E7C042B" w:rsidR="00B21F81" w:rsidRDefault="00B21F81" w:rsidP="00851E52">
      <w:r w:rsidRPr="00B21F81">
        <w:t>Across this subset, consumption was split</w:t>
      </w:r>
      <w:r w:rsidR="00FA53EE">
        <w:t>, on average, 40.4% off-peak, 36.3% shoulder, and 23.3% peak, though substantial variation exists among</w:t>
      </w:r>
      <w:r w:rsidRPr="00B21F81">
        <w:t xml:space="preserve"> individual companies. Six companies, including Company A, Company D, and Company AA, were off-peak dominant, with off-peak consumption ranging as high as 56.0% of total annual use. Five companies, including Company DD, Company EE, and Company HH, were shoulder dominant, with shoulder-period consumption reaching as high as 51.6%. Only one company, Company BB, was peak dominant, with 74.3% of its annual consumption occurring during peak tariff periods, a result a tariff structure in which no shoulder period was defined for that site</w:t>
      </w:r>
      <w:r>
        <w:t>.</w:t>
      </w:r>
      <w:r w:rsidR="00FA53EE">
        <w:t xml:space="preserve"> This analysis warranted seasonal variation, with energy consumption spiking during colder months, namely June-September.</w:t>
      </w:r>
    </w:p>
    <w:p w14:paraId="3867C67E" w14:textId="77777777" w:rsidR="00FA53EE" w:rsidRDefault="00B21F81" w:rsidP="00851E52">
      <w:r w:rsidRPr="00B21F81">
        <w:t>This finding is relevant to the demand response potential for two reasons</w:t>
      </w:r>
      <w:r w:rsidR="00FA53EE">
        <w:t>:</w:t>
      </w:r>
    </w:p>
    <w:p w14:paraId="6B4C4011" w14:textId="0D4DA6DE" w:rsidR="00FA53EE" w:rsidRDefault="00B21F81" w:rsidP="00FA53EE">
      <w:pPr>
        <w:pStyle w:val="ListParagraph"/>
        <w:numPr>
          <w:ilvl w:val="0"/>
          <w:numId w:val="35"/>
        </w:numPr>
      </w:pPr>
      <w:r w:rsidRPr="00B21F81">
        <w:t xml:space="preserve">First, the predominance of off-peak and shoulder consumption across most of the cohort indicates that many participating companies have already, whether deliberately or incidentally, structured their operations to avoid peak tariff periods, which is itself a passive form of demand-side management consistent with the Peak Shaving strategy described in </w:t>
      </w:r>
      <w:r w:rsidR="00FA53EE">
        <w:fldChar w:fldCharType="begin"/>
      </w:r>
      <w:r w:rsidR="00FA53EE">
        <w:instrText xml:space="preserve"> REF _Ref230832957 \h </w:instrText>
      </w:r>
      <w:r w:rsidR="00FA53EE">
        <w:fldChar w:fldCharType="separate"/>
      </w:r>
      <w:r w:rsidR="00036C9A">
        <w:t xml:space="preserve">Table </w:t>
      </w:r>
      <w:r w:rsidR="00036C9A">
        <w:rPr>
          <w:noProof/>
        </w:rPr>
        <w:t>2</w:t>
      </w:r>
      <w:r w:rsidR="00FA53EE">
        <w:fldChar w:fldCharType="end"/>
      </w:r>
      <w:r w:rsidRPr="00B21F81">
        <w:t>. This suggests that the foundational behaviour required for more active DR participation, namely the capacity to shift or avoid high-cost consumption periods, is already present in much of the cohort, even where the company itself does not characterise its operations in these terms.</w:t>
      </w:r>
    </w:p>
    <w:p w14:paraId="3438DA3D" w14:textId="41F83D16" w:rsidR="00B21F81" w:rsidRDefault="00B21F81" w:rsidP="00FA53EE">
      <w:pPr>
        <w:pStyle w:val="ListParagraph"/>
        <w:numPr>
          <w:ilvl w:val="0"/>
          <w:numId w:val="35"/>
        </w:numPr>
      </w:pPr>
      <w:r w:rsidRPr="00B21F81">
        <w:t>Second, the wide variation in seasonal consumption profile across the cohort reinforces the central finding of this study that DR suitability is highly site-specific: a company already concentrated in off-peak and shoulder periods has comparatively little additional flexibility to offer through further load shifting, whereas a company such as Company BB, with a high proportion of peak-period consumption, may represent a more significant, if currently unexploited, opportunity for peak demand reduction.</w:t>
      </w:r>
    </w:p>
    <w:p w14:paraId="0EBB3C44" w14:textId="0CE0BB64" w:rsidR="00FA53EE" w:rsidRDefault="00FA53EE" w:rsidP="00FA53EE">
      <w:r w:rsidRPr="00FA53EE">
        <w:t>A further finding from the bill analysis conducted as part of this study was the materiality of demand (kVA) charges within participants' electricity bills.</w:t>
      </w:r>
      <w:r>
        <w:t xml:space="preserve"> </w:t>
      </w:r>
      <w:r w:rsidRPr="00FA53EE">
        <w:t xml:space="preserve">Across the companies for which detailed billing data </w:t>
      </w:r>
      <w:r>
        <w:t>were available, kVA charges, levied on a customer's maximum demand during the billing period regardless of total energy consumed, accounted for</w:t>
      </w:r>
      <w:r w:rsidRPr="00FA53EE">
        <w:t xml:space="preserve"> between 11% and 22% of the total electricity bill. This is a substantial proportion</w:t>
      </w:r>
      <w:r w:rsidR="006E7EA1">
        <w:t xml:space="preserve"> and represents an existing</w:t>
      </w:r>
      <w:r w:rsidRPr="00FA53EE">
        <w:t xml:space="preserve"> internal financial incentive for peak demand management. </w:t>
      </w:r>
      <w:r>
        <w:t>T</w:t>
      </w:r>
      <w:r w:rsidRPr="00FA53EE">
        <w:t xml:space="preserve">he financial benefit of reducing maximum demand accrues directly and immediately to the company through a reduced kVA charge in its next billing cycle. This finding reinforces the </w:t>
      </w:r>
      <w:r>
        <w:t>DSM</w:t>
      </w:r>
      <w:r w:rsidRPr="00FA53EE">
        <w:t xml:space="preserve"> strategy identified in </w:t>
      </w:r>
      <w:r>
        <w:fldChar w:fldCharType="begin"/>
      </w:r>
      <w:r>
        <w:instrText xml:space="preserve"> REF _Ref230832957 \h </w:instrText>
      </w:r>
      <w:r>
        <w:fldChar w:fldCharType="separate"/>
      </w:r>
      <w:r w:rsidR="00036C9A">
        <w:t xml:space="preserve">Table </w:t>
      </w:r>
      <w:r w:rsidR="00036C9A">
        <w:rPr>
          <w:noProof/>
        </w:rPr>
        <w:t>2</w:t>
      </w:r>
      <w:r>
        <w:fldChar w:fldCharType="end"/>
      </w:r>
      <w:r w:rsidRPr="00FA53EE">
        <w:t xml:space="preserve">. For companies with a high proportion of kVA charges relative to total billing cost, peak shaving represents a more immediately actionable and self-funding entry point into demand-side management than formal DR program </w:t>
      </w:r>
      <w:r w:rsidR="00950D83" w:rsidRPr="00FA53EE">
        <w:t>participation and</w:t>
      </w:r>
      <w:r w:rsidRPr="00FA53EE">
        <w:t xml:space="preserve"> may serve as a practical first step toward the broader DR readiness this study assesses. Identifying which specific loads drive a facility's peak demand event, however, requires the equipment-level data that most participants in this cohort currently lack, reinforcing the case for the structured, site-based energy assessments proposed in the customer-centric demand-side management study outlined in Section </w:t>
      </w:r>
      <w:r w:rsidR="00950D83">
        <w:fldChar w:fldCharType="begin"/>
      </w:r>
      <w:r w:rsidR="00950D83">
        <w:instrText xml:space="preserve"> REF _Ref233717524 \r \h </w:instrText>
      </w:r>
      <w:r w:rsidR="00950D83">
        <w:fldChar w:fldCharType="separate"/>
      </w:r>
      <w:r w:rsidR="00036C9A">
        <w:t>8.2</w:t>
      </w:r>
      <w:r w:rsidR="00950D83">
        <w:fldChar w:fldCharType="end"/>
      </w:r>
      <w:r w:rsidRPr="00FA53EE">
        <w:t>, which would allow individual companies to translate this self-funding incentive into a concrete</w:t>
      </w:r>
      <w:r w:rsidR="006E7EA1">
        <w:t>, actionable peak-shaving</w:t>
      </w:r>
      <w:r w:rsidRPr="00FA53EE">
        <w:t xml:space="preserve"> program.</w:t>
      </w:r>
    </w:p>
    <w:p w14:paraId="395FA43F" w14:textId="49D3E559" w:rsidR="001040AD" w:rsidRPr="00386D6F" w:rsidRDefault="001040AD" w:rsidP="001040AD">
      <w:pPr>
        <w:pStyle w:val="Heading3"/>
      </w:pPr>
      <w:bookmarkStart w:id="133" w:name="_Toc233788324"/>
      <w:r w:rsidRPr="00386D6F">
        <w:t>DR Program Engagement and Notice Requirements</w:t>
      </w:r>
      <w:bookmarkEnd w:id="133"/>
    </w:p>
    <w:p w14:paraId="252CD12A" w14:textId="0D7AB2A3" w:rsidR="001040AD" w:rsidRDefault="001040AD" w:rsidP="001040AD">
      <w:r>
        <w:t xml:space="preserve">Despite the prevalence of barriers across the cohort, </w:t>
      </w:r>
      <w:r w:rsidR="00386D6F">
        <w:t>engagement yielded strong, consistent positive feedback on</w:t>
      </w:r>
      <w:r>
        <w:t xml:space="preserve"> interest in DR participation. </w:t>
      </w:r>
      <w:r w:rsidR="00B2023A">
        <w:t xml:space="preserve">50% </w:t>
      </w:r>
      <w:r w:rsidR="00CD2207">
        <w:t>of companies expressed either active interest in DR programs or willingness to participate,</w:t>
      </w:r>
      <w:r>
        <w:t xml:space="preserve"> subject to a clearer understanding of what would be required. This level of expressed interest</w:t>
      </w:r>
      <w:r w:rsidR="00CD2207">
        <w:t xml:space="preserve">, </w:t>
      </w:r>
      <w:r>
        <w:t xml:space="preserve">in a cohort with </w:t>
      </w:r>
      <w:r w:rsidR="003B4902">
        <w:t xml:space="preserve">only two </w:t>
      </w:r>
      <w:r>
        <w:t xml:space="preserve"> existing</w:t>
      </w:r>
      <w:r w:rsidR="003B4902">
        <w:t xml:space="preserve"> or prior</w:t>
      </w:r>
      <w:r>
        <w:t xml:space="preserve"> participation</w:t>
      </w:r>
      <w:r w:rsidR="00CD2207">
        <w:t xml:space="preserve">, </w:t>
      </w:r>
      <w:r>
        <w:t>confirms that the gap between awareness and activation is not a motivational problem, but a structural and informational one.</w:t>
      </w:r>
    </w:p>
    <w:p w14:paraId="43610EA6" w14:textId="7CFA8ED4" w:rsidR="001040AD" w:rsidRDefault="001040AD" w:rsidP="001040AD">
      <w:r>
        <w:t>The engagement also revealed a clear preference for financial motivation over system-service motivation. Most participants framed their interest in DR primarily in terms of reducing electricity costs</w:t>
      </w:r>
      <w:r w:rsidR="00CD2207">
        <w:t xml:space="preserve"> </w:t>
      </w:r>
      <w:r>
        <w:t xml:space="preserve">rather than contributing to system services or renewable integration. This is consistent with Lashmar et al.'s finding that Australian C&amp;I consumers are motivated primarily by financial benefit and are frequently unaware of the system and community dimensions of DR participation. </w:t>
      </w:r>
      <w:r w:rsidR="00CD2207">
        <w:t>The Author</w:t>
      </w:r>
      <w:r>
        <w:t xml:space="preserve"> points toward an </w:t>
      </w:r>
      <w:r>
        <w:lastRenderedPageBreak/>
        <w:t>important communication and education gap: companies that are operationally capable of DR participation may not engage with programs framed around system stability or grid services unless a clear and concrete financial return is also articulated</w:t>
      </w:r>
      <w:r w:rsidR="00CD2207">
        <w:t xml:space="preserve"> </w:t>
      </w:r>
      <w:sdt>
        <w:sdtPr>
          <w:id w:val="-2093308546"/>
          <w:citation/>
        </w:sdtPr>
        <w:sdtEndPr/>
        <w:sdtContent>
          <w:r w:rsidR="00CD2207">
            <w:fldChar w:fldCharType="begin"/>
          </w:r>
          <w:r w:rsidR="00CD2207">
            <w:instrText xml:space="preserve"> CITATION Las23 \l 3081 </w:instrText>
          </w:r>
          <w:r w:rsidR="00CD2207">
            <w:fldChar w:fldCharType="separate"/>
          </w:r>
          <w:r w:rsidR="00036C9A">
            <w:rPr>
              <w:noProof/>
            </w:rPr>
            <w:t>(Lashmar, et al., 2023)</w:t>
          </w:r>
          <w:r w:rsidR="00CD2207">
            <w:fldChar w:fldCharType="end"/>
          </w:r>
        </w:sdtContent>
      </w:sdt>
      <w:r>
        <w:t>.</w:t>
      </w:r>
    </w:p>
    <w:p w14:paraId="2E0C67FF" w14:textId="2CFE7795" w:rsidR="00CD2207" w:rsidRPr="00386D6F" w:rsidRDefault="00CD2207" w:rsidP="00CD2207">
      <w:pPr>
        <w:pStyle w:val="Heading3"/>
      </w:pPr>
      <w:bookmarkStart w:id="134" w:name="_Toc233788325"/>
      <w:r w:rsidRPr="00386D6F">
        <w:t>Distributed Energy Resources and On-Site Generation</w:t>
      </w:r>
      <w:bookmarkEnd w:id="134"/>
    </w:p>
    <w:p w14:paraId="0079E7CE" w14:textId="77777777" w:rsidR="00CD2207" w:rsidRDefault="00CD2207" w:rsidP="00CD2207">
      <w:r>
        <w:t>On-site generation was present in 64% of the cohort, most commonly in the form of rooftop photovoltaic systems, with several participants also reporting diesel gensets or gas-fired backup equipment. The presence of on-site generation is the second most common positive capability factor in the framework and contributed meaningfully to higher classification scores where other capability factors were also present.</w:t>
      </w:r>
    </w:p>
    <w:p w14:paraId="5FBE8567" w14:textId="77777777" w:rsidR="00CD2207" w:rsidRDefault="00CD2207" w:rsidP="00CD2207">
      <w:r>
        <w:t>Several participants with PV systems noted that the absence of battery storage significantly limited the practical DR value of their generation capacity. Without storage, solar generation peaks in the middle of the day and does not align with the periods of highest network stress in the NEM's current dispatch pattern. The combination of on-site PV without storage provides limited flexibility for DR purposes beyond passive reduction of grid imports during generation hours. In a future grid with higher solar penetration and more frequent midday oversupply events, this alignment will improve. In the current market, the highest DR value from on-site generation comes from facilities where PV is sized to a significant fraction of facility demand and where battery storage or flexible load scheduling allows the generation profile to be matched to curtailment windows.</w:t>
      </w:r>
    </w:p>
    <w:p w14:paraId="064BFF23" w14:textId="7A31071B" w:rsidR="00545687" w:rsidRDefault="00545687" w:rsidP="00CD2207">
      <w:r>
        <w:t>The presence of on-</w:t>
      </w:r>
      <w:r w:rsidR="00732AB7">
        <w:t>site</w:t>
      </w:r>
      <w:r>
        <w:t xml:space="preserve"> generation is </w:t>
      </w:r>
      <w:r w:rsidR="00732AB7">
        <w:t>prejudiced</w:t>
      </w:r>
      <w:r>
        <w:t xml:space="preserve"> by </w:t>
      </w:r>
      <w:r w:rsidR="00732AB7">
        <w:t xml:space="preserve">whether the site is </w:t>
      </w:r>
      <w:r>
        <w:t xml:space="preserve">owner occupied or </w:t>
      </w:r>
      <w:r w:rsidR="00732AB7">
        <w:t>leased</w:t>
      </w:r>
      <w:r>
        <w:t>.</w:t>
      </w:r>
      <w:r w:rsidR="00732AB7">
        <w:t xml:space="preserve"> </w:t>
      </w:r>
    </w:p>
    <w:p w14:paraId="2ED2BEDB" w14:textId="04ECE548" w:rsidR="005226E0" w:rsidRPr="00386D6F" w:rsidRDefault="005226E0" w:rsidP="005226E0">
      <w:pPr>
        <w:pStyle w:val="Heading3"/>
      </w:pPr>
      <w:bookmarkStart w:id="135" w:name="_Toc233788326"/>
      <w:r w:rsidRPr="00386D6F">
        <w:t>Thermal Buffer Loads and Regulatory Constraints</w:t>
      </w:r>
      <w:bookmarkEnd w:id="135"/>
    </w:p>
    <w:p w14:paraId="65F0AB07" w14:textId="2C973D74" w:rsidR="005226E0" w:rsidRDefault="005226E0" w:rsidP="005226E0">
      <w:r>
        <w:t xml:space="preserve">Cold storage and refrigeration loads are consistently identified in the literature as among the most promising candidates for industrial DR, given the thermal inertia of the stored medium </w:t>
      </w:r>
      <w:sdt>
        <w:sdtPr>
          <w:id w:val="-312403047"/>
          <w:citation/>
        </w:sdtPr>
        <w:sdtEndPr/>
        <w:sdtContent>
          <w:r>
            <w:fldChar w:fldCharType="begin"/>
          </w:r>
          <w:r>
            <w:instrText xml:space="preserve"> CITATION Cap16 \l 3081 </w:instrText>
          </w:r>
          <w:r>
            <w:fldChar w:fldCharType="separate"/>
          </w:r>
          <w:r w:rsidR="00036C9A">
            <w:rPr>
              <w:noProof/>
            </w:rPr>
            <w:t>(Capiau &amp; Van Daele, 2016)</w:t>
          </w:r>
          <w:r>
            <w:fldChar w:fldCharType="end"/>
          </w:r>
        </w:sdtContent>
      </w:sdt>
      <w:r>
        <w:t>. A cold storage facility can allow refrigeration compressors to cycle down for a defined period, drawing on the thermal buffer of the stored product, before temperature approaches the quality threshold that requires the compressors to restart. In theory, this provides a natural, cost-free DR window proportional to the facility's thermal mass.</w:t>
      </w:r>
    </w:p>
    <w:p w14:paraId="5CDE12B8" w14:textId="32B43ABB" w:rsidR="005226E0" w:rsidRDefault="005226E0" w:rsidP="005226E0">
      <w:r>
        <w:t>In practice, this theoretical flexibility was not accessible to the most energy-intensive food and beverage participant in the cohort. Facilities operating under strict quality assurance obligations and food safety regulatory requirements identified legal liability, insurance conditions, and customer contract obligations as binding constraints on any temperature excursion. The concern was not the physics of the buffer; it was the regulatory and contractual consequences of any exceedance, which in some cases would trigger batch rejection, customer claims, or certification revocation.</w:t>
      </w:r>
    </w:p>
    <w:p w14:paraId="4239FD3F" w14:textId="77777777" w:rsidR="005226E0" w:rsidRDefault="005226E0" w:rsidP="005226E0">
      <w:r>
        <w:t>This finding illustrates a broader principle relevant to the Environmental Control load category in the taxonomy: Low flexibility ratings for refrigeration, ventilation, and process cooling systems reflect not a technical inability to cycle the equipment, but the regulatory, safety, and product quality obligations that make doing so operationally impermissible in practice. Accurately assessing the accessible DR capacity of a facility, therefore, requires an understanding of both its technical load characteristics and the regulatory environment in which it operates. This dimension is not captured in current DR assessment frameworks and represents an important gap for future standardisation work.</w:t>
      </w:r>
    </w:p>
    <w:p w14:paraId="7C4BC589" w14:textId="7F3EB5EF" w:rsidR="005226E0" w:rsidRPr="00386D6F" w:rsidRDefault="005226E0" w:rsidP="005226E0">
      <w:pPr>
        <w:pStyle w:val="Heading3"/>
      </w:pPr>
      <w:bookmarkStart w:id="136" w:name="_Toc233788327"/>
      <w:r w:rsidRPr="00386D6F">
        <w:t>Load Categories with the Highest Near-Term DR Potential</w:t>
      </w:r>
      <w:bookmarkEnd w:id="136"/>
    </w:p>
    <w:p w14:paraId="01E60558" w14:textId="77777777" w:rsidR="005226E0" w:rsidRDefault="005226E0" w:rsidP="00200097">
      <w:r>
        <w:t>Drawing together the taxonomy, classification, and engagement findings, several load categories emerge as the most practically accessible near-term DR opportunities across the cohort.</w:t>
      </w:r>
    </w:p>
    <w:p w14:paraId="7067BC16" w14:textId="6C8DF689" w:rsidR="005226E0" w:rsidRDefault="005226E0" w:rsidP="00200097">
      <w:r>
        <w:t>Compressed air systems represent the single most consistently accessible DR load type in the taxonomy. Rated High flexibility and present across multiple sectors, their cyclical operation and automated control make them well-suited to short-notice curtailment without process impact. Stored air pressure provides an operational buffer that allows brief interruptions without immediately affecting downstream processes. Their cross-industry ubiquity makes compressed air a strong candidate for a standardised automated DR control interface.</w:t>
      </w:r>
    </w:p>
    <w:p w14:paraId="56A77DE5" w14:textId="1756878A" w:rsidR="005226E0" w:rsidRDefault="005226E0" w:rsidP="00200097">
      <w:r>
        <w:t xml:space="preserve">Pumping and water systems similarly carry high flexibility ratings across all three identified sub-types: general pumping, wastewater treatment, and RO water systems. Water storage capacity provides a </w:t>
      </w:r>
      <w:r>
        <w:lastRenderedPageBreak/>
        <w:t>natural buffer that decouples pumping activity from instantaneous demand, allowing operations to be shifted to off-peak periods without production impact. In mining and large-scale food processing, where pumping loads are substantial, this category may represent a disproportionately large share of accessible DR capacity relative to its number of load types.</w:t>
      </w:r>
    </w:p>
    <w:p w14:paraId="7295AC4E" w14:textId="63353DBF" w:rsidR="005226E0" w:rsidRDefault="005226E0" w:rsidP="00200097">
      <w:r>
        <w:t xml:space="preserve">Comfort HVAC and air conditioning, classified under Background Loads, offers medium flexibility across the cohort through thermal inertia, </w:t>
      </w:r>
      <w:r w:rsidR="00200097">
        <w:t>short</w:t>
      </w:r>
      <w:r w:rsidR="00386D6F">
        <w:t xml:space="preserve"> </w:t>
      </w:r>
      <w:r w:rsidR="00200097">
        <w:t>duration</w:t>
      </w:r>
      <w:r>
        <w:t xml:space="preserve"> setpoint </w:t>
      </w:r>
      <w:r w:rsidR="00200097">
        <w:t>adjustments, or cycling, all of which are</w:t>
      </w:r>
      <w:r>
        <w:t xml:space="preserve"> achievable without immediate occupant impact. While individual HVAC systems are relatively modest in capacity, their prevalence across all 22 participating facilities makes their aggregate contribution non-trivial.</w:t>
      </w:r>
    </w:p>
    <w:p w14:paraId="3ED28C7A" w14:textId="20169E97" w:rsidR="00200097" w:rsidRDefault="005226E0" w:rsidP="00200097">
      <w:r>
        <w:t>Batch-process thermal and mechanical loads</w:t>
      </w:r>
      <w:r w:rsidR="00200097">
        <w:t xml:space="preserve">, </w:t>
      </w:r>
      <w:r>
        <w:t xml:space="preserve">offer </w:t>
      </w:r>
      <w:r w:rsidR="00200097">
        <w:t>m</w:t>
      </w:r>
      <w:r>
        <w:t xml:space="preserve">edium flexibility where scheduling adjustments can be made with sufficient advance notice. The practical accessibility of this flexibility depends on shift structure and labour cost implications, as discussed in Section </w:t>
      </w:r>
      <w:r w:rsidR="00200097">
        <w:fldChar w:fldCharType="begin"/>
      </w:r>
      <w:r w:rsidR="00200097">
        <w:instrText xml:space="preserve"> REF _Ref230925613 \r \h  \* MERGEFORMAT </w:instrText>
      </w:r>
      <w:r w:rsidR="00200097">
        <w:fldChar w:fldCharType="separate"/>
      </w:r>
      <w:r w:rsidR="00036C9A">
        <w:t>5.5.5</w:t>
      </w:r>
      <w:r w:rsidR="00200097">
        <w:fldChar w:fldCharType="end"/>
      </w:r>
      <w:r>
        <w:t>: the load is technically moveable, but the economics of moving it are sometimes unfavourable under current incentive arrangements.</w:t>
      </w:r>
    </w:p>
    <w:p w14:paraId="6768354F" w14:textId="77777777" w:rsidR="00200097" w:rsidRPr="00386D6F" w:rsidRDefault="00200097" w:rsidP="00200097">
      <w:pPr>
        <w:pStyle w:val="Heading3"/>
      </w:pPr>
      <w:bookmarkStart w:id="137" w:name="_Toc233788328"/>
      <w:r w:rsidRPr="00386D6F">
        <w:t>The Standardisation Gap and Implications for Future Research</w:t>
      </w:r>
      <w:bookmarkEnd w:id="137"/>
    </w:p>
    <w:p w14:paraId="32A4188D" w14:textId="5F58DAB4" w:rsidR="00200097" w:rsidRDefault="00200097" w:rsidP="00200097">
      <w:r>
        <w:t xml:space="preserve">The findings presented across this section converge on a structural conclusion: the barriers preventing industrial DR participation in the NEM are not primarily technical. They are accumulated by the absence of a consistent, standardised framework that would make industrial load participation accessible, measurable, and reliable at scale. As Scharnhorst et al. observe, overcoming these barriers requires not only bridging internal knowledge gaps but </w:t>
      </w:r>
      <w:r w:rsidR="005A0ED7">
        <w:t xml:space="preserve">also </w:t>
      </w:r>
      <w:r>
        <w:t>adapting the external frameworks that govern participation</w:t>
      </w:r>
      <w:r w:rsidR="005A0ED7">
        <w:t xml:space="preserve"> </w:t>
      </w:r>
      <w:sdt>
        <w:sdtPr>
          <w:id w:val="1068313876"/>
          <w:citation/>
        </w:sdtPr>
        <w:sdtEndPr/>
        <w:sdtContent>
          <w:r w:rsidR="005A0ED7">
            <w:fldChar w:fldCharType="begin"/>
          </w:r>
          <w:r w:rsidR="005A0ED7">
            <w:instrText xml:space="preserve"> CITATION Sch24 \l 3081 </w:instrText>
          </w:r>
          <w:r w:rsidR="005A0ED7">
            <w:fldChar w:fldCharType="separate"/>
          </w:r>
          <w:r w:rsidR="00036C9A">
            <w:rPr>
              <w:noProof/>
            </w:rPr>
            <w:t>(Scharnhorst, et al., 2024)</w:t>
          </w:r>
          <w:r w:rsidR="005A0ED7">
            <w:fldChar w:fldCharType="end"/>
          </w:r>
        </w:sdtContent>
      </w:sdt>
      <w:r w:rsidR="004F1965">
        <w:t>.</w:t>
      </w:r>
    </w:p>
    <w:p w14:paraId="5C4EA486" w14:textId="73F9A4BF" w:rsidR="00200097" w:rsidRDefault="00200097" w:rsidP="00200097">
      <w:r>
        <w:t xml:space="preserve">The specific gaps identified through this study fall into four </w:t>
      </w:r>
      <w:r w:rsidR="00522418">
        <w:t xml:space="preserve">(4) </w:t>
      </w:r>
      <w:r>
        <w:t xml:space="preserve">areas. First, metering and data infrastructure: the near-universal absence of submetering reflects the absence of any requirement for industrial participants to maintain or report equipment-level consumption data. Second, measurement and verification: without agreed baselines and M&amp;V protocols, DR contributions cannot be reliably attributed, limiting the confidence of system operators and aggregators in industrial load as a dependable resource. Third, control interface standardisation: the diversity of industrial control systems and automation platforms makes automated DR signal response technically complex and costly on a case-by-case basis. Fourth, incentive design: current incentive structures do not consistently </w:t>
      </w:r>
      <w:r w:rsidR="00386D6F">
        <w:t>cover the full operational cost of DR for labour-intensive mid-sized companies, particularly those requiring shift-pattern adjustments</w:t>
      </w:r>
      <w:r>
        <w:t>.</w:t>
      </w:r>
    </w:p>
    <w:p w14:paraId="45B8A277" w14:textId="48B754CE" w:rsidR="0049497A" w:rsidRDefault="00200097" w:rsidP="00200097">
      <w:r>
        <w:t>The characterisation work completed in this study</w:t>
      </w:r>
      <w:r w:rsidR="005A0ED7">
        <w:t xml:space="preserve">, </w:t>
      </w:r>
      <w:r>
        <w:t xml:space="preserve">the </w:t>
      </w:r>
      <w:r w:rsidR="005A0ED7">
        <w:t xml:space="preserve">taxonomy of </w:t>
      </w:r>
      <w:r>
        <w:t>load, the barrier and capability framework, and the scored assessment of 22 companies across 11 ANZSIC sectors</w:t>
      </w:r>
      <w:r w:rsidR="005A0ED7">
        <w:t>,</w:t>
      </w:r>
      <w:r>
        <w:t xml:space="preserve"> is the empirical foundation from which the technical and governance requirements of an industrial DR standard can be derived. Before a standard can be written, the problems it needs to solve must be clearly and credibly defined. This study provides that definition. The follow-on research priorities identified in Section </w:t>
      </w:r>
      <w:r w:rsidR="005A0ED7">
        <w:fldChar w:fldCharType="begin"/>
      </w:r>
      <w:r w:rsidR="005A0ED7">
        <w:instrText xml:space="preserve"> REF _Ref230770895 \r \h </w:instrText>
      </w:r>
      <w:r w:rsidR="005A0ED7">
        <w:fldChar w:fldCharType="separate"/>
      </w:r>
      <w:r w:rsidR="00036C9A">
        <w:t>8</w:t>
      </w:r>
      <w:r w:rsidR="005A0ED7">
        <w:fldChar w:fldCharType="end"/>
      </w:r>
      <w:r>
        <w:t xml:space="preserve"> build directly on these findings, with the objective of developing the standardised foundations that the NEM requires to treat industrial demand-side flexibility as a reliable, attributable, and scalable system service </w:t>
      </w:r>
      <w:sdt>
        <w:sdtPr>
          <w:id w:val="692200894"/>
          <w:citation/>
        </w:sdtPr>
        <w:sdtEndPr/>
        <w:sdtContent>
          <w:r>
            <w:fldChar w:fldCharType="begin"/>
          </w:r>
          <w:r>
            <w:instrText xml:space="preserve"> CITATION Sch24 \l 3081  \m Ran24</w:instrText>
          </w:r>
          <w:r>
            <w:fldChar w:fldCharType="separate"/>
          </w:r>
          <w:r w:rsidR="00036C9A">
            <w:rPr>
              <w:noProof/>
            </w:rPr>
            <w:t>(Scharnhorst, et al., 2024; Ranaboldo, et al., 2024)</w:t>
          </w:r>
          <w:r>
            <w:fldChar w:fldCharType="end"/>
          </w:r>
        </w:sdtContent>
      </w:sdt>
      <w:r w:rsidR="004F1965">
        <w:t>.</w:t>
      </w:r>
    </w:p>
    <w:p w14:paraId="29BEDCA2" w14:textId="50AD17B8" w:rsidR="00C57C82" w:rsidRPr="00477B5A" w:rsidRDefault="000846FA" w:rsidP="00C57C82">
      <w:pPr>
        <w:pStyle w:val="Heading1"/>
      </w:pPr>
      <w:bookmarkStart w:id="138" w:name="_Toc233788329"/>
      <w:r>
        <w:t>Conclusion</w:t>
      </w:r>
      <w:bookmarkEnd w:id="138"/>
    </w:p>
    <w:p w14:paraId="13B2AF8C" w14:textId="0A442FB7" w:rsidR="00B81BAB" w:rsidRDefault="00B81BAB" w:rsidP="00B81BAB">
      <w:r>
        <w:t>This project set out to investigate the potential for existing mid-sized industrial companies in the Hunter Valley region of New South Wales to participate in demand response and provide system services into the N</w:t>
      </w:r>
      <w:r w:rsidR="00522418">
        <w:t>EM</w:t>
      </w:r>
      <w:r>
        <w:t>. It builds directly on the foundational work established under AR-PST Stage 5 Topic 6, which identified the characterisation and coordination of flexible industrial loads as an open research question of material significance to system security. To the knowledge of the authors, this study represents one of the first systematic, empirically grounded engagements with diverse mid-sized industrial loads in Australia conducted specifically for this purpose, filling a gap that has persisted in both the domestic and international literature for the mid-sized industrial tier.</w:t>
      </w:r>
    </w:p>
    <w:p w14:paraId="49055544" w14:textId="625AD45B" w:rsidR="00B81BAB" w:rsidRDefault="00B81BAB" w:rsidP="00B81BAB">
      <w:r>
        <w:t>The central finding of the study is clear: significant industrial demand-side capacity exists within the Hunter Valley industrial base, but the conditions required to activate it are not yet in place for the majority of companies. Across the</w:t>
      </w:r>
      <w:r w:rsidR="00386D6F">
        <w:t xml:space="preserve"> </w:t>
      </w:r>
      <w:r>
        <w:t xml:space="preserve">22 assessed participants, raw scores ranged from −12.0 to +9.0 with a </w:t>
      </w:r>
      <w:r>
        <w:lastRenderedPageBreak/>
        <w:t xml:space="preserve">mean of −3.1, indicating a cohort that is, on balance, barrier-dominated. Technology availability and data deficiency were the most prevalent barriers, each present in 73% of companies, followed by continuous process constraints at 68%. Critically, only two </w:t>
      </w:r>
      <w:r w:rsidR="00783BA3">
        <w:t xml:space="preserve">(2) </w:t>
      </w:r>
      <w:r>
        <w:t xml:space="preserve">companies in either the primary or supplementary cohort had prior or current enrolment in a formal DR program, despite 50% expressing interest in participating and 55% confirming some degree of dynamic operational flexibility. This finding is the single most significant result of the assessment: it demonstrates that willingness and partial capability are present across the cohort, but that neither has been translated into active participation. The gap is </w:t>
      </w:r>
      <w:r w:rsidR="00783BA3">
        <w:t>organisational</w:t>
      </w:r>
      <w:r>
        <w:t>, not motivational.</w:t>
      </w:r>
    </w:p>
    <w:p w14:paraId="6CA4EF83" w14:textId="40D93DD8" w:rsidR="00B81BAB" w:rsidRDefault="00B81BAB" w:rsidP="00B81BAB">
      <w:r>
        <w:t>The depth and completeness of the data collected varied considerably across participants. While the majority of companies provided sufficient information to support a reliable classification, several participants were limited in what they could share due to commercial sensitivity, contractual obligations, or the absence of internal data at the equipment level. One company was excluded from the scored assessment entirely due to insufficient available data. In cases where information was partial, conservative assumptions were applied and noted accordingly. The findings presented in this report are grounded in the data that w</w:t>
      </w:r>
      <w:r w:rsidR="00783BA3">
        <w:t>as</w:t>
      </w:r>
      <w:r>
        <w:t xml:space="preserve"> available and should be interpreted in the context of these limitations. The near-universal absence of submetering, present in only 12% of the cohort, was the most pervasive data constraint and the primary factor limiting the precision of the load identification and DR capacity assessment.</w:t>
      </w:r>
    </w:p>
    <w:p w14:paraId="0E855E51" w14:textId="0D7DA711" w:rsidR="00B81BAB" w:rsidRDefault="00B81BAB" w:rsidP="00B81BAB">
      <w:r>
        <w:t>The study produced three</w:t>
      </w:r>
      <w:r w:rsidR="00783BA3">
        <w:t xml:space="preserve"> (3)</w:t>
      </w:r>
      <w:r>
        <w:t xml:space="preserve"> practical outcomes with immediate utility. First, a taxonomy of 53 industrial load types across nine functional categories, characterised by operation type, control dependency, and flexibility potential, a reference framework that did not previously exist for the mid-sized Australian industrial sector and that can be applied directly by program designers, aggregators, and system planners assessing industrial DR capacity. Second, a scored classification of 22 companies that identifies both the most and least accessible DR candidates within the cohort and provides a repeatable methodology for similar assessments. Third, a clear characterisation of the minimum incentive threshold required for industrial DR participation: the incentive must exceed not the energy cost differential between peak and off-peak periods, but the full operational cost of the curtailment event, most critically, the cost of displaced labour, a design requirement that current NEM DR mechanisms do not consistently meet for mid-sized industrial participants.</w:t>
      </w:r>
    </w:p>
    <w:p w14:paraId="2D80084B" w14:textId="6065A8A5" w:rsidR="00B81BAB" w:rsidRDefault="00B81BAB" w:rsidP="00B81BAB">
      <w:r>
        <w:t xml:space="preserve">The findings are consistent with and extend the body of work developed across prior AR-PST stages. Earlier stages in Topics 4, 6, and 8 established the theoretical and computational framework for understanding the provision of distributed system services; this study grounds that framework in the operational realities of industrial facilities operating today. Where prior work framed industrial demand-side participation as a long-horizon possibility, the evidence gathered here confirms that the prerequisite capability now exists in a meaningful proportion of the cohort, and that the primary obstacles are infrastructural and institutional rather than technological. This shift in framing, from what might be possible in </w:t>
      </w:r>
      <w:r w:rsidR="00783BA3">
        <w:t>10-15</w:t>
      </w:r>
      <w:r>
        <w:t xml:space="preserve"> years to what is accessible within </w:t>
      </w:r>
      <w:r w:rsidR="00783BA3">
        <w:t>1-10</w:t>
      </w:r>
      <w:r>
        <w:t xml:space="preserve"> years, given targeted intervention, is the most practically significant contribution this stage makes to the broader AR-PST research program</w:t>
      </w:r>
      <w:sdt>
        <w:sdtPr>
          <w:id w:val="-891959482"/>
          <w:citation/>
        </w:sdtPr>
        <w:sdtEndPr/>
        <w:sdtContent>
          <w:r>
            <w:fldChar w:fldCharType="begin"/>
          </w:r>
          <w:r>
            <w:instrText xml:space="preserve"> CITATION RMI21 \l 3081  \m Har23</w:instrText>
          </w:r>
          <w:r>
            <w:fldChar w:fldCharType="separate"/>
          </w:r>
          <w:r w:rsidR="00036C9A">
            <w:rPr>
              <w:noProof/>
            </w:rPr>
            <w:t xml:space="preserve"> (RMIT University, 2021; Hargroves, et al., 2023)</w:t>
          </w:r>
          <w:r>
            <w:fldChar w:fldCharType="end"/>
          </w:r>
        </w:sdtContent>
      </w:sdt>
      <w:r w:rsidR="004F1965">
        <w:t>.</w:t>
      </w:r>
    </w:p>
    <w:p w14:paraId="23CAE7EF" w14:textId="77777777" w:rsidR="00B81BAB" w:rsidRDefault="00B81BAB" w:rsidP="00B81BAB">
      <w:r>
        <w:t>The study also captured, outside its primary scope, the presence of frequency and voltage-regulating assets across several participating facilities, specifically, direct-online motors contributing rotational inertia and power-factor correction equipment providing reactive power support. These assets are currently invisible to system operators and unquantified in NEM planning frameworks. While no results are drawn from this component of the engagement in the current stage, the finding identifies an additional dimension of industrial contribution to essential system services that warrants dedicated investigation and is reflected in the proposed future work.</w:t>
      </w:r>
    </w:p>
    <w:p w14:paraId="5276A176" w14:textId="6BCA50A6" w:rsidR="000846FA" w:rsidRPr="00477B5A" w:rsidRDefault="00B81BAB" w:rsidP="00B81BAB">
      <w:r>
        <w:t xml:space="preserve">The characterisation work completed in this stage defines precisely the work that must follow. Three </w:t>
      </w:r>
      <w:r w:rsidR="00783BA3">
        <w:t xml:space="preserve">(3) </w:t>
      </w:r>
      <w:r>
        <w:t>research priorities emerge from the findings: a structured discovery and estimation of demand-side inertia sources across the NEM; a small number of deep, customer-centric site engagements that move from characterisation into implementation through Level 2 Energy Audits and tailored DSM case studies; and the development of the technical and governance foundations required for a formal industrial demand response standard applicable within the NEM. The taxonomy, barrier and capability data, scored company assessments, and stakeholder relationships developed in this stage provide the empirical and relational foundation from which the program can proceed without delay</w:t>
      </w:r>
      <w:sdt>
        <w:sdtPr>
          <w:id w:val="-1808549452"/>
          <w:citation/>
        </w:sdtPr>
        <w:sdtEndPr/>
        <w:sdtContent>
          <w:r>
            <w:fldChar w:fldCharType="begin"/>
          </w:r>
          <w:r>
            <w:instrText xml:space="preserve"> CITATION Las23 \l 3081  \m Ran24</w:instrText>
          </w:r>
          <w:r>
            <w:fldChar w:fldCharType="separate"/>
          </w:r>
          <w:r w:rsidR="00036C9A">
            <w:rPr>
              <w:noProof/>
            </w:rPr>
            <w:t xml:space="preserve"> (Lashmar, et al., 2023; Ranaboldo, et al., 2024)</w:t>
          </w:r>
          <w:r>
            <w:fldChar w:fldCharType="end"/>
          </w:r>
        </w:sdtContent>
      </w:sdt>
      <w:r w:rsidR="004F1965">
        <w:t>.</w:t>
      </w:r>
    </w:p>
    <w:p w14:paraId="4D20BA2E" w14:textId="4732CE8B" w:rsidR="00C57C82" w:rsidRPr="00477B5A" w:rsidRDefault="00F8171E" w:rsidP="00C57C82">
      <w:pPr>
        <w:pStyle w:val="Heading1"/>
      </w:pPr>
      <w:bookmarkStart w:id="139" w:name="_Toc233788330"/>
      <w:r w:rsidRPr="00477B5A">
        <w:lastRenderedPageBreak/>
        <w:t>Knowledge Sharing</w:t>
      </w:r>
      <w:bookmarkEnd w:id="139"/>
    </w:p>
    <w:p w14:paraId="138EA8EF" w14:textId="68F52998" w:rsidR="007F6729" w:rsidRDefault="007F6729" w:rsidP="007F6729">
      <w:r>
        <w:t xml:space="preserve">This section distils the critical learnings, insights, and conclusions from this study that are </w:t>
      </w:r>
      <w:r w:rsidR="00E65BC6">
        <w:t>directly relevant</w:t>
      </w:r>
      <w:r>
        <w:t xml:space="preserve"> to the current state and future direction of the Australian electricity sector. The findings are presented not as academic observations but as actionable knowledge: information that power system planners, market operators, regulators, policy makers, standards bodies, and industrial companies can draw on to make better decisions about how industrial </w:t>
      </w:r>
      <w:r w:rsidR="00E65BC6">
        <w:t>demand-side management strategies, in particular demand response</w:t>
      </w:r>
      <w:r w:rsidR="008E223D">
        <w:t>, are</w:t>
      </w:r>
      <w:r>
        <w:t xml:space="preserve"> identified, valued, and activated within the NEM.</w:t>
      </w:r>
    </w:p>
    <w:p w14:paraId="449D41E9" w14:textId="0D496D45" w:rsidR="00E65BC6" w:rsidRDefault="007F6729" w:rsidP="007F6729">
      <w:r>
        <w:t xml:space="preserve">The study engaged </w:t>
      </w:r>
      <w:r w:rsidR="00E65BC6">
        <w:t>twenty-two (</w:t>
      </w:r>
      <w:r>
        <w:t>22</w:t>
      </w:r>
      <w:r w:rsidR="00E65BC6">
        <w:t>)</w:t>
      </w:r>
      <w:r>
        <w:t xml:space="preserve"> mid-sized industrial companies across 11 ANZSIC industry sectors in the Hunter Valley region of New South Wales, collectively representing 356,0</w:t>
      </w:r>
      <w:r w:rsidR="008E223D">
        <w:t>28</w:t>
      </w:r>
      <w:r>
        <w:t xml:space="preserve"> MWh of annual electricity consumption. It produced a taxonomy of 53 industrial load types, a scored barrier and capability assessment for each participant, and a set of empirically grounded findings about the conditions under which industrial DR participation is feasible, the constraints that prevent it, and the minimum requirements for activating it at scale. The insights below are drawn directly from that body of evidence.</w:t>
      </w:r>
    </w:p>
    <w:p w14:paraId="37715074" w14:textId="0752A7F4" w:rsidR="00E65BC6" w:rsidRDefault="00E65BC6" w:rsidP="00E65BC6">
      <w:pPr>
        <w:pStyle w:val="Heading2"/>
      </w:pPr>
      <w:bookmarkStart w:id="140" w:name="_Toc233788331"/>
      <w:r>
        <w:t>The Overarching Message</w:t>
      </w:r>
      <w:bookmarkEnd w:id="140"/>
    </w:p>
    <w:p w14:paraId="146CF42A" w14:textId="679A6DB5" w:rsidR="007F6729" w:rsidRDefault="007F6729" w:rsidP="007F6729">
      <w:r>
        <w:t xml:space="preserve">The collective weight of these insights points </w:t>
      </w:r>
      <w:r w:rsidR="00E65BC6">
        <w:t>to a single overarching conclusion: the industrial DR potential to</w:t>
      </w:r>
      <w:r>
        <w:t xml:space="preserve"> the NEM is larger, more willing, and more technically capable of contributing to system services than current program participation rates suggest. The gap between potential and participation is not primarily a function of what industrial companies cannot do. It is a function of what the system does not yet provide: accessible participation pathways, standardised technical frameworks, adequate incentive structures, and </w:t>
      </w:r>
      <w:r w:rsidR="00E65BC6">
        <w:t>metering infrastructure that enables credible DR commitments</w:t>
      </w:r>
      <w:r>
        <w:t>.</w:t>
      </w:r>
    </w:p>
    <w:p w14:paraId="485BD901" w14:textId="5384817F" w:rsidR="007F6729" w:rsidRDefault="007F6729" w:rsidP="007F6729">
      <w:r>
        <w:t xml:space="preserve">This is an important reframing for the sector. If the barriers to industrial DR are understood as company-level problems, the policy response </w:t>
      </w:r>
      <w:r w:rsidR="00E65BC6">
        <w:t>should focus on</w:t>
      </w:r>
      <w:r>
        <w:t xml:space="preserve"> education and outreach. If they are understood as systemic and structural, as this study's evidence indicates, the policy response requires changes to market design, regulatory frameworks, and technical standards. Both are needed, but the latter is the more consequential and the more urgent.</w:t>
      </w:r>
    </w:p>
    <w:p w14:paraId="3935C1B2" w14:textId="298C6C40" w:rsidR="007F6729" w:rsidRDefault="007F6729" w:rsidP="007F6729">
      <w:r>
        <w:t xml:space="preserve">Australia has the industrial base, the renewable energy growth trajectory, and the policy motivation to develop a world-leading </w:t>
      </w:r>
      <w:r w:rsidR="00E65BC6">
        <w:t>capability in industrial demand response</w:t>
      </w:r>
      <w:r>
        <w:t>. The Hunter Valley cohort engaged in this study represents a cross-section of that industrial base</w:t>
      </w:r>
      <w:r w:rsidR="00E65BC6">
        <w:t xml:space="preserve">; </w:t>
      </w:r>
      <w:r>
        <w:t>diverse in sector, scale, and operational profile, but consistent in one finding: the willingness to participate is present, and the infrastructure to support it is not. Closing that gap is within reach, and the research program proposed in Section 8 defines the most direct path to doing so.</w:t>
      </w:r>
    </w:p>
    <w:p w14:paraId="5DA8E757" w14:textId="4F170305" w:rsidR="00E65BC6" w:rsidRDefault="00E65BC6" w:rsidP="00E65BC6">
      <w:pPr>
        <w:pStyle w:val="Heading2"/>
      </w:pPr>
      <w:bookmarkStart w:id="141" w:name="_Toc233788332"/>
      <w:r>
        <w:t>Dissemination and Engagement</w:t>
      </w:r>
      <w:bookmarkEnd w:id="141"/>
    </w:p>
    <w:p w14:paraId="19D76A24" w14:textId="77777777" w:rsidR="008E223D" w:rsidRDefault="00E65BC6" w:rsidP="00E65BC6">
      <w:r>
        <w:t>The findings of this study will be shared across multiple channels and audiences to maximise their influence on the sector. The final report is published openly under the AR-PST program and is available to all stakeholders without restriction.</w:t>
      </w:r>
    </w:p>
    <w:p w14:paraId="6EC6D75D" w14:textId="735EE07F" w:rsidR="00E65BC6" w:rsidRDefault="00E65BC6" w:rsidP="00E65BC6">
      <w:r>
        <w:t xml:space="preserve">The participating companies in this study will be provided with a summary of the cohort-level findings, enabling them to contextualise their own barrier and capability profile against the broader participant group. </w:t>
      </w:r>
    </w:p>
    <w:p w14:paraId="5D410B83" w14:textId="12527171" w:rsidR="00E65BC6" w:rsidRDefault="00E65BC6" w:rsidP="00E65BC6">
      <w:r>
        <w:t>Findings will also be communicated through Advitech's established industry networks, including professional associations, industry bodies, and direct client relationships, to reach the broader population of mid-sized industrial energy users beyond the study cohort. Industry-facing communication will focus on practical, immediately actionable insights: the role of energy auditing as the entry point to DR readiness, the high near-term flexibility of compressed air and pumping loads, and the economic case for proactively engaging with DR programs rather than waiting for regulatory mandates.</w:t>
      </w:r>
    </w:p>
    <w:p w14:paraId="56AE4B10" w14:textId="77777777" w:rsidR="008E223D" w:rsidRDefault="008E223D" w:rsidP="00E65BC6"/>
    <w:p w14:paraId="5984807D" w14:textId="5D6774DB" w:rsidR="00FD51D4" w:rsidRPr="002C0905" w:rsidRDefault="00F8171E" w:rsidP="00FD51D4">
      <w:pPr>
        <w:pStyle w:val="Heading1"/>
      </w:pPr>
      <w:bookmarkStart w:id="142" w:name="_Ref230770895"/>
      <w:bookmarkStart w:id="143" w:name="_Ref230770910"/>
      <w:bookmarkStart w:id="144" w:name="_Toc233788333"/>
      <w:r w:rsidRPr="002C0905">
        <w:lastRenderedPageBreak/>
        <w:t>Future Work</w:t>
      </w:r>
      <w:bookmarkEnd w:id="142"/>
      <w:bookmarkEnd w:id="143"/>
      <w:bookmarkEnd w:id="144"/>
    </w:p>
    <w:p w14:paraId="3A1EFCCB" w14:textId="2770B6A2" w:rsidR="00D51A8F" w:rsidRDefault="00A212DC" w:rsidP="000E6813">
      <w:pPr>
        <w:pStyle w:val="ListBullet"/>
        <w:numPr>
          <w:ilvl w:val="0"/>
          <w:numId w:val="0"/>
        </w:numPr>
      </w:pPr>
      <w:r w:rsidRPr="00A212DC">
        <w:t xml:space="preserve">The findings of this study identify a set of research priorities that extend directly from its results and limitations. Three areas of future work are proposed, each </w:t>
      </w:r>
      <w:r>
        <w:t>addressing a specific gap identified through the stakeholder engagement and analysis conducted at</w:t>
      </w:r>
      <w:r w:rsidRPr="00A212DC">
        <w:t xml:space="preserve"> this stage. Together, they form a coherent and sequenced program: characterising what exists in the system, understanding how individual sites can be activated, and establishing the standardised foundations that make activation scalable and reliable across the NEM</w:t>
      </w:r>
      <w:r>
        <w:t>.</w:t>
      </w:r>
    </w:p>
    <w:p w14:paraId="6EE284C5" w14:textId="64A1B05D" w:rsidR="00A212DC" w:rsidRPr="002C0905" w:rsidRDefault="00A212DC" w:rsidP="00FF3288">
      <w:pPr>
        <w:pStyle w:val="Heading2"/>
      </w:pPr>
      <w:bookmarkStart w:id="145" w:name="_Toc233788334"/>
      <w:r w:rsidRPr="002C0905">
        <w:t>Discovery and Estimation of Demand-Side Inertia Sources in the NEM</w:t>
      </w:r>
      <w:bookmarkEnd w:id="145"/>
    </w:p>
    <w:p w14:paraId="72BBF8CF" w14:textId="77777777" w:rsidR="00252E0D" w:rsidRDefault="00070277" w:rsidP="00A212DC">
      <w:r w:rsidRPr="00070277">
        <w:t xml:space="preserve">The stakeholder engagement conducted in this study identified, </w:t>
      </w:r>
      <w:r>
        <w:t>in addition to</w:t>
      </w:r>
      <w:r w:rsidRPr="00070277">
        <w:t xml:space="preserve"> the primary demand response analysis, the</w:t>
      </w:r>
      <w:r>
        <w:t xml:space="preserve"> </w:t>
      </w:r>
      <w:r w:rsidRPr="00070277">
        <w:t>presence of rotating industrial assets that contribute to system inertia across the participating facilities. These included direct-on-line (DOL) motors, synchronous machines, and power factor correction equipment operating in ways that are not currently visible to system operators or captured in AEMO planning frameworks. While supply-side inertia sources</w:t>
      </w:r>
      <w:r>
        <w:t>, such as</w:t>
      </w:r>
      <w:r w:rsidRPr="00070277">
        <w:t xml:space="preserve"> large synchronous generators</w:t>
      </w:r>
      <w:r>
        <w:t>,</w:t>
      </w:r>
      <w:r w:rsidRPr="00070277">
        <w:t xml:space="preserve"> are well characterised, demand-side inertia contributions from industrial loads remain poorly understood, particularly as an increasing proportion of industrial machinery is operated via variable speed drives (VSDs) that decouple rotating mass from the grid. The NEM currently lacks a verified, spatially and temporally resolved understanding of where demand-side inertia exists, how much is available, and how it behaves under real system disturbance conditions.</w:t>
      </w:r>
    </w:p>
    <w:p w14:paraId="591CB9D5" w14:textId="77777777" w:rsidR="00252E0D" w:rsidRDefault="00070277" w:rsidP="00A212DC">
      <w:r w:rsidRPr="00070277">
        <w:t>This knowledge gap carries direct consequences for system security: as synchronous generation retires, conservative operational interventions by system operators become more frequent and more costly, and the risk of cascading instability during frequency disturbances increases. A structured discovery and estimation program</w:t>
      </w:r>
      <w:r>
        <w:t>,</w:t>
      </w:r>
      <w:r w:rsidRPr="00070277">
        <w:t xml:space="preserve"> combining desktop analysis of industrial asset registers, targeted stakeholder engagement to confirm equipment configurations and operating modes, and conservative engineering estimation validated against available system data</w:t>
      </w:r>
      <w:r>
        <w:t>,</w:t>
      </w:r>
      <w:r w:rsidRPr="00070277">
        <w:t xml:space="preserve"> would produce the operationally relevant inertia map that NEM planners currently lack.</w:t>
      </w:r>
    </w:p>
    <w:p w14:paraId="0C24C04E" w14:textId="66800A6C" w:rsidR="00A212DC" w:rsidRDefault="00070277" w:rsidP="00A212DC">
      <w:r w:rsidRPr="00070277">
        <w:t>The taxonomy and stakeholder network developed in this study provide a practical foundation for that work, reducing the time and cost of asset discovery and enabling immediate engagement with a cohort of industrial participants already familiar with the research objectives</w:t>
      </w:r>
      <w:r>
        <w:t>.</w:t>
      </w:r>
    </w:p>
    <w:p w14:paraId="6654A1DB" w14:textId="5A07E28A" w:rsidR="00FF3288" w:rsidRPr="002C0905" w:rsidRDefault="00A212DC" w:rsidP="00FF3288">
      <w:pPr>
        <w:pStyle w:val="Heading2"/>
      </w:pPr>
      <w:bookmarkStart w:id="146" w:name="_Ref233686750"/>
      <w:bookmarkStart w:id="147" w:name="_Ref233710156"/>
      <w:bookmarkStart w:id="148" w:name="_Ref233710158"/>
      <w:bookmarkStart w:id="149" w:name="_Ref233717524"/>
      <w:bookmarkStart w:id="150" w:name="_Toc233788335"/>
      <w:r w:rsidRPr="002C0905">
        <w:t>Unlocking Industrial</w:t>
      </w:r>
      <w:r w:rsidR="00FF3288" w:rsidRPr="002C0905">
        <w:t xml:space="preserve"> Demand</w:t>
      </w:r>
      <w:r w:rsidRPr="002C0905">
        <w:t>-Side Management: A Customer-Centric Study</w:t>
      </w:r>
      <w:bookmarkEnd w:id="146"/>
      <w:bookmarkEnd w:id="147"/>
      <w:bookmarkEnd w:id="148"/>
      <w:bookmarkEnd w:id="149"/>
      <w:bookmarkEnd w:id="150"/>
    </w:p>
    <w:p w14:paraId="18E4C0BD" w14:textId="67FE047B" w:rsidR="00252E0D" w:rsidRDefault="00070277" w:rsidP="00070277">
      <w:r w:rsidRPr="00070277">
        <w:t xml:space="preserve">This study identified significant industrial demand-side capacity across the Hunter Valley cohort but also found that the barriers preventing its activation are deeply site-specific and cannot be resolved through broad-brush program design alone. Eighty-eight </w:t>
      </w:r>
      <w:r>
        <w:t>per cent</w:t>
      </w:r>
      <w:r w:rsidRPr="00070277">
        <w:t xml:space="preserve"> of participating companies had no submetering or equipment-level energy data, making credible DR commitments effectively impossible regardless of operational willingness. At the same time, the barrier and capability analysis demonstrated that DR suitability depends on the specific combination of operational flexibility, energy awareness, </w:t>
      </w:r>
      <w:r w:rsidRPr="00252E0D">
        <w:t xml:space="preserve">available data, and technical constraints present at each individual site; a finding consistent with Lashmar et al., who identify the absence of a structured implementation pathway from awareness to activation as a critical gap in Australian commercial and industrial DR engagement </w:t>
      </w:r>
      <w:sdt>
        <w:sdtPr>
          <w:id w:val="617495502"/>
          <w:citation/>
        </w:sdtPr>
        <w:sdtEndPr/>
        <w:sdtContent>
          <w:r w:rsidRPr="00252E0D">
            <w:fldChar w:fldCharType="begin"/>
          </w:r>
          <w:r w:rsidRPr="00252E0D">
            <w:instrText xml:space="preserve"> CITATION Las23 \l 3081 </w:instrText>
          </w:r>
          <w:r w:rsidRPr="00252E0D">
            <w:fldChar w:fldCharType="separate"/>
          </w:r>
          <w:r w:rsidR="00036C9A">
            <w:rPr>
              <w:noProof/>
            </w:rPr>
            <w:t>(Lashmar, et al., 2023)</w:t>
          </w:r>
          <w:r w:rsidRPr="00252E0D">
            <w:fldChar w:fldCharType="end"/>
          </w:r>
        </w:sdtContent>
      </w:sdt>
      <w:r w:rsidRPr="00252E0D">
        <w:t xml:space="preserve">. </w:t>
      </w:r>
    </w:p>
    <w:p w14:paraId="67C622EA" w14:textId="77777777" w:rsidR="00252E0D" w:rsidRDefault="00070277" w:rsidP="00070277">
      <w:r w:rsidRPr="00252E0D">
        <w:t>These findings point to a clear need for a small number of deep, customer-specific engagements that move beyond characterisation into implementation: conducting Level 2 Energy Audits under AS 3598.2 to replace self-reported consumption data with independently verified load profiles; quantifying the technical and economic potential for demand flexibility at the site level; developing tailored education and capability-building frameworks to address the awareness and access barriers identified in this study; and producing replicable case studies and toolsets that can be applied across the broader industrial population.</w:t>
      </w:r>
    </w:p>
    <w:p w14:paraId="3A76BE1B" w14:textId="56006240" w:rsidR="00070277" w:rsidRPr="00070277" w:rsidRDefault="00070277" w:rsidP="00070277">
      <w:r w:rsidRPr="00252E0D">
        <w:t xml:space="preserve">Working in direct partnership with a retailer or distribution network service provider, this approach would bridge the gap between the theoretical </w:t>
      </w:r>
      <w:r w:rsidR="00252E0D" w:rsidRPr="00252E0D">
        <w:t xml:space="preserve">potential for demand flexibility </w:t>
      </w:r>
      <w:r w:rsidRPr="00252E0D">
        <w:t xml:space="preserve">identified in Stage 5 and the practical, deployable solutions that industrial customers, aggregators, and system operators require. The </w:t>
      </w:r>
      <w:r w:rsidRPr="00252E0D">
        <w:lastRenderedPageBreak/>
        <w:t>cohort and operational insights developed in this stage provide an immediate foundation for site selection and engagement, eliminating the lead time that a cold-</w:t>
      </w:r>
      <w:r w:rsidR="00252E0D" w:rsidRPr="00252E0D">
        <w:t xml:space="preserve">outreach </w:t>
      </w:r>
      <w:r w:rsidRPr="00252E0D">
        <w:t>recruitment process would require.</w:t>
      </w:r>
    </w:p>
    <w:p w14:paraId="57783ED6" w14:textId="7BA81AB3" w:rsidR="00070277" w:rsidRPr="002C0905" w:rsidRDefault="00070277" w:rsidP="00070277">
      <w:pPr>
        <w:pStyle w:val="Heading2"/>
      </w:pPr>
      <w:bookmarkStart w:id="151" w:name="_Toc233788336"/>
      <w:r w:rsidRPr="002C0905">
        <w:t>Foundation for an Industrial Demand Response Standard In the NEM</w:t>
      </w:r>
      <w:bookmarkEnd w:id="151"/>
    </w:p>
    <w:p w14:paraId="78C2EB4B" w14:textId="77777777" w:rsidR="00252E0D" w:rsidRDefault="00252E0D" w:rsidP="00252E0D">
      <w:r w:rsidRPr="00252E0D">
        <w:t xml:space="preserve">The most structurally significant finding of this study is that the barriers </w:t>
      </w:r>
      <w:r>
        <w:t>hindering</w:t>
      </w:r>
      <w:r w:rsidRPr="00252E0D">
        <w:t xml:space="preserve"> industrial DR participation are not primarily technical</w:t>
      </w:r>
      <w:r>
        <w:t>; rather,</w:t>
      </w:r>
      <w:r w:rsidRPr="00252E0D">
        <w:t xml:space="preserve"> they are compounded by the absence of a consistent, standardised framework that would make industrial load participation accessible, measurable, and reliable at scale.</w:t>
      </w:r>
    </w:p>
    <w:p w14:paraId="16871BED" w14:textId="2AB161D1" w:rsidR="00252E0D" w:rsidRDefault="00252E0D" w:rsidP="00252E0D">
      <w:r w:rsidRPr="00252E0D">
        <w:t>Every industrial DR integration in the NEM is currently a bespoke engineering and commercial undertaking, with no standardised telemetry requirements, no consistent measurement and verification methodology, no defined interoperability protocols, and no common baseline for assessing and attributing demand-side contributions as essential system services. This adds cost, extends timelines, and prevents system operators from treating industrial load as a dependable, dispatchable resource. AS 4755, Australia's only domestic demand response standard, is explicitly scoped to residential and small commercial appliances and provides no applicable framework for industrial equipment. The international literature identifies this standardisation gap as a root cause of low industrial DR uptake across multiple jurisdictions, and Lashmar et al. confirm that Australian commercial and industrial consumers lack a clear, structured activation pathway that connects interest in DR participation to actual program enrolment</w:t>
      </w:r>
      <w:r>
        <w:t xml:space="preserve"> </w:t>
      </w:r>
      <w:sdt>
        <w:sdtPr>
          <w:id w:val="-1219439342"/>
          <w:citation/>
        </w:sdtPr>
        <w:sdtEndPr/>
        <w:sdtContent>
          <w:r>
            <w:fldChar w:fldCharType="begin"/>
          </w:r>
          <w:r>
            <w:instrText xml:space="preserve"> CITATION Ran24 \l 3081  \m Sch24 \m Las23</w:instrText>
          </w:r>
          <w:r>
            <w:fldChar w:fldCharType="separate"/>
          </w:r>
          <w:r w:rsidR="00036C9A">
            <w:rPr>
              <w:noProof/>
            </w:rPr>
            <w:t>(Ranaboldo, et al., 2024; Scharnhorst, et al., 2024; Lashmar, et al., 2023)</w:t>
          </w:r>
          <w:r>
            <w:fldChar w:fldCharType="end"/>
          </w:r>
        </w:sdtContent>
      </w:sdt>
      <w:r w:rsidRPr="00252E0D">
        <w:t xml:space="preserve">. </w:t>
      </w:r>
    </w:p>
    <w:p w14:paraId="088F2048" w14:textId="3F5E0278" w:rsidR="00A72FF4" w:rsidRDefault="00252E0D" w:rsidP="00252E0D">
      <w:r w:rsidRPr="00252E0D">
        <w:t>Addressing this gap requires dedicated preparatory research</w:t>
      </w:r>
      <w:r w:rsidR="00A72FF4">
        <w:t xml:space="preserve">, </w:t>
      </w:r>
      <w:r w:rsidRPr="00252E0D">
        <w:t xml:space="preserve">not the drafting of the standard itself, which is the role of Standards Australia committees through broad consultation, but the rigorous technical and governance groundwork that makes formal standardisation achievable. This includes a gap analysis of existing international standards applicable to the Australian industrial context, a technical requirements specification covering interoperability, telemetry, control interfaces, and response time parameters; a measurement and verification and baseline methodology adapted to the operational realities of mid-sized industrial facilities; cybersecurity and data governance requirements for remote industrial access; and a structured stakeholder consultation process engaging industrial customers, OEMs, aggregators, distribution networks, AEMO, and </w:t>
      </w:r>
      <w:r w:rsidR="00A72FF4">
        <w:t xml:space="preserve">bodies of </w:t>
      </w:r>
      <w:r w:rsidRPr="00252E0D">
        <w:t>Standard</w:t>
      </w:r>
      <w:r w:rsidR="00A72FF4">
        <w:t>s</w:t>
      </w:r>
      <w:r w:rsidRPr="00252E0D">
        <w:t>.</w:t>
      </w:r>
    </w:p>
    <w:p w14:paraId="6E0DFD1A" w14:textId="2DA734FE" w:rsidR="00252E0D" w:rsidRPr="00252E0D" w:rsidRDefault="00252E0D" w:rsidP="00252E0D">
      <w:r w:rsidRPr="00252E0D">
        <w:t>The stakeholder relationships, barrier and capability data, and load characterisation outputs developed in this stage are direct inputs to this work, providing the empirical evidence base from which functional requirements can be derived and against which proposed standard provisions can be tested. The result would be a clear, evidence-grounded path toward a formal industrial demand response standard</w:t>
      </w:r>
      <w:r w:rsidR="00A72FF4">
        <w:t xml:space="preserve">, </w:t>
      </w:r>
      <w:r w:rsidRPr="00252E0D">
        <w:t>one that reduces the cost and complexity of participation, enables system operators to treat industrial flexibility as a reliable grid asset, and closes the regulatory gap that currently prevents the NEM from accessing the full potential of its industrial demand side</w:t>
      </w:r>
      <w:r w:rsidR="00A72FF4">
        <w:t>.</w:t>
      </w:r>
    </w:p>
    <w:p w14:paraId="6C6862ED" w14:textId="77777777" w:rsidR="00070277" w:rsidRPr="00070277" w:rsidRDefault="00070277" w:rsidP="00070277"/>
    <w:p w14:paraId="1374F506" w14:textId="77777777" w:rsidR="004D1E8A" w:rsidRDefault="004D1E8A">
      <w:pPr>
        <w:spacing w:after="0" w:line="240" w:lineRule="auto"/>
      </w:pPr>
      <w:r>
        <w:br w:type="page"/>
      </w:r>
    </w:p>
    <w:bookmarkStart w:id="152" w:name="_Toc233788337" w:displacedByCustomXml="next"/>
    <w:sdt>
      <w:sdtPr>
        <w:rPr>
          <w:rFonts w:eastAsiaTheme="minorHAnsi" w:cs="Times New Roman (Body CS)"/>
          <w:b w:val="0"/>
          <w:color w:val="auto"/>
          <w:sz w:val="19"/>
          <w:szCs w:val="24"/>
        </w:rPr>
        <w:id w:val="-1825493548"/>
        <w:docPartObj>
          <w:docPartGallery w:val="Bibliographies"/>
          <w:docPartUnique/>
        </w:docPartObj>
      </w:sdtPr>
      <w:sdtEndPr/>
      <w:sdtContent>
        <w:p w14:paraId="462826BF" w14:textId="7219247A" w:rsidR="00751CAB" w:rsidRDefault="00751CAB">
          <w:pPr>
            <w:pStyle w:val="Heading1"/>
          </w:pPr>
          <w:r>
            <w:t>References</w:t>
          </w:r>
          <w:bookmarkEnd w:id="152"/>
        </w:p>
        <w:sdt>
          <w:sdtPr>
            <w:id w:val="-573587230"/>
            <w:bibliography/>
          </w:sdtPr>
          <w:sdtEndPr/>
          <w:sdtContent>
            <w:p w14:paraId="75DB8636" w14:textId="77777777" w:rsidR="00036C9A" w:rsidRDefault="00751CAB" w:rsidP="00036C9A">
              <w:pPr>
                <w:pStyle w:val="Bibliography"/>
                <w:ind w:left="720" w:hanging="720"/>
                <w:rPr>
                  <w:noProof/>
                  <w:sz w:val="24"/>
                </w:rPr>
              </w:pPr>
              <w:r>
                <w:fldChar w:fldCharType="begin"/>
              </w:r>
              <w:r>
                <w:instrText xml:space="preserve"> BIBLIOGRAPHY </w:instrText>
              </w:r>
              <w:r>
                <w:fldChar w:fldCharType="separate"/>
              </w:r>
              <w:r w:rsidR="00036C9A">
                <w:rPr>
                  <w:noProof/>
                </w:rPr>
                <w:t xml:space="preserve">ABS. (2006). </w:t>
              </w:r>
              <w:r w:rsidR="00036C9A">
                <w:rPr>
                  <w:i/>
                  <w:iCs/>
                  <w:noProof/>
                </w:rPr>
                <w:t>Division and subdivision codes and titles</w:t>
              </w:r>
              <w:r w:rsidR="00036C9A">
                <w:rPr>
                  <w:noProof/>
                </w:rPr>
                <w:t>. Retrieved from Australian Bureau of Statistics: https://www.abs.gov.au/statistics/classifications/australian-and-new-zealand-standard-industrial-classification-anzsic/2006-revision-2-0/numbering-system-and-titles/division-and-subdivision-codes-and-titles</w:t>
              </w:r>
            </w:p>
            <w:p w14:paraId="01B8AD9F" w14:textId="77777777" w:rsidR="00036C9A" w:rsidRDefault="00036C9A" w:rsidP="00036C9A">
              <w:pPr>
                <w:pStyle w:val="Bibliography"/>
                <w:ind w:left="720" w:hanging="720"/>
                <w:rPr>
                  <w:noProof/>
                </w:rPr>
              </w:pPr>
              <w:r>
                <w:rPr>
                  <w:noProof/>
                </w:rPr>
                <w:t xml:space="preserve">AECOM. (2014). </w:t>
              </w:r>
              <w:r>
                <w:rPr>
                  <w:i/>
                  <w:iCs/>
                  <w:noProof/>
                </w:rPr>
                <w:t>Australia's Off-Grid Clean Energy Market.</w:t>
              </w:r>
              <w:r>
                <w:rPr>
                  <w:noProof/>
                </w:rPr>
                <w:t xml:space="preserve"> ARENA. Retrieved from https://arena.gov.au/assets/2014/12/ARENA_RAR-report-20141201.pdf</w:t>
              </w:r>
            </w:p>
            <w:p w14:paraId="24E964BC" w14:textId="77777777" w:rsidR="00036C9A" w:rsidRDefault="00036C9A" w:rsidP="00036C9A">
              <w:pPr>
                <w:pStyle w:val="Bibliography"/>
                <w:ind w:left="720" w:hanging="720"/>
                <w:rPr>
                  <w:noProof/>
                </w:rPr>
              </w:pPr>
              <w:r>
                <w:rPr>
                  <w:noProof/>
                </w:rPr>
                <w:t xml:space="preserve">AEMO. (2020). </w:t>
              </w:r>
              <w:r>
                <w:rPr>
                  <w:i/>
                  <w:iCs/>
                  <w:noProof/>
                </w:rPr>
                <w:t>AS 4755 - Demand Response Standard</w:t>
              </w:r>
              <w:r>
                <w:rPr>
                  <w:noProof/>
                </w:rPr>
                <w:t>. Retrieved 2025, from Australia Energy Market Operator | Standards and Connections: https://www.aemo.com.au/initiatives/major-programs/nem-distributed-energy-resources-der-program/standards-and-connections/as-4755-demand-response-standard</w:t>
              </w:r>
            </w:p>
            <w:p w14:paraId="28CA4E14" w14:textId="77777777" w:rsidR="00036C9A" w:rsidRDefault="00036C9A" w:rsidP="00036C9A">
              <w:pPr>
                <w:pStyle w:val="Bibliography"/>
                <w:ind w:left="720" w:hanging="720"/>
                <w:rPr>
                  <w:noProof/>
                </w:rPr>
              </w:pPr>
              <w:r>
                <w:rPr>
                  <w:noProof/>
                </w:rPr>
                <w:t xml:space="preserve">AEMO. (2024). </w:t>
              </w:r>
              <w:r>
                <w:rPr>
                  <w:i/>
                  <w:iCs/>
                  <w:noProof/>
                </w:rPr>
                <w:t>2024 Integrated System Plan (ISP).</w:t>
              </w:r>
              <w:r>
                <w:rPr>
                  <w:noProof/>
                </w:rPr>
                <w:t xml:space="preserve"> Retrieved 2025, from https://www.aemo.com.au/-/media/files/major-publications/isp/2024/2024-integrated-system-plan-isp.pdf?rev=b811f5d66df24e0a980ce0df8eaa5687&amp;sc_lang=en</w:t>
              </w:r>
            </w:p>
            <w:p w14:paraId="74220E35" w14:textId="77777777" w:rsidR="00036C9A" w:rsidRDefault="00036C9A" w:rsidP="00036C9A">
              <w:pPr>
                <w:pStyle w:val="Bibliography"/>
                <w:ind w:left="720" w:hanging="720"/>
                <w:rPr>
                  <w:noProof/>
                </w:rPr>
              </w:pPr>
              <w:r>
                <w:rPr>
                  <w:noProof/>
                </w:rPr>
                <w:t xml:space="preserve">AEMO. (2024). </w:t>
              </w:r>
              <w:r>
                <w:rPr>
                  <w:i/>
                  <w:iCs/>
                  <w:noProof/>
                </w:rPr>
                <w:t>Supporting secure operation with high levels of distributed resources.</w:t>
              </w:r>
              <w:r>
                <w:rPr>
                  <w:noProof/>
                </w:rPr>
                <w:t xml:space="preserve"> Retrieved 2025, from https://www.aemo.com.au/-/media/files/initiatives/der/managing-minimum-system-load/supporting-secure-operation-with-high-levels-of-distributed-resources-q4-2024.pdf?la=en#:~:text=The%20last%20decade%20has%20seen,now%20and%20into%20the%20future.</w:t>
              </w:r>
            </w:p>
            <w:p w14:paraId="59880941" w14:textId="77777777" w:rsidR="00036C9A" w:rsidRDefault="00036C9A" w:rsidP="00036C9A">
              <w:pPr>
                <w:pStyle w:val="Bibliography"/>
                <w:ind w:left="720" w:hanging="720"/>
                <w:rPr>
                  <w:noProof/>
                </w:rPr>
              </w:pPr>
              <w:r>
                <w:rPr>
                  <w:noProof/>
                </w:rPr>
                <w:t xml:space="preserve">AEMO. (2025). </w:t>
              </w:r>
              <w:r>
                <w:rPr>
                  <w:i/>
                  <w:iCs/>
                  <w:noProof/>
                </w:rPr>
                <w:t>Distributed Energy Resources Program</w:t>
              </w:r>
              <w:r>
                <w:rPr>
                  <w:noProof/>
                </w:rPr>
                <w:t>. Retrieved 2025, from AEMO | Major programs: https://www.aemo.com.au/initiatives/major-programs/nem-distributed-energy-resources-der-program/about-the-der-program</w:t>
              </w:r>
            </w:p>
            <w:p w14:paraId="52D7E225" w14:textId="77777777" w:rsidR="00036C9A" w:rsidRDefault="00036C9A" w:rsidP="00036C9A">
              <w:pPr>
                <w:pStyle w:val="Bibliography"/>
                <w:ind w:left="720" w:hanging="720"/>
                <w:rPr>
                  <w:noProof/>
                </w:rPr>
              </w:pPr>
              <w:r>
                <w:rPr>
                  <w:noProof/>
                </w:rPr>
                <w:t>AEMO. (2026). Integrated System Plan 2026. Retrieved from https://www.aemo.com.au/-/media/files/major-publications/isp/2026/2026-integrated-system-plan-isp.pdf?rev=f2f142d0a8d740a986f186da17bb8a9d&amp;sc_lang=en</w:t>
              </w:r>
            </w:p>
            <w:p w14:paraId="3F0B95FC" w14:textId="77777777" w:rsidR="00036C9A" w:rsidRDefault="00036C9A" w:rsidP="00036C9A">
              <w:pPr>
                <w:pStyle w:val="Bibliography"/>
                <w:ind w:left="720" w:hanging="720"/>
                <w:rPr>
                  <w:noProof/>
                </w:rPr>
              </w:pPr>
              <w:r>
                <w:rPr>
                  <w:noProof/>
                </w:rPr>
                <w:t xml:space="preserve">ARENA. (2025, December 08). </w:t>
              </w:r>
              <w:r>
                <w:rPr>
                  <w:i/>
                  <w:iCs/>
                  <w:noProof/>
                </w:rPr>
                <w:t>Demand Response</w:t>
              </w:r>
              <w:r>
                <w:rPr>
                  <w:noProof/>
                </w:rPr>
                <w:t>. Retrieved 2025, from Australia Renewable Energy Agency (ARENA): https://arena.gov.au/renewable-energy/demand-response/</w:t>
              </w:r>
            </w:p>
            <w:p w14:paraId="3A85B7A5" w14:textId="77777777" w:rsidR="00036C9A" w:rsidRDefault="00036C9A" w:rsidP="00036C9A">
              <w:pPr>
                <w:pStyle w:val="Bibliography"/>
                <w:ind w:left="720" w:hanging="720"/>
                <w:rPr>
                  <w:noProof/>
                </w:rPr>
              </w:pPr>
              <w:r>
                <w:rPr>
                  <w:noProof/>
                </w:rPr>
                <w:t xml:space="preserve">ARENA. (2025, December 12). </w:t>
              </w:r>
              <w:r>
                <w:rPr>
                  <w:i/>
                  <w:iCs/>
                  <w:noProof/>
                </w:rPr>
                <w:t>Distributed Energy Resources</w:t>
              </w:r>
              <w:r>
                <w:rPr>
                  <w:noProof/>
                </w:rPr>
                <w:t>. Retrieved 2025, from Australia Renewable Energy Agency (ARENA) - Home: https://arena.gov.au/renewable-energy/distributed-energy-resources/</w:t>
              </w:r>
            </w:p>
            <w:p w14:paraId="36E2F947" w14:textId="77777777" w:rsidR="00036C9A" w:rsidRDefault="00036C9A" w:rsidP="00036C9A">
              <w:pPr>
                <w:pStyle w:val="Bibliography"/>
                <w:ind w:left="720" w:hanging="720"/>
                <w:rPr>
                  <w:noProof/>
                </w:rPr>
              </w:pPr>
              <w:r>
                <w:rPr>
                  <w:noProof/>
                </w:rPr>
                <w:t xml:space="preserve">Bjork, C., &amp; Karlsson, B. (1985, August 31). Load Management of Industrial Systems. </w:t>
              </w:r>
              <w:r>
                <w:rPr>
                  <w:i/>
                  <w:iCs/>
                  <w:noProof/>
                </w:rPr>
                <w:t>IEEE Power Engineering Review, 5</w:t>
              </w:r>
              <w:r>
                <w:rPr>
                  <w:noProof/>
                </w:rPr>
                <w:t>(8), 35. doi:10.1109/MPER.1985.5526380</w:t>
              </w:r>
            </w:p>
            <w:p w14:paraId="3C81E572" w14:textId="77777777" w:rsidR="00036C9A" w:rsidRDefault="00036C9A" w:rsidP="00036C9A">
              <w:pPr>
                <w:pStyle w:val="Bibliography"/>
                <w:ind w:left="720" w:hanging="720"/>
                <w:rPr>
                  <w:noProof/>
                </w:rPr>
              </w:pPr>
              <w:r>
                <w:rPr>
                  <w:noProof/>
                </w:rPr>
                <w:t xml:space="preserve">Capiau, T., &amp; Van Daele, L. (2016). Application Note - Load Management of Industrial Systems. (B. D. Wachter, Ed.) </w:t>
              </w:r>
              <w:r>
                <w:rPr>
                  <w:i/>
                  <w:iCs/>
                  <w:noProof/>
                </w:rPr>
                <w:t>European Copper Institute</w:t>
              </w:r>
              <w:r>
                <w:rPr>
                  <w:noProof/>
                </w:rPr>
                <w:t>(01). Retrieved 11 2025, from https://www.slideshare.net/slideshow/load-management-in-industrial-systems/150655880#4</w:t>
              </w:r>
            </w:p>
            <w:p w14:paraId="5E4C1949" w14:textId="77777777" w:rsidR="00036C9A" w:rsidRDefault="00036C9A" w:rsidP="00036C9A">
              <w:pPr>
                <w:pStyle w:val="Bibliography"/>
                <w:ind w:left="720" w:hanging="720"/>
                <w:rPr>
                  <w:noProof/>
                </w:rPr>
              </w:pPr>
              <w:r>
                <w:rPr>
                  <w:i/>
                  <w:iCs/>
                  <w:noProof/>
                </w:rPr>
                <w:t>Climateworks Centre</w:t>
              </w:r>
              <w:r>
                <w:rPr>
                  <w:noProof/>
                </w:rPr>
                <w:t>. (2022, 06 20). Retrieved from Setting up industrial regions for net zero’ report finds huge potential for decarbonisation: https://climateworkscentre.org/news/setting-up-industrial-regions-for-net-zero-report-finds-huge-potential-for-decarbonisation/</w:t>
              </w:r>
            </w:p>
            <w:p w14:paraId="2872DB50" w14:textId="77777777" w:rsidR="00036C9A" w:rsidRDefault="00036C9A" w:rsidP="00036C9A">
              <w:pPr>
                <w:pStyle w:val="Bibliography"/>
                <w:ind w:left="720" w:hanging="720"/>
                <w:rPr>
                  <w:noProof/>
                </w:rPr>
              </w:pPr>
              <w:r>
                <w:rPr>
                  <w:i/>
                  <w:iCs/>
                  <w:noProof/>
                </w:rPr>
                <w:t>Consumer Energy Resources sub-Working Group</w:t>
              </w:r>
              <w:r>
                <w:rPr>
                  <w:noProof/>
                </w:rPr>
                <w:t>. (2025). Retrieved from Energy.gov.au: https://www.energy.gov.au/energy-and-climate-change-ministerial-council/working-groups/electricity-working-group/consumer-energy-resources-sub-working-group#:~:text=Consumer%20energy%20resources%20(CER)%20are,batteries</w:t>
              </w:r>
            </w:p>
            <w:p w14:paraId="59546513" w14:textId="77777777" w:rsidR="00036C9A" w:rsidRDefault="00036C9A" w:rsidP="00036C9A">
              <w:pPr>
                <w:pStyle w:val="Bibliography"/>
                <w:ind w:left="720" w:hanging="720"/>
                <w:rPr>
                  <w:noProof/>
                </w:rPr>
              </w:pPr>
              <w:r>
                <w:rPr>
                  <w:noProof/>
                </w:rPr>
                <w:t xml:space="preserve">CSIRO and Energy Network Australia. (2017). </w:t>
              </w:r>
              <w:r>
                <w:rPr>
                  <w:i/>
                  <w:iCs/>
                  <w:noProof/>
                </w:rPr>
                <w:t>ELECTRICITY NETWORK TRANSFORMATION ROADMAP: FINAL REPORT.</w:t>
              </w:r>
              <w:r>
                <w:rPr>
                  <w:noProof/>
                </w:rPr>
                <w:t xml:space="preserve"> Retrieved from https://www.energynetworks.com.au/resources/reports/electricity-network-transformation-roadmap-final-report/</w:t>
              </w:r>
            </w:p>
            <w:p w14:paraId="15B68204" w14:textId="77777777" w:rsidR="00036C9A" w:rsidRDefault="00036C9A" w:rsidP="00036C9A">
              <w:pPr>
                <w:pStyle w:val="Bibliography"/>
                <w:ind w:left="720" w:hanging="720"/>
                <w:rPr>
                  <w:noProof/>
                </w:rPr>
              </w:pPr>
              <w:r>
                <w:rPr>
                  <w:noProof/>
                </w:rPr>
                <w:t xml:space="preserve">DCCEEW. (2006). </w:t>
              </w:r>
              <w:r>
                <w:rPr>
                  <w:i/>
                  <w:iCs/>
                  <w:noProof/>
                </w:rPr>
                <w:t>ANZSIC code list</w:t>
              </w:r>
              <w:r>
                <w:rPr>
                  <w:noProof/>
                </w:rPr>
                <w:t>. Retrieved from Australian Government | Department of Climate Change, Energy, the Environment and Water: https://www.dcceew.gov.au/environment/protection/npi/reporting/industry-reporting-materials/anzsic-code-list</w:t>
              </w:r>
            </w:p>
            <w:p w14:paraId="15A68D73" w14:textId="77777777" w:rsidR="00036C9A" w:rsidRDefault="00036C9A" w:rsidP="00036C9A">
              <w:pPr>
                <w:pStyle w:val="Bibliography"/>
                <w:ind w:left="720" w:hanging="720"/>
                <w:rPr>
                  <w:noProof/>
                </w:rPr>
              </w:pPr>
              <w:r>
                <w:rPr>
                  <w:i/>
                  <w:iCs/>
                  <w:noProof/>
                </w:rPr>
                <w:lastRenderedPageBreak/>
                <w:t>Energy consumption - NSW State of the Environment Report</w:t>
              </w:r>
              <w:r>
                <w:rPr>
                  <w:noProof/>
                </w:rPr>
                <w:t>. (2025). Retrieved from EPA | NSW State of Environment: https://www.soe.epa.nsw.gov.au/all-themes/people-and-industry/energy-consumption</w:t>
              </w:r>
            </w:p>
            <w:p w14:paraId="318D3EE2" w14:textId="77777777" w:rsidR="00036C9A" w:rsidRDefault="00036C9A" w:rsidP="00036C9A">
              <w:pPr>
                <w:pStyle w:val="Bibliography"/>
                <w:ind w:left="720" w:hanging="720"/>
                <w:rPr>
                  <w:noProof/>
                </w:rPr>
              </w:pPr>
              <w:r>
                <w:rPr>
                  <w:noProof/>
                </w:rPr>
                <w:t xml:space="preserve">Gelazanskas, L., &amp; Gamage, K. A. (2014, February). Demand side management in smart grid: A review and proposals for future direction. </w:t>
              </w:r>
              <w:r>
                <w:rPr>
                  <w:i/>
                  <w:iCs/>
                  <w:noProof/>
                </w:rPr>
                <w:t>Sustainable Cities and Society, 11</w:t>
              </w:r>
              <w:r>
                <w:rPr>
                  <w:noProof/>
                </w:rPr>
                <w:t>, 22-30. doi:https://doi.org/10.1016/j.scs.2013.11.001</w:t>
              </w:r>
            </w:p>
            <w:p w14:paraId="12B2303B" w14:textId="77777777" w:rsidR="00036C9A" w:rsidRDefault="00036C9A" w:rsidP="00036C9A">
              <w:pPr>
                <w:pStyle w:val="Bibliography"/>
                <w:ind w:left="720" w:hanging="720"/>
                <w:rPr>
                  <w:noProof/>
                </w:rPr>
              </w:pPr>
              <w:r>
                <w:rPr>
                  <w:noProof/>
                </w:rPr>
                <w:t xml:space="preserve">Gellings, C. W. (2017, January). Evolving practice of demand-side management. </w:t>
              </w:r>
              <w:r>
                <w:rPr>
                  <w:i/>
                  <w:iCs/>
                  <w:noProof/>
                </w:rPr>
                <w:t>Journal of Modern Power Systems and Clean Energy, 5</w:t>
              </w:r>
              <w:r>
                <w:rPr>
                  <w:noProof/>
                </w:rPr>
                <w:t>(1), 1-9. doi:10.1007/s40565-016-0252-1</w:t>
              </w:r>
            </w:p>
            <w:p w14:paraId="58F10FE3" w14:textId="77777777" w:rsidR="00036C9A" w:rsidRDefault="00036C9A" w:rsidP="00036C9A">
              <w:pPr>
                <w:pStyle w:val="Bibliography"/>
                <w:ind w:left="720" w:hanging="720"/>
                <w:rPr>
                  <w:noProof/>
                </w:rPr>
              </w:pPr>
              <w:r>
                <w:rPr>
                  <w:noProof/>
                </w:rPr>
                <w:t xml:space="preserve">Golmohamadi, H. (2022, March). Demand-side management in industrial sector: A review of heavy industries. </w:t>
              </w:r>
              <w:r>
                <w:rPr>
                  <w:i/>
                  <w:iCs/>
                  <w:noProof/>
                </w:rPr>
                <w:t>Renewable and Sustainable Energy Review, 156</w:t>
              </w:r>
              <w:r>
                <w:rPr>
                  <w:noProof/>
                </w:rPr>
                <w:t>. doi:https://doi.org/10.1016/j.rser.2021.111963</w:t>
              </w:r>
            </w:p>
            <w:p w14:paraId="32FB6A1B" w14:textId="77777777" w:rsidR="00036C9A" w:rsidRDefault="00036C9A" w:rsidP="00036C9A">
              <w:pPr>
                <w:pStyle w:val="Bibliography"/>
                <w:ind w:left="720" w:hanging="720"/>
                <w:rPr>
                  <w:noProof/>
                </w:rPr>
              </w:pPr>
              <w:r>
                <w:rPr>
                  <w:noProof/>
                </w:rPr>
                <w:t xml:space="preserve">Hargroves, K., James, B., Lane, J., Newman, P., ., ., &amp; . (2023, May 21). The Role of Distributed Energy Resources and Associated Business Models in the Decentralised Energy Transition: A Review. </w:t>
              </w:r>
              <w:r>
                <w:rPr>
                  <w:i/>
                  <w:iCs/>
                  <w:noProof/>
                </w:rPr>
                <w:t>Energies 2023, 16</w:t>
              </w:r>
              <w:r>
                <w:rPr>
                  <w:noProof/>
                </w:rPr>
                <w:t>(11). doi:https://doi.org/10.3390/en16104231</w:t>
              </w:r>
            </w:p>
            <w:p w14:paraId="72226433" w14:textId="77777777" w:rsidR="00036C9A" w:rsidRDefault="00036C9A" w:rsidP="00036C9A">
              <w:pPr>
                <w:pStyle w:val="Bibliography"/>
                <w:ind w:left="720" w:hanging="720"/>
                <w:rPr>
                  <w:noProof/>
                </w:rPr>
              </w:pPr>
              <w:r>
                <w:rPr>
                  <w:noProof/>
                </w:rPr>
                <w:t xml:space="preserve">IEA. (2022). </w:t>
              </w:r>
              <w:r>
                <w:rPr>
                  <w:i/>
                  <w:iCs/>
                  <w:noProof/>
                </w:rPr>
                <w:t>Unlocking the Potential of Distributed Energy Resources.</w:t>
              </w:r>
              <w:r>
                <w:rPr>
                  <w:noProof/>
                </w:rPr>
                <w:t xml:space="preserve"> Retrieved 2025, from https://www.iea.org/reports/unlocking-the-potential-of-distributed-energy-resources</w:t>
              </w:r>
            </w:p>
            <w:p w14:paraId="2C6AE2ED" w14:textId="77777777" w:rsidR="00036C9A" w:rsidRDefault="00036C9A" w:rsidP="00036C9A">
              <w:pPr>
                <w:pStyle w:val="Bibliography"/>
                <w:ind w:left="720" w:hanging="720"/>
                <w:rPr>
                  <w:noProof/>
                </w:rPr>
              </w:pPr>
              <w:r>
                <w:rPr>
                  <w:noProof/>
                </w:rPr>
                <w:t xml:space="preserve">Kamana-Williams, B., &amp; Bishop, D. (2024, October 24). Flexible futures: The potential for electrical energy demand response in New Zealand. </w:t>
              </w:r>
              <w:r>
                <w:rPr>
                  <w:i/>
                  <w:iCs/>
                  <w:noProof/>
                </w:rPr>
                <w:t>Energy Policy, 195</w:t>
              </w:r>
              <w:r>
                <w:rPr>
                  <w:noProof/>
                </w:rPr>
                <w:t>. doi:https://doi.org/10.1016/j.enpol.2024.114387</w:t>
              </w:r>
            </w:p>
            <w:p w14:paraId="1B90753E" w14:textId="77777777" w:rsidR="00036C9A" w:rsidRDefault="00036C9A" w:rsidP="00036C9A">
              <w:pPr>
                <w:pStyle w:val="Bibliography"/>
                <w:ind w:left="720" w:hanging="720"/>
                <w:rPr>
                  <w:noProof/>
                </w:rPr>
              </w:pPr>
              <w:r>
                <w:rPr>
                  <w:noProof/>
                </w:rPr>
                <w:t xml:space="preserve">Lashmar, N., Wade, B., Molyneaux, L., Ashworth, P., ., ., &amp; . (2023, July 24). Activating electricity system demand response for commercial and industrial organisation. </w:t>
              </w:r>
              <w:r>
                <w:rPr>
                  <w:i/>
                  <w:iCs/>
                  <w:noProof/>
                </w:rPr>
                <w:t>Australasian Journal of Environmenal Management, 30</w:t>
              </w:r>
              <w:r>
                <w:rPr>
                  <w:noProof/>
                </w:rPr>
                <w:t>. doi: https://doi.org/10.1080/14486563.2023.2242317</w:t>
              </w:r>
            </w:p>
            <w:p w14:paraId="0FEE8885" w14:textId="77777777" w:rsidR="00036C9A" w:rsidRDefault="00036C9A" w:rsidP="00036C9A">
              <w:pPr>
                <w:pStyle w:val="Bibliography"/>
                <w:ind w:left="720" w:hanging="720"/>
                <w:rPr>
                  <w:noProof/>
                </w:rPr>
              </w:pPr>
              <w:r>
                <w:rPr>
                  <w:noProof/>
                </w:rPr>
                <w:t xml:space="preserve">Nami, A. (2024, June 2). </w:t>
              </w:r>
              <w:r>
                <w:rPr>
                  <w:i/>
                  <w:iCs/>
                  <w:noProof/>
                </w:rPr>
                <w:t>Grid Integration Challenges for Renewable Energy in Australia</w:t>
              </w:r>
              <w:r>
                <w:rPr>
                  <w:noProof/>
                </w:rPr>
                <w:t>. Retrieved from TBH Consultancy: https://tbhconsultancy.com/grid-integration-challenges/#:~:text=AEMO%20is%20responsible%20for%20ensuring,baseload%20generation%20of%20fossil%20fuels.</w:t>
              </w:r>
            </w:p>
            <w:p w14:paraId="4CF8043F" w14:textId="77777777" w:rsidR="00036C9A" w:rsidRDefault="00036C9A" w:rsidP="00036C9A">
              <w:pPr>
                <w:pStyle w:val="Bibliography"/>
                <w:ind w:left="720" w:hanging="720"/>
                <w:rPr>
                  <w:noProof/>
                </w:rPr>
              </w:pPr>
              <w:r>
                <w:rPr>
                  <w:noProof/>
                </w:rPr>
                <w:t xml:space="preserve">Palensky, P., &amp; Dietrich, D. (2011, August). Demand Side Management: Demand Response, Intelligent Energy Systems, and Smart Loads. </w:t>
              </w:r>
              <w:r>
                <w:rPr>
                  <w:i/>
                  <w:iCs/>
                  <w:noProof/>
                </w:rPr>
                <w:t>IEEE Transactions on Industrial Informatics, 7</w:t>
              </w:r>
              <w:r>
                <w:rPr>
                  <w:noProof/>
                </w:rPr>
                <w:t>(3). doi:10.1109/TII.2011.2158841</w:t>
              </w:r>
            </w:p>
            <w:p w14:paraId="61C7CBFC" w14:textId="77777777" w:rsidR="00036C9A" w:rsidRDefault="00036C9A" w:rsidP="00036C9A">
              <w:pPr>
                <w:pStyle w:val="Bibliography"/>
                <w:ind w:left="720" w:hanging="720"/>
                <w:rPr>
                  <w:noProof/>
                </w:rPr>
              </w:pPr>
              <w:r>
                <w:rPr>
                  <w:noProof/>
                </w:rPr>
                <w:t xml:space="preserve">Pearson, G. (2021, June 21). </w:t>
              </w:r>
              <w:r>
                <w:rPr>
                  <w:i/>
                  <w:iCs/>
                  <w:noProof/>
                </w:rPr>
                <w:t>Is minimum demand causing a major headache?</w:t>
              </w:r>
              <w:r>
                <w:rPr>
                  <w:noProof/>
                </w:rPr>
                <w:t xml:space="preserve"> Retrieved from Australia Energy Council: https://www.energycouncil.com.au/analysis/is-minimum-demand-causing-a-major-headache/</w:t>
              </w:r>
            </w:p>
            <w:p w14:paraId="48E9805A" w14:textId="77777777" w:rsidR="00036C9A" w:rsidRDefault="00036C9A" w:rsidP="00036C9A">
              <w:pPr>
                <w:pStyle w:val="Bibliography"/>
                <w:ind w:left="720" w:hanging="720"/>
                <w:rPr>
                  <w:noProof/>
                </w:rPr>
              </w:pPr>
              <w:r>
                <w:rPr>
                  <w:noProof/>
                </w:rPr>
                <w:t xml:space="preserve">Race for 2030. (2023). </w:t>
              </w:r>
              <w:r>
                <w:rPr>
                  <w:i/>
                  <w:iCs/>
                  <w:noProof/>
                </w:rPr>
                <w:t>Local Distributed Energy.</w:t>
              </w:r>
              <w:r>
                <w:rPr>
                  <w:noProof/>
                </w:rPr>
                <w:t xml:space="preserve"> Retrieved 2025, from https://www.racefor2030.com.au/content/uploads/N3OA-Final-Report_-1-1.pdf</w:t>
              </w:r>
            </w:p>
            <w:p w14:paraId="40EDD58F" w14:textId="77777777" w:rsidR="00036C9A" w:rsidRDefault="00036C9A" w:rsidP="00036C9A">
              <w:pPr>
                <w:pStyle w:val="Bibliography"/>
                <w:ind w:left="720" w:hanging="720"/>
                <w:rPr>
                  <w:noProof/>
                </w:rPr>
              </w:pPr>
              <w:r>
                <w:rPr>
                  <w:noProof/>
                </w:rPr>
                <w:t xml:space="preserve">Ranaboldo, M., Aragues-Penalba, M., Arica, E., Bade, A., Bullich-Massague, E., Burgio, A., . . . Tani, R. (2024, October). A comprehensive overview of industrial demand response status in Europe. </w:t>
              </w:r>
              <w:r>
                <w:rPr>
                  <w:i/>
                  <w:iCs/>
                  <w:noProof/>
                </w:rPr>
                <w:t>Renewable and Sustainable Energy Reviews, 203</w:t>
              </w:r>
              <w:r>
                <w:rPr>
                  <w:noProof/>
                </w:rPr>
                <w:t>. doi:https://doi.org/10.1016/j.rser.2024.114797</w:t>
              </w:r>
            </w:p>
            <w:p w14:paraId="7F26B91E" w14:textId="77777777" w:rsidR="00036C9A" w:rsidRDefault="00036C9A" w:rsidP="00036C9A">
              <w:pPr>
                <w:pStyle w:val="Bibliography"/>
                <w:ind w:left="720" w:hanging="720"/>
                <w:rPr>
                  <w:noProof/>
                </w:rPr>
              </w:pPr>
              <w:r>
                <w:rPr>
                  <w:noProof/>
                </w:rPr>
                <w:t xml:space="preserve">RMIT University. (2021). </w:t>
              </w:r>
              <w:r>
                <w:rPr>
                  <w:i/>
                  <w:iCs/>
                  <w:noProof/>
                </w:rPr>
                <w:t>CSIRO Australian Research for the GPST; Task 6 – Services - Quantifying the technical service requirements of future power systems to maintain the supply-demand balance reliably and at least cost - Final Report.</w:t>
              </w:r>
              <w:r>
                <w:rPr>
                  <w:noProof/>
                </w:rPr>
                <w:t xml:space="preserve"> Retrieved from https://www.csiro.au/-/media/EF/Files/GPST-Roadmap/Topic-6-Services-Final-Report-with-alt-text.pdf</w:t>
              </w:r>
            </w:p>
            <w:p w14:paraId="0B98C2DD" w14:textId="77777777" w:rsidR="00036C9A" w:rsidRDefault="00036C9A" w:rsidP="00036C9A">
              <w:pPr>
                <w:pStyle w:val="Bibliography"/>
                <w:ind w:left="720" w:hanging="720"/>
                <w:rPr>
                  <w:noProof/>
                </w:rPr>
              </w:pPr>
              <w:r>
                <w:rPr>
                  <w:noProof/>
                </w:rPr>
                <w:t xml:space="preserve">Scharnhorst, L., Sloot, D., Lehmann, N., Ardone, A., Fichtner, W., ., &amp; . (2024, February). Barriers to demand response in the commercial and industrial sectors – An empirical investigation. </w:t>
              </w:r>
              <w:r>
                <w:rPr>
                  <w:i/>
                  <w:iCs/>
                  <w:noProof/>
                </w:rPr>
                <w:t>Renewable and Sustainable Energy Reviews, 190</w:t>
              </w:r>
              <w:r>
                <w:rPr>
                  <w:noProof/>
                </w:rPr>
                <w:t>. doi:https://doi.org/10.1016/j.rser.2023.114067</w:t>
              </w:r>
            </w:p>
            <w:p w14:paraId="7E7861A3" w14:textId="77777777" w:rsidR="00036C9A" w:rsidRDefault="00036C9A" w:rsidP="00036C9A">
              <w:pPr>
                <w:pStyle w:val="Bibliography"/>
                <w:ind w:left="720" w:hanging="720"/>
                <w:rPr>
                  <w:noProof/>
                </w:rPr>
              </w:pPr>
              <w:r>
                <w:rPr>
                  <w:noProof/>
                </w:rPr>
                <w:t xml:space="preserve">Shoreh, M. H., Siano, P., Shafie-khan, M., Loia, V., Catalão, J. P., ., &amp; . (2016, December). A survey of industrial applications of Demand Response. </w:t>
              </w:r>
              <w:r>
                <w:rPr>
                  <w:i/>
                  <w:iCs/>
                  <w:noProof/>
                </w:rPr>
                <w:t>Electric Power Systems Research, 141</w:t>
              </w:r>
              <w:r>
                <w:rPr>
                  <w:noProof/>
                </w:rPr>
                <w:t>, 31-49. doi:https://doi.org/10.1016/j.epsr.2016.07.008</w:t>
              </w:r>
            </w:p>
            <w:p w14:paraId="6B46A3BF" w14:textId="77777777" w:rsidR="00036C9A" w:rsidRDefault="00036C9A" w:rsidP="00036C9A">
              <w:pPr>
                <w:pStyle w:val="Bibliography"/>
                <w:ind w:left="720" w:hanging="720"/>
                <w:rPr>
                  <w:noProof/>
                </w:rPr>
              </w:pPr>
              <w:r>
                <w:rPr>
                  <w:noProof/>
                </w:rPr>
                <w:t xml:space="preserve">Williams, B., Bishop, D., Gallardo, P., Chase, J. G., ., ., &amp; . (2023, July 4). Demand Side Management in Industrial, Commercial, and Residential Sectors: A Review of Constraints and Considerations. </w:t>
              </w:r>
              <w:r>
                <w:rPr>
                  <w:i/>
                  <w:iCs/>
                  <w:noProof/>
                </w:rPr>
                <w:t>Energies - A1: Smart Grids and Microgrids, 16</w:t>
              </w:r>
              <w:r>
                <w:rPr>
                  <w:noProof/>
                </w:rPr>
                <w:t>(13). doi:https://doi.org/10.3390/en16135155</w:t>
              </w:r>
            </w:p>
            <w:p w14:paraId="1004C835" w14:textId="77777777" w:rsidR="00036C9A" w:rsidRDefault="00036C9A" w:rsidP="00036C9A">
              <w:pPr>
                <w:pStyle w:val="Bibliography"/>
                <w:ind w:left="720" w:hanging="720"/>
                <w:rPr>
                  <w:noProof/>
                </w:rPr>
              </w:pPr>
              <w:r>
                <w:rPr>
                  <w:noProof/>
                </w:rPr>
                <w:lastRenderedPageBreak/>
                <w:t xml:space="preserve">Yang, Y., Xia, S., Huang, P., Qian, J., ., ., &amp; . (2024, January 23). Energy Transition: Connotation, Mechanicsand Effects. </w:t>
              </w:r>
              <w:r>
                <w:rPr>
                  <w:i/>
                  <w:iCs/>
                  <w:noProof/>
                </w:rPr>
                <w:t>Energy Strategy Reviews, 52</w:t>
              </w:r>
              <w:r>
                <w:rPr>
                  <w:noProof/>
                </w:rPr>
                <w:t>. doi:10.1016/j.esr.2024.101320</w:t>
              </w:r>
            </w:p>
            <w:p w14:paraId="2281496F" w14:textId="77777777" w:rsidR="00036C9A" w:rsidRDefault="00036C9A" w:rsidP="00036C9A">
              <w:pPr>
                <w:pStyle w:val="Bibliography"/>
                <w:ind w:left="720" w:hanging="720"/>
                <w:rPr>
                  <w:noProof/>
                </w:rPr>
              </w:pPr>
              <w:r>
                <w:rPr>
                  <w:noProof/>
                </w:rPr>
                <w:t xml:space="preserve">Zhang, J., Zhou, B., Yang, Z., Guo, Y., Lv, C., Xu, X., &amp; Liu, J. (2025, May 27). A Review of Industrial Load Flexibility Enhancement for Demand-Response Interaction. </w:t>
              </w:r>
              <w:r>
                <w:rPr>
                  <w:i/>
                  <w:iCs/>
                  <w:noProof/>
                </w:rPr>
                <w:t>Sustainability 2025, 17</w:t>
              </w:r>
              <w:r>
                <w:rPr>
                  <w:noProof/>
                </w:rPr>
                <w:t>(11). doi:https://doi.org/10.3390/su17114938</w:t>
              </w:r>
            </w:p>
            <w:p w14:paraId="00603DA6" w14:textId="6ECD32BE" w:rsidR="001053D7" w:rsidRDefault="00751CAB" w:rsidP="00036C9A">
              <w:r>
                <w:rPr>
                  <w:b/>
                  <w:bCs/>
                  <w:noProof/>
                </w:rPr>
                <w:fldChar w:fldCharType="end"/>
              </w:r>
            </w:p>
          </w:sdtContent>
        </w:sdt>
      </w:sdtContent>
    </w:sdt>
    <w:p w14:paraId="638031AE" w14:textId="13C78623" w:rsidR="00E75F50" w:rsidRDefault="00E75F50">
      <w:pPr>
        <w:spacing w:after="0" w:line="240" w:lineRule="auto"/>
      </w:pPr>
      <w:r>
        <w:br w:type="page"/>
      </w:r>
    </w:p>
    <w:p w14:paraId="65EBC575" w14:textId="77777777" w:rsidR="00337491" w:rsidRPr="00477B5A" w:rsidRDefault="00337491" w:rsidP="00BF61EF">
      <w:pPr>
        <w:pStyle w:val="AppendixHeading"/>
      </w:pPr>
      <w:bookmarkStart w:id="153" w:name="_Toc78826605"/>
      <w:bookmarkStart w:id="154" w:name="_Ref230876764"/>
      <w:bookmarkEnd w:id="153"/>
    </w:p>
    <w:p w14:paraId="21031714" w14:textId="46E77901" w:rsidR="006D0262" w:rsidRPr="00477B5A" w:rsidRDefault="00C33006" w:rsidP="00BF61EF">
      <w:pPr>
        <w:pStyle w:val="AppendixHeading2"/>
      </w:pPr>
      <w:bookmarkStart w:id="155" w:name="_Toc233787135"/>
      <w:bookmarkEnd w:id="154"/>
      <w:r>
        <w:t>Source Data</w:t>
      </w:r>
      <w:r w:rsidR="00386D6F">
        <w:t xml:space="preserve"> – Interview Questionnaire</w:t>
      </w:r>
      <w:bookmarkEnd w:id="155"/>
    </w:p>
    <w:p w14:paraId="26B9082A" w14:textId="77777777" w:rsidR="00301AC6" w:rsidRDefault="00301AC6" w:rsidP="00301AC6"/>
    <w:p w14:paraId="7A81021A" w14:textId="50B76561" w:rsidR="00EB5C73" w:rsidRPr="00FD64FE" w:rsidRDefault="00EB5C73" w:rsidP="00EB5C73">
      <w:pPr>
        <w:keepNext/>
        <w:rPr>
          <w:rFonts w:ascii="Gilroy Bold" w:hAnsi="Gilroy Bold"/>
          <w:b/>
          <w:bCs/>
          <w:sz w:val="24"/>
        </w:rPr>
      </w:pPr>
      <w:r w:rsidRPr="00FD64FE">
        <w:rPr>
          <w:rFonts w:ascii="Gilroy Bold" w:hAnsi="Gilroy Bold"/>
          <w:b/>
          <w:bCs/>
          <w:sz w:val="24"/>
        </w:rPr>
        <w:t>Background information:</w:t>
      </w:r>
    </w:p>
    <w:p w14:paraId="423A8ECA"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 xml:space="preserve">Have you done any previous work in managing your energy/electricity costs?  If yes, can you please describe it? e.g. CAPEX projects – equipment, building envelope, onsite energy/electricity generation/storage, etc. this could include no cost solutions – processes, staff, etc. </w:t>
      </w:r>
    </w:p>
    <w:p w14:paraId="5B84B239"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know the nature of your energy contract? – Who is your provider, what is your tariff structure?</w:t>
      </w:r>
    </w:p>
    <w:p w14:paraId="0CB6228E"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Can you describe the overall strategy of your operations?  In particular as it relates to energy/electricity use?</w:t>
      </w:r>
    </w:p>
    <w:p w14:paraId="42586000"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 xml:space="preserve">Do you have a baseline for energy/electricity use?  </w:t>
      </w:r>
    </w:p>
    <w:p w14:paraId="5367C59A"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have on-site generation / storage capacity?  What type/for what purpose?</w:t>
      </w:r>
    </w:p>
    <w:p w14:paraId="4F148A79"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use other sources of energy on site (gas, goal, alternative)?  Why do you use those over electricity?</w:t>
      </w:r>
    </w:p>
    <w:p w14:paraId="62112284" w14:textId="77777777" w:rsidR="00EB5C73" w:rsidRPr="00FD64FE" w:rsidRDefault="00EB5C73" w:rsidP="00EB5C73">
      <w:pPr>
        <w:keepNext/>
        <w:rPr>
          <w:rFonts w:ascii="Gilroy Bold" w:hAnsi="Gilroy Bold"/>
          <w:b/>
          <w:bCs/>
          <w:sz w:val="24"/>
        </w:rPr>
      </w:pPr>
      <w:r w:rsidRPr="00FD64FE">
        <w:rPr>
          <w:rFonts w:ascii="Gilroy Bold" w:hAnsi="Gilroy Bold"/>
          <w:b/>
          <w:bCs/>
          <w:sz w:val="24"/>
        </w:rPr>
        <w:t>Status Quo</w:t>
      </w:r>
    </w:p>
    <w:p w14:paraId="466604A2"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 xml:space="preserve">Energy demand profile: Do you know how and where your energy/electricity demand is used/distributed? i.e. Aircon, computer, hot water system, main processes, etc. </w:t>
      </w:r>
    </w:p>
    <w:p w14:paraId="52CC9D28"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know what are the primary devices/processes that dominate you your electricity bill in terms of output (capacity, temperature) and item (refrigeration, moving parts, pumps)</w:t>
      </w:r>
    </w:p>
    <w:p w14:paraId="0EB5ED5D" w14:textId="77777777" w:rsidR="00EB5C73" w:rsidRDefault="00EB5C73" w:rsidP="00EB5C73">
      <w:pPr>
        <w:keepNext/>
        <w:rPr>
          <w:rFonts w:ascii="Gilroy Bold" w:hAnsi="Gilroy Bold"/>
          <w:b/>
          <w:bCs/>
          <w:sz w:val="24"/>
        </w:rPr>
      </w:pPr>
      <w:r w:rsidRPr="00FD64FE">
        <w:rPr>
          <w:rFonts w:ascii="Gilroy Bold" w:hAnsi="Gilroy Bold"/>
          <w:b/>
          <w:bCs/>
          <w:sz w:val="24"/>
        </w:rPr>
        <w:t>What are your three key considerations when controlling your energy/electricity use?</w:t>
      </w:r>
    </w:p>
    <w:p w14:paraId="745FB67D"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Choose from:</w:t>
      </w:r>
    </w:p>
    <w:p w14:paraId="16E8D1F9" w14:textId="77777777" w:rsidR="00EB5C73" w:rsidRPr="00EB5C73" w:rsidRDefault="00EB5C73" w:rsidP="00EB5C73">
      <w:pPr>
        <w:pStyle w:val="ListParagraph"/>
        <w:numPr>
          <w:ilvl w:val="1"/>
          <w:numId w:val="32"/>
        </w:numPr>
        <w:spacing w:after="160" w:line="259" w:lineRule="auto"/>
        <w:contextualSpacing/>
        <w:rPr>
          <w:szCs w:val="19"/>
        </w:rPr>
      </w:pPr>
      <w:r w:rsidRPr="00EB5C73">
        <w:rPr>
          <w:szCs w:val="19"/>
        </w:rPr>
        <w:t>Staffing (shift requirements)</w:t>
      </w:r>
    </w:p>
    <w:p w14:paraId="7CCBFAF8" w14:textId="6D34D61C" w:rsidR="00EB5C73" w:rsidRPr="00EB5C73" w:rsidRDefault="00EB5C73" w:rsidP="00EB5C73">
      <w:pPr>
        <w:pStyle w:val="ListParagraph"/>
        <w:numPr>
          <w:ilvl w:val="1"/>
          <w:numId w:val="32"/>
        </w:numPr>
        <w:spacing w:after="160" w:line="259" w:lineRule="auto"/>
        <w:contextualSpacing/>
        <w:rPr>
          <w:szCs w:val="19"/>
        </w:rPr>
      </w:pPr>
      <w:r w:rsidRPr="00EB5C73">
        <w:rPr>
          <w:szCs w:val="19"/>
        </w:rPr>
        <w:t>Cost of energy/electricity (</w:t>
      </w:r>
      <w:r>
        <w:rPr>
          <w:szCs w:val="19"/>
        </w:rPr>
        <w:t>time-based</w:t>
      </w:r>
      <w:r w:rsidRPr="00EB5C73">
        <w:rPr>
          <w:szCs w:val="19"/>
        </w:rPr>
        <w:t>)</w:t>
      </w:r>
    </w:p>
    <w:p w14:paraId="3868012B" w14:textId="77777777" w:rsidR="00EB5C73" w:rsidRPr="00EB5C73" w:rsidRDefault="00EB5C73" w:rsidP="00EB5C73">
      <w:pPr>
        <w:pStyle w:val="ListParagraph"/>
        <w:numPr>
          <w:ilvl w:val="1"/>
          <w:numId w:val="32"/>
        </w:numPr>
        <w:spacing w:after="160" w:line="259" w:lineRule="auto"/>
        <w:contextualSpacing/>
        <w:rPr>
          <w:szCs w:val="19"/>
        </w:rPr>
      </w:pPr>
      <w:r w:rsidRPr="00EB5C73">
        <w:rPr>
          <w:szCs w:val="19"/>
        </w:rPr>
        <w:t>GHG intensity</w:t>
      </w:r>
    </w:p>
    <w:p w14:paraId="090198E1" w14:textId="77777777" w:rsidR="00EB5C73" w:rsidRPr="00EB5C73" w:rsidRDefault="00EB5C73" w:rsidP="00EB5C73">
      <w:pPr>
        <w:pStyle w:val="ListParagraph"/>
        <w:numPr>
          <w:ilvl w:val="1"/>
          <w:numId w:val="32"/>
        </w:numPr>
        <w:spacing w:after="160" w:line="259" w:lineRule="auto"/>
        <w:contextualSpacing/>
        <w:rPr>
          <w:szCs w:val="19"/>
        </w:rPr>
      </w:pPr>
      <w:r w:rsidRPr="00EB5C73">
        <w:rPr>
          <w:szCs w:val="19"/>
        </w:rPr>
        <w:t>Customer responsiveness</w:t>
      </w:r>
    </w:p>
    <w:p w14:paraId="1D52A371" w14:textId="19F39D50" w:rsidR="00EB5C73" w:rsidRPr="00EB5C73" w:rsidRDefault="00EB5C73" w:rsidP="00EB5C73">
      <w:pPr>
        <w:pStyle w:val="ListParagraph"/>
        <w:numPr>
          <w:ilvl w:val="1"/>
          <w:numId w:val="32"/>
        </w:numPr>
        <w:spacing w:after="160" w:line="259" w:lineRule="auto"/>
        <w:contextualSpacing/>
        <w:rPr>
          <w:szCs w:val="19"/>
        </w:rPr>
      </w:pPr>
      <w:r>
        <w:rPr>
          <w:szCs w:val="19"/>
        </w:rPr>
        <w:t>Optimising</w:t>
      </w:r>
      <w:r w:rsidRPr="00EB5C73">
        <w:rPr>
          <w:szCs w:val="19"/>
        </w:rPr>
        <w:t xml:space="preserve"> “behind the meter” electricity supply/demand</w:t>
      </w:r>
    </w:p>
    <w:p w14:paraId="0654E645" w14:textId="71A901FC" w:rsidR="00EB5C73" w:rsidRPr="00EB5C73" w:rsidRDefault="00EB5C73" w:rsidP="00EB5C73">
      <w:pPr>
        <w:pStyle w:val="ListParagraph"/>
        <w:numPr>
          <w:ilvl w:val="1"/>
          <w:numId w:val="32"/>
        </w:numPr>
        <w:spacing w:after="160" w:line="259" w:lineRule="auto"/>
        <w:contextualSpacing/>
        <w:rPr>
          <w:szCs w:val="19"/>
        </w:rPr>
      </w:pPr>
      <w:r>
        <w:rPr>
          <w:szCs w:val="19"/>
        </w:rPr>
        <w:t>Just-in-time</w:t>
      </w:r>
      <w:r w:rsidRPr="00EB5C73">
        <w:rPr>
          <w:szCs w:val="19"/>
        </w:rPr>
        <w:t xml:space="preserve"> delivery/ supply chain considerations</w:t>
      </w:r>
    </w:p>
    <w:p w14:paraId="02128BBC" w14:textId="77777777" w:rsidR="00EB5C73" w:rsidRPr="00FD64FE" w:rsidRDefault="00EB5C73" w:rsidP="00EB5C73">
      <w:pPr>
        <w:keepNext/>
        <w:rPr>
          <w:rFonts w:ascii="Gilroy Bold" w:hAnsi="Gilroy Bold"/>
          <w:b/>
          <w:bCs/>
          <w:sz w:val="24"/>
        </w:rPr>
      </w:pPr>
      <w:r w:rsidRPr="00FD64FE">
        <w:rPr>
          <w:rFonts w:ascii="Gilroy Bold" w:hAnsi="Gilroy Bold"/>
          <w:b/>
          <w:bCs/>
          <w:sz w:val="24"/>
        </w:rPr>
        <w:t>Capacity for demand management</w:t>
      </w:r>
    </w:p>
    <w:p w14:paraId="1C875449"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Can you ramp key electrical devices up / down?  If yes, have you already experimented with ramping them?  For what purpose?</w:t>
      </w:r>
    </w:p>
    <w:p w14:paraId="0EB935B6"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Can you turn certain equipment ON/OFF – what minimum increments are possible? If yes, have you already experimented with ramping them?  For what purpose?</w:t>
      </w:r>
    </w:p>
    <w:p w14:paraId="724E52A4"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How much notice would you need to turn ramp/off that equipment?</w:t>
      </w:r>
    </w:p>
    <w:p w14:paraId="41C56161"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Time of day use shifting:  Would using more electricity at one part of the day, allow you to use less electricity at another part of the day?  Have you experimented with that?</w:t>
      </w:r>
    </w:p>
    <w:p w14:paraId="4C358D32"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have access to time series data on your energy/electricity usage?  Do you complete regular energy/electricity audits?  For what purpose?</w:t>
      </w:r>
    </w:p>
    <w:p w14:paraId="3D769187" w14:textId="3E9BD52D" w:rsidR="00EB5C73" w:rsidRPr="00EB5C73" w:rsidRDefault="00EB5C73" w:rsidP="00EB5C73">
      <w:pPr>
        <w:pStyle w:val="ListParagraph"/>
        <w:numPr>
          <w:ilvl w:val="0"/>
          <w:numId w:val="32"/>
        </w:numPr>
        <w:spacing w:after="160" w:line="259" w:lineRule="auto"/>
        <w:contextualSpacing/>
        <w:rPr>
          <w:szCs w:val="19"/>
        </w:rPr>
      </w:pPr>
      <w:r w:rsidRPr="00EB5C73">
        <w:rPr>
          <w:szCs w:val="19"/>
        </w:rPr>
        <w:t xml:space="preserve">What costs do you accrue when you lose access to the electricity you need for your day-to-day operations (say, due to </w:t>
      </w:r>
      <w:r>
        <w:rPr>
          <w:szCs w:val="19"/>
        </w:rPr>
        <w:t xml:space="preserve">an </w:t>
      </w:r>
      <w:r w:rsidRPr="00EB5C73">
        <w:rPr>
          <w:szCs w:val="19"/>
        </w:rPr>
        <w:t>unplanned outage)?  How much notice would you need to be able to limit these impacts?</w:t>
      </w:r>
    </w:p>
    <w:p w14:paraId="08B9C422"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already respond to requests to disconnect loads?  For what purpose/s?</w:t>
      </w:r>
    </w:p>
    <w:p w14:paraId="59A608E4"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How frequently could you respond to a prompt to disconnect loads?</w:t>
      </w:r>
    </w:p>
    <w:p w14:paraId="51B00A0A" w14:textId="77777777" w:rsidR="00EB5C73" w:rsidRPr="00FD64FE" w:rsidRDefault="00EB5C73" w:rsidP="00EB5C73">
      <w:pPr>
        <w:keepNext/>
        <w:rPr>
          <w:rFonts w:ascii="Gilroy Bold" w:hAnsi="Gilroy Bold"/>
          <w:b/>
          <w:bCs/>
          <w:sz w:val="24"/>
        </w:rPr>
      </w:pPr>
      <w:r w:rsidRPr="00FD64FE">
        <w:rPr>
          <w:rFonts w:ascii="Gilroy Bold" w:hAnsi="Gilroy Bold"/>
          <w:b/>
          <w:bCs/>
          <w:sz w:val="24"/>
        </w:rPr>
        <w:t>System services:</w:t>
      </w:r>
    </w:p>
    <w:p w14:paraId="697DFB18"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Number and size of DOL motors</w:t>
      </w:r>
    </w:p>
    <w:p w14:paraId="2116C347"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lastRenderedPageBreak/>
        <w:t>Power factor correction measures</w:t>
      </w:r>
    </w:p>
    <w:p w14:paraId="014E426E" w14:textId="5CA71002" w:rsidR="00EB5C73" w:rsidRPr="00EB5C73" w:rsidRDefault="00EB5C73" w:rsidP="00EB5C73">
      <w:pPr>
        <w:pStyle w:val="ListParagraph"/>
        <w:numPr>
          <w:ilvl w:val="0"/>
          <w:numId w:val="32"/>
        </w:numPr>
        <w:spacing w:after="160" w:line="259" w:lineRule="auto"/>
        <w:contextualSpacing/>
        <w:rPr>
          <w:szCs w:val="19"/>
        </w:rPr>
      </w:pPr>
      <w:r w:rsidRPr="00EB5C73">
        <w:rPr>
          <w:szCs w:val="19"/>
        </w:rPr>
        <w:t xml:space="preserve">Number and size of Active and Passive </w:t>
      </w:r>
      <w:r>
        <w:rPr>
          <w:szCs w:val="19"/>
        </w:rPr>
        <w:t>front-end</w:t>
      </w:r>
      <w:r w:rsidRPr="00EB5C73">
        <w:rPr>
          <w:szCs w:val="19"/>
        </w:rPr>
        <w:t xml:space="preserve"> VSDs</w:t>
      </w:r>
    </w:p>
    <w:p w14:paraId="32571BF3" w14:textId="4B61F013" w:rsidR="00EB5C73" w:rsidRPr="00EB5C73" w:rsidRDefault="00EB5C73" w:rsidP="00EB5C73">
      <w:pPr>
        <w:pStyle w:val="ListParagraph"/>
        <w:numPr>
          <w:ilvl w:val="0"/>
          <w:numId w:val="32"/>
        </w:numPr>
        <w:spacing w:after="160" w:line="259" w:lineRule="auto"/>
        <w:contextualSpacing/>
        <w:rPr>
          <w:szCs w:val="19"/>
        </w:rPr>
      </w:pPr>
      <w:r w:rsidRPr="00EB5C73">
        <w:rPr>
          <w:szCs w:val="19"/>
        </w:rPr>
        <w:t>Do you have any devices that automatically disconnect from the grid due to grid voltage or frequency?</w:t>
      </w:r>
    </w:p>
    <w:p w14:paraId="52D816A3" w14:textId="77777777" w:rsidR="00EB5C73" w:rsidRPr="00FD64FE" w:rsidRDefault="00EB5C73" w:rsidP="00EB5C73">
      <w:pPr>
        <w:keepNext/>
        <w:rPr>
          <w:rFonts w:ascii="Gilroy Bold" w:hAnsi="Gilroy Bold"/>
          <w:b/>
          <w:bCs/>
          <w:sz w:val="24"/>
        </w:rPr>
      </w:pPr>
      <w:r w:rsidRPr="00FD64FE">
        <w:rPr>
          <w:rFonts w:ascii="Gilroy Bold" w:hAnsi="Gilroy Bold"/>
          <w:b/>
          <w:bCs/>
          <w:sz w:val="24"/>
        </w:rPr>
        <w:t>What’s required to get you to change?</w:t>
      </w:r>
    </w:p>
    <w:p w14:paraId="46E95CFE"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Technical e.g. Local energy/electricity storage</w:t>
      </w:r>
    </w:p>
    <w:p w14:paraId="01A1627B" w14:textId="77777777" w:rsidR="00EB5C73" w:rsidRPr="00EB5C73" w:rsidRDefault="00EB5C73" w:rsidP="00EB5C73">
      <w:pPr>
        <w:pStyle w:val="ListParagraph"/>
        <w:numPr>
          <w:ilvl w:val="0"/>
          <w:numId w:val="32"/>
        </w:numPr>
        <w:spacing w:after="160" w:line="259" w:lineRule="auto"/>
        <w:contextualSpacing/>
        <w:rPr>
          <w:szCs w:val="19"/>
        </w:rPr>
      </w:pPr>
      <w:r w:rsidRPr="00EB5C73">
        <w:rPr>
          <w:szCs w:val="19"/>
        </w:rPr>
        <w:t>Commercial e.g. $, staff flexibility</w:t>
      </w:r>
    </w:p>
    <w:p w14:paraId="266BF57C" w14:textId="50F0FDF5" w:rsidR="003A401F" w:rsidRDefault="002C0905" w:rsidP="00301AC6">
      <w:pPr>
        <w:spacing w:after="0" w:line="240" w:lineRule="auto"/>
      </w:pPr>
      <w:r>
        <w:br w:type="page"/>
      </w:r>
    </w:p>
    <w:p w14:paraId="2F6CA9C1" w14:textId="77777777" w:rsidR="000161A8" w:rsidRDefault="000161A8" w:rsidP="000161A8">
      <w:pPr>
        <w:pStyle w:val="AppendixHeading"/>
      </w:pPr>
      <w:bookmarkStart w:id="156" w:name="_Ref231052654"/>
    </w:p>
    <w:p w14:paraId="00FD6551" w14:textId="48E887BC" w:rsidR="000161A8" w:rsidRDefault="000C297E" w:rsidP="000161A8">
      <w:pPr>
        <w:pStyle w:val="AppendixHeading2"/>
      </w:pPr>
      <w:bookmarkStart w:id="157" w:name="_Toc233787136"/>
      <w:bookmarkEnd w:id="156"/>
      <w:r>
        <w:t>Questionnaire Data Analysis</w:t>
      </w:r>
      <w:bookmarkEnd w:id="157"/>
    </w:p>
    <w:p w14:paraId="4274407C" w14:textId="77777777" w:rsidR="000B79EF" w:rsidRDefault="000B79EF" w:rsidP="000B79EF"/>
    <w:p w14:paraId="39552CAB" w14:textId="6D258EC6" w:rsidR="000B79EF" w:rsidRDefault="000B79EF">
      <w:pPr>
        <w:spacing w:after="0" w:line="240" w:lineRule="auto"/>
      </w:pPr>
      <w:r>
        <w:br w:type="page"/>
      </w:r>
    </w:p>
    <w:p w14:paraId="54E327AE" w14:textId="77777777" w:rsidR="000B79EF" w:rsidRDefault="000B79EF" w:rsidP="000B79EF">
      <w:pPr>
        <w:pStyle w:val="AppendixHeading"/>
      </w:pPr>
      <w:bookmarkStart w:id="158" w:name="_Ref231042905"/>
    </w:p>
    <w:p w14:paraId="4EFA22D5" w14:textId="1AD38F9B" w:rsidR="000B79EF" w:rsidRDefault="000B79EF" w:rsidP="000B79EF">
      <w:pPr>
        <w:pStyle w:val="AppendixHeading2"/>
      </w:pPr>
      <w:bookmarkStart w:id="159" w:name="_Toc233787137"/>
      <w:bookmarkEnd w:id="158"/>
      <w:r>
        <w:t>Taxonomy of Load</w:t>
      </w:r>
      <w:bookmarkEnd w:id="159"/>
    </w:p>
    <w:p w14:paraId="6688A246" w14:textId="77777777" w:rsidR="00910886" w:rsidRPr="00910886" w:rsidRDefault="00910886" w:rsidP="00910886"/>
    <w:p w14:paraId="0009DCB1" w14:textId="73EFD250" w:rsidR="00910886" w:rsidRDefault="00910886" w:rsidP="00910886">
      <w:pPr>
        <w:pStyle w:val="Caption"/>
        <w:keepNext/>
      </w:pPr>
      <w:bookmarkStart w:id="160" w:name="_Toc233788365"/>
      <w:r>
        <w:t xml:space="preserve">Table </w:t>
      </w:r>
      <w:fldSimple w:instr=" SEQ Table \* ARABIC ">
        <w:r w:rsidR="00036C9A">
          <w:rPr>
            <w:noProof/>
          </w:rPr>
          <w:t>12</w:t>
        </w:r>
      </w:fldSimple>
      <w:r>
        <w:t>: Full Taxonomy of Industrial Loads Identified Across Participating Industries</w:t>
      </w:r>
      <w:bookmarkEnd w:id="160"/>
    </w:p>
    <w:tbl>
      <w:tblPr>
        <w:tblStyle w:val="AdvitechTable"/>
        <w:tblW w:w="4192" w:type="pct"/>
        <w:jc w:val="center"/>
        <w:tblLook w:val="0420" w:firstRow="1" w:lastRow="0" w:firstColumn="0" w:lastColumn="0" w:noHBand="0" w:noVBand="1"/>
      </w:tblPr>
      <w:tblGrid>
        <w:gridCol w:w="2552"/>
        <w:gridCol w:w="1842"/>
        <w:gridCol w:w="1700"/>
        <w:gridCol w:w="1986"/>
      </w:tblGrid>
      <w:tr w:rsidR="00910886" w14:paraId="5185CE2E" w14:textId="77777777" w:rsidTr="001F378F">
        <w:trPr>
          <w:cnfStyle w:val="100000000000" w:firstRow="1" w:lastRow="0" w:firstColumn="0" w:lastColumn="0" w:oddVBand="0" w:evenVBand="0" w:oddHBand="0" w:evenHBand="0" w:firstRowFirstColumn="0" w:firstRowLastColumn="0" w:lastRowFirstColumn="0" w:lastRowLastColumn="0"/>
          <w:cantSplit/>
          <w:tblHeader/>
          <w:jc w:val="center"/>
        </w:trPr>
        <w:tc>
          <w:tcPr>
            <w:tcW w:w="1579" w:type="pct"/>
            <w:vAlign w:val="top"/>
          </w:tcPr>
          <w:p w14:paraId="45292166" w14:textId="77777777" w:rsidR="00910886" w:rsidRDefault="00910886" w:rsidP="001F378F">
            <w:pPr>
              <w:pStyle w:val="TableBody"/>
            </w:pPr>
            <w:r>
              <w:t>Equipment /</w:t>
            </w:r>
          </w:p>
          <w:p w14:paraId="55F330AD" w14:textId="77777777" w:rsidR="00910886" w:rsidRDefault="00910886" w:rsidP="001F378F">
            <w:pPr>
              <w:pStyle w:val="TableBody"/>
            </w:pPr>
            <w:r>
              <w:t>Load type</w:t>
            </w:r>
          </w:p>
        </w:tc>
        <w:tc>
          <w:tcPr>
            <w:tcW w:w="1140" w:type="pct"/>
            <w:vAlign w:val="top"/>
          </w:tcPr>
          <w:p w14:paraId="6D9F48E4" w14:textId="77777777" w:rsidR="00910886" w:rsidRDefault="00910886" w:rsidP="001F378F">
            <w:pPr>
              <w:pStyle w:val="TableBody"/>
            </w:pPr>
            <w:r>
              <w:t>Operation Type</w:t>
            </w:r>
          </w:p>
        </w:tc>
        <w:tc>
          <w:tcPr>
            <w:tcW w:w="1052" w:type="pct"/>
            <w:vAlign w:val="top"/>
          </w:tcPr>
          <w:p w14:paraId="12BC5030" w14:textId="77777777" w:rsidR="00910886" w:rsidRDefault="00910886" w:rsidP="001F378F">
            <w:pPr>
              <w:pStyle w:val="TableBody"/>
            </w:pPr>
            <w:r>
              <w:t>Dependency</w:t>
            </w:r>
          </w:p>
        </w:tc>
        <w:tc>
          <w:tcPr>
            <w:tcW w:w="1229" w:type="pct"/>
            <w:vAlign w:val="top"/>
          </w:tcPr>
          <w:p w14:paraId="5D5CF091" w14:textId="77777777" w:rsidR="00910886" w:rsidRDefault="00910886" w:rsidP="001F378F">
            <w:pPr>
              <w:pStyle w:val="TableBody"/>
            </w:pPr>
            <w:r>
              <w:t>Flexibility Potential</w:t>
            </w:r>
          </w:p>
        </w:tc>
      </w:tr>
      <w:tr w:rsidR="00910886" w:rsidRPr="00C557EE" w14:paraId="5DE8A869" w14:textId="77777777" w:rsidTr="001F378F">
        <w:trPr>
          <w:trHeight w:val="57"/>
          <w:jc w:val="center"/>
        </w:trPr>
        <w:tc>
          <w:tcPr>
            <w:tcW w:w="5000" w:type="pct"/>
            <w:gridSpan w:val="4"/>
            <w:shd w:val="clear" w:color="auto" w:fill="D9D9D9" w:themeFill="background1" w:themeFillShade="D9"/>
          </w:tcPr>
          <w:p w14:paraId="15439CF2" w14:textId="77777777" w:rsidR="00910886" w:rsidRPr="00C557EE" w:rsidRDefault="00910886" w:rsidP="001F378F">
            <w:pPr>
              <w:pStyle w:val="TableBody"/>
              <w:jc w:val="center"/>
              <w:rPr>
                <w:b/>
                <w:bCs/>
                <w:color w:val="000000" w:themeColor="text1"/>
                <w:sz w:val="16"/>
                <w:szCs w:val="20"/>
              </w:rPr>
            </w:pPr>
            <w:r w:rsidRPr="00C557EE">
              <w:rPr>
                <w:b/>
                <w:bCs/>
                <w:color w:val="000000" w:themeColor="text1"/>
                <w:sz w:val="16"/>
                <w:szCs w:val="20"/>
              </w:rPr>
              <w:t>Mechanical Loads</w:t>
            </w:r>
          </w:p>
        </w:tc>
      </w:tr>
      <w:tr w:rsidR="00910886" w14:paraId="0A742B51" w14:textId="77777777" w:rsidTr="001F378F">
        <w:trPr>
          <w:jc w:val="center"/>
        </w:trPr>
        <w:tc>
          <w:tcPr>
            <w:tcW w:w="1579" w:type="pct"/>
            <w:vAlign w:val="top"/>
          </w:tcPr>
          <w:p w14:paraId="41919C56" w14:textId="77777777" w:rsidR="00910886" w:rsidRPr="003D5054" w:rsidRDefault="00910886" w:rsidP="001F378F">
            <w:pPr>
              <w:pStyle w:val="TableBody"/>
            </w:pPr>
            <w:r w:rsidRPr="003D5054">
              <w:t>CNC machines</w:t>
            </w:r>
          </w:p>
        </w:tc>
        <w:tc>
          <w:tcPr>
            <w:tcW w:w="1140" w:type="pct"/>
            <w:vAlign w:val="top"/>
          </w:tcPr>
          <w:p w14:paraId="0A276111" w14:textId="77777777" w:rsidR="00910886" w:rsidRPr="003D5054" w:rsidRDefault="00910886" w:rsidP="001F378F">
            <w:pPr>
              <w:pStyle w:val="TableBody"/>
            </w:pPr>
            <w:r w:rsidRPr="003D5054">
              <w:t>Continuous</w:t>
            </w:r>
          </w:p>
        </w:tc>
        <w:tc>
          <w:tcPr>
            <w:tcW w:w="1052" w:type="pct"/>
            <w:vAlign w:val="top"/>
          </w:tcPr>
          <w:p w14:paraId="23C38A24" w14:textId="77777777" w:rsidR="00910886" w:rsidRPr="003D5054" w:rsidRDefault="00910886" w:rsidP="001F378F">
            <w:pPr>
              <w:pStyle w:val="TableBody"/>
            </w:pPr>
            <w:r w:rsidRPr="003D5054">
              <w:t>Hybrid</w:t>
            </w:r>
          </w:p>
        </w:tc>
        <w:tc>
          <w:tcPr>
            <w:tcW w:w="1229" w:type="pct"/>
            <w:vAlign w:val="top"/>
          </w:tcPr>
          <w:p w14:paraId="1F974D10"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75F68643" w14:textId="77777777" w:rsidTr="001F378F">
        <w:trPr>
          <w:jc w:val="center"/>
        </w:trPr>
        <w:tc>
          <w:tcPr>
            <w:tcW w:w="1579" w:type="pct"/>
            <w:vAlign w:val="top"/>
          </w:tcPr>
          <w:p w14:paraId="25AE875D" w14:textId="77777777" w:rsidR="00910886" w:rsidRDefault="00910886" w:rsidP="001F378F">
            <w:pPr>
              <w:pStyle w:val="TableBody"/>
            </w:pPr>
            <w:r w:rsidRPr="003D5054">
              <w:t>Twister and Knitting Machine</w:t>
            </w:r>
          </w:p>
        </w:tc>
        <w:tc>
          <w:tcPr>
            <w:tcW w:w="1140" w:type="pct"/>
            <w:vAlign w:val="top"/>
          </w:tcPr>
          <w:p w14:paraId="338BB275" w14:textId="77777777" w:rsidR="00910886" w:rsidRDefault="00910886" w:rsidP="001F378F">
            <w:pPr>
              <w:pStyle w:val="TableBody"/>
            </w:pPr>
            <w:r w:rsidRPr="003D5054">
              <w:t>Continuous</w:t>
            </w:r>
          </w:p>
        </w:tc>
        <w:tc>
          <w:tcPr>
            <w:tcW w:w="1052" w:type="pct"/>
            <w:vAlign w:val="top"/>
          </w:tcPr>
          <w:p w14:paraId="114A0AC6" w14:textId="77777777" w:rsidR="00910886" w:rsidRDefault="00910886" w:rsidP="001F378F">
            <w:pPr>
              <w:pStyle w:val="TableBody"/>
            </w:pPr>
            <w:r w:rsidRPr="003D5054">
              <w:t>Automated</w:t>
            </w:r>
          </w:p>
        </w:tc>
        <w:tc>
          <w:tcPr>
            <w:tcW w:w="1229" w:type="pct"/>
            <w:vAlign w:val="top"/>
          </w:tcPr>
          <w:p w14:paraId="608C005B"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3DDB392F" w14:textId="77777777" w:rsidTr="001F378F">
        <w:trPr>
          <w:jc w:val="center"/>
        </w:trPr>
        <w:tc>
          <w:tcPr>
            <w:tcW w:w="1579" w:type="pct"/>
            <w:vAlign w:val="top"/>
          </w:tcPr>
          <w:p w14:paraId="0D89A510" w14:textId="77777777" w:rsidR="00910886" w:rsidRDefault="00910886" w:rsidP="001F378F">
            <w:pPr>
              <w:pStyle w:val="TableBody"/>
            </w:pPr>
            <w:r w:rsidRPr="003D5054">
              <w:t>Assembly Machines</w:t>
            </w:r>
          </w:p>
        </w:tc>
        <w:tc>
          <w:tcPr>
            <w:tcW w:w="1140" w:type="pct"/>
            <w:vAlign w:val="top"/>
          </w:tcPr>
          <w:p w14:paraId="748E1FDD" w14:textId="77777777" w:rsidR="00910886" w:rsidRDefault="00910886" w:rsidP="001F378F">
            <w:pPr>
              <w:pStyle w:val="TableBody"/>
            </w:pPr>
            <w:r w:rsidRPr="003D5054">
              <w:t>On-</w:t>
            </w:r>
            <w:r>
              <w:t>D</w:t>
            </w:r>
            <w:r w:rsidRPr="003D5054">
              <w:t>emand</w:t>
            </w:r>
          </w:p>
        </w:tc>
        <w:tc>
          <w:tcPr>
            <w:tcW w:w="1052" w:type="pct"/>
            <w:vAlign w:val="top"/>
          </w:tcPr>
          <w:p w14:paraId="0B696550" w14:textId="77777777" w:rsidR="00910886" w:rsidRDefault="00910886" w:rsidP="001F378F">
            <w:pPr>
              <w:pStyle w:val="TableBody"/>
            </w:pPr>
            <w:r w:rsidRPr="003D5054">
              <w:t>Hybrid</w:t>
            </w:r>
          </w:p>
        </w:tc>
        <w:tc>
          <w:tcPr>
            <w:tcW w:w="1229" w:type="pct"/>
            <w:vAlign w:val="top"/>
          </w:tcPr>
          <w:p w14:paraId="656063A2"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7C73B30B" w14:textId="77777777" w:rsidTr="001F378F">
        <w:trPr>
          <w:jc w:val="center"/>
        </w:trPr>
        <w:tc>
          <w:tcPr>
            <w:tcW w:w="1579" w:type="pct"/>
            <w:vAlign w:val="top"/>
          </w:tcPr>
          <w:p w14:paraId="1E2D992B" w14:textId="77777777" w:rsidR="00910886" w:rsidRDefault="00910886" w:rsidP="001F378F">
            <w:pPr>
              <w:pStyle w:val="TableBody"/>
            </w:pPr>
            <w:r w:rsidRPr="003D5054">
              <w:t>Machine press</w:t>
            </w:r>
          </w:p>
        </w:tc>
        <w:tc>
          <w:tcPr>
            <w:tcW w:w="1140" w:type="pct"/>
            <w:vAlign w:val="top"/>
          </w:tcPr>
          <w:p w14:paraId="5659B8F9" w14:textId="77777777" w:rsidR="00910886" w:rsidRDefault="00910886" w:rsidP="001F378F">
            <w:pPr>
              <w:pStyle w:val="TableBody"/>
            </w:pPr>
            <w:r w:rsidRPr="00ED30F3">
              <w:t>On-Demand</w:t>
            </w:r>
          </w:p>
        </w:tc>
        <w:tc>
          <w:tcPr>
            <w:tcW w:w="1052" w:type="pct"/>
            <w:vAlign w:val="top"/>
          </w:tcPr>
          <w:p w14:paraId="4B1A04B2" w14:textId="77777777" w:rsidR="00910886" w:rsidRDefault="00910886" w:rsidP="001F378F">
            <w:pPr>
              <w:pStyle w:val="TableBody"/>
            </w:pPr>
            <w:r w:rsidRPr="003D5054">
              <w:t>Manned</w:t>
            </w:r>
          </w:p>
        </w:tc>
        <w:tc>
          <w:tcPr>
            <w:tcW w:w="1229" w:type="pct"/>
            <w:vAlign w:val="top"/>
          </w:tcPr>
          <w:p w14:paraId="4032EB2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2C03D912" w14:textId="77777777" w:rsidTr="001F378F">
        <w:trPr>
          <w:jc w:val="center"/>
        </w:trPr>
        <w:tc>
          <w:tcPr>
            <w:tcW w:w="1579" w:type="pct"/>
            <w:vAlign w:val="top"/>
          </w:tcPr>
          <w:p w14:paraId="7DA8AD92" w14:textId="77777777" w:rsidR="00910886" w:rsidRDefault="00910886" w:rsidP="001F378F">
            <w:pPr>
              <w:pStyle w:val="TableBody"/>
            </w:pPr>
            <w:r w:rsidRPr="003D5054">
              <w:t>Winery equipment (presses, crushers, RVD</w:t>
            </w:r>
            <w:r>
              <w:t>, et cetera</w:t>
            </w:r>
            <w:r w:rsidRPr="003D5054">
              <w:t>)</w:t>
            </w:r>
          </w:p>
        </w:tc>
        <w:tc>
          <w:tcPr>
            <w:tcW w:w="1140" w:type="pct"/>
            <w:vAlign w:val="top"/>
          </w:tcPr>
          <w:p w14:paraId="4B17AE8D" w14:textId="77777777" w:rsidR="00910886" w:rsidRDefault="00910886" w:rsidP="001F378F">
            <w:pPr>
              <w:pStyle w:val="TableBody"/>
            </w:pPr>
            <w:r w:rsidRPr="00ED30F3">
              <w:t>On-Demand</w:t>
            </w:r>
          </w:p>
        </w:tc>
        <w:tc>
          <w:tcPr>
            <w:tcW w:w="1052" w:type="pct"/>
            <w:vAlign w:val="top"/>
          </w:tcPr>
          <w:p w14:paraId="66904271" w14:textId="77777777" w:rsidR="00910886" w:rsidRDefault="00910886" w:rsidP="001F378F">
            <w:pPr>
              <w:pStyle w:val="TableBody"/>
            </w:pPr>
            <w:r w:rsidRPr="003D5054">
              <w:t>Hybrid</w:t>
            </w:r>
          </w:p>
        </w:tc>
        <w:tc>
          <w:tcPr>
            <w:tcW w:w="1229" w:type="pct"/>
            <w:vAlign w:val="top"/>
          </w:tcPr>
          <w:p w14:paraId="4751E67B" w14:textId="77777777" w:rsidR="00910886" w:rsidRPr="00C03039" w:rsidRDefault="00910886" w:rsidP="001F378F">
            <w:pPr>
              <w:pStyle w:val="TableBody"/>
              <w:jc w:val="center"/>
              <w:rPr>
                <w:color w:val="B60E28" w:themeColor="accent3" w:themeShade="BF"/>
              </w:rPr>
            </w:pPr>
            <w:r w:rsidRPr="00AC0E40">
              <w:rPr>
                <w:color w:val="826600" w:themeColor="accent2" w:themeShade="80"/>
              </w:rPr>
              <w:t>Medium</w:t>
            </w:r>
          </w:p>
        </w:tc>
      </w:tr>
      <w:tr w:rsidR="00910886" w14:paraId="611CD9E0" w14:textId="77777777" w:rsidTr="001F378F">
        <w:trPr>
          <w:jc w:val="center"/>
        </w:trPr>
        <w:tc>
          <w:tcPr>
            <w:tcW w:w="1579" w:type="pct"/>
            <w:vAlign w:val="top"/>
          </w:tcPr>
          <w:p w14:paraId="2AAB5FF5" w14:textId="77777777" w:rsidR="00910886" w:rsidRDefault="00910886" w:rsidP="001F378F">
            <w:pPr>
              <w:pStyle w:val="TableBody"/>
            </w:pPr>
            <w:r w:rsidRPr="003D5054">
              <w:t>Cutting machines</w:t>
            </w:r>
          </w:p>
        </w:tc>
        <w:tc>
          <w:tcPr>
            <w:tcW w:w="1140" w:type="pct"/>
            <w:vAlign w:val="top"/>
          </w:tcPr>
          <w:p w14:paraId="0B8CFA5F" w14:textId="77777777" w:rsidR="00910886" w:rsidRDefault="00910886" w:rsidP="001F378F">
            <w:pPr>
              <w:pStyle w:val="TableBody"/>
            </w:pPr>
            <w:r w:rsidRPr="00ED30F3">
              <w:t>On-Demand</w:t>
            </w:r>
          </w:p>
        </w:tc>
        <w:tc>
          <w:tcPr>
            <w:tcW w:w="1052" w:type="pct"/>
            <w:vAlign w:val="top"/>
          </w:tcPr>
          <w:p w14:paraId="3A6DC31D" w14:textId="77777777" w:rsidR="00910886" w:rsidRDefault="00910886" w:rsidP="001F378F">
            <w:pPr>
              <w:pStyle w:val="TableBody"/>
            </w:pPr>
            <w:r w:rsidRPr="003D5054">
              <w:t>Manned</w:t>
            </w:r>
          </w:p>
        </w:tc>
        <w:tc>
          <w:tcPr>
            <w:tcW w:w="1229" w:type="pct"/>
            <w:vAlign w:val="top"/>
          </w:tcPr>
          <w:p w14:paraId="1FE2F6A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6D394C01" w14:textId="77777777" w:rsidTr="001F378F">
        <w:trPr>
          <w:jc w:val="center"/>
        </w:trPr>
        <w:tc>
          <w:tcPr>
            <w:tcW w:w="1579" w:type="pct"/>
            <w:vAlign w:val="top"/>
          </w:tcPr>
          <w:p w14:paraId="2ADF6096" w14:textId="77777777" w:rsidR="00910886" w:rsidRDefault="00910886" w:rsidP="001F378F">
            <w:pPr>
              <w:pStyle w:val="TableBody"/>
            </w:pPr>
            <w:r w:rsidRPr="003D5054">
              <w:t>Mixer</w:t>
            </w:r>
          </w:p>
        </w:tc>
        <w:tc>
          <w:tcPr>
            <w:tcW w:w="1140" w:type="pct"/>
            <w:vAlign w:val="top"/>
          </w:tcPr>
          <w:p w14:paraId="568917C8" w14:textId="77777777" w:rsidR="00910886" w:rsidRDefault="00910886" w:rsidP="001F378F">
            <w:pPr>
              <w:pStyle w:val="TableBody"/>
            </w:pPr>
            <w:r w:rsidRPr="003D5054">
              <w:t>Batch</w:t>
            </w:r>
          </w:p>
        </w:tc>
        <w:tc>
          <w:tcPr>
            <w:tcW w:w="1052" w:type="pct"/>
            <w:vAlign w:val="top"/>
          </w:tcPr>
          <w:p w14:paraId="646243D2" w14:textId="77777777" w:rsidR="00910886" w:rsidRDefault="00910886" w:rsidP="001F378F">
            <w:pPr>
              <w:pStyle w:val="TableBody"/>
            </w:pPr>
            <w:r w:rsidRPr="003D5054">
              <w:t>Hybrid</w:t>
            </w:r>
          </w:p>
        </w:tc>
        <w:tc>
          <w:tcPr>
            <w:tcW w:w="1229" w:type="pct"/>
            <w:vAlign w:val="top"/>
          </w:tcPr>
          <w:p w14:paraId="28D0CC4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5F600550" w14:textId="77777777" w:rsidTr="001F378F">
        <w:trPr>
          <w:jc w:val="center"/>
        </w:trPr>
        <w:tc>
          <w:tcPr>
            <w:tcW w:w="1579" w:type="pct"/>
            <w:vAlign w:val="top"/>
          </w:tcPr>
          <w:p w14:paraId="4A25B381" w14:textId="77777777" w:rsidR="00910886" w:rsidRDefault="00910886" w:rsidP="001F378F">
            <w:pPr>
              <w:pStyle w:val="TableBody"/>
            </w:pPr>
            <w:r w:rsidRPr="003D5054">
              <w:t>Overhead cranes</w:t>
            </w:r>
          </w:p>
        </w:tc>
        <w:tc>
          <w:tcPr>
            <w:tcW w:w="1140" w:type="pct"/>
            <w:vAlign w:val="top"/>
          </w:tcPr>
          <w:p w14:paraId="2364407E" w14:textId="77777777" w:rsidR="00910886" w:rsidRDefault="00910886" w:rsidP="001F378F">
            <w:pPr>
              <w:pStyle w:val="TableBody"/>
            </w:pPr>
            <w:r w:rsidRPr="003D5054">
              <w:t>On-</w:t>
            </w:r>
            <w:r>
              <w:t>D</w:t>
            </w:r>
            <w:r w:rsidRPr="003D5054">
              <w:t>emand</w:t>
            </w:r>
          </w:p>
        </w:tc>
        <w:tc>
          <w:tcPr>
            <w:tcW w:w="1052" w:type="pct"/>
            <w:vAlign w:val="top"/>
          </w:tcPr>
          <w:p w14:paraId="580AF970" w14:textId="77777777" w:rsidR="00910886" w:rsidRDefault="00910886" w:rsidP="001F378F">
            <w:pPr>
              <w:pStyle w:val="TableBody"/>
            </w:pPr>
            <w:r w:rsidRPr="003D5054">
              <w:t>Manned</w:t>
            </w:r>
          </w:p>
        </w:tc>
        <w:tc>
          <w:tcPr>
            <w:tcW w:w="1229" w:type="pct"/>
            <w:vAlign w:val="top"/>
          </w:tcPr>
          <w:p w14:paraId="38102B7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6CA825CF" w14:textId="77777777" w:rsidTr="001F378F">
        <w:trPr>
          <w:jc w:val="center"/>
        </w:trPr>
        <w:tc>
          <w:tcPr>
            <w:tcW w:w="1579" w:type="pct"/>
            <w:vAlign w:val="top"/>
          </w:tcPr>
          <w:p w14:paraId="01B8B7CA" w14:textId="77777777" w:rsidR="00910886" w:rsidRDefault="00910886" w:rsidP="001F378F">
            <w:pPr>
              <w:pStyle w:val="TableBody"/>
            </w:pPr>
            <w:r w:rsidRPr="003D5054">
              <w:t>Chippers</w:t>
            </w:r>
          </w:p>
        </w:tc>
        <w:tc>
          <w:tcPr>
            <w:tcW w:w="1140" w:type="pct"/>
            <w:vAlign w:val="top"/>
          </w:tcPr>
          <w:p w14:paraId="266F7F2D" w14:textId="77777777" w:rsidR="00910886" w:rsidRDefault="00910886" w:rsidP="001F378F">
            <w:pPr>
              <w:pStyle w:val="TableBody"/>
            </w:pPr>
            <w:r w:rsidRPr="003D5054">
              <w:t>Batch</w:t>
            </w:r>
          </w:p>
        </w:tc>
        <w:tc>
          <w:tcPr>
            <w:tcW w:w="1052" w:type="pct"/>
            <w:vAlign w:val="top"/>
          </w:tcPr>
          <w:p w14:paraId="1E6E9D12" w14:textId="77777777" w:rsidR="00910886" w:rsidRDefault="00910886" w:rsidP="001F378F">
            <w:pPr>
              <w:pStyle w:val="TableBody"/>
            </w:pPr>
            <w:r w:rsidRPr="003D5054">
              <w:t>Hybrid</w:t>
            </w:r>
          </w:p>
        </w:tc>
        <w:tc>
          <w:tcPr>
            <w:tcW w:w="1229" w:type="pct"/>
            <w:vAlign w:val="top"/>
          </w:tcPr>
          <w:p w14:paraId="148C7D1B" w14:textId="77777777" w:rsidR="00910886" w:rsidRPr="00C03039" w:rsidRDefault="00910886" w:rsidP="001F378F">
            <w:pPr>
              <w:pStyle w:val="TableBody"/>
              <w:jc w:val="center"/>
              <w:rPr>
                <w:color w:val="C29900" w:themeColor="accent2" w:themeShade="BF"/>
              </w:rPr>
            </w:pPr>
            <w:r w:rsidRPr="00AC0E40">
              <w:rPr>
                <w:color w:val="826600" w:themeColor="accent2" w:themeShade="80"/>
              </w:rPr>
              <w:t>Medium</w:t>
            </w:r>
          </w:p>
        </w:tc>
      </w:tr>
      <w:tr w:rsidR="00910886" w14:paraId="0B5A8CE1" w14:textId="77777777" w:rsidTr="001F378F">
        <w:trPr>
          <w:jc w:val="center"/>
        </w:trPr>
        <w:tc>
          <w:tcPr>
            <w:tcW w:w="1579" w:type="pct"/>
            <w:vAlign w:val="top"/>
          </w:tcPr>
          <w:p w14:paraId="09BF6E76" w14:textId="77777777" w:rsidR="00910886" w:rsidRDefault="00910886" w:rsidP="001F378F">
            <w:pPr>
              <w:pStyle w:val="TableBody"/>
            </w:pPr>
            <w:r w:rsidRPr="003D5054">
              <w:t>Refiner guns</w:t>
            </w:r>
          </w:p>
        </w:tc>
        <w:tc>
          <w:tcPr>
            <w:tcW w:w="1140" w:type="pct"/>
            <w:vAlign w:val="top"/>
          </w:tcPr>
          <w:p w14:paraId="0FFD6CE0" w14:textId="77777777" w:rsidR="00910886" w:rsidRDefault="00910886" w:rsidP="001F378F">
            <w:pPr>
              <w:pStyle w:val="TableBody"/>
            </w:pPr>
            <w:r w:rsidRPr="003D5054">
              <w:t>Continuous</w:t>
            </w:r>
          </w:p>
        </w:tc>
        <w:tc>
          <w:tcPr>
            <w:tcW w:w="1052" w:type="pct"/>
            <w:vAlign w:val="top"/>
          </w:tcPr>
          <w:p w14:paraId="08469636" w14:textId="77777777" w:rsidR="00910886" w:rsidRDefault="00910886" w:rsidP="001F378F">
            <w:pPr>
              <w:pStyle w:val="TableBody"/>
            </w:pPr>
            <w:r w:rsidRPr="003D5054">
              <w:t>Automated</w:t>
            </w:r>
          </w:p>
        </w:tc>
        <w:tc>
          <w:tcPr>
            <w:tcW w:w="1229" w:type="pct"/>
            <w:vAlign w:val="top"/>
          </w:tcPr>
          <w:p w14:paraId="16FD3803"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30EF8860" w14:textId="77777777" w:rsidTr="001F378F">
        <w:trPr>
          <w:jc w:val="center"/>
        </w:trPr>
        <w:tc>
          <w:tcPr>
            <w:tcW w:w="1579" w:type="pct"/>
            <w:vAlign w:val="top"/>
          </w:tcPr>
          <w:p w14:paraId="2BDB59A6" w14:textId="77777777" w:rsidR="00910886" w:rsidRDefault="00910886" w:rsidP="001F378F">
            <w:pPr>
              <w:pStyle w:val="TableBody"/>
            </w:pPr>
            <w:r w:rsidRPr="003D5054">
              <w:t>Board forming machines</w:t>
            </w:r>
          </w:p>
        </w:tc>
        <w:tc>
          <w:tcPr>
            <w:tcW w:w="1140" w:type="pct"/>
            <w:vAlign w:val="top"/>
          </w:tcPr>
          <w:p w14:paraId="190AFAD7" w14:textId="77777777" w:rsidR="00910886" w:rsidRDefault="00910886" w:rsidP="001F378F">
            <w:pPr>
              <w:pStyle w:val="TableBody"/>
            </w:pPr>
            <w:r w:rsidRPr="003D5054">
              <w:t>Continuous</w:t>
            </w:r>
          </w:p>
        </w:tc>
        <w:tc>
          <w:tcPr>
            <w:tcW w:w="1052" w:type="pct"/>
            <w:vAlign w:val="top"/>
          </w:tcPr>
          <w:p w14:paraId="5545D329" w14:textId="77777777" w:rsidR="00910886" w:rsidRDefault="00910886" w:rsidP="001F378F">
            <w:pPr>
              <w:pStyle w:val="TableBody"/>
            </w:pPr>
            <w:r w:rsidRPr="003D5054">
              <w:t>Automated</w:t>
            </w:r>
          </w:p>
        </w:tc>
        <w:tc>
          <w:tcPr>
            <w:tcW w:w="1229" w:type="pct"/>
            <w:vAlign w:val="top"/>
          </w:tcPr>
          <w:p w14:paraId="72C2A98D"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7DED16D9" w14:textId="77777777" w:rsidTr="001F378F">
        <w:trPr>
          <w:jc w:val="center"/>
        </w:trPr>
        <w:tc>
          <w:tcPr>
            <w:tcW w:w="1579" w:type="pct"/>
            <w:vAlign w:val="top"/>
          </w:tcPr>
          <w:p w14:paraId="704F91FB" w14:textId="77777777" w:rsidR="00910886" w:rsidRDefault="00910886" w:rsidP="001F378F">
            <w:pPr>
              <w:pStyle w:val="TableBody"/>
            </w:pPr>
            <w:r w:rsidRPr="003D5054">
              <w:t>Roll press</w:t>
            </w:r>
          </w:p>
        </w:tc>
        <w:tc>
          <w:tcPr>
            <w:tcW w:w="1140" w:type="pct"/>
            <w:vAlign w:val="top"/>
          </w:tcPr>
          <w:p w14:paraId="37A0327C" w14:textId="77777777" w:rsidR="00910886" w:rsidRDefault="00910886" w:rsidP="001F378F">
            <w:pPr>
              <w:pStyle w:val="TableBody"/>
            </w:pPr>
            <w:r w:rsidRPr="003D5054">
              <w:t>Continuous</w:t>
            </w:r>
          </w:p>
        </w:tc>
        <w:tc>
          <w:tcPr>
            <w:tcW w:w="1052" w:type="pct"/>
            <w:vAlign w:val="top"/>
          </w:tcPr>
          <w:p w14:paraId="17BD92E5" w14:textId="77777777" w:rsidR="00910886" w:rsidRDefault="00910886" w:rsidP="001F378F">
            <w:pPr>
              <w:pStyle w:val="TableBody"/>
            </w:pPr>
            <w:r w:rsidRPr="003D5054">
              <w:t>Automated</w:t>
            </w:r>
          </w:p>
        </w:tc>
        <w:tc>
          <w:tcPr>
            <w:tcW w:w="1229" w:type="pct"/>
            <w:vAlign w:val="top"/>
          </w:tcPr>
          <w:p w14:paraId="5EB9187B"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2645BB2F" w14:textId="77777777" w:rsidTr="001F378F">
        <w:trPr>
          <w:jc w:val="center"/>
        </w:trPr>
        <w:tc>
          <w:tcPr>
            <w:tcW w:w="1579" w:type="pct"/>
            <w:vAlign w:val="top"/>
          </w:tcPr>
          <w:p w14:paraId="0B927FD1" w14:textId="77777777" w:rsidR="00910886" w:rsidRDefault="00910886" w:rsidP="001F378F">
            <w:pPr>
              <w:pStyle w:val="TableBody"/>
            </w:pPr>
            <w:r w:rsidRPr="003D5054">
              <w:t>Trimming machine</w:t>
            </w:r>
          </w:p>
        </w:tc>
        <w:tc>
          <w:tcPr>
            <w:tcW w:w="1140" w:type="pct"/>
            <w:vAlign w:val="top"/>
          </w:tcPr>
          <w:p w14:paraId="0E3E2781" w14:textId="77777777" w:rsidR="00910886" w:rsidRDefault="00910886" w:rsidP="001F378F">
            <w:pPr>
              <w:pStyle w:val="TableBody"/>
            </w:pPr>
            <w:r w:rsidRPr="003D5054">
              <w:t>Continuous</w:t>
            </w:r>
          </w:p>
        </w:tc>
        <w:tc>
          <w:tcPr>
            <w:tcW w:w="1052" w:type="pct"/>
            <w:vAlign w:val="top"/>
          </w:tcPr>
          <w:p w14:paraId="017E4AA5" w14:textId="77777777" w:rsidR="00910886" w:rsidRDefault="00910886" w:rsidP="001F378F">
            <w:pPr>
              <w:pStyle w:val="TableBody"/>
            </w:pPr>
            <w:r w:rsidRPr="003D5054">
              <w:t>Automated</w:t>
            </w:r>
          </w:p>
        </w:tc>
        <w:tc>
          <w:tcPr>
            <w:tcW w:w="1229" w:type="pct"/>
            <w:vAlign w:val="top"/>
          </w:tcPr>
          <w:p w14:paraId="65025A0E"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2BD3C6D4" w14:textId="77777777" w:rsidTr="001F378F">
        <w:trPr>
          <w:jc w:val="center"/>
        </w:trPr>
        <w:tc>
          <w:tcPr>
            <w:tcW w:w="1579" w:type="pct"/>
            <w:vAlign w:val="top"/>
          </w:tcPr>
          <w:p w14:paraId="5C2AAED3" w14:textId="77777777" w:rsidR="00910886" w:rsidRDefault="00910886" w:rsidP="001F378F">
            <w:pPr>
              <w:pStyle w:val="TableBody"/>
            </w:pPr>
            <w:r w:rsidRPr="003D5054">
              <w:t>Planer</w:t>
            </w:r>
          </w:p>
        </w:tc>
        <w:tc>
          <w:tcPr>
            <w:tcW w:w="1140" w:type="pct"/>
            <w:vAlign w:val="top"/>
          </w:tcPr>
          <w:p w14:paraId="6C81A9B2" w14:textId="77777777" w:rsidR="00910886" w:rsidRDefault="00910886" w:rsidP="001F378F">
            <w:pPr>
              <w:pStyle w:val="TableBody"/>
            </w:pPr>
            <w:r w:rsidRPr="00B7116C">
              <w:t>On-Demand</w:t>
            </w:r>
          </w:p>
        </w:tc>
        <w:tc>
          <w:tcPr>
            <w:tcW w:w="1052" w:type="pct"/>
            <w:vAlign w:val="top"/>
          </w:tcPr>
          <w:p w14:paraId="4557F1B9" w14:textId="77777777" w:rsidR="00910886" w:rsidRDefault="00910886" w:rsidP="001F378F">
            <w:pPr>
              <w:pStyle w:val="TableBody"/>
            </w:pPr>
            <w:r w:rsidRPr="003D5054">
              <w:t>Manned</w:t>
            </w:r>
          </w:p>
        </w:tc>
        <w:tc>
          <w:tcPr>
            <w:tcW w:w="1229" w:type="pct"/>
            <w:vAlign w:val="top"/>
          </w:tcPr>
          <w:p w14:paraId="59E11AF3"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6191DF10" w14:textId="77777777" w:rsidTr="001F378F">
        <w:trPr>
          <w:jc w:val="center"/>
        </w:trPr>
        <w:tc>
          <w:tcPr>
            <w:tcW w:w="1579" w:type="pct"/>
            <w:vAlign w:val="top"/>
          </w:tcPr>
          <w:p w14:paraId="767F71BA" w14:textId="77777777" w:rsidR="00910886" w:rsidRDefault="00910886" w:rsidP="001F378F">
            <w:pPr>
              <w:pStyle w:val="TableBody"/>
            </w:pPr>
            <w:r w:rsidRPr="003D5054">
              <w:t>Crosscut saw</w:t>
            </w:r>
          </w:p>
        </w:tc>
        <w:tc>
          <w:tcPr>
            <w:tcW w:w="1140" w:type="pct"/>
            <w:vAlign w:val="top"/>
          </w:tcPr>
          <w:p w14:paraId="123AEE0D" w14:textId="77777777" w:rsidR="00910886" w:rsidRDefault="00910886" w:rsidP="001F378F">
            <w:pPr>
              <w:pStyle w:val="TableBody"/>
            </w:pPr>
            <w:r w:rsidRPr="00B7116C">
              <w:t>On-Demand</w:t>
            </w:r>
          </w:p>
        </w:tc>
        <w:tc>
          <w:tcPr>
            <w:tcW w:w="1052" w:type="pct"/>
            <w:vAlign w:val="top"/>
          </w:tcPr>
          <w:p w14:paraId="79CB1766" w14:textId="77777777" w:rsidR="00910886" w:rsidRDefault="00910886" w:rsidP="001F378F">
            <w:pPr>
              <w:pStyle w:val="TableBody"/>
            </w:pPr>
            <w:r w:rsidRPr="003D5054">
              <w:t>Manned</w:t>
            </w:r>
          </w:p>
        </w:tc>
        <w:tc>
          <w:tcPr>
            <w:tcW w:w="1229" w:type="pct"/>
            <w:vAlign w:val="top"/>
          </w:tcPr>
          <w:p w14:paraId="7F4DAA79"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1D4F5CB2" w14:textId="77777777" w:rsidTr="001F378F">
        <w:trPr>
          <w:jc w:val="center"/>
        </w:trPr>
        <w:tc>
          <w:tcPr>
            <w:tcW w:w="1579" w:type="pct"/>
            <w:vAlign w:val="top"/>
          </w:tcPr>
          <w:p w14:paraId="34275370" w14:textId="77777777" w:rsidR="00910886" w:rsidRDefault="00910886" w:rsidP="001F378F">
            <w:pPr>
              <w:pStyle w:val="TableBody"/>
            </w:pPr>
            <w:r w:rsidRPr="003D5054">
              <w:t>Moulders</w:t>
            </w:r>
          </w:p>
        </w:tc>
        <w:tc>
          <w:tcPr>
            <w:tcW w:w="1140" w:type="pct"/>
            <w:vAlign w:val="top"/>
          </w:tcPr>
          <w:p w14:paraId="63B8B55E" w14:textId="77777777" w:rsidR="00910886" w:rsidRDefault="00910886" w:rsidP="001F378F">
            <w:pPr>
              <w:pStyle w:val="TableBody"/>
            </w:pPr>
            <w:r w:rsidRPr="00B7116C">
              <w:t>On-Demand</w:t>
            </w:r>
          </w:p>
        </w:tc>
        <w:tc>
          <w:tcPr>
            <w:tcW w:w="1052" w:type="pct"/>
            <w:vAlign w:val="top"/>
          </w:tcPr>
          <w:p w14:paraId="4012D481" w14:textId="77777777" w:rsidR="00910886" w:rsidRDefault="00910886" w:rsidP="001F378F">
            <w:pPr>
              <w:pStyle w:val="TableBody"/>
            </w:pPr>
            <w:r w:rsidRPr="003D5054">
              <w:t>Manned</w:t>
            </w:r>
          </w:p>
        </w:tc>
        <w:tc>
          <w:tcPr>
            <w:tcW w:w="1229" w:type="pct"/>
            <w:vAlign w:val="top"/>
          </w:tcPr>
          <w:p w14:paraId="2D6F2E48"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5E9CF2C9" w14:textId="77777777" w:rsidTr="001F378F">
        <w:trPr>
          <w:jc w:val="center"/>
        </w:trPr>
        <w:tc>
          <w:tcPr>
            <w:tcW w:w="1579" w:type="pct"/>
            <w:vAlign w:val="top"/>
          </w:tcPr>
          <w:p w14:paraId="08A3D8A8" w14:textId="77777777" w:rsidR="00910886" w:rsidRDefault="00910886" w:rsidP="001F378F">
            <w:pPr>
              <w:pStyle w:val="TableBody"/>
            </w:pPr>
            <w:r w:rsidRPr="003D5054">
              <w:t>Conveyors</w:t>
            </w:r>
          </w:p>
        </w:tc>
        <w:tc>
          <w:tcPr>
            <w:tcW w:w="1140" w:type="pct"/>
            <w:vAlign w:val="top"/>
          </w:tcPr>
          <w:p w14:paraId="10BB5D28" w14:textId="77777777" w:rsidR="00910886" w:rsidRDefault="00910886" w:rsidP="001F378F">
            <w:pPr>
              <w:pStyle w:val="TableBody"/>
            </w:pPr>
            <w:r w:rsidRPr="003D5054">
              <w:t>Continuous</w:t>
            </w:r>
          </w:p>
        </w:tc>
        <w:tc>
          <w:tcPr>
            <w:tcW w:w="1052" w:type="pct"/>
            <w:vAlign w:val="top"/>
          </w:tcPr>
          <w:p w14:paraId="7EF17CE0" w14:textId="77777777" w:rsidR="00910886" w:rsidRDefault="00910886" w:rsidP="001F378F">
            <w:pPr>
              <w:pStyle w:val="TableBody"/>
            </w:pPr>
            <w:r w:rsidRPr="003D5054">
              <w:t>Automated</w:t>
            </w:r>
          </w:p>
        </w:tc>
        <w:tc>
          <w:tcPr>
            <w:tcW w:w="1229" w:type="pct"/>
            <w:vAlign w:val="top"/>
          </w:tcPr>
          <w:p w14:paraId="1150AA2B"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rsidRPr="00C557EE" w14:paraId="1132FB73" w14:textId="77777777" w:rsidTr="001F378F">
        <w:trPr>
          <w:jc w:val="center"/>
        </w:trPr>
        <w:tc>
          <w:tcPr>
            <w:tcW w:w="5000" w:type="pct"/>
            <w:gridSpan w:val="4"/>
            <w:shd w:val="clear" w:color="auto" w:fill="D9D9D9" w:themeFill="background1" w:themeFillShade="D9"/>
            <w:vAlign w:val="top"/>
          </w:tcPr>
          <w:p w14:paraId="461AE794" w14:textId="77777777" w:rsidR="00910886" w:rsidRPr="00C557EE" w:rsidRDefault="00910886" w:rsidP="001F378F">
            <w:pPr>
              <w:pStyle w:val="TableBody"/>
              <w:jc w:val="center"/>
              <w:rPr>
                <w:b/>
                <w:bCs/>
                <w:color w:val="000000" w:themeColor="text1"/>
                <w:sz w:val="16"/>
                <w:szCs w:val="20"/>
              </w:rPr>
            </w:pPr>
            <w:r w:rsidRPr="00C557EE">
              <w:rPr>
                <w:b/>
                <w:bCs/>
                <w:color w:val="000000" w:themeColor="text1"/>
                <w:sz w:val="16"/>
                <w:szCs w:val="20"/>
              </w:rPr>
              <w:t>Thermal Loads</w:t>
            </w:r>
          </w:p>
        </w:tc>
      </w:tr>
      <w:tr w:rsidR="00910886" w14:paraId="4173A35A" w14:textId="77777777" w:rsidTr="001F378F">
        <w:trPr>
          <w:jc w:val="center"/>
        </w:trPr>
        <w:tc>
          <w:tcPr>
            <w:tcW w:w="1579" w:type="pct"/>
            <w:vAlign w:val="top"/>
          </w:tcPr>
          <w:p w14:paraId="6BE526B8" w14:textId="77777777" w:rsidR="00910886" w:rsidRDefault="00910886" w:rsidP="001F378F">
            <w:pPr>
              <w:pStyle w:val="TableBody"/>
            </w:pPr>
            <w:r w:rsidRPr="00C05C2B">
              <w:t>Furnaces</w:t>
            </w:r>
          </w:p>
        </w:tc>
        <w:tc>
          <w:tcPr>
            <w:tcW w:w="1140" w:type="pct"/>
            <w:vAlign w:val="top"/>
          </w:tcPr>
          <w:p w14:paraId="510B46AC" w14:textId="77777777" w:rsidR="00910886" w:rsidRDefault="00910886" w:rsidP="001F378F">
            <w:pPr>
              <w:pStyle w:val="TableBody"/>
            </w:pPr>
            <w:r w:rsidRPr="00C05C2B">
              <w:t>Continuous</w:t>
            </w:r>
          </w:p>
        </w:tc>
        <w:tc>
          <w:tcPr>
            <w:tcW w:w="1052" w:type="pct"/>
            <w:vAlign w:val="top"/>
          </w:tcPr>
          <w:p w14:paraId="38A308A1" w14:textId="77777777" w:rsidR="00910886" w:rsidRDefault="00910886" w:rsidP="001F378F">
            <w:pPr>
              <w:pStyle w:val="TableBody"/>
            </w:pPr>
            <w:r w:rsidRPr="00C05C2B">
              <w:t>Automated</w:t>
            </w:r>
          </w:p>
        </w:tc>
        <w:tc>
          <w:tcPr>
            <w:tcW w:w="1229" w:type="pct"/>
            <w:vAlign w:val="top"/>
          </w:tcPr>
          <w:p w14:paraId="618EE1A7"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7C94A10E" w14:textId="77777777" w:rsidTr="001F378F">
        <w:trPr>
          <w:jc w:val="center"/>
        </w:trPr>
        <w:tc>
          <w:tcPr>
            <w:tcW w:w="1579" w:type="pct"/>
            <w:vAlign w:val="top"/>
          </w:tcPr>
          <w:p w14:paraId="0C4E8BD1" w14:textId="77777777" w:rsidR="00910886" w:rsidRDefault="00910886" w:rsidP="001F378F">
            <w:pPr>
              <w:pStyle w:val="TableBody"/>
            </w:pPr>
            <w:r w:rsidRPr="00C05C2B">
              <w:t>Homogenisers</w:t>
            </w:r>
          </w:p>
        </w:tc>
        <w:tc>
          <w:tcPr>
            <w:tcW w:w="1140" w:type="pct"/>
            <w:vAlign w:val="top"/>
          </w:tcPr>
          <w:p w14:paraId="3C56756B" w14:textId="77777777" w:rsidR="00910886" w:rsidRDefault="00910886" w:rsidP="001F378F">
            <w:pPr>
              <w:pStyle w:val="TableBody"/>
            </w:pPr>
            <w:r w:rsidRPr="00C05C2B">
              <w:t>Continuous</w:t>
            </w:r>
          </w:p>
        </w:tc>
        <w:tc>
          <w:tcPr>
            <w:tcW w:w="1052" w:type="pct"/>
            <w:vAlign w:val="top"/>
          </w:tcPr>
          <w:p w14:paraId="5BE34EF4" w14:textId="77777777" w:rsidR="00910886" w:rsidRDefault="00910886" w:rsidP="001F378F">
            <w:pPr>
              <w:pStyle w:val="TableBody"/>
            </w:pPr>
            <w:r w:rsidRPr="00C05C2B">
              <w:t>Automated</w:t>
            </w:r>
          </w:p>
        </w:tc>
        <w:tc>
          <w:tcPr>
            <w:tcW w:w="1229" w:type="pct"/>
            <w:vAlign w:val="top"/>
          </w:tcPr>
          <w:p w14:paraId="3A58D29D"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49F923BB" w14:textId="77777777" w:rsidTr="001F378F">
        <w:trPr>
          <w:jc w:val="center"/>
        </w:trPr>
        <w:tc>
          <w:tcPr>
            <w:tcW w:w="1579" w:type="pct"/>
            <w:vAlign w:val="top"/>
          </w:tcPr>
          <w:p w14:paraId="6CF395FC" w14:textId="77777777" w:rsidR="00910886" w:rsidRDefault="00910886" w:rsidP="001F378F">
            <w:pPr>
              <w:pStyle w:val="TableBody"/>
            </w:pPr>
            <w:r w:rsidRPr="00C05C2B">
              <w:t>Dryer</w:t>
            </w:r>
          </w:p>
        </w:tc>
        <w:tc>
          <w:tcPr>
            <w:tcW w:w="1140" w:type="pct"/>
            <w:vAlign w:val="top"/>
          </w:tcPr>
          <w:p w14:paraId="57CDE725" w14:textId="77777777" w:rsidR="00910886" w:rsidRDefault="00910886" w:rsidP="001F378F">
            <w:pPr>
              <w:pStyle w:val="TableBody"/>
            </w:pPr>
            <w:r w:rsidRPr="00C05C2B">
              <w:t>Batch</w:t>
            </w:r>
          </w:p>
        </w:tc>
        <w:tc>
          <w:tcPr>
            <w:tcW w:w="1052" w:type="pct"/>
            <w:vAlign w:val="top"/>
          </w:tcPr>
          <w:p w14:paraId="1129675D" w14:textId="77777777" w:rsidR="00910886" w:rsidRDefault="00910886" w:rsidP="001F378F">
            <w:pPr>
              <w:pStyle w:val="TableBody"/>
            </w:pPr>
            <w:r w:rsidRPr="00C05C2B">
              <w:t>Automated</w:t>
            </w:r>
          </w:p>
        </w:tc>
        <w:tc>
          <w:tcPr>
            <w:tcW w:w="1229" w:type="pct"/>
            <w:vAlign w:val="top"/>
          </w:tcPr>
          <w:p w14:paraId="7C6F03FE" w14:textId="77777777" w:rsidR="00910886" w:rsidRPr="00C03039" w:rsidRDefault="00910886" w:rsidP="001F378F">
            <w:pPr>
              <w:pStyle w:val="TableBody"/>
              <w:jc w:val="center"/>
              <w:rPr>
                <w:color w:val="C29900" w:themeColor="accent2" w:themeShade="BF"/>
              </w:rPr>
            </w:pPr>
            <w:r w:rsidRPr="00AC0E40">
              <w:rPr>
                <w:color w:val="826600" w:themeColor="accent2" w:themeShade="80"/>
              </w:rPr>
              <w:t>Medium</w:t>
            </w:r>
          </w:p>
        </w:tc>
      </w:tr>
      <w:tr w:rsidR="00910886" w14:paraId="0396DF27" w14:textId="77777777" w:rsidTr="001F378F">
        <w:trPr>
          <w:jc w:val="center"/>
        </w:trPr>
        <w:tc>
          <w:tcPr>
            <w:tcW w:w="1579" w:type="pct"/>
            <w:vAlign w:val="top"/>
          </w:tcPr>
          <w:p w14:paraId="75DC8B88" w14:textId="77777777" w:rsidR="00910886" w:rsidRDefault="00910886" w:rsidP="001F378F">
            <w:pPr>
              <w:pStyle w:val="TableBody"/>
            </w:pPr>
            <w:r w:rsidRPr="00C05C2B">
              <w:lastRenderedPageBreak/>
              <w:t>Hot Feeder Extruder</w:t>
            </w:r>
          </w:p>
        </w:tc>
        <w:tc>
          <w:tcPr>
            <w:tcW w:w="1140" w:type="pct"/>
            <w:vAlign w:val="top"/>
          </w:tcPr>
          <w:p w14:paraId="28E1CF01" w14:textId="77777777" w:rsidR="00910886" w:rsidRDefault="00910886" w:rsidP="001F378F">
            <w:pPr>
              <w:pStyle w:val="TableBody"/>
            </w:pPr>
            <w:r w:rsidRPr="00C05C2B">
              <w:t>Continuous</w:t>
            </w:r>
          </w:p>
        </w:tc>
        <w:tc>
          <w:tcPr>
            <w:tcW w:w="1052" w:type="pct"/>
            <w:vAlign w:val="top"/>
          </w:tcPr>
          <w:p w14:paraId="79CF10BB" w14:textId="77777777" w:rsidR="00910886" w:rsidRDefault="00910886" w:rsidP="001F378F">
            <w:pPr>
              <w:pStyle w:val="TableBody"/>
            </w:pPr>
            <w:r w:rsidRPr="00C05C2B">
              <w:t>Hybrid</w:t>
            </w:r>
          </w:p>
        </w:tc>
        <w:tc>
          <w:tcPr>
            <w:tcW w:w="1229" w:type="pct"/>
            <w:vAlign w:val="top"/>
          </w:tcPr>
          <w:p w14:paraId="17C1DF0E" w14:textId="77777777" w:rsidR="00910886" w:rsidRPr="00C03039" w:rsidRDefault="00910886" w:rsidP="001F378F">
            <w:pPr>
              <w:pStyle w:val="TableBody"/>
              <w:jc w:val="center"/>
              <w:rPr>
                <w:color w:val="C29900" w:themeColor="accent2" w:themeShade="BF"/>
              </w:rPr>
            </w:pPr>
            <w:r w:rsidRPr="00AC0E40">
              <w:rPr>
                <w:color w:val="7A091A" w:themeColor="accent3" w:themeShade="80"/>
              </w:rPr>
              <w:t>Low</w:t>
            </w:r>
          </w:p>
        </w:tc>
      </w:tr>
      <w:tr w:rsidR="00910886" w14:paraId="675E39DB" w14:textId="77777777" w:rsidTr="001F378F">
        <w:trPr>
          <w:jc w:val="center"/>
        </w:trPr>
        <w:tc>
          <w:tcPr>
            <w:tcW w:w="1579" w:type="pct"/>
            <w:vAlign w:val="top"/>
          </w:tcPr>
          <w:p w14:paraId="4DFB7E16" w14:textId="77777777" w:rsidR="00910886" w:rsidRDefault="00910886" w:rsidP="001F378F">
            <w:pPr>
              <w:pStyle w:val="TableBody"/>
            </w:pPr>
            <w:r w:rsidRPr="00C05C2B">
              <w:t>Oil heating</w:t>
            </w:r>
          </w:p>
        </w:tc>
        <w:tc>
          <w:tcPr>
            <w:tcW w:w="1140" w:type="pct"/>
            <w:vAlign w:val="top"/>
          </w:tcPr>
          <w:p w14:paraId="4420DE32" w14:textId="77777777" w:rsidR="00910886" w:rsidRDefault="00910886" w:rsidP="001F378F">
            <w:pPr>
              <w:pStyle w:val="TableBody"/>
            </w:pPr>
            <w:r w:rsidRPr="00C05C2B">
              <w:t xml:space="preserve">Cyclical </w:t>
            </w:r>
          </w:p>
        </w:tc>
        <w:tc>
          <w:tcPr>
            <w:tcW w:w="1052" w:type="pct"/>
            <w:vAlign w:val="top"/>
          </w:tcPr>
          <w:p w14:paraId="3BF8F397" w14:textId="77777777" w:rsidR="00910886" w:rsidRDefault="00910886" w:rsidP="001F378F">
            <w:pPr>
              <w:pStyle w:val="TableBody"/>
            </w:pPr>
            <w:r w:rsidRPr="00C05C2B">
              <w:t>Automated</w:t>
            </w:r>
          </w:p>
        </w:tc>
        <w:tc>
          <w:tcPr>
            <w:tcW w:w="1229" w:type="pct"/>
            <w:vAlign w:val="top"/>
          </w:tcPr>
          <w:p w14:paraId="58A5B003" w14:textId="77777777" w:rsidR="00910886" w:rsidRDefault="00910886" w:rsidP="001F378F">
            <w:pPr>
              <w:pStyle w:val="TableBody"/>
              <w:jc w:val="center"/>
            </w:pPr>
            <w:r w:rsidRPr="00AC0E40">
              <w:rPr>
                <w:color w:val="826600" w:themeColor="accent2" w:themeShade="80"/>
              </w:rPr>
              <w:t>Medium</w:t>
            </w:r>
          </w:p>
        </w:tc>
      </w:tr>
      <w:tr w:rsidR="00910886" w14:paraId="03BC6E2E" w14:textId="77777777" w:rsidTr="001F378F">
        <w:trPr>
          <w:jc w:val="center"/>
        </w:trPr>
        <w:tc>
          <w:tcPr>
            <w:tcW w:w="1579" w:type="pct"/>
            <w:vAlign w:val="top"/>
          </w:tcPr>
          <w:p w14:paraId="24DE6D70" w14:textId="77777777" w:rsidR="00910886" w:rsidRDefault="00910886" w:rsidP="001F378F">
            <w:pPr>
              <w:pStyle w:val="TableBody"/>
            </w:pPr>
            <w:r w:rsidRPr="00C05C2B">
              <w:t>Coal / gas boilers</w:t>
            </w:r>
          </w:p>
        </w:tc>
        <w:tc>
          <w:tcPr>
            <w:tcW w:w="1140" w:type="pct"/>
            <w:vAlign w:val="top"/>
          </w:tcPr>
          <w:p w14:paraId="0419243A" w14:textId="77777777" w:rsidR="00910886" w:rsidRDefault="00910886" w:rsidP="001F378F">
            <w:pPr>
              <w:pStyle w:val="TableBody"/>
            </w:pPr>
            <w:r w:rsidRPr="00C05C2B">
              <w:t>Continuous</w:t>
            </w:r>
          </w:p>
        </w:tc>
        <w:tc>
          <w:tcPr>
            <w:tcW w:w="1052" w:type="pct"/>
            <w:vAlign w:val="top"/>
          </w:tcPr>
          <w:p w14:paraId="538F83EF" w14:textId="77777777" w:rsidR="00910886" w:rsidRDefault="00910886" w:rsidP="001F378F">
            <w:pPr>
              <w:pStyle w:val="TableBody"/>
            </w:pPr>
            <w:r w:rsidRPr="00C05C2B">
              <w:t>Automated</w:t>
            </w:r>
          </w:p>
        </w:tc>
        <w:tc>
          <w:tcPr>
            <w:tcW w:w="1229" w:type="pct"/>
            <w:vAlign w:val="top"/>
          </w:tcPr>
          <w:p w14:paraId="43C550E0"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2C803AF7" w14:textId="77777777" w:rsidTr="001F378F">
        <w:trPr>
          <w:jc w:val="center"/>
        </w:trPr>
        <w:tc>
          <w:tcPr>
            <w:tcW w:w="1579" w:type="pct"/>
            <w:vAlign w:val="top"/>
          </w:tcPr>
          <w:p w14:paraId="6EDB9527" w14:textId="77777777" w:rsidR="00910886" w:rsidRDefault="00910886" w:rsidP="001F378F">
            <w:pPr>
              <w:pStyle w:val="TableBody"/>
            </w:pPr>
            <w:r w:rsidRPr="00C05C2B">
              <w:t>Stirrers</w:t>
            </w:r>
          </w:p>
        </w:tc>
        <w:tc>
          <w:tcPr>
            <w:tcW w:w="1140" w:type="pct"/>
            <w:vAlign w:val="top"/>
          </w:tcPr>
          <w:p w14:paraId="78F5ED14" w14:textId="77777777" w:rsidR="00910886" w:rsidRDefault="00910886" w:rsidP="001F378F">
            <w:pPr>
              <w:pStyle w:val="TableBody"/>
            </w:pPr>
            <w:r w:rsidRPr="00C05C2B">
              <w:t>Continuous</w:t>
            </w:r>
          </w:p>
        </w:tc>
        <w:tc>
          <w:tcPr>
            <w:tcW w:w="1052" w:type="pct"/>
            <w:vAlign w:val="top"/>
          </w:tcPr>
          <w:p w14:paraId="0D951879" w14:textId="77777777" w:rsidR="00910886" w:rsidRDefault="00910886" w:rsidP="001F378F">
            <w:pPr>
              <w:pStyle w:val="TableBody"/>
            </w:pPr>
            <w:r w:rsidRPr="00C05C2B">
              <w:t>Automated</w:t>
            </w:r>
          </w:p>
        </w:tc>
        <w:tc>
          <w:tcPr>
            <w:tcW w:w="1229" w:type="pct"/>
            <w:vAlign w:val="top"/>
          </w:tcPr>
          <w:p w14:paraId="2BD88558"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68CCF767" w14:textId="77777777" w:rsidTr="001F378F">
        <w:trPr>
          <w:jc w:val="center"/>
        </w:trPr>
        <w:tc>
          <w:tcPr>
            <w:tcW w:w="1579" w:type="pct"/>
            <w:vAlign w:val="top"/>
          </w:tcPr>
          <w:p w14:paraId="4E62DFD6" w14:textId="77777777" w:rsidR="00910886" w:rsidRDefault="00910886" w:rsidP="001F378F">
            <w:pPr>
              <w:pStyle w:val="TableBody"/>
            </w:pPr>
            <w:r w:rsidRPr="00C05C2B">
              <w:t>Plastic injection machines</w:t>
            </w:r>
          </w:p>
        </w:tc>
        <w:tc>
          <w:tcPr>
            <w:tcW w:w="1140" w:type="pct"/>
            <w:vAlign w:val="top"/>
          </w:tcPr>
          <w:p w14:paraId="4231E0DF" w14:textId="77777777" w:rsidR="00910886" w:rsidRDefault="00910886" w:rsidP="001F378F">
            <w:pPr>
              <w:pStyle w:val="TableBody"/>
            </w:pPr>
            <w:r w:rsidRPr="00C05C2B">
              <w:t>Batch</w:t>
            </w:r>
          </w:p>
        </w:tc>
        <w:tc>
          <w:tcPr>
            <w:tcW w:w="1052" w:type="pct"/>
            <w:vAlign w:val="top"/>
          </w:tcPr>
          <w:p w14:paraId="0E8C9379" w14:textId="77777777" w:rsidR="00910886" w:rsidRDefault="00910886" w:rsidP="001F378F">
            <w:pPr>
              <w:pStyle w:val="TableBody"/>
            </w:pPr>
            <w:r w:rsidRPr="00C05C2B">
              <w:t>Automated</w:t>
            </w:r>
          </w:p>
        </w:tc>
        <w:tc>
          <w:tcPr>
            <w:tcW w:w="1229" w:type="pct"/>
            <w:vAlign w:val="top"/>
          </w:tcPr>
          <w:p w14:paraId="42022EDF" w14:textId="77777777" w:rsidR="00910886" w:rsidRPr="00C03039" w:rsidRDefault="00910886" w:rsidP="001F378F">
            <w:pPr>
              <w:pStyle w:val="TableBody"/>
              <w:jc w:val="center"/>
              <w:rPr>
                <w:color w:val="B60E28" w:themeColor="accent3" w:themeShade="BF"/>
              </w:rPr>
            </w:pPr>
            <w:r w:rsidRPr="00AC0E40">
              <w:rPr>
                <w:color w:val="826600" w:themeColor="accent2" w:themeShade="80"/>
              </w:rPr>
              <w:t>Medium</w:t>
            </w:r>
          </w:p>
        </w:tc>
      </w:tr>
      <w:tr w:rsidR="00910886" w14:paraId="43244321" w14:textId="77777777" w:rsidTr="001F378F">
        <w:trPr>
          <w:jc w:val="center"/>
        </w:trPr>
        <w:tc>
          <w:tcPr>
            <w:tcW w:w="1579" w:type="pct"/>
            <w:vAlign w:val="top"/>
          </w:tcPr>
          <w:p w14:paraId="1A3C14D2" w14:textId="77777777" w:rsidR="00910886" w:rsidRDefault="00910886" w:rsidP="001F378F">
            <w:pPr>
              <w:pStyle w:val="TableBody"/>
            </w:pPr>
            <w:r w:rsidRPr="00C05C2B">
              <w:t>Vulcanisers</w:t>
            </w:r>
          </w:p>
        </w:tc>
        <w:tc>
          <w:tcPr>
            <w:tcW w:w="1140" w:type="pct"/>
            <w:vAlign w:val="top"/>
          </w:tcPr>
          <w:p w14:paraId="0DF76D12" w14:textId="77777777" w:rsidR="00910886" w:rsidRDefault="00910886" w:rsidP="001F378F">
            <w:pPr>
              <w:pStyle w:val="TableBody"/>
            </w:pPr>
            <w:r w:rsidRPr="00C05C2B">
              <w:t>Batch</w:t>
            </w:r>
          </w:p>
        </w:tc>
        <w:tc>
          <w:tcPr>
            <w:tcW w:w="1052" w:type="pct"/>
            <w:vAlign w:val="top"/>
          </w:tcPr>
          <w:p w14:paraId="68200887" w14:textId="77777777" w:rsidR="00910886" w:rsidRDefault="00910886" w:rsidP="001F378F">
            <w:pPr>
              <w:pStyle w:val="TableBody"/>
            </w:pPr>
            <w:r w:rsidRPr="00C05C2B">
              <w:t>Automated</w:t>
            </w:r>
          </w:p>
        </w:tc>
        <w:tc>
          <w:tcPr>
            <w:tcW w:w="1229" w:type="pct"/>
            <w:vAlign w:val="top"/>
          </w:tcPr>
          <w:p w14:paraId="2FF41DB4" w14:textId="77777777" w:rsidR="00910886" w:rsidRPr="00C03039" w:rsidRDefault="00910886" w:rsidP="001F378F">
            <w:pPr>
              <w:pStyle w:val="TableBody"/>
              <w:jc w:val="center"/>
              <w:rPr>
                <w:color w:val="B60E28" w:themeColor="accent3" w:themeShade="BF"/>
              </w:rPr>
            </w:pPr>
            <w:r w:rsidRPr="00AC0E40">
              <w:rPr>
                <w:color w:val="826600" w:themeColor="accent2" w:themeShade="80"/>
              </w:rPr>
              <w:t>Medium</w:t>
            </w:r>
          </w:p>
        </w:tc>
      </w:tr>
      <w:tr w:rsidR="00910886" w14:paraId="27091DF8" w14:textId="77777777" w:rsidTr="001F378F">
        <w:trPr>
          <w:jc w:val="center"/>
        </w:trPr>
        <w:tc>
          <w:tcPr>
            <w:tcW w:w="1579" w:type="pct"/>
            <w:vAlign w:val="top"/>
          </w:tcPr>
          <w:p w14:paraId="6130206E" w14:textId="77777777" w:rsidR="00910886" w:rsidRPr="0099085E" w:rsidRDefault="00910886" w:rsidP="001F378F">
            <w:pPr>
              <w:pStyle w:val="TableBody"/>
            </w:pPr>
            <w:r w:rsidRPr="00C05C2B">
              <w:t>Hot press</w:t>
            </w:r>
          </w:p>
        </w:tc>
        <w:tc>
          <w:tcPr>
            <w:tcW w:w="1140" w:type="pct"/>
            <w:vAlign w:val="top"/>
          </w:tcPr>
          <w:p w14:paraId="0E58F4D4" w14:textId="77777777" w:rsidR="00910886" w:rsidRPr="0099085E" w:rsidRDefault="00910886" w:rsidP="001F378F">
            <w:pPr>
              <w:pStyle w:val="TableBody"/>
            </w:pPr>
            <w:r w:rsidRPr="00C05C2B">
              <w:t>Batch</w:t>
            </w:r>
          </w:p>
        </w:tc>
        <w:tc>
          <w:tcPr>
            <w:tcW w:w="1052" w:type="pct"/>
            <w:vAlign w:val="top"/>
          </w:tcPr>
          <w:p w14:paraId="05B52CD4" w14:textId="77777777" w:rsidR="00910886" w:rsidRPr="0099085E" w:rsidRDefault="00910886" w:rsidP="001F378F">
            <w:pPr>
              <w:pStyle w:val="TableBody"/>
            </w:pPr>
            <w:r w:rsidRPr="00C05C2B">
              <w:t>Hybrid</w:t>
            </w:r>
          </w:p>
        </w:tc>
        <w:tc>
          <w:tcPr>
            <w:tcW w:w="1229" w:type="pct"/>
            <w:vAlign w:val="top"/>
          </w:tcPr>
          <w:p w14:paraId="12858341" w14:textId="77777777" w:rsidR="00910886" w:rsidRPr="00C03039" w:rsidRDefault="00910886" w:rsidP="001F378F">
            <w:pPr>
              <w:pStyle w:val="TableBody"/>
              <w:jc w:val="center"/>
              <w:rPr>
                <w:color w:val="B60E28" w:themeColor="accent3" w:themeShade="BF"/>
              </w:rPr>
            </w:pPr>
            <w:r w:rsidRPr="00AC0E40">
              <w:rPr>
                <w:color w:val="7A091A" w:themeColor="accent3" w:themeShade="80"/>
              </w:rPr>
              <w:t>Low</w:t>
            </w:r>
          </w:p>
        </w:tc>
      </w:tr>
      <w:tr w:rsidR="00910886" w14:paraId="0DEFA6FB" w14:textId="77777777" w:rsidTr="001F378F">
        <w:trPr>
          <w:jc w:val="center"/>
        </w:trPr>
        <w:tc>
          <w:tcPr>
            <w:tcW w:w="1579" w:type="pct"/>
            <w:vAlign w:val="top"/>
          </w:tcPr>
          <w:p w14:paraId="23CF8644" w14:textId="77777777" w:rsidR="00910886" w:rsidRDefault="00910886" w:rsidP="001F378F">
            <w:pPr>
              <w:pStyle w:val="TableBody"/>
            </w:pPr>
            <w:r w:rsidRPr="00C05C2B">
              <w:t>Infra-red / curing ovens</w:t>
            </w:r>
          </w:p>
        </w:tc>
        <w:tc>
          <w:tcPr>
            <w:tcW w:w="1140" w:type="pct"/>
            <w:vAlign w:val="top"/>
          </w:tcPr>
          <w:p w14:paraId="6B5EAA01" w14:textId="77777777" w:rsidR="00910886" w:rsidRDefault="00910886" w:rsidP="001F378F">
            <w:pPr>
              <w:pStyle w:val="TableBody"/>
            </w:pPr>
            <w:r w:rsidRPr="00C05C2B">
              <w:t>Batch</w:t>
            </w:r>
          </w:p>
        </w:tc>
        <w:tc>
          <w:tcPr>
            <w:tcW w:w="1052" w:type="pct"/>
            <w:vAlign w:val="top"/>
          </w:tcPr>
          <w:p w14:paraId="29ACD742" w14:textId="77777777" w:rsidR="00910886" w:rsidRDefault="00910886" w:rsidP="001F378F">
            <w:pPr>
              <w:pStyle w:val="TableBody"/>
            </w:pPr>
            <w:r w:rsidRPr="00C05C2B">
              <w:t>Hybrid</w:t>
            </w:r>
          </w:p>
        </w:tc>
        <w:tc>
          <w:tcPr>
            <w:tcW w:w="1229" w:type="pct"/>
            <w:vAlign w:val="top"/>
          </w:tcPr>
          <w:p w14:paraId="66CAD238" w14:textId="77777777" w:rsidR="00910886" w:rsidRPr="00C03039" w:rsidRDefault="00910886" w:rsidP="001F378F">
            <w:pPr>
              <w:pStyle w:val="TableBody"/>
              <w:jc w:val="center"/>
              <w:rPr>
                <w:color w:val="B60E28" w:themeColor="accent3" w:themeShade="BF"/>
              </w:rPr>
            </w:pPr>
            <w:r w:rsidRPr="00AC0E40">
              <w:rPr>
                <w:color w:val="826600" w:themeColor="accent2" w:themeShade="80"/>
              </w:rPr>
              <w:t>Medium</w:t>
            </w:r>
          </w:p>
        </w:tc>
      </w:tr>
      <w:tr w:rsidR="00910886" w:rsidRPr="00C557EE" w14:paraId="2F8E2DD7" w14:textId="77777777" w:rsidTr="001F378F">
        <w:trPr>
          <w:jc w:val="center"/>
        </w:trPr>
        <w:tc>
          <w:tcPr>
            <w:tcW w:w="5000" w:type="pct"/>
            <w:gridSpan w:val="4"/>
            <w:shd w:val="clear" w:color="auto" w:fill="D9D9D9" w:themeFill="background1" w:themeFillShade="D9"/>
            <w:vAlign w:val="top"/>
          </w:tcPr>
          <w:p w14:paraId="3DE5AF98" w14:textId="77777777" w:rsidR="00910886" w:rsidRPr="00C557EE" w:rsidRDefault="00910886" w:rsidP="001F378F">
            <w:pPr>
              <w:pStyle w:val="TableBody"/>
              <w:jc w:val="center"/>
              <w:rPr>
                <w:b/>
                <w:bCs/>
                <w:sz w:val="16"/>
                <w:szCs w:val="20"/>
              </w:rPr>
            </w:pPr>
            <w:r w:rsidRPr="00C557EE">
              <w:rPr>
                <w:b/>
                <w:bCs/>
                <w:color w:val="000000" w:themeColor="text1"/>
                <w:sz w:val="16"/>
                <w:szCs w:val="20"/>
              </w:rPr>
              <w:t>Compressed Air</w:t>
            </w:r>
          </w:p>
        </w:tc>
      </w:tr>
      <w:tr w:rsidR="00910886" w14:paraId="66D44D70" w14:textId="77777777" w:rsidTr="001F378F">
        <w:trPr>
          <w:jc w:val="center"/>
        </w:trPr>
        <w:tc>
          <w:tcPr>
            <w:tcW w:w="1579" w:type="pct"/>
            <w:vAlign w:val="top"/>
          </w:tcPr>
          <w:p w14:paraId="7C815FDA" w14:textId="77777777" w:rsidR="00910886" w:rsidRDefault="00910886" w:rsidP="001F378F">
            <w:pPr>
              <w:pStyle w:val="TableBody"/>
            </w:pPr>
            <w:r w:rsidRPr="0066325A">
              <w:t>Air compressors</w:t>
            </w:r>
          </w:p>
        </w:tc>
        <w:tc>
          <w:tcPr>
            <w:tcW w:w="1140" w:type="pct"/>
            <w:vAlign w:val="top"/>
          </w:tcPr>
          <w:p w14:paraId="0A472ABB" w14:textId="77777777" w:rsidR="00910886" w:rsidRDefault="00910886" w:rsidP="001F378F">
            <w:pPr>
              <w:pStyle w:val="TableBody"/>
            </w:pPr>
            <w:r w:rsidRPr="0066325A">
              <w:t>Cyclical</w:t>
            </w:r>
          </w:p>
        </w:tc>
        <w:tc>
          <w:tcPr>
            <w:tcW w:w="1052" w:type="pct"/>
            <w:vAlign w:val="top"/>
          </w:tcPr>
          <w:p w14:paraId="673EF736" w14:textId="77777777" w:rsidR="00910886" w:rsidRDefault="00910886" w:rsidP="001F378F">
            <w:pPr>
              <w:pStyle w:val="TableBody"/>
            </w:pPr>
            <w:r w:rsidRPr="0066325A">
              <w:t>Automated</w:t>
            </w:r>
          </w:p>
        </w:tc>
        <w:tc>
          <w:tcPr>
            <w:tcW w:w="1229" w:type="pct"/>
            <w:vAlign w:val="top"/>
          </w:tcPr>
          <w:p w14:paraId="759EC40E" w14:textId="77777777" w:rsidR="00910886" w:rsidRDefault="00910886" w:rsidP="001F378F">
            <w:pPr>
              <w:pStyle w:val="TableBody"/>
              <w:jc w:val="center"/>
            </w:pPr>
            <w:r w:rsidRPr="00AC0E40">
              <w:rPr>
                <w:color w:val="004D34" w:themeColor="accent4" w:themeShade="80"/>
              </w:rPr>
              <w:t>High</w:t>
            </w:r>
          </w:p>
        </w:tc>
      </w:tr>
      <w:tr w:rsidR="00910886" w14:paraId="485A91A1" w14:textId="77777777" w:rsidTr="001F378F">
        <w:trPr>
          <w:jc w:val="center"/>
        </w:trPr>
        <w:tc>
          <w:tcPr>
            <w:tcW w:w="5000" w:type="pct"/>
            <w:gridSpan w:val="4"/>
            <w:shd w:val="clear" w:color="auto" w:fill="D9D9D9" w:themeFill="background1" w:themeFillShade="D9"/>
          </w:tcPr>
          <w:p w14:paraId="79ABA15E" w14:textId="77777777" w:rsidR="00910886" w:rsidRPr="0066325A" w:rsidRDefault="00910886" w:rsidP="001F378F">
            <w:pPr>
              <w:pStyle w:val="TableBody"/>
              <w:jc w:val="center"/>
            </w:pPr>
            <w:r w:rsidRPr="00C557EE">
              <w:rPr>
                <w:b/>
                <w:bCs/>
                <w:color w:val="000000" w:themeColor="text1"/>
                <w:sz w:val="16"/>
                <w:szCs w:val="20"/>
              </w:rPr>
              <w:t>Environmental Control – System maintaining safety-critical, regulatory, or process safety</w:t>
            </w:r>
          </w:p>
        </w:tc>
      </w:tr>
      <w:tr w:rsidR="00910886" w14:paraId="5D68747A" w14:textId="77777777" w:rsidTr="001F378F">
        <w:trPr>
          <w:jc w:val="center"/>
        </w:trPr>
        <w:tc>
          <w:tcPr>
            <w:tcW w:w="1579" w:type="pct"/>
            <w:vAlign w:val="top"/>
          </w:tcPr>
          <w:p w14:paraId="55919857" w14:textId="77777777" w:rsidR="00910886" w:rsidRPr="0066325A" w:rsidRDefault="00910886" w:rsidP="001F378F">
            <w:pPr>
              <w:pStyle w:val="TableBody"/>
            </w:pPr>
            <w:r w:rsidRPr="007006DD">
              <w:t>Refrigeration (chillers)</w:t>
            </w:r>
          </w:p>
        </w:tc>
        <w:tc>
          <w:tcPr>
            <w:tcW w:w="1140" w:type="pct"/>
            <w:vAlign w:val="top"/>
          </w:tcPr>
          <w:p w14:paraId="4D8E2D0D" w14:textId="77777777" w:rsidR="00910886" w:rsidRPr="0066325A" w:rsidRDefault="00910886" w:rsidP="001F378F">
            <w:pPr>
              <w:pStyle w:val="TableBody"/>
            </w:pPr>
            <w:r w:rsidRPr="007006DD">
              <w:t>Continuous</w:t>
            </w:r>
          </w:p>
        </w:tc>
        <w:tc>
          <w:tcPr>
            <w:tcW w:w="1052" w:type="pct"/>
            <w:vAlign w:val="top"/>
          </w:tcPr>
          <w:p w14:paraId="626337B1" w14:textId="77777777" w:rsidR="00910886" w:rsidRPr="0066325A" w:rsidRDefault="00910886" w:rsidP="001F378F">
            <w:pPr>
              <w:pStyle w:val="TableBody"/>
            </w:pPr>
            <w:r w:rsidRPr="007006DD">
              <w:t>Automated</w:t>
            </w:r>
          </w:p>
        </w:tc>
        <w:tc>
          <w:tcPr>
            <w:tcW w:w="1229" w:type="pct"/>
            <w:vAlign w:val="top"/>
          </w:tcPr>
          <w:p w14:paraId="135C77B1" w14:textId="77777777" w:rsidR="00910886" w:rsidRPr="0066325A" w:rsidRDefault="00910886" w:rsidP="001F378F">
            <w:pPr>
              <w:pStyle w:val="TableBody"/>
              <w:jc w:val="center"/>
            </w:pPr>
            <w:r w:rsidRPr="00AC0E40">
              <w:rPr>
                <w:color w:val="826600" w:themeColor="accent2" w:themeShade="80"/>
              </w:rPr>
              <w:t>Medium</w:t>
            </w:r>
          </w:p>
        </w:tc>
      </w:tr>
      <w:tr w:rsidR="00910886" w14:paraId="517B299C" w14:textId="77777777" w:rsidTr="001F378F">
        <w:trPr>
          <w:jc w:val="center"/>
        </w:trPr>
        <w:tc>
          <w:tcPr>
            <w:tcW w:w="1579" w:type="pct"/>
            <w:vAlign w:val="top"/>
          </w:tcPr>
          <w:p w14:paraId="0B49487C" w14:textId="77777777" w:rsidR="00910886" w:rsidRPr="0066325A" w:rsidRDefault="00910886" w:rsidP="001F378F">
            <w:pPr>
              <w:pStyle w:val="TableBody"/>
            </w:pPr>
            <w:r w:rsidRPr="007006DD">
              <w:t xml:space="preserve">Mine / </w:t>
            </w:r>
            <w:r>
              <w:t>P</w:t>
            </w:r>
            <w:r w:rsidRPr="007006DD">
              <w:t>rocess ventilation fans</w:t>
            </w:r>
          </w:p>
        </w:tc>
        <w:tc>
          <w:tcPr>
            <w:tcW w:w="1140" w:type="pct"/>
            <w:vAlign w:val="top"/>
          </w:tcPr>
          <w:p w14:paraId="156E808F" w14:textId="77777777" w:rsidR="00910886" w:rsidRPr="0066325A" w:rsidRDefault="00910886" w:rsidP="001F378F">
            <w:pPr>
              <w:pStyle w:val="TableBody"/>
            </w:pPr>
            <w:r w:rsidRPr="007006DD">
              <w:t>Continuous</w:t>
            </w:r>
          </w:p>
        </w:tc>
        <w:tc>
          <w:tcPr>
            <w:tcW w:w="1052" w:type="pct"/>
            <w:vAlign w:val="top"/>
          </w:tcPr>
          <w:p w14:paraId="4B46BAAD" w14:textId="77777777" w:rsidR="00910886" w:rsidRPr="0066325A" w:rsidRDefault="00910886" w:rsidP="001F378F">
            <w:pPr>
              <w:pStyle w:val="TableBody"/>
            </w:pPr>
            <w:r w:rsidRPr="007006DD">
              <w:t>Automated</w:t>
            </w:r>
          </w:p>
        </w:tc>
        <w:tc>
          <w:tcPr>
            <w:tcW w:w="1229" w:type="pct"/>
            <w:vAlign w:val="top"/>
          </w:tcPr>
          <w:p w14:paraId="737458AF"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377D341A" w14:textId="77777777" w:rsidTr="001F378F">
        <w:trPr>
          <w:jc w:val="center"/>
        </w:trPr>
        <w:tc>
          <w:tcPr>
            <w:tcW w:w="1579" w:type="pct"/>
            <w:vAlign w:val="top"/>
          </w:tcPr>
          <w:p w14:paraId="7CF81F35" w14:textId="77777777" w:rsidR="00910886" w:rsidRPr="0066325A" w:rsidRDefault="00910886" w:rsidP="001F378F">
            <w:pPr>
              <w:pStyle w:val="TableBody"/>
            </w:pPr>
            <w:r w:rsidRPr="007006DD">
              <w:t>HEPA filtration systems</w:t>
            </w:r>
          </w:p>
        </w:tc>
        <w:tc>
          <w:tcPr>
            <w:tcW w:w="1140" w:type="pct"/>
            <w:vAlign w:val="top"/>
          </w:tcPr>
          <w:p w14:paraId="55D236C7" w14:textId="77777777" w:rsidR="00910886" w:rsidRPr="0066325A" w:rsidRDefault="00910886" w:rsidP="001F378F">
            <w:pPr>
              <w:pStyle w:val="TableBody"/>
            </w:pPr>
            <w:r w:rsidRPr="007006DD">
              <w:t>Continuous</w:t>
            </w:r>
          </w:p>
        </w:tc>
        <w:tc>
          <w:tcPr>
            <w:tcW w:w="1052" w:type="pct"/>
            <w:vAlign w:val="top"/>
          </w:tcPr>
          <w:p w14:paraId="7C8C5A50" w14:textId="77777777" w:rsidR="00910886" w:rsidRPr="0066325A" w:rsidRDefault="00910886" w:rsidP="001F378F">
            <w:pPr>
              <w:pStyle w:val="TableBody"/>
            </w:pPr>
            <w:r w:rsidRPr="007006DD">
              <w:t>Automated</w:t>
            </w:r>
          </w:p>
        </w:tc>
        <w:tc>
          <w:tcPr>
            <w:tcW w:w="1229" w:type="pct"/>
            <w:vAlign w:val="top"/>
          </w:tcPr>
          <w:p w14:paraId="2F71B017"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45592D66" w14:textId="77777777" w:rsidTr="001F378F">
        <w:trPr>
          <w:jc w:val="center"/>
        </w:trPr>
        <w:tc>
          <w:tcPr>
            <w:tcW w:w="1579" w:type="pct"/>
            <w:vAlign w:val="top"/>
          </w:tcPr>
          <w:p w14:paraId="5944A9CD" w14:textId="77777777" w:rsidR="00910886" w:rsidRPr="0066325A" w:rsidRDefault="00910886" w:rsidP="001F378F">
            <w:pPr>
              <w:pStyle w:val="TableBody"/>
            </w:pPr>
            <w:r w:rsidRPr="007006DD">
              <w:t>Humidifier (process)</w:t>
            </w:r>
          </w:p>
        </w:tc>
        <w:tc>
          <w:tcPr>
            <w:tcW w:w="1140" w:type="pct"/>
            <w:vAlign w:val="top"/>
          </w:tcPr>
          <w:p w14:paraId="3A330DF1" w14:textId="77777777" w:rsidR="00910886" w:rsidRPr="0066325A" w:rsidRDefault="00910886" w:rsidP="001F378F">
            <w:pPr>
              <w:pStyle w:val="TableBody"/>
            </w:pPr>
            <w:r w:rsidRPr="007006DD">
              <w:t>Cyclical</w:t>
            </w:r>
          </w:p>
        </w:tc>
        <w:tc>
          <w:tcPr>
            <w:tcW w:w="1052" w:type="pct"/>
            <w:vAlign w:val="top"/>
          </w:tcPr>
          <w:p w14:paraId="53AAA2AD" w14:textId="77777777" w:rsidR="00910886" w:rsidRPr="0066325A" w:rsidRDefault="00910886" w:rsidP="001F378F">
            <w:pPr>
              <w:pStyle w:val="TableBody"/>
            </w:pPr>
            <w:r w:rsidRPr="007006DD">
              <w:t>Automated</w:t>
            </w:r>
          </w:p>
        </w:tc>
        <w:tc>
          <w:tcPr>
            <w:tcW w:w="1229" w:type="pct"/>
            <w:vAlign w:val="top"/>
          </w:tcPr>
          <w:p w14:paraId="542FB5AA"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712DC48D" w14:textId="77777777" w:rsidTr="001F378F">
        <w:trPr>
          <w:jc w:val="center"/>
        </w:trPr>
        <w:tc>
          <w:tcPr>
            <w:tcW w:w="1579" w:type="pct"/>
            <w:vAlign w:val="top"/>
          </w:tcPr>
          <w:p w14:paraId="092F7873" w14:textId="77777777" w:rsidR="00910886" w:rsidRPr="0066325A" w:rsidRDefault="00910886" w:rsidP="001F378F">
            <w:pPr>
              <w:pStyle w:val="TableBody"/>
            </w:pPr>
            <w:r w:rsidRPr="007006DD">
              <w:t>Odour control furnace</w:t>
            </w:r>
          </w:p>
        </w:tc>
        <w:tc>
          <w:tcPr>
            <w:tcW w:w="1140" w:type="pct"/>
            <w:vAlign w:val="top"/>
          </w:tcPr>
          <w:p w14:paraId="7D2C97CF" w14:textId="77777777" w:rsidR="00910886" w:rsidRPr="0066325A" w:rsidRDefault="00910886" w:rsidP="001F378F">
            <w:pPr>
              <w:pStyle w:val="TableBody"/>
            </w:pPr>
            <w:r w:rsidRPr="007006DD">
              <w:t>Continuous</w:t>
            </w:r>
          </w:p>
        </w:tc>
        <w:tc>
          <w:tcPr>
            <w:tcW w:w="1052" w:type="pct"/>
            <w:vAlign w:val="top"/>
          </w:tcPr>
          <w:p w14:paraId="32C8DDB5" w14:textId="77777777" w:rsidR="00910886" w:rsidRPr="0066325A" w:rsidRDefault="00910886" w:rsidP="001F378F">
            <w:pPr>
              <w:pStyle w:val="TableBody"/>
            </w:pPr>
            <w:r w:rsidRPr="007006DD">
              <w:t>Automated</w:t>
            </w:r>
          </w:p>
        </w:tc>
        <w:tc>
          <w:tcPr>
            <w:tcW w:w="1229" w:type="pct"/>
            <w:vAlign w:val="top"/>
          </w:tcPr>
          <w:p w14:paraId="5EEE25D2"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24571E0F" w14:textId="77777777" w:rsidTr="001F378F">
        <w:trPr>
          <w:jc w:val="center"/>
        </w:trPr>
        <w:tc>
          <w:tcPr>
            <w:tcW w:w="1579" w:type="pct"/>
            <w:vAlign w:val="top"/>
          </w:tcPr>
          <w:p w14:paraId="03DA3835" w14:textId="77777777" w:rsidR="00910886" w:rsidRPr="0066325A" w:rsidRDefault="00910886" w:rsidP="001F378F">
            <w:pPr>
              <w:pStyle w:val="TableBody"/>
            </w:pPr>
            <w:r w:rsidRPr="007006DD">
              <w:t>Condenser systems</w:t>
            </w:r>
          </w:p>
        </w:tc>
        <w:tc>
          <w:tcPr>
            <w:tcW w:w="1140" w:type="pct"/>
            <w:vAlign w:val="top"/>
          </w:tcPr>
          <w:p w14:paraId="65AAFAC8" w14:textId="77777777" w:rsidR="00910886" w:rsidRPr="0066325A" w:rsidRDefault="00910886" w:rsidP="001F378F">
            <w:pPr>
              <w:pStyle w:val="TableBody"/>
            </w:pPr>
            <w:r w:rsidRPr="007006DD">
              <w:t>Continuous</w:t>
            </w:r>
          </w:p>
        </w:tc>
        <w:tc>
          <w:tcPr>
            <w:tcW w:w="1052" w:type="pct"/>
            <w:vAlign w:val="top"/>
          </w:tcPr>
          <w:p w14:paraId="6B63A6F7" w14:textId="77777777" w:rsidR="00910886" w:rsidRPr="0066325A" w:rsidRDefault="00910886" w:rsidP="001F378F">
            <w:pPr>
              <w:pStyle w:val="TableBody"/>
            </w:pPr>
            <w:r w:rsidRPr="007006DD">
              <w:t>Automated</w:t>
            </w:r>
          </w:p>
        </w:tc>
        <w:tc>
          <w:tcPr>
            <w:tcW w:w="1229" w:type="pct"/>
            <w:vAlign w:val="top"/>
          </w:tcPr>
          <w:p w14:paraId="6909498A"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rsidRPr="00C557EE" w14:paraId="643EE072" w14:textId="77777777" w:rsidTr="001F378F">
        <w:trPr>
          <w:jc w:val="center"/>
        </w:trPr>
        <w:tc>
          <w:tcPr>
            <w:tcW w:w="5000" w:type="pct"/>
            <w:gridSpan w:val="4"/>
            <w:shd w:val="clear" w:color="auto" w:fill="D9D9D9" w:themeFill="background1" w:themeFillShade="D9"/>
          </w:tcPr>
          <w:p w14:paraId="3D28E0A5" w14:textId="77777777" w:rsidR="00910886" w:rsidRPr="00C557EE" w:rsidRDefault="00910886" w:rsidP="001F378F">
            <w:pPr>
              <w:pStyle w:val="TableBody"/>
              <w:jc w:val="center"/>
              <w:rPr>
                <w:sz w:val="16"/>
                <w:szCs w:val="20"/>
              </w:rPr>
            </w:pPr>
            <w:r w:rsidRPr="00C557EE">
              <w:rPr>
                <w:sz w:val="16"/>
                <w:szCs w:val="20"/>
              </w:rPr>
              <w:t>Pumping and Water Systems</w:t>
            </w:r>
          </w:p>
        </w:tc>
      </w:tr>
      <w:tr w:rsidR="00910886" w14:paraId="698B175F" w14:textId="77777777" w:rsidTr="001F378F">
        <w:trPr>
          <w:jc w:val="center"/>
        </w:trPr>
        <w:tc>
          <w:tcPr>
            <w:tcW w:w="1579" w:type="pct"/>
            <w:vAlign w:val="top"/>
          </w:tcPr>
          <w:p w14:paraId="5B3572B1" w14:textId="77777777" w:rsidR="00910886" w:rsidRPr="0066325A" w:rsidRDefault="00910886" w:rsidP="001F378F">
            <w:pPr>
              <w:pStyle w:val="TableBody"/>
            </w:pPr>
            <w:r w:rsidRPr="00E341D2">
              <w:t>General pumping systems</w:t>
            </w:r>
          </w:p>
        </w:tc>
        <w:tc>
          <w:tcPr>
            <w:tcW w:w="1140" w:type="pct"/>
            <w:vAlign w:val="top"/>
          </w:tcPr>
          <w:p w14:paraId="2C7DE51E" w14:textId="77777777" w:rsidR="00910886" w:rsidRPr="0066325A" w:rsidRDefault="00910886" w:rsidP="001F378F">
            <w:pPr>
              <w:pStyle w:val="TableBody"/>
            </w:pPr>
            <w:r w:rsidRPr="00E341D2">
              <w:t>Cyclical</w:t>
            </w:r>
          </w:p>
        </w:tc>
        <w:tc>
          <w:tcPr>
            <w:tcW w:w="1052" w:type="pct"/>
            <w:vAlign w:val="top"/>
          </w:tcPr>
          <w:p w14:paraId="74CB6A31" w14:textId="77777777" w:rsidR="00910886" w:rsidRPr="0066325A" w:rsidRDefault="00910886" w:rsidP="001F378F">
            <w:pPr>
              <w:pStyle w:val="TableBody"/>
            </w:pPr>
            <w:r w:rsidRPr="00E341D2">
              <w:t>Automated</w:t>
            </w:r>
          </w:p>
        </w:tc>
        <w:tc>
          <w:tcPr>
            <w:tcW w:w="1229" w:type="pct"/>
            <w:vAlign w:val="top"/>
          </w:tcPr>
          <w:p w14:paraId="3AB5BFC7" w14:textId="77777777" w:rsidR="00910886" w:rsidRPr="00AC0E40" w:rsidRDefault="00910886" w:rsidP="001F378F">
            <w:pPr>
              <w:pStyle w:val="TableBody"/>
              <w:jc w:val="center"/>
              <w:rPr>
                <w:color w:val="004D34" w:themeColor="accent4" w:themeShade="80"/>
              </w:rPr>
            </w:pPr>
            <w:r w:rsidRPr="00AC0E40">
              <w:rPr>
                <w:color w:val="004D34" w:themeColor="accent4" w:themeShade="80"/>
              </w:rPr>
              <w:t>High</w:t>
            </w:r>
          </w:p>
        </w:tc>
      </w:tr>
      <w:tr w:rsidR="00910886" w14:paraId="3942AF31" w14:textId="77777777" w:rsidTr="001F378F">
        <w:trPr>
          <w:jc w:val="center"/>
        </w:trPr>
        <w:tc>
          <w:tcPr>
            <w:tcW w:w="1579" w:type="pct"/>
            <w:vAlign w:val="top"/>
          </w:tcPr>
          <w:p w14:paraId="180C8ECD" w14:textId="77777777" w:rsidR="00910886" w:rsidRPr="0066325A" w:rsidRDefault="00910886" w:rsidP="001F378F">
            <w:pPr>
              <w:pStyle w:val="TableBody"/>
            </w:pPr>
            <w:r w:rsidRPr="00E341D2">
              <w:t>Wastewater treatments</w:t>
            </w:r>
          </w:p>
        </w:tc>
        <w:tc>
          <w:tcPr>
            <w:tcW w:w="1140" w:type="pct"/>
            <w:vAlign w:val="top"/>
          </w:tcPr>
          <w:p w14:paraId="34CF088B" w14:textId="77777777" w:rsidR="00910886" w:rsidRPr="0066325A" w:rsidRDefault="00910886" w:rsidP="001F378F">
            <w:pPr>
              <w:pStyle w:val="TableBody"/>
            </w:pPr>
            <w:r w:rsidRPr="00E341D2">
              <w:t>Batch</w:t>
            </w:r>
          </w:p>
        </w:tc>
        <w:tc>
          <w:tcPr>
            <w:tcW w:w="1052" w:type="pct"/>
            <w:vAlign w:val="top"/>
          </w:tcPr>
          <w:p w14:paraId="05878D93" w14:textId="77777777" w:rsidR="00910886" w:rsidRPr="0066325A" w:rsidRDefault="00910886" w:rsidP="001F378F">
            <w:pPr>
              <w:pStyle w:val="TableBody"/>
            </w:pPr>
            <w:r w:rsidRPr="00E341D2">
              <w:t>Automated</w:t>
            </w:r>
          </w:p>
        </w:tc>
        <w:tc>
          <w:tcPr>
            <w:tcW w:w="1229" w:type="pct"/>
            <w:vAlign w:val="top"/>
          </w:tcPr>
          <w:p w14:paraId="3C4EE20C" w14:textId="77777777" w:rsidR="00910886" w:rsidRPr="00AC0E40" w:rsidRDefault="00910886" w:rsidP="001F378F">
            <w:pPr>
              <w:pStyle w:val="TableBody"/>
              <w:jc w:val="center"/>
              <w:rPr>
                <w:color w:val="004D34" w:themeColor="accent4" w:themeShade="80"/>
              </w:rPr>
            </w:pPr>
            <w:r w:rsidRPr="00AC0E40">
              <w:rPr>
                <w:color w:val="004D34" w:themeColor="accent4" w:themeShade="80"/>
              </w:rPr>
              <w:t>High</w:t>
            </w:r>
          </w:p>
        </w:tc>
      </w:tr>
      <w:tr w:rsidR="00910886" w14:paraId="484A0475" w14:textId="77777777" w:rsidTr="001F378F">
        <w:trPr>
          <w:jc w:val="center"/>
        </w:trPr>
        <w:tc>
          <w:tcPr>
            <w:tcW w:w="1579" w:type="pct"/>
            <w:vAlign w:val="top"/>
          </w:tcPr>
          <w:p w14:paraId="4E47B38E" w14:textId="77777777" w:rsidR="00910886" w:rsidRPr="0066325A" w:rsidRDefault="00910886" w:rsidP="001F378F">
            <w:pPr>
              <w:pStyle w:val="TableBody"/>
            </w:pPr>
            <w:r w:rsidRPr="00E341D2">
              <w:t>RO water system</w:t>
            </w:r>
          </w:p>
        </w:tc>
        <w:tc>
          <w:tcPr>
            <w:tcW w:w="1140" w:type="pct"/>
            <w:vAlign w:val="top"/>
          </w:tcPr>
          <w:p w14:paraId="2FC036BD" w14:textId="77777777" w:rsidR="00910886" w:rsidRPr="0066325A" w:rsidRDefault="00910886" w:rsidP="001F378F">
            <w:pPr>
              <w:pStyle w:val="TableBody"/>
            </w:pPr>
            <w:r w:rsidRPr="00E341D2">
              <w:t>Batch</w:t>
            </w:r>
          </w:p>
        </w:tc>
        <w:tc>
          <w:tcPr>
            <w:tcW w:w="1052" w:type="pct"/>
            <w:vAlign w:val="top"/>
          </w:tcPr>
          <w:p w14:paraId="7C00B691" w14:textId="77777777" w:rsidR="00910886" w:rsidRPr="0066325A" w:rsidRDefault="00910886" w:rsidP="001F378F">
            <w:pPr>
              <w:pStyle w:val="TableBody"/>
            </w:pPr>
            <w:r w:rsidRPr="00E341D2">
              <w:t>Automated</w:t>
            </w:r>
          </w:p>
        </w:tc>
        <w:tc>
          <w:tcPr>
            <w:tcW w:w="1229" w:type="pct"/>
            <w:vAlign w:val="top"/>
          </w:tcPr>
          <w:p w14:paraId="4268C493" w14:textId="77777777" w:rsidR="00910886" w:rsidRPr="00AC0E40" w:rsidRDefault="00910886" w:rsidP="001F378F">
            <w:pPr>
              <w:pStyle w:val="TableBody"/>
              <w:jc w:val="center"/>
              <w:rPr>
                <w:color w:val="004D34" w:themeColor="accent4" w:themeShade="80"/>
              </w:rPr>
            </w:pPr>
            <w:r w:rsidRPr="00AC0E40">
              <w:rPr>
                <w:color w:val="004D34" w:themeColor="accent4" w:themeShade="80"/>
              </w:rPr>
              <w:t>High</w:t>
            </w:r>
          </w:p>
        </w:tc>
      </w:tr>
      <w:tr w:rsidR="00910886" w:rsidRPr="00C557EE" w14:paraId="5B53590B" w14:textId="77777777" w:rsidTr="001F378F">
        <w:trPr>
          <w:jc w:val="center"/>
        </w:trPr>
        <w:tc>
          <w:tcPr>
            <w:tcW w:w="5000" w:type="pct"/>
            <w:gridSpan w:val="4"/>
            <w:shd w:val="clear" w:color="auto" w:fill="D9D9D9" w:themeFill="background1" w:themeFillShade="D9"/>
          </w:tcPr>
          <w:p w14:paraId="5A99DA2A" w14:textId="77777777" w:rsidR="00910886" w:rsidRPr="00C557EE" w:rsidRDefault="00910886" w:rsidP="001F378F">
            <w:pPr>
              <w:pStyle w:val="TableBody"/>
              <w:jc w:val="center"/>
              <w:rPr>
                <w:b/>
                <w:bCs/>
                <w:sz w:val="16"/>
                <w:szCs w:val="20"/>
              </w:rPr>
            </w:pPr>
            <w:r w:rsidRPr="00C557EE">
              <w:rPr>
                <w:b/>
                <w:bCs/>
                <w:sz w:val="16"/>
                <w:szCs w:val="20"/>
              </w:rPr>
              <w:t>Testing / Specialised Loads</w:t>
            </w:r>
          </w:p>
        </w:tc>
      </w:tr>
      <w:tr w:rsidR="00910886" w14:paraId="03DABEB8" w14:textId="77777777" w:rsidTr="001F378F">
        <w:trPr>
          <w:jc w:val="center"/>
        </w:trPr>
        <w:tc>
          <w:tcPr>
            <w:tcW w:w="1579" w:type="pct"/>
            <w:vAlign w:val="top"/>
          </w:tcPr>
          <w:p w14:paraId="278BE865" w14:textId="77777777" w:rsidR="00910886" w:rsidRPr="0066325A" w:rsidRDefault="00910886" w:rsidP="001F378F">
            <w:pPr>
              <w:pStyle w:val="TableBody"/>
            </w:pPr>
            <w:r w:rsidRPr="007C01F8">
              <w:t>High &amp; Low Voltage testing</w:t>
            </w:r>
          </w:p>
        </w:tc>
        <w:tc>
          <w:tcPr>
            <w:tcW w:w="1140" w:type="pct"/>
            <w:vAlign w:val="top"/>
          </w:tcPr>
          <w:p w14:paraId="3D5F25A9" w14:textId="77777777" w:rsidR="00910886" w:rsidRPr="0066325A" w:rsidRDefault="00910886" w:rsidP="001F378F">
            <w:pPr>
              <w:pStyle w:val="TableBody"/>
            </w:pPr>
            <w:r w:rsidRPr="007C01F8">
              <w:t>Batch</w:t>
            </w:r>
          </w:p>
        </w:tc>
        <w:tc>
          <w:tcPr>
            <w:tcW w:w="1052" w:type="pct"/>
            <w:vAlign w:val="top"/>
          </w:tcPr>
          <w:p w14:paraId="06349C5D" w14:textId="77777777" w:rsidR="00910886" w:rsidRPr="0066325A" w:rsidRDefault="00910886" w:rsidP="001F378F">
            <w:pPr>
              <w:pStyle w:val="TableBody"/>
            </w:pPr>
            <w:r w:rsidRPr="007C01F8">
              <w:t>Hybrid</w:t>
            </w:r>
          </w:p>
        </w:tc>
        <w:tc>
          <w:tcPr>
            <w:tcW w:w="1229" w:type="pct"/>
            <w:vAlign w:val="top"/>
          </w:tcPr>
          <w:p w14:paraId="2B5F58B4"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5B1A9D2E" w14:textId="77777777" w:rsidTr="001F378F">
        <w:trPr>
          <w:jc w:val="center"/>
        </w:trPr>
        <w:tc>
          <w:tcPr>
            <w:tcW w:w="1579" w:type="pct"/>
            <w:vAlign w:val="top"/>
          </w:tcPr>
          <w:p w14:paraId="79D35DB3" w14:textId="77777777" w:rsidR="00910886" w:rsidRPr="0066325A" w:rsidRDefault="00910886" w:rsidP="001F378F">
            <w:pPr>
              <w:pStyle w:val="TableBody"/>
            </w:pPr>
            <w:r w:rsidRPr="007C01F8">
              <w:t>Transformer winding &amp; testing</w:t>
            </w:r>
          </w:p>
        </w:tc>
        <w:tc>
          <w:tcPr>
            <w:tcW w:w="1140" w:type="pct"/>
            <w:vAlign w:val="top"/>
          </w:tcPr>
          <w:p w14:paraId="3CBE9975" w14:textId="77777777" w:rsidR="00910886" w:rsidRPr="0066325A" w:rsidRDefault="00910886" w:rsidP="001F378F">
            <w:pPr>
              <w:pStyle w:val="TableBody"/>
            </w:pPr>
            <w:r w:rsidRPr="007C01F8">
              <w:t>Batch</w:t>
            </w:r>
          </w:p>
        </w:tc>
        <w:tc>
          <w:tcPr>
            <w:tcW w:w="1052" w:type="pct"/>
            <w:vAlign w:val="top"/>
          </w:tcPr>
          <w:p w14:paraId="7711FA0A" w14:textId="77777777" w:rsidR="00910886" w:rsidRPr="0066325A" w:rsidRDefault="00910886" w:rsidP="001F378F">
            <w:pPr>
              <w:pStyle w:val="TableBody"/>
            </w:pPr>
            <w:r w:rsidRPr="007C01F8">
              <w:t>Hybrid</w:t>
            </w:r>
          </w:p>
        </w:tc>
        <w:tc>
          <w:tcPr>
            <w:tcW w:w="1229" w:type="pct"/>
            <w:vAlign w:val="top"/>
          </w:tcPr>
          <w:p w14:paraId="07B237FD"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0CBE76BF" w14:textId="77777777" w:rsidTr="001F378F">
        <w:trPr>
          <w:jc w:val="center"/>
        </w:trPr>
        <w:tc>
          <w:tcPr>
            <w:tcW w:w="1579" w:type="pct"/>
            <w:vAlign w:val="top"/>
          </w:tcPr>
          <w:p w14:paraId="270CD75D" w14:textId="77777777" w:rsidR="00910886" w:rsidRPr="0066325A" w:rsidRDefault="00910886" w:rsidP="001F378F">
            <w:pPr>
              <w:pStyle w:val="TableBody"/>
            </w:pPr>
            <w:r w:rsidRPr="007C01F8">
              <w:t>Transmission testing</w:t>
            </w:r>
          </w:p>
        </w:tc>
        <w:tc>
          <w:tcPr>
            <w:tcW w:w="1140" w:type="pct"/>
            <w:vAlign w:val="top"/>
          </w:tcPr>
          <w:p w14:paraId="32AEC29C" w14:textId="77777777" w:rsidR="00910886" w:rsidRPr="0066325A" w:rsidRDefault="00910886" w:rsidP="001F378F">
            <w:pPr>
              <w:pStyle w:val="TableBody"/>
            </w:pPr>
            <w:r w:rsidRPr="007C01F8">
              <w:t>Batch</w:t>
            </w:r>
          </w:p>
        </w:tc>
        <w:tc>
          <w:tcPr>
            <w:tcW w:w="1052" w:type="pct"/>
            <w:vAlign w:val="top"/>
          </w:tcPr>
          <w:p w14:paraId="756C9A82" w14:textId="77777777" w:rsidR="00910886" w:rsidRPr="0066325A" w:rsidRDefault="00910886" w:rsidP="001F378F">
            <w:pPr>
              <w:pStyle w:val="TableBody"/>
            </w:pPr>
            <w:r w:rsidRPr="007C01F8">
              <w:t>Hybrid</w:t>
            </w:r>
          </w:p>
        </w:tc>
        <w:tc>
          <w:tcPr>
            <w:tcW w:w="1229" w:type="pct"/>
            <w:vAlign w:val="top"/>
          </w:tcPr>
          <w:p w14:paraId="62706423"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51A8C00A" w14:textId="77777777" w:rsidTr="001F378F">
        <w:trPr>
          <w:jc w:val="center"/>
        </w:trPr>
        <w:tc>
          <w:tcPr>
            <w:tcW w:w="1579" w:type="pct"/>
            <w:vAlign w:val="top"/>
          </w:tcPr>
          <w:p w14:paraId="01DE43AC" w14:textId="77777777" w:rsidR="00910886" w:rsidRPr="0066325A" w:rsidRDefault="00910886" w:rsidP="001F378F">
            <w:pPr>
              <w:pStyle w:val="TableBody"/>
            </w:pPr>
            <w:r w:rsidRPr="007C01F8">
              <w:t>Ventilation fan testing</w:t>
            </w:r>
          </w:p>
        </w:tc>
        <w:tc>
          <w:tcPr>
            <w:tcW w:w="1140" w:type="pct"/>
            <w:vAlign w:val="top"/>
          </w:tcPr>
          <w:p w14:paraId="46D6DF7F" w14:textId="77777777" w:rsidR="00910886" w:rsidRPr="0066325A" w:rsidRDefault="00910886" w:rsidP="001F378F">
            <w:pPr>
              <w:pStyle w:val="TableBody"/>
            </w:pPr>
            <w:r w:rsidRPr="007C01F8">
              <w:t>Batch</w:t>
            </w:r>
          </w:p>
        </w:tc>
        <w:tc>
          <w:tcPr>
            <w:tcW w:w="1052" w:type="pct"/>
            <w:vAlign w:val="top"/>
          </w:tcPr>
          <w:p w14:paraId="3C48E5F4" w14:textId="77777777" w:rsidR="00910886" w:rsidRPr="0066325A" w:rsidRDefault="00910886" w:rsidP="001F378F">
            <w:pPr>
              <w:pStyle w:val="TableBody"/>
            </w:pPr>
            <w:r w:rsidRPr="007C01F8">
              <w:t>Hybrid</w:t>
            </w:r>
          </w:p>
        </w:tc>
        <w:tc>
          <w:tcPr>
            <w:tcW w:w="1229" w:type="pct"/>
            <w:vAlign w:val="top"/>
          </w:tcPr>
          <w:p w14:paraId="53AA91D0" w14:textId="77777777" w:rsidR="00910886" w:rsidRPr="0066325A" w:rsidRDefault="00910886" w:rsidP="001F378F">
            <w:pPr>
              <w:pStyle w:val="TableBody"/>
              <w:jc w:val="center"/>
            </w:pPr>
            <w:r w:rsidRPr="00AC0E40">
              <w:rPr>
                <w:color w:val="826600" w:themeColor="accent2" w:themeShade="80"/>
              </w:rPr>
              <w:t>Medium</w:t>
            </w:r>
          </w:p>
        </w:tc>
      </w:tr>
      <w:tr w:rsidR="00910886" w:rsidRPr="00C557EE" w14:paraId="02E6F2DA" w14:textId="77777777" w:rsidTr="001F378F">
        <w:trPr>
          <w:jc w:val="center"/>
        </w:trPr>
        <w:tc>
          <w:tcPr>
            <w:tcW w:w="5000" w:type="pct"/>
            <w:gridSpan w:val="4"/>
            <w:shd w:val="clear" w:color="auto" w:fill="D9D9D9" w:themeFill="background1" w:themeFillShade="D9"/>
          </w:tcPr>
          <w:p w14:paraId="51DC138D" w14:textId="77777777" w:rsidR="00910886" w:rsidRPr="00C557EE" w:rsidRDefault="00910886" w:rsidP="001F378F">
            <w:pPr>
              <w:pStyle w:val="TableBody"/>
              <w:jc w:val="center"/>
              <w:rPr>
                <w:b/>
                <w:bCs/>
                <w:color w:val="000000" w:themeColor="text1"/>
                <w:sz w:val="16"/>
                <w:szCs w:val="20"/>
              </w:rPr>
            </w:pPr>
            <w:r w:rsidRPr="00C557EE">
              <w:rPr>
                <w:b/>
                <w:bCs/>
                <w:color w:val="000000" w:themeColor="text1"/>
                <w:sz w:val="16"/>
                <w:szCs w:val="20"/>
              </w:rPr>
              <w:t>Fabrication</w:t>
            </w:r>
          </w:p>
        </w:tc>
      </w:tr>
      <w:tr w:rsidR="00910886" w14:paraId="69EA854B" w14:textId="77777777" w:rsidTr="001F378F">
        <w:trPr>
          <w:jc w:val="center"/>
        </w:trPr>
        <w:tc>
          <w:tcPr>
            <w:tcW w:w="1579" w:type="pct"/>
            <w:vAlign w:val="top"/>
          </w:tcPr>
          <w:p w14:paraId="70FF3483" w14:textId="77777777" w:rsidR="00910886" w:rsidRPr="0066325A" w:rsidRDefault="00910886" w:rsidP="001F378F">
            <w:pPr>
              <w:pStyle w:val="TableBody"/>
            </w:pPr>
            <w:r w:rsidRPr="00090D4E">
              <w:lastRenderedPageBreak/>
              <w:t>Welding machines</w:t>
            </w:r>
          </w:p>
        </w:tc>
        <w:tc>
          <w:tcPr>
            <w:tcW w:w="1140" w:type="pct"/>
            <w:vAlign w:val="top"/>
          </w:tcPr>
          <w:p w14:paraId="098E82F3" w14:textId="77777777" w:rsidR="00910886" w:rsidRPr="0066325A" w:rsidRDefault="00910886" w:rsidP="001F378F">
            <w:pPr>
              <w:pStyle w:val="TableBody"/>
            </w:pPr>
            <w:r w:rsidRPr="003D5054">
              <w:t>On-</w:t>
            </w:r>
            <w:r>
              <w:t>D</w:t>
            </w:r>
            <w:r w:rsidRPr="003D5054">
              <w:t>emand</w:t>
            </w:r>
          </w:p>
        </w:tc>
        <w:tc>
          <w:tcPr>
            <w:tcW w:w="1052" w:type="pct"/>
            <w:vAlign w:val="top"/>
          </w:tcPr>
          <w:p w14:paraId="3B426A56" w14:textId="77777777" w:rsidR="00910886" w:rsidRPr="0066325A" w:rsidRDefault="00910886" w:rsidP="001F378F">
            <w:pPr>
              <w:pStyle w:val="TableBody"/>
            </w:pPr>
            <w:r w:rsidRPr="00090D4E">
              <w:t>Manned</w:t>
            </w:r>
          </w:p>
        </w:tc>
        <w:tc>
          <w:tcPr>
            <w:tcW w:w="1229" w:type="pct"/>
            <w:vAlign w:val="top"/>
          </w:tcPr>
          <w:p w14:paraId="7DF638B5" w14:textId="77777777" w:rsidR="00910886" w:rsidRPr="0066325A" w:rsidRDefault="00910886" w:rsidP="001F378F">
            <w:pPr>
              <w:pStyle w:val="TableBody"/>
              <w:jc w:val="center"/>
            </w:pPr>
            <w:r w:rsidRPr="00AC0E40">
              <w:rPr>
                <w:color w:val="826600" w:themeColor="accent2" w:themeShade="80"/>
              </w:rPr>
              <w:t>Medium</w:t>
            </w:r>
          </w:p>
        </w:tc>
      </w:tr>
      <w:tr w:rsidR="00910886" w:rsidRPr="00C557EE" w14:paraId="0F401DA6" w14:textId="77777777" w:rsidTr="001F378F">
        <w:trPr>
          <w:jc w:val="center"/>
        </w:trPr>
        <w:tc>
          <w:tcPr>
            <w:tcW w:w="5000" w:type="pct"/>
            <w:gridSpan w:val="4"/>
            <w:shd w:val="clear" w:color="auto" w:fill="D9D9D9" w:themeFill="background1" w:themeFillShade="D9"/>
          </w:tcPr>
          <w:p w14:paraId="65086CBB" w14:textId="77777777" w:rsidR="00910886" w:rsidRPr="00C557EE" w:rsidRDefault="00910886" w:rsidP="001F378F">
            <w:pPr>
              <w:pStyle w:val="TableBody"/>
              <w:jc w:val="center"/>
              <w:rPr>
                <w:b/>
                <w:bCs/>
                <w:color w:val="000000" w:themeColor="text1"/>
                <w:sz w:val="16"/>
                <w:szCs w:val="20"/>
              </w:rPr>
            </w:pPr>
            <w:r w:rsidRPr="00C557EE">
              <w:rPr>
                <w:b/>
                <w:bCs/>
                <w:color w:val="000000" w:themeColor="text1"/>
                <w:sz w:val="16"/>
                <w:szCs w:val="20"/>
              </w:rPr>
              <w:t>Surface Treatment</w:t>
            </w:r>
          </w:p>
        </w:tc>
      </w:tr>
      <w:tr w:rsidR="00910886" w14:paraId="48AE7BD7" w14:textId="77777777" w:rsidTr="001F378F">
        <w:trPr>
          <w:jc w:val="center"/>
        </w:trPr>
        <w:tc>
          <w:tcPr>
            <w:tcW w:w="1579" w:type="pct"/>
            <w:vAlign w:val="top"/>
          </w:tcPr>
          <w:p w14:paraId="29BE295F" w14:textId="77777777" w:rsidR="00910886" w:rsidRPr="0066325A" w:rsidRDefault="00910886" w:rsidP="001F378F">
            <w:pPr>
              <w:pStyle w:val="TableBody"/>
            </w:pPr>
            <w:r w:rsidRPr="00AB1BCC">
              <w:t>Shot / Sand blasters</w:t>
            </w:r>
          </w:p>
        </w:tc>
        <w:tc>
          <w:tcPr>
            <w:tcW w:w="1140" w:type="pct"/>
            <w:vAlign w:val="top"/>
          </w:tcPr>
          <w:p w14:paraId="7F45E099" w14:textId="77777777" w:rsidR="00910886" w:rsidRPr="0066325A" w:rsidRDefault="00910886" w:rsidP="001F378F">
            <w:pPr>
              <w:pStyle w:val="TableBody"/>
            </w:pPr>
            <w:r w:rsidRPr="00AB1BCC">
              <w:t>Batch</w:t>
            </w:r>
          </w:p>
        </w:tc>
        <w:tc>
          <w:tcPr>
            <w:tcW w:w="1052" w:type="pct"/>
            <w:vAlign w:val="top"/>
          </w:tcPr>
          <w:p w14:paraId="36C64B8A" w14:textId="77777777" w:rsidR="00910886" w:rsidRPr="0066325A" w:rsidRDefault="00910886" w:rsidP="001F378F">
            <w:pPr>
              <w:pStyle w:val="TableBody"/>
            </w:pPr>
            <w:r w:rsidRPr="00AB1BCC">
              <w:t>Hybrid</w:t>
            </w:r>
          </w:p>
        </w:tc>
        <w:tc>
          <w:tcPr>
            <w:tcW w:w="1229" w:type="pct"/>
            <w:vAlign w:val="top"/>
          </w:tcPr>
          <w:p w14:paraId="704CADA5"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4EF4125B" w14:textId="77777777" w:rsidTr="001F378F">
        <w:trPr>
          <w:jc w:val="center"/>
        </w:trPr>
        <w:tc>
          <w:tcPr>
            <w:tcW w:w="1579" w:type="pct"/>
            <w:vAlign w:val="top"/>
          </w:tcPr>
          <w:p w14:paraId="68D1CC55" w14:textId="77777777" w:rsidR="00910886" w:rsidRPr="0066325A" w:rsidRDefault="00910886" w:rsidP="001F378F">
            <w:pPr>
              <w:pStyle w:val="TableBody"/>
            </w:pPr>
            <w:r w:rsidRPr="00AB1BCC">
              <w:t>Painting machines</w:t>
            </w:r>
          </w:p>
        </w:tc>
        <w:tc>
          <w:tcPr>
            <w:tcW w:w="1140" w:type="pct"/>
            <w:vAlign w:val="top"/>
          </w:tcPr>
          <w:p w14:paraId="5398C1ED" w14:textId="77777777" w:rsidR="00910886" w:rsidRPr="0066325A" w:rsidRDefault="00910886" w:rsidP="001F378F">
            <w:pPr>
              <w:pStyle w:val="TableBody"/>
            </w:pPr>
            <w:r w:rsidRPr="00AB1BCC">
              <w:t>Batch</w:t>
            </w:r>
          </w:p>
        </w:tc>
        <w:tc>
          <w:tcPr>
            <w:tcW w:w="1052" w:type="pct"/>
            <w:vAlign w:val="top"/>
          </w:tcPr>
          <w:p w14:paraId="26549444" w14:textId="77777777" w:rsidR="00910886" w:rsidRPr="0066325A" w:rsidRDefault="00910886" w:rsidP="001F378F">
            <w:pPr>
              <w:pStyle w:val="TableBody"/>
            </w:pPr>
            <w:r w:rsidRPr="00AB1BCC">
              <w:t>Hybrid</w:t>
            </w:r>
          </w:p>
        </w:tc>
        <w:tc>
          <w:tcPr>
            <w:tcW w:w="1229" w:type="pct"/>
            <w:vAlign w:val="top"/>
          </w:tcPr>
          <w:p w14:paraId="15C8AF26"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1380A32E" w14:textId="77777777" w:rsidTr="001F378F">
        <w:trPr>
          <w:jc w:val="center"/>
        </w:trPr>
        <w:tc>
          <w:tcPr>
            <w:tcW w:w="1579" w:type="pct"/>
            <w:vAlign w:val="top"/>
          </w:tcPr>
          <w:p w14:paraId="047106D4" w14:textId="77777777" w:rsidR="00910886" w:rsidRPr="0066325A" w:rsidRDefault="00910886" w:rsidP="001F378F">
            <w:pPr>
              <w:pStyle w:val="TableBody"/>
            </w:pPr>
            <w:r w:rsidRPr="00AB1BCC">
              <w:t>Wash bay</w:t>
            </w:r>
          </w:p>
        </w:tc>
        <w:tc>
          <w:tcPr>
            <w:tcW w:w="1140" w:type="pct"/>
            <w:vAlign w:val="top"/>
          </w:tcPr>
          <w:p w14:paraId="7F1F975A" w14:textId="77777777" w:rsidR="00910886" w:rsidRPr="0066325A" w:rsidRDefault="00910886" w:rsidP="001F378F">
            <w:pPr>
              <w:pStyle w:val="TableBody"/>
            </w:pPr>
            <w:r w:rsidRPr="003D5054">
              <w:t>On-</w:t>
            </w:r>
            <w:r>
              <w:t>D</w:t>
            </w:r>
            <w:r w:rsidRPr="003D5054">
              <w:t>emand</w:t>
            </w:r>
          </w:p>
        </w:tc>
        <w:tc>
          <w:tcPr>
            <w:tcW w:w="1052" w:type="pct"/>
            <w:vAlign w:val="top"/>
          </w:tcPr>
          <w:p w14:paraId="79FE5B91" w14:textId="77777777" w:rsidR="00910886" w:rsidRPr="0066325A" w:rsidRDefault="00910886" w:rsidP="001F378F">
            <w:pPr>
              <w:pStyle w:val="TableBody"/>
            </w:pPr>
            <w:r w:rsidRPr="00AB1BCC">
              <w:t>Manned</w:t>
            </w:r>
          </w:p>
        </w:tc>
        <w:tc>
          <w:tcPr>
            <w:tcW w:w="1229" w:type="pct"/>
            <w:vAlign w:val="top"/>
          </w:tcPr>
          <w:p w14:paraId="2E0BBDE4"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41273E71" w14:textId="77777777" w:rsidTr="001F378F">
        <w:trPr>
          <w:jc w:val="center"/>
        </w:trPr>
        <w:tc>
          <w:tcPr>
            <w:tcW w:w="5000" w:type="pct"/>
            <w:gridSpan w:val="4"/>
            <w:shd w:val="clear" w:color="auto" w:fill="D9D9D9" w:themeFill="background1" w:themeFillShade="D9"/>
          </w:tcPr>
          <w:p w14:paraId="4900DCE6" w14:textId="77777777" w:rsidR="00910886" w:rsidRPr="00BD5BA0" w:rsidRDefault="00910886" w:rsidP="001F378F">
            <w:pPr>
              <w:pStyle w:val="TableBody"/>
              <w:jc w:val="center"/>
              <w:rPr>
                <w:b/>
                <w:bCs/>
              </w:rPr>
            </w:pPr>
            <w:r w:rsidRPr="00BD5BA0">
              <w:rPr>
                <w:b/>
                <w:bCs/>
                <w:sz w:val="16"/>
                <w:szCs w:val="20"/>
              </w:rPr>
              <w:t>Background Loads – building services and ancillary infrastructure with no safety consequence</w:t>
            </w:r>
          </w:p>
        </w:tc>
      </w:tr>
      <w:tr w:rsidR="00910886" w14:paraId="5503A033" w14:textId="77777777" w:rsidTr="001F378F">
        <w:trPr>
          <w:jc w:val="center"/>
        </w:trPr>
        <w:tc>
          <w:tcPr>
            <w:tcW w:w="1579" w:type="pct"/>
            <w:vAlign w:val="top"/>
          </w:tcPr>
          <w:p w14:paraId="19935B8E" w14:textId="77777777" w:rsidR="00910886" w:rsidRPr="0066325A" w:rsidRDefault="00910886" w:rsidP="001F378F">
            <w:pPr>
              <w:pStyle w:val="TableBody"/>
            </w:pPr>
            <w:r w:rsidRPr="00C5055E">
              <w:t>Comfort air conditioning</w:t>
            </w:r>
          </w:p>
        </w:tc>
        <w:tc>
          <w:tcPr>
            <w:tcW w:w="1140" w:type="pct"/>
            <w:vAlign w:val="top"/>
          </w:tcPr>
          <w:p w14:paraId="452C1CA5" w14:textId="77777777" w:rsidR="00910886" w:rsidRPr="0066325A" w:rsidRDefault="00910886" w:rsidP="001F378F">
            <w:pPr>
              <w:pStyle w:val="TableBody"/>
            </w:pPr>
            <w:r w:rsidRPr="00C5055E">
              <w:t>Cyclical</w:t>
            </w:r>
          </w:p>
        </w:tc>
        <w:tc>
          <w:tcPr>
            <w:tcW w:w="1052" w:type="pct"/>
            <w:vAlign w:val="top"/>
          </w:tcPr>
          <w:p w14:paraId="4853B969" w14:textId="77777777" w:rsidR="00910886" w:rsidRPr="0066325A" w:rsidRDefault="00910886" w:rsidP="001F378F">
            <w:pPr>
              <w:pStyle w:val="TableBody"/>
            </w:pPr>
            <w:r w:rsidRPr="00C5055E">
              <w:t>Automated</w:t>
            </w:r>
          </w:p>
        </w:tc>
        <w:tc>
          <w:tcPr>
            <w:tcW w:w="1229" w:type="pct"/>
            <w:vAlign w:val="top"/>
          </w:tcPr>
          <w:p w14:paraId="4EFCD852"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r w:rsidR="00910886" w14:paraId="20C9365A" w14:textId="77777777" w:rsidTr="001F378F">
        <w:trPr>
          <w:jc w:val="center"/>
        </w:trPr>
        <w:tc>
          <w:tcPr>
            <w:tcW w:w="1579" w:type="pct"/>
            <w:vAlign w:val="top"/>
          </w:tcPr>
          <w:p w14:paraId="07259946" w14:textId="77777777" w:rsidR="00910886" w:rsidRPr="0066325A" w:rsidRDefault="00910886" w:rsidP="001F378F">
            <w:pPr>
              <w:pStyle w:val="TableBody"/>
            </w:pPr>
            <w:r w:rsidRPr="00C5055E">
              <w:t>Lighting</w:t>
            </w:r>
          </w:p>
        </w:tc>
        <w:tc>
          <w:tcPr>
            <w:tcW w:w="1140" w:type="pct"/>
            <w:vAlign w:val="top"/>
          </w:tcPr>
          <w:p w14:paraId="4875D69D" w14:textId="77777777" w:rsidR="00910886" w:rsidRPr="0066325A" w:rsidRDefault="00910886" w:rsidP="001F378F">
            <w:pPr>
              <w:pStyle w:val="TableBody"/>
            </w:pPr>
            <w:r w:rsidRPr="00C5055E">
              <w:t>Continuous</w:t>
            </w:r>
          </w:p>
        </w:tc>
        <w:tc>
          <w:tcPr>
            <w:tcW w:w="1052" w:type="pct"/>
            <w:vAlign w:val="top"/>
          </w:tcPr>
          <w:p w14:paraId="6BB72A1C" w14:textId="77777777" w:rsidR="00910886" w:rsidRPr="0066325A" w:rsidRDefault="00910886" w:rsidP="001F378F">
            <w:pPr>
              <w:pStyle w:val="TableBody"/>
            </w:pPr>
            <w:r w:rsidRPr="00C5055E">
              <w:t>Automated</w:t>
            </w:r>
          </w:p>
        </w:tc>
        <w:tc>
          <w:tcPr>
            <w:tcW w:w="1229" w:type="pct"/>
            <w:vAlign w:val="top"/>
          </w:tcPr>
          <w:p w14:paraId="6CD775A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044FDF7D" w14:textId="77777777" w:rsidTr="001F378F">
        <w:trPr>
          <w:jc w:val="center"/>
        </w:trPr>
        <w:tc>
          <w:tcPr>
            <w:tcW w:w="1579" w:type="pct"/>
            <w:vAlign w:val="top"/>
          </w:tcPr>
          <w:p w14:paraId="6236D477" w14:textId="77777777" w:rsidR="00910886" w:rsidRPr="0066325A" w:rsidRDefault="00910886" w:rsidP="001F378F">
            <w:pPr>
              <w:pStyle w:val="TableBody"/>
            </w:pPr>
            <w:r w:rsidRPr="00C5055E">
              <w:t>Servers and cooling</w:t>
            </w:r>
          </w:p>
        </w:tc>
        <w:tc>
          <w:tcPr>
            <w:tcW w:w="1140" w:type="pct"/>
            <w:vAlign w:val="top"/>
          </w:tcPr>
          <w:p w14:paraId="6C81B4CA" w14:textId="77777777" w:rsidR="00910886" w:rsidRPr="0066325A" w:rsidRDefault="00910886" w:rsidP="001F378F">
            <w:pPr>
              <w:pStyle w:val="TableBody"/>
            </w:pPr>
            <w:r w:rsidRPr="00C5055E">
              <w:t>Continuous</w:t>
            </w:r>
          </w:p>
        </w:tc>
        <w:tc>
          <w:tcPr>
            <w:tcW w:w="1052" w:type="pct"/>
            <w:vAlign w:val="top"/>
          </w:tcPr>
          <w:p w14:paraId="4701A83C" w14:textId="77777777" w:rsidR="00910886" w:rsidRPr="0066325A" w:rsidRDefault="00910886" w:rsidP="001F378F">
            <w:pPr>
              <w:pStyle w:val="TableBody"/>
            </w:pPr>
            <w:r w:rsidRPr="00C5055E">
              <w:t>Automated</w:t>
            </w:r>
          </w:p>
        </w:tc>
        <w:tc>
          <w:tcPr>
            <w:tcW w:w="1229" w:type="pct"/>
            <w:vAlign w:val="top"/>
          </w:tcPr>
          <w:p w14:paraId="259FF392"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3562F840" w14:textId="77777777" w:rsidTr="001F378F">
        <w:trPr>
          <w:jc w:val="center"/>
        </w:trPr>
        <w:tc>
          <w:tcPr>
            <w:tcW w:w="1579" w:type="pct"/>
            <w:vAlign w:val="top"/>
          </w:tcPr>
          <w:p w14:paraId="073D81C6" w14:textId="77777777" w:rsidR="00910886" w:rsidRPr="0066325A" w:rsidRDefault="00910886" w:rsidP="001F378F">
            <w:pPr>
              <w:pStyle w:val="TableBody"/>
            </w:pPr>
            <w:r w:rsidRPr="00C5055E">
              <w:t>Hot water system</w:t>
            </w:r>
          </w:p>
        </w:tc>
        <w:tc>
          <w:tcPr>
            <w:tcW w:w="1140" w:type="pct"/>
            <w:vAlign w:val="top"/>
          </w:tcPr>
          <w:p w14:paraId="5DA847B8" w14:textId="77777777" w:rsidR="00910886" w:rsidRPr="0066325A" w:rsidRDefault="00910886" w:rsidP="001F378F">
            <w:pPr>
              <w:pStyle w:val="TableBody"/>
            </w:pPr>
            <w:r w:rsidRPr="00C5055E">
              <w:t>Continuous</w:t>
            </w:r>
          </w:p>
        </w:tc>
        <w:tc>
          <w:tcPr>
            <w:tcW w:w="1052" w:type="pct"/>
            <w:vAlign w:val="top"/>
          </w:tcPr>
          <w:p w14:paraId="1BD43FED" w14:textId="77777777" w:rsidR="00910886" w:rsidRPr="0066325A" w:rsidRDefault="00910886" w:rsidP="001F378F">
            <w:pPr>
              <w:pStyle w:val="TableBody"/>
            </w:pPr>
            <w:r w:rsidRPr="00C5055E">
              <w:t>Automated</w:t>
            </w:r>
          </w:p>
        </w:tc>
        <w:tc>
          <w:tcPr>
            <w:tcW w:w="1229" w:type="pct"/>
            <w:vAlign w:val="top"/>
          </w:tcPr>
          <w:p w14:paraId="38A53805" w14:textId="77777777" w:rsidR="00910886" w:rsidRPr="00AC0E40" w:rsidRDefault="00910886" w:rsidP="001F378F">
            <w:pPr>
              <w:pStyle w:val="TableBody"/>
              <w:jc w:val="center"/>
              <w:rPr>
                <w:color w:val="7A091A" w:themeColor="accent3" w:themeShade="80"/>
              </w:rPr>
            </w:pPr>
            <w:r w:rsidRPr="00AC0E40">
              <w:rPr>
                <w:color w:val="7A091A" w:themeColor="accent3" w:themeShade="80"/>
              </w:rPr>
              <w:t>Low</w:t>
            </w:r>
          </w:p>
        </w:tc>
      </w:tr>
      <w:tr w:rsidR="00910886" w14:paraId="3EC40D4E" w14:textId="77777777" w:rsidTr="001F378F">
        <w:trPr>
          <w:jc w:val="center"/>
        </w:trPr>
        <w:tc>
          <w:tcPr>
            <w:tcW w:w="1579" w:type="pct"/>
            <w:vAlign w:val="top"/>
          </w:tcPr>
          <w:p w14:paraId="30DA8053" w14:textId="77777777" w:rsidR="00910886" w:rsidRPr="0066325A" w:rsidRDefault="00910886" w:rsidP="001F378F">
            <w:pPr>
              <w:pStyle w:val="TableBody"/>
            </w:pPr>
            <w:r w:rsidRPr="00C5055E">
              <w:t>Electric forklifts</w:t>
            </w:r>
          </w:p>
        </w:tc>
        <w:tc>
          <w:tcPr>
            <w:tcW w:w="1140" w:type="pct"/>
            <w:vAlign w:val="top"/>
          </w:tcPr>
          <w:p w14:paraId="4979B828" w14:textId="77777777" w:rsidR="00910886" w:rsidRPr="0066325A" w:rsidRDefault="00910886" w:rsidP="001F378F">
            <w:pPr>
              <w:pStyle w:val="TableBody"/>
            </w:pPr>
            <w:r w:rsidRPr="003D5054">
              <w:t>On-</w:t>
            </w:r>
            <w:r>
              <w:t>D</w:t>
            </w:r>
            <w:r w:rsidRPr="003D5054">
              <w:t>emand</w:t>
            </w:r>
          </w:p>
        </w:tc>
        <w:tc>
          <w:tcPr>
            <w:tcW w:w="1052" w:type="pct"/>
            <w:vAlign w:val="top"/>
          </w:tcPr>
          <w:p w14:paraId="5D9AC5B9" w14:textId="77777777" w:rsidR="00910886" w:rsidRPr="0066325A" w:rsidRDefault="00910886" w:rsidP="001F378F">
            <w:pPr>
              <w:pStyle w:val="TableBody"/>
            </w:pPr>
            <w:r w:rsidRPr="00C5055E">
              <w:t>Manned</w:t>
            </w:r>
          </w:p>
        </w:tc>
        <w:tc>
          <w:tcPr>
            <w:tcW w:w="1229" w:type="pct"/>
            <w:vAlign w:val="top"/>
          </w:tcPr>
          <w:p w14:paraId="15A03954" w14:textId="77777777" w:rsidR="00910886" w:rsidRPr="00AC0E40" w:rsidRDefault="00910886" w:rsidP="001F378F">
            <w:pPr>
              <w:pStyle w:val="TableBody"/>
              <w:jc w:val="center"/>
              <w:rPr>
                <w:color w:val="826600" w:themeColor="accent2" w:themeShade="80"/>
              </w:rPr>
            </w:pPr>
            <w:r w:rsidRPr="00AC0E40">
              <w:rPr>
                <w:color w:val="826600" w:themeColor="accent2" w:themeShade="80"/>
              </w:rPr>
              <w:t>Medium</w:t>
            </w:r>
          </w:p>
        </w:tc>
      </w:tr>
    </w:tbl>
    <w:p w14:paraId="18F3C3F9" w14:textId="5AB1DBE8" w:rsidR="000B79EF" w:rsidRDefault="000B79EF">
      <w:pPr>
        <w:spacing w:after="0" w:line="240" w:lineRule="auto"/>
      </w:pPr>
      <w:r>
        <w:br w:type="page"/>
      </w:r>
    </w:p>
    <w:p w14:paraId="744E32D0" w14:textId="77777777" w:rsidR="000B79EF" w:rsidRDefault="000B79EF" w:rsidP="000B79EF">
      <w:pPr>
        <w:pStyle w:val="AppendixHeading"/>
      </w:pPr>
    </w:p>
    <w:p w14:paraId="749257F2" w14:textId="31A67DA9" w:rsidR="000B79EF" w:rsidRDefault="000C297E" w:rsidP="000B79EF">
      <w:pPr>
        <w:pStyle w:val="AppendixHeading2"/>
      </w:pPr>
      <w:bookmarkStart w:id="161" w:name="_Toc233787138"/>
      <w:r>
        <w:t>Barrier and Capability Assessment Framework</w:t>
      </w:r>
      <w:bookmarkEnd w:id="161"/>
    </w:p>
    <w:p w14:paraId="1FB058FE" w14:textId="77777777" w:rsidR="000B79EF" w:rsidRDefault="000B79EF" w:rsidP="000B79EF"/>
    <w:p w14:paraId="44ADF03C" w14:textId="77777777" w:rsidR="000B79EF" w:rsidRPr="000B79EF" w:rsidRDefault="000B79EF" w:rsidP="000B79EF"/>
    <w:p w14:paraId="3062D0C5" w14:textId="77777777" w:rsidR="000161A8" w:rsidRPr="000161A8" w:rsidRDefault="000161A8" w:rsidP="000161A8"/>
    <w:sectPr w:rsidR="000161A8" w:rsidRPr="000161A8" w:rsidSect="00DD314E">
      <w:footerReference w:type="default" r:id="rId61"/>
      <w:pgSz w:w="11906" w:h="16838" w:code="9"/>
      <w:pgMar w:top="1440" w:right="1134" w:bottom="1440" w:left="1134"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Jemima Jackson" w:date="2026-06-30T13:54:00Z" w:initials="JJ">
    <w:p w14:paraId="59739B99" w14:textId="77777777" w:rsidR="00777CAF" w:rsidRDefault="00777CAF" w:rsidP="00D96F00">
      <w:pPr>
        <w:pStyle w:val="CommentText"/>
      </w:pPr>
      <w:r>
        <w:rPr>
          <w:rStyle w:val="CommentReference"/>
        </w:rPr>
        <w:annotationRef/>
      </w:r>
      <w:r>
        <w:t>This to me doesn’t match the table.  As it makes three items of the table a subset of DR.  Does it make sense to refer to the next section (2.1.4)  rather than have this here?</w:t>
      </w:r>
    </w:p>
  </w:comment>
  <w:comment w:id="104" w:author="Öleg Fina" w:date="2026-06-30T10:33:00Z" w:initials="ÖF">
    <w:p w14:paraId="32A2310B" w14:textId="77777777" w:rsidR="005E68D1" w:rsidRDefault="005E68D1" w:rsidP="005E68D1">
      <w:pPr>
        <w:pStyle w:val="CommentText"/>
      </w:pPr>
      <w:r>
        <w:rPr>
          <w:rStyle w:val="CommentReference"/>
        </w:rPr>
        <w:annotationRef/>
      </w:r>
      <w:r>
        <w:rPr>
          <w:color w:val="000000"/>
        </w:rPr>
        <w:t>how so? can you please provide some examples of what targeted interventions could be for these companies?</w:t>
      </w:r>
    </w:p>
  </w:comment>
  <w:comment w:id="105" w:author="Jemima Jackson" w:date="2026-06-30T14:12:00Z" w:initials="JJ">
    <w:p w14:paraId="0B206C16" w14:textId="77777777" w:rsidR="006F226A" w:rsidRDefault="006F226A" w:rsidP="006F226A">
      <w:pPr>
        <w:pStyle w:val="CommentText"/>
      </w:pPr>
      <w:r>
        <w:rPr>
          <w:rStyle w:val="CommentReference"/>
        </w:rPr>
        <w:annotationRef/>
      </w:r>
      <w:r>
        <w:t>Wouldn’t be the right place for it would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739B99" w15:done="1"/>
  <w15:commentEx w15:paraId="32A2310B" w15:done="1"/>
  <w15:commentEx w15:paraId="0B206C16" w15:paraIdParent="32A2310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C2906A" w16cex:dateUtc="2026-06-30T03:54:00Z"/>
  <w16cex:commentExtensible w16cex:durableId="570F9F94" w16cex:dateUtc="2026-06-30T00:33:00Z"/>
  <w16cex:commentExtensible w16cex:durableId="7B62D490" w16cex:dateUtc="2026-06-30T0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739B99" w16cid:durableId="72C2906A"/>
  <w16cid:commentId w16cid:paraId="32A2310B" w16cid:durableId="570F9F94"/>
  <w16cid:commentId w16cid:paraId="0B206C16" w16cid:durableId="7B62D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6B30B" w14:textId="77777777" w:rsidR="00E17094" w:rsidRDefault="00E17094" w:rsidP="00977445">
      <w:pPr>
        <w:spacing w:after="0" w:line="240" w:lineRule="auto"/>
      </w:pPr>
      <w:r>
        <w:separator/>
      </w:r>
    </w:p>
  </w:endnote>
  <w:endnote w:type="continuationSeparator" w:id="0">
    <w:p w14:paraId="0078EC94" w14:textId="77777777" w:rsidR="00E17094" w:rsidRDefault="00E17094" w:rsidP="00977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roy">
    <w:panose1 w:val="00000500000000000000"/>
    <w:charset w:val="00"/>
    <w:family w:val="modern"/>
    <w:notTrueType/>
    <w:pitch w:val="variable"/>
    <w:sig w:usb0="00000207" w:usb1="00000000" w:usb2="00000000" w:usb3="00000000" w:csb0="00000097"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ilroy Bold">
    <w:panose1 w:val="000008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027D" w14:textId="77777777" w:rsidR="004F53DB" w:rsidRDefault="004F53DB" w:rsidP="00D81F84">
    <w:pPr>
      <w:pStyle w:val="Footer"/>
    </w:pPr>
    <w:r w:rsidRPr="00C129DC">
      <w:rPr>
        <w:noProof/>
        <w:color w:val="00A97C"/>
      </w:rPr>
      <mc:AlternateContent>
        <mc:Choice Requires="wps">
          <w:drawing>
            <wp:anchor distT="0" distB="0" distL="114300" distR="114300" simplePos="0" relativeHeight="251659264" behindDoc="0" locked="1" layoutInCell="1" allowOverlap="1" wp14:anchorId="1AE025E6" wp14:editId="241AB92E">
              <wp:simplePos x="0" y="0"/>
              <wp:positionH relativeFrom="page">
                <wp:align>center</wp:align>
              </wp:positionH>
              <wp:positionV relativeFrom="page">
                <wp:align>bottom</wp:align>
              </wp:positionV>
              <wp:extent cx="10800000" cy="208800"/>
              <wp:effectExtent l="0" t="0" r="1905" b="1270"/>
              <wp:wrapNone/>
              <wp:docPr id="2" name="Rectangle 2"/>
              <wp:cNvGraphicFramePr/>
              <a:graphic xmlns:a="http://schemas.openxmlformats.org/drawingml/2006/main">
                <a:graphicData uri="http://schemas.microsoft.com/office/word/2010/wordprocessingShape">
                  <wps:wsp>
                    <wps:cNvSpPr/>
                    <wps:spPr>
                      <a:xfrm>
                        <a:off x="0" y="0"/>
                        <a:ext cx="10800000" cy="2088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ECEDA" id="Rectangle 2" o:spid="_x0000_s1026" style="position:absolute;margin-left:0;margin-top:0;width:850.4pt;height:16.45pt;z-index:25165926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YtcwIAAGMFAAAOAAAAZHJzL2Uyb0RvYy54bWysVMFu2zAMvQ/YPwi6r7aDdOuCOkXQosOA&#10;oi2WDj2rslQLkEWNUuJkXz9KdpyuK3YYloMiiuQj+Uzy/GLXWbZVGAy4mlcnJWfKSWiMe67594fr&#10;D2echShcIyw4VfO9Cvxi+f7dee8XagYt2EYhIxAXFr2veRujXxRFkK3qRDgBrxwpNWAnIon4XDQo&#10;ekLvbDEry49FD9h4BKlCoNerQcmXGV9rJeOd1kFFZmtOucV8Yj6f0lksz8XiGYVvjRzTEP+QRSeM&#10;o6AT1JWIgm3Q/AHVGYkQQMcTCV0BWhupcg1UTVW+qmbdCq9yLURO8BNN4f/Bytvt2t8j0dD7sAh0&#10;TVXsNHbpn/Jju0zWfiJL7SKT9FiVZ2X6cSZJOSvPSEx0Fkd3jyF+UdCxdKk50tfIJIntTYiD6cEk&#10;RQtgTXNtrM1C6gB1aZFtBX07IaVycT4G+M3SumTvIHkOoOmlONaTb3FvVbKz7pvSzDRUwSwnk1vt&#10;daBqULWiUUP801zqAD955GIzYELWFH/CHgHeKqIaixjtk6vKnTo5l39LbMhh8siRwcXJuTMO8C0A&#10;G6fIg/2BpIGaxNITNPt7ZAjDnAQvrw19uhsR4r1AGgz62jTs8Y4ObaGvOYw3zlrAn2+9J3vqV9Jy&#10;1tOg1Tz82AhUnNmvjjr5czWfp8nMwvz004wEfKl5eqlxm+4SqB8qWite5muyj/Zw1QjdI+2EVYpK&#10;KuEkxa65jHgQLuOwAGirSLVaZTOaRi/ijVt7mcATq6k1H3aPAv3Yv5Fa/xYOQykWr9p4sE2eDlab&#10;CNrkHj/yOvJNk5wbZ9w6aVW8lLPVcTcufwEAAP//AwBQSwMEFAAGAAgAAAAhAHqN8jveAAAABQEA&#10;AA8AAABkcnMvZG93bnJldi54bWxMj0FLw0AQhe+C/2EZwYvY3bZSbcymGMFDL9W2gnjbZqdJMDsb&#10;spM2/ffdetHLg+EN730vXQyuEQfsQu1Jw3ikQCAV3tZUavjcvt0/gQhsyJrGE2o4YYBFdn2VmsT6&#10;I63xsOFSxBAKidFQMbeJlKGo0Jkw8i1S9Pa+c4bj2ZXSduYYw10jJ0rNpDM1xYbKtPhaYfGz6Z2G&#10;fjk+7R/ey+lym+ff+fzjruWvlda3N8PLMwjGgf+e4YIf0SGLTDvfkw2i0RCH8K9evEel4o6dhulk&#10;DjJL5X/67AwAAP//AwBQSwECLQAUAAYACAAAACEAtoM4kv4AAADhAQAAEwAAAAAAAAAAAAAAAAAA&#10;AAAAW0NvbnRlbnRfVHlwZXNdLnhtbFBLAQItABQABgAIAAAAIQA4/SH/1gAAAJQBAAALAAAAAAAA&#10;AAAAAAAAAC8BAABfcmVscy8ucmVsc1BLAQItABQABgAIAAAAIQBYKJYtcwIAAGMFAAAOAAAAAAAA&#10;AAAAAAAAAC4CAABkcnMvZTJvRG9jLnhtbFBLAQItABQABgAIAAAAIQB6jfI73gAAAAUBAAAPAAAA&#10;AAAAAAAAAAAAAM0EAABkcnMvZG93bnJldi54bWxQSwUGAAAAAAQABADzAAAA2AUAAAAA&#10;" fillcolor="#009b69 [3207]" stroked="f" strokeweight="1pt">
              <w10:wrap anchorx="page" anchory="page"/>
              <w10:anchorlock/>
            </v:rect>
          </w:pict>
        </mc:Fallback>
      </mc:AlternateContent>
    </w:r>
    <w:r>
      <w:rPr>
        <w:noProof/>
      </w:rPr>
      <w:drawing>
        <wp:anchor distT="0" distB="0" distL="114300" distR="114300" simplePos="0" relativeHeight="251675648" behindDoc="1" locked="1" layoutInCell="1" allowOverlap="1" wp14:anchorId="303EDE46" wp14:editId="76E1DE9F">
          <wp:simplePos x="0" y="0"/>
          <wp:positionH relativeFrom="page">
            <wp:posOffset>180340</wp:posOffset>
          </wp:positionH>
          <wp:positionV relativeFrom="paragraph">
            <wp:posOffset>-269875</wp:posOffset>
          </wp:positionV>
          <wp:extent cx="1681200" cy="691200"/>
          <wp:effectExtent l="0" t="0" r="0" b="0"/>
          <wp:wrapNone/>
          <wp:docPr id="219466861" name="Picture 2194668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a:off x="0" y="0"/>
                    <a:ext cx="1681200" cy="69120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en-AU"/>
      </w:rPr>
      <mc:AlternateContent>
        <mc:Choice Requires="wps">
          <w:drawing>
            <wp:anchor distT="0" distB="0" distL="114300" distR="114300" simplePos="0" relativeHeight="251674624" behindDoc="0" locked="1" layoutInCell="1" allowOverlap="1" wp14:anchorId="522666A2" wp14:editId="263C2BD8">
              <wp:simplePos x="0" y="0"/>
              <wp:positionH relativeFrom="rightMargin">
                <wp:posOffset>-4782820</wp:posOffset>
              </wp:positionH>
              <wp:positionV relativeFrom="paragraph">
                <wp:posOffset>73025</wp:posOffset>
              </wp:positionV>
              <wp:extent cx="5440045" cy="298450"/>
              <wp:effectExtent l="0" t="0" r="8255" b="6350"/>
              <wp:wrapNone/>
              <wp:docPr id="32" name="Text Box 32" title="Footer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04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37" w:type="dxa"/>
                            <w:jc w:val="right"/>
                            <w:tblLook w:val="0000" w:firstRow="0" w:lastRow="0" w:firstColumn="0" w:lastColumn="0" w:noHBand="0" w:noVBand="0"/>
                          </w:tblPr>
                          <w:tblGrid>
                            <w:gridCol w:w="7370"/>
                            <w:gridCol w:w="567"/>
                          </w:tblGrid>
                          <w:tr w:rsidR="004F53DB" w:rsidRPr="006C12F1" w14:paraId="0744F9AE" w14:textId="77777777" w:rsidTr="00B15B73">
                            <w:trPr>
                              <w:trHeight w:hRule="exact" w:val="284"/>
                              <w:jc w:val="right"/>
                            </w:trPr>
                            <w:tc>
                              <w:tcPr>
                                <w:tcW w:w="7370" w:type="dxa"/>
                              </w:tcPr>
                              <w:p w14:paraId="2D099F31" w14:textId="2CA50B16" w:rsidR="004F53DB" w:rsidRPr="0023341C" w:rsidRDefault="006671CF" w:rsidP="00D463CE">
                                <w:pPr>
                                  <w:pStyle w:val="Footer"/>
                                </w:pPr>
                                <w:fldSimple w:instr=" FILENAME   \* MERGEFORMAT ">
                                  <w:r>
                                    <w:rPr>
                                      <w:noProof/>
                                    </w:rPr>
                                    <w:t>23905 - Stage 5 Final Report - AR-PST Topic 6-2 - Advitech_Rev1.docx</w:t>
                                  </w:r>
                                </w:fldSimple>
                                <w:r w:rsidR="004F53DB" w:rsidRPr="0023341C">
                                  <w:t xml:space="preserve"> |</w:t>
                                </w:r>
                                <w:r w:rsidR="004F53DB">
                                  <w:t xml:space="preserve"> </w:t>
                                </w:r>
                                <w:fldSimple w:instr=" DOCPROPERTY  Status  \* MERGEFORMAT ">
                                  <w:r w:rsidR="00254B23">
                                    <w:t>Final</w:t>
                                  </w:r>
                                </w:fldSimple>
                              </w:p>
                            </w:tc>
                            <w:tc>
                              <w:tcPr>
                                <w:tcW w:w="567" w:type="dxa"/>
                              </w:tcPr>
                              <w:p w14:paraId="652CEB1F" w14:textId="65AF52E2" w:rsidR="004F53DB" w:rsidRPr="00D463CE" w:rsidRDefault="00902302" w:rsidP="00D463CE">
                                <w:pPr>
                                  <w:spacing w:after="0" w:line="240" w:lineRule="auto"/>
                                  <w:jc w:val="both"/>
                                  <w:rPr>
                                    <w:rStyle w:val="PageNumber"/>
                                  </w:rPr>
                                </w:pPr>
                                <w:r>
                                  <w:rPr>
                                    <w:rStyle w:val="PageNumber"/>
                                  </w:rPr>
                                  <w:fldChar w:fldCharType="begin"/>
                                </w:r>
                                <w:r>
                                  <w:rPr>
                                    <w:rStyle w:val="PageNumber"/>
                                  </w:rPr>
                                  <w:instrText xml:space="preserve"> PAGE  \* roman </w:instrText>
                                </w:r>
                                <w:r>
                                  <w:rPr>
                                    <w:rStyle w:val="PageNumber"/>
                                  </w:rPr>
                                  <w:fldChar w:fldCharType="separate"/>
                                </w:r>
                                <w:r>
                                  <w:rPr>
                                    <w:rStyle w:val="PageNumber"/>
                                    <w:noProof/>
                                  </w:rPr>
                                  <w:t>i</w:t>
                                </w:r>
                                <w:r>
                                  <w:rPr>
                                    <w:rStyle w:val="PageNumber"/>
                                  </w:rPr>
                                  <w:fldChar w:fldCharType="end"/>
                                </w:r>
                              </w:p>
                            </w:tc>
                          </w:tr>
                        </w:tbl>
                        <w:p w14:paraId="7C2B2D86" w14:textId="77777777" w:rsidR="004F53DB" w:rsidRPr="006C12F1" w:rsidRDefault="004F53DB" w:rsidP="0023341C">
                          <w:pPr>
                            <w:spacing w:after="40" w:line="240" w:lineRule="auto"/>
                            <w:jc w:val="right"/>
                            <w:rPr>
                              <w:iCs/>
                              <w:color w:val="00A97C"/>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666A2" id="_x0000_t202" coordsize="21600,21600" o:spt="202" path="m,l,21600r21600,l21600,xe">
              <v:stroke joinstyle="miter"/>
              <v:path gradientshapeok="t" o:connecttype="rect"/>
            </v:shapetype>
            <v:shape id="Text Box 32" o:spid="_x0000_s1027" type="#_x0000_t202" alt="Title: Footer Text Box" style="position:absolute;left:0;text-align:left;margin-left:-376.6pt;margin-top:5.75pt;width:428.35pt;height:23.5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GC8wEAAMoDAAAOAAAAZHJzL2Uyb0RvYy54bWysU8Fu2zAMvQ/YPwi6L3aCZGuNOEWXIsOA&#10;bh3Q7QNkWbaFyaJGKbGzrx8lp2nQ3Yr6IIii9Mj3+Ly+GXvDDgq9Blvy+SznTFkJtbZtyX/93H24&#10;4swHYWthwKqSH5XnN5v379aDK9QCOjC1QkYg1heDK3kXgiuyzMtO9cLPwClLyQawF4FCbLMaxUDo&#10;vckWef4xGwBrhyCV93R6NyX5JuE3jZLhoWm8CsyUnHoLacW0VnHNNmtRtChcp+WpDfGKLnqhLRU9&#10;Q92JINge9X9QvZYIHpowk9Bn0DRaqsSB2MzzF2weO+FU4kLieHeWyb8drPx+eHQ/kIXxM4w0wETC&#10;u3uQvz2zsO2EbdUtIgydEjUVnkfJssH54vQ0Su0LH0Gq4RvUNGSxD5CAxgb7qArxZIROAzieRVdj&#10;YJIOV8tlni9XnEnKLa6vlqs0lUwUT68d+vBFQc/ipuRIQ03o4nDvQ+xGFE9XYjEPRtc7bUwKsK22&#10;BtlBkAF26UsEXlwzNl62EJ9NiPEk0YzMJo5hrEZKRroV1EcijDAZin4A2nSAfzkbyEwl93/2AhVn&#10;5qsl0a7nRJLcl4Ll6tOCArzMVJcZYSVBlTxwNm23YXLs3qFuO6o0jcnCLQnd6KTBc1envskwSZqT&#10;uaMjL+N06/kX3PwDAAD//wMAUEsDBBQABgAIAAAAIQCqSYya3gAAAAoBAAAPAAAAZHJzL2Rvd25y&#10;ZXYueG1sTI/BTsMwDIbvSLxDZCQuaEu3kXWUphMggbhu7AHSxmsrGqdqsrV7e7wTu9n6P/3+nG8n&#10;14kzDqH1pGExT0AgVd62VGs4/HzONiBCNGRN5wk1XDDAtri/y01m/Ug7PO9jLbiEQmY0NDH2mZSh&#10;atCZMPc9EmdHPzgTeR1qaQczcrnr5DJJ1tKZlvhCY3r8aLD63Z+chuP3+KRexvIrHtLd8/rdtGnp&#10;L1o/PkxvryAiTvEfhqs+q0PBTqU/kQ2i0zBL1WrJLCcLBeJKJCseSg1qo0AWubx9ofgDAAD//wMA&#10;UEsBAi0AFAAGAAgAAAAhALaDOJL+AAAA4QEAABMAAAAAAAAAAAAAAAAAAAAAAFtDb250ZW50X1R5&#10;cGVzXS54bWxQSwECLQAUAAYACAAAACEAOP0h/9YAAACUAQAACwAAAAAAAAAAAAAAAAAvAQAAX3Jl&#10;bHMvLnJlbHNQSwECLQAUAAYACAAAACEAoW1RgvMBAADKAwAADgAAAAAAAAAAAAAAAAAuAgAAZHJz&#10;L2Uyb0RvYy54bWxQSwECLQAUAAYACAAAACEAqkmMmt4AAAAKAQAADwAAAAAAAAAAAAAAAABNBAAA&#10;ZHJzL2Rvd25yZXYueG1sUEsFBgAAAAAEAAQA8wAAAFgFAAAAAA==&#10;" stroked="f">
              <v:textbox>
                <w:txbxContent>
                  <w:tbl>
                    <w:tblPr>
                      <w:tblW w:w="7937" w:type="dxa"/>
                      <w:jc w:val="right"/>
                      <w:tblLook w:val="0000" w:firstRow="0" w:lastRow="0" w:firstColumn="0" w:lastColumn="0" w:noHBand="0" w:noVBand="0"/>
                    </w:tblPr>
                    <w:tblGrid>
                      <w:gridCol w:w="7370"/>
                      <w:gridCol w:w="567"/>
                    </w:tblGrid>
                    <w:tr w:rsidR="004F53DB" w:rsidRPr="006C12F1" w14:paraId="0744F9AE" w14:textId="77777777" w:rsidTr="00B15B73">
                      <w:trPr>
                        <w:trHeight w:hRule="exact" w:val="284"/>
                        <w:jc w:val="right"/>
                      </w:trPr>
                      <w:tc>
                        <w:tcPr>
                          <w:tcW w:w="7370" w:type="dxa"/>
                        </w:tcPr>
                        <w:p w14:paraId="2D099F31" w14:textId="2CA50B16" w:rsidR="004F53DB" w:rsidRPr="0023341C" w:rsidRDefault="006671CF" w:rsidP="00D463CE">
                          <w:pPr>
                            <w:pStyle w:val="Footer"/>
                          </w:pPr>
                          <w:fldSimple w:instr=" FILENAME   \* MERGEFORMAT ">
                            <w:r>
                              <w:rPr>
                                <w:noProof/>
                              </w:rPr>
                              <w:t>23905 - Stage 5 Final Report - AR-PST Topic 6-2 - Advitech_Rev1.docx</w:t>
                            </w:r>
                          </w:fldSimple>
                          <w:r w:rsidR="004F53DB" w:rsidRPr="0023341C">
                            <w:t xml:space="preserve"> |</w:t>
                          </w:r>
                          <w:r w:rsidR="004F53DB">
                            <w:t xml:space="preserve"> </w:t>
                          </w:r>
                          <w:fldSimple w:instr=" DOCPROPERTY  Status  \* MERGEFORMAT ">
                            <w:r w:rsidR="00254B23">
                              <w:t>Final</w:t>
                            </w:r>
                          </w:fldSimple>
                        </w:p>
                      </w:tc>
                      <w:tc>
                        <w:tcPr>
                          <w:tcW w:w="567" w:type="dxa"/>
                        </w:tcPr>
                        <w:p w14:paraId="652CEB1F" w14:textId="65AF52E2" w:rsidR="004F53DB" w:rsidRPr="00D463CE" w:rsidRDefault="00902302" w:rsidP="00D463CE">
                          <w:pPr>
                            <w:spacing w:after="0" w:line="240" w:lineRule="auto"/>
                            <w:jc w:val="both"/>
                            <w:rPr>
                              <w:rStyle w:val="PageNumber"/>
                            </w:rPr>
                          </w:pPr>
                          <w:r>
                            <w:rPr>
                              <w:rStyle w:val="PageNumber"/>
                            </w:rPr>
                            <w:fldChar w:fldCharType="begin"/>
                          </w:r>
                          <w:r>
                            <w:rPr>
                              <w:rStyle w:val="PageNumber"/>
                            </w:rPr>
                            <w:instrText xml:space="preserve"> PAGE  \* roman </w:instrText>
                          </w:r>
                          <w:r>
                            <w:rPr>
                              <w:rStyle w:val="PageNumber"/>
                            </w:rPr>
                            <w:fldChar w:fldCharType="separate"/>
                          </w:r>
                          <w:r>
                            <w:rPr>
                              <w:rStyle w:val="PageNumber"/>
                              <w:noProof/>
                            </w:rPr>
                            <w:t>i</w:t>
                          </w:r>
                          <w:r>
                            <w:rPr>
                              <w:rStyle w:val="PageNumber"/>
                            </w:rPr>
                            <w:fldChar w:fldCharType="end"/>
                          </w:r>
                        </w:p>
                      </w:tc>
                    </w:tr>
                  </w:tbl>
                  <w:p w14:paraId="7C2B2D86" w14:textId="77777777" w:rsidR="004F53DB" w:rsidRPr="006C12F1" w:rsidRDefault="004F53DB" w:rsidP="0023341C">
                    <w:pPr>
                      <w:spacing w:after="40" w:line="240" w:lineRule="auto"/>
                      <w:jc w:val="right"/>
                      <w:rPr>
                        <w:iCs/>
                        <w:color w:val="00A97C"/>
                        <w:sz w:val="15"/>
                        <w:szCs w:val="15"/>
                      </w:rPr>
                    </w:pP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6238" w14:textId="77777777" w:rsidR="004F53DB" w:rsidRDefault="004F53DB" w:rsidP="00D81F84">
    <w:pPr>
      <w:pStyle w:val="Footer"/>
    </w:pPr>
    <w:r>
      <w:rPr>
        <w:noProof/>
      </w:rPr>
      <mc:AlternateContent>
        <mc:Choice Requires="wps">
          <w:drawing>
            <wp:anchor distT="0" distB="0" distL="114300" distR="114300" simplePos="0" relativeHeight="251667456" behindDoc="0" locked="1" layoutInCell="1" allowOverlap="1" wp14:anchorId="2315CD38" wp14:editId="166EA055">
              <wp:simplePos x="0" y="0"/>
              <wp:positionH relativeFrom="page">
                <wp:posOffset>5515610</wp:posOffset>
              </wp:positionH>
              <wp:positionV relativeFrom="page">
                <wp:posOffset>10217785</wp:posOffset>
              </wp:positionV>
              <wp:extent cx="2059200" cy="32040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2059200" cy="320400"/>
                      </a:xfrm>
                      <a:prstGeom prst="rect">
                        <a:avLst/>
                      </a:prstGeom>
                      <a:noFill/>
                      <a:ln w="6350">
                        <a:noFill/>
                      </a:ln>
                    </wps:spPr>
                    <wps:txbx>
                      <w:txbxContent>
                        <w:p w14:paraId="4D2B2CCD" w14:textId="77777777" w:rsidR="004F53DB" w:rsidRPr="00C129DC" w:rsidRDefault="004F53DB">
                          <w:pPr>
                            <w:rPr>
                              <w:color w:val="FFFFFF" w:themeColor="background1"/>
                              <w:szCs w:val="18"/>
                            </w:rPr>
                          </w:pPr>
                          <w:r w:rsidRPr="00C129DC">
                            <w:rPr>
                              <w:color w:val="FFFFFF" w:themeColor="background1"/>
                              <w:szCs w:val="18"/>
                            </w:rPr>
                            <w:t>A member of Emergent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5CD38" id="_x0000_t202" coordsize="21600,21600" o:spt="202" path="m,l,21600r21600,l21600,xe">
              <v:stroke joinstyle="miter"/>
              <v:path gradientshapeok="t" o:connecttype="rect"/>
            </v:shapetype>
            <v:shape id="Text Box 11" o:spid="_x0000_s1028" type="#_x0000_t202" style="position:absolute;left:0;text-align:left;margin-left:434.3pt;margin-top:804.55pt;width:162.15pt;height:25.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PrGQIAADMEAAAOAAAAZHJzL2Uyb0RvYy54bWysU8tu2zAQvBfoPxC815IdO20Ey4GbwEUB&#10;IwngFDnTFGkJILksSVtyv75LSn4g7anohdrlrvYxM5zfd1qRg3C+AVPS8SinRBgOVWN2Jf3xuvr0&#10;hRIfmKmYAiNKehSe3i8+fpi3thATqEFVwhEsYnzR2pLWIdgiyzyvhWZ+BFYYDEpwmgV03S6rHGux&#10;ulbZJM9vsxZcZR1w4T3ePvZBukj1pRQ8PEvpRSCqpDhbSKdL5zae2WLOip1jtm74MAb7hyk0aww2&#10;PZd6ZIGRvWv+KKUb7sCDDCMOOgMpGy7SDrjNOH+3zaZmVqRdEBxvzzD5/1eWPx029sWR0H2FDgmM&#10;gLTWFx4v4z6ddDp+cVKCcYTweIZNdIFwvJzkszvkghKOsZtJPkUby2SXv63z4ZsATaJRUoe0JLTY&#10;Ye1Dn3pKic0MrBqlEjXKkLaktzezPP1wjmBxZbDHZdZohW7bkaa62mML1RHXc9Az7y1fNTjDmvnw&#10;whxSjWOjfMMzHlIB9oLBoqQG9+tv9zEfGcAoJS1Kp6T+5545QYn6bpCbu/F0GrWWnOns8wQddx3Z&#10;XkfMXj8AqnOMD8XyZMb8oE6mdKDfUOXL2BVDzHDsXdJwMh9CL2h8JVwslykJ1WVZWJuN5bF0RDUi&#10;/Nq9MWcHGgIS+AQnkbHiHRt9bs/Hch9ANomqiHOP6gA/KjORPbyiKP1rP2Vd3vriNwAAAP//AwBQ&#10;SwMEFAAGAAgAAAAhAGUa2wjiAAAADgEAAA8AAABkcnMvZG93bnJldi54bWxMj01Pg0AQhu8m/ofN&#10;mHizCyQlgCxNQ9KYGD209uJtYKdA3A9kty36611O9jjzPnnnmXIza8UuNLnBGgHxKgJGprVyMJ2A&#10;48fuKQPmPBqJyhoS8EMONtX9XYmFtFezp8vBdyyUGFeggN77seDctT1pdCs7kgnZyU4afRinjssJ&#10;r6FcK55EUco1DiZc6HGkuqf263DWAl7r3Tvum0Rnv6p+eTttx+/j51qIx4d5+wzM0+z/YVj0gzpU&#10;wamxZyMdUwKyNEsDGoI0ymNgCxLnSQ6sWXbrPAVelfz2jeoPAAD//wMAUEsBAi0AFAAGAAgAAAAh&#10;ALaDOJL+AAAA4QEAABMAAAAAAAAAAAAAAAAAAAAAAFtDb250ZW50X1R5cGVzXS54bWxQSwECLQAU&#10;AAYACAAAACEAOP0h/9YAAACUAQAACwAAAAAAAAAAAAAAAAAvAQAAX3JlbHMvLnJlbHNQSwECLQAU&#10;AAYACAAAACEAhvuj6xkCAAAzBAAADgAAAAAAAAAAAAAAAAAuAgAAZHJzL2Uyb0RvYy54bWxQSwEC&#10;LQAUAAYACAAAACEAZRrbCOIAAAAOAQAADwAAAAAAAAAAAAAAAABzBAAAZHJzL2Rvd25yZXYueG1s&#10;UEsFBgAAAAAEAAQA8wAAAIIFAAAAAA==&#10;" filled="f" stroked="f" strokeweight=".5pt">
              <v:textbox>
                <w:txbxContent>
                  <w:p w14:paraId="4D2B2CCD" w14:textId="77777777" w:rsidR="004F53DB" w:rsidRPr="00C129DC" w:rsidRDefault="004F53DB">
                    <w:pPr>
                      <w:rPr>
                        <w:color w:val="FFFFFF" w:themeColor="background1"/>
                        <w:szCs w:val="18"/>
                      </w:rPr>
                    </w:pPr>
                    <w:r w:rsidRPr="00C129DC">
                      <w:rPr>
                        <w:color w:val="FFFFFF" w:themeColor="background1"/>
                        <w:szCs w:val="18"/>
                      </w:rPr>
                      <w:t>A member of Emergent Group</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0A82" w14:textId="77777777" w:rsidR="00DD314E" w:rsidRDefault="00DD314E" w:rsidP="00D81F84">
    <w:pPr>
      <w:pStyle w:val="Footer"/>
    </w:pPr>
    <w:r w:rsidRPr="00C129DC">
      <w:rPr>
        <w:noProof/>
        <w:color w:val="00A97C"/>
      </w:rPr>
      <mc:AlternateContent>
        <mc:Choice Requires="wps">
          <w:drawing>
            <wp:anchor distT="0" distB="0" distL="114300" distR="114300" simplePos="0" relativeHeight="251677696" behindDoc="0" locked="1" layoutInCell="1" allowOverlap="1" wp14:anchorId="5376E1A3" wp14:editId="12BAFDD7">
              <wp:simplePos x="0" y="0"/>
              <wp:positionH relativeFrom="page">
                <wp:align>center</wp:align>
              </wp:positionH>
              <wp:positionV relativeFrom="page">
                <wp:align>bottom</wp:align>
              </wp:positionV>
              <wp:extent cx="10800000" cy="208800"/>
              <wp:effectExtent l="0" t="0" r="1905" b="1270"/>
              <wp:wrapNone/>
              <wp:docPr id="1352942668" name="Rectangle 1352942668"/>
              <wp:cNvGraphicFramePr/>
              <a:graphic xmlns:a="http://schemas.openxmlformats.org/drawingml/2006/main">
                <a:graphicData uri="http://schemas.microsoft.com/office/word/2010/wordprocessingShape">
                  <wps:wsp>
                    <wps:cNvSpPr/>
                    <wps:spPr>
                      <a:xfrm>
                        <a:off x="0" y="0"/>
                        <a:ext cx="10800000" cy="2088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F0C2E" id="Rectangle 1352942668" o:spid="_x0000_s1026" style="position:absolute;margin-left:0;margin-top:0;width:850.4pt;height:16.45pt;z-index:251677696;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YtcwIAAGMFAAAOAAAAZHJzL2Uyb0RvYy54bWysVMFu2zAMvQ/YPwi6r7aDdOuCOkXQosOA&#10;oi2WDj2rslQLkEWNUuJkXz9KdpyuK3YYloMiiuQj+Uzy/GLXWbZVGAy4mlcnJWfKSWiMe67594fr&#10;D2echShcIyw4VfO9Cvxi+f7dee8XagYt2EYhIxAXFr2veRujXxRFkK3qRDgBrxwpNWAnIon4XDQo&#10;ekLvbDEry49FD9h4BKlCoNerQcmXGV9rJeOd1kFFZmtOucV8Yj6f0lksz8XiGYVvjRzTEP+QRSeM&#10;o6AT1JWIgm3Q/AHVGYkQQMcTCV0BWhupcg1UTVW+qmbdCq9yLURO8BNN4f/Bytvt2t8j0dD7sAh0&#10;TVXsNHbpn/Jju0zWfiJL7SKT9FiVZ2X6cSZJOSvPSEx0Fkd3jyF+UdCxdKk50tfIJIntTYiD6cEk&#10;RQtgTXNtrM1C6gB1aZFtBX07IaVycT4G+M3SumTvIHkOoOmlONaTb3FvVbKz7pvSzDRUwSwnk1vt&#10;daBqULWiUUP801zqAD955GIzYELWFH/CHgHeKqIaixjtk6vKnTo5l39LbMhh8siRwcXJuTMO8C0A&#10;G6fIg/2BpIGaxNITNPt7ZAjDnAQvrw19uhsR4r1AGgz62jTs8Y4ObaGvOYw3zlrAn2+9J3vqV9Jy&#10;1tOg1Tz82AhUnNmvjjr5czWfp8nMwvz004wEfKl5eqlxm+4SqB8qWite5muyj/Zw1QjdI+2EVYpK&#10;KuEkxa65jHgQLuOwAGirSLVaZTOaRi/ijVt7mcATq6k1H3aPAv3Yv5Fa/xYOQykWr9p4sE2eDlab&#10;CNrkHj/yOvJNk5wbZ9w6aVW8lLPVcTcufwEAAP//AwBQSwMEFAAGAAgAAAAhAHqN8jveAAAABQEA&#10;AA8AAABkcnMvZG93bnJldi54bWxMj0FLw0AQhe+C/2EZwYvY3bZSbcymGMFDL9W2gnjbZqdJMDsb&#10;spM2/ffdetHLg+EN730vXQyuEQfsQu1Jw3ikQCAV3tZUavjcvt0/gQhsyJrGE2o4YYBFdn2VmsT6&#10;I63xsOFSxBAKidFQMbeJlKGo0Jkw8i1S9Pa+c4bj2ZXSduYYw10jJ0rNpDM1xYbKtPhaYfGz6Z2G&#10;fjk+7R/ey+lym+ff+fzjruWvlda3N8PLMwjGgf+e4YIf0SGLTDvfkw2i0RCH8K9evEel4o6dhulk&#10;DjJL5X/67AwAAP//AwBQSwECLQAUAAYACAAAACEAtoM4kv4AAADhAQAAEwAAAAAAAAAAAAAAAAAA&#10;AAAAW0NvbnRlbnRfVHlwZXNdLnhtbFBLAQItABQABgAIAAAAIQA4/SH/1gAAAJQBAAALAAAAAAAA&#10;AAAAAAAAAC8BAABfcmVscy8ucmVsc1BLAQItABQABgAIAAAAIQBYKJYtcwIAAGMFAAAOAAAAAAAA&#10;AAAAAAAAAC4CAABkcnMvZTJvRG9jLnhtbFBLAQItABQABgAIAAAAIQB6jfI73gAAAAUBAAAPAAAA&#10;AAAAAAAAAAAAAM0EAABkcnMvZG93bnJldi54bWxQSwUGAAAAAAQABADzAAAA2AUAAAAA&#10;" fillcolor="#009b69 [3207]" stroked="f" strokeweight="1pt">
              <w10:wrap anchorx="page" anchory="page"/>
              <w10:anchorlock/>
            </v:rect>
          </w:pict>
        </mc:Fallback>
      </mc:AlternateContent>
    </w:r>
    <w:r>
      <w:rPr>
        <w:noProof/>
      </w:rPr>
      <w:drawing>
        <wp:anchor distT="0" distB="0" distL="114300" distR="114300" simplePos="0" relativeHeight="251679744" behindDoc="1" locked="1" layoutInCell="1" allowOverlap="1" wp14:anchorId="2AA8C97E" wp14:editId="2846BCF1">
          <wp:simplePos x="0" y="0"/>
          <wp:positionH relativeFrom="page">
            <wp:posOffset>180340</wp:posOffset>
          </wp:positionH>
          <wp:positionV relativeFrom="paragraph">
            <wp:posOffset>-269875</wp:posOffset>
          </wp:positionV>
          <wp:extent cx="1681200" cy="691200"/>
          <wp:effectExtent l="0" t="0" r="0" b="0"/>
          <wp:wrapNone/>
          <wp:docPr id="476536081" name="Picture 4765360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a:off x="0" y="0"/>
                    <a:ext cx="1681200" cy="69120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en-AU"/>
      </w:rPr>
      <mc:AlternateContent>
        <mc:Choice Requires="wps">
          <w:drawing>
            <wp:anchor distT="0" distB="0" distL="114300" distR="114300" simplePos="0" relativeHeight="251678720" behindDoc="0" locked="1" layoutInCell="1" allowOverlap="1" wp14:anchorId="3CCB3F0B" wp14:editId="5C3E6C80">
              <wp:simplePos x="0" y="0"/>
              <wp:positionH relativeFrom="rightMargin">
                <wp:posOffset>-4782820</wp:posOffset>
              </wp:positionH>
              <wp:positionV relativeFrom="paragraph">
                <wp:posOffset>73025</wp:posOffset>
              </wp:positionV>
              <wp:extent cx="5440045" cy="298450"/>
              <wp:effectExtent l="0" t="0" r="8255" b="6350"/>
              <wp:wrapNone/>
              <wp:docPr id="1971902607" name="Text Box 1971902607" title="Footer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04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37" w:type="dxa"/>
                            <w:jc w:val="right"/>
                            <w:tblLook w:val="0000" w:firstRow="0" w:lastRow="0" w:firstColumn="0" w:lastColumn="0" w:noHBand="0" w:noVBand="0"/>
                          </w:tblPr>
                          <w:tblGrid>
                            <w:gridCol w:w="7370"/>
                            <w:gridCol w:w="567"/>
                          </w:tblGrid>
                          <w:tr w:rsidR="00DD314E" w:rsidRPr="006C12F1" w14:paraId="02AAB147" w14:textId="77777777" w:rsidTr="00B15B73">
                            <w:trPr>
                              <w:trHeight w:hRule="exact" w:val="284"/>
                              <w:jc w:val="right"/>
                            </w:trPr>
                            <w:tc>
                              <w:tcPr>
                                <w:tcW w:w="7370" w:type="dxa"/>
                              </w:tcPr>
                              <w:p w14:paraId="4A3CCCEC" w14:textId="50B2792E" w:rsidR="00DD314E" w:rsidRPr="0023341C" w:rsidRDefault="006671CF" w:rsidP="00D463CE">
                                <w:pPr>
                                  <w:pStyle w:val="Footer"/>
                                </w:pPr>
                                <w:fldSimple w:instr=" FILENAME   \* MERGEFORMAT ">
                                  <w:r>
                                    <w:rPr>
                                      <w:noProof/>
                                    </w:rPr>
                                    <w:t>23905 - Stage 5 Final Report - AR-PST Topic 6-2 - Advitech_Rev1.docx</w:t>
                                  </w:r>
                                </w:fldSimple>
                                <w:r w:rsidR="00DD314E" w:rsidRPr="0023341C">
                                  <w:t xml:space="preserve"> |</w:t>
                                </w:r>
                                <w:r w:rsidR="00DD314E">
                                  <w:t xml:space="preserve"> </w:t>
                                </w:r>
                                <w:fldSimple w:instr=" DOCPROPERTY  Status  \* MERGEFORMAT ">
                                  <w:r w:rsidR="00254B23">
                                    <w:t>Final</w:t>
                                  </w:r>
                                </w:fldSimple>
                              </w:p>
                            </w:tc>
                            <w:tc>
                              <w:tcPr>
                                <w:tcW w:w="567" w:type="dxa"/>
                              </w:tcPr>
                              <w:p w14:paraId="198E499C" w14:textId="77777777" w:rsidR="00DD314E" w:rsidRPr="00D463CE" w:rsidRDefault="00DD314E" w:rsidP="00D463CE">
                                <w:pPr>
                                  <w:spacing w:after="0" w:line="240" w:lineRule="auto"/>
                                  <w:jc w:val="both"/>
                                  <w:rPr>
                                    <w:rStyle w:val="PageNumber"/>
                                  </w:rPr>
                                </w:pPr>
                                <w:r>
                                  <w:rPr>
                                    <w:rStyle w:val="PageNumber"/>
                                  </w:rPr>
                                  <w:fldChar w:fldCharType="begin"/>
                                </w:r>
                                <w:r>
                                  <w:rPr>
                                    <w:rStyle w:val="PageNumber"/>
                                  </w:rPr>
                                  <w:instrText xml:space="preserve"> PAGE  \* roman </w:instrText>
                                </w:r>
                                <w:r>
                                  <w:rPr>
                                    <w:rStyle w:val="PageNumber"/>
                                  </w:rPr>
                                  <w:fldChar w:fldCharType="separate"/>
                                </w:r>
                                <w:r>
                                  <w:rPr>
                                    <w:rStyle w:val="PageNumber"/>
                                    <w:noProof/>
                                  </w:rPr>
                                  <w:t>i</w:t>
                                </w:r>
                                <w:r>
                                  <w:rPr>
                                    <w:rStyle w:val="PageNumber"/>
                                  </w:rPr>
                                  <w:fldChar w:fldCharType="end"/>
                                </w:r>
                              </w:p>
                            </w:tc>
                          </w:tr>
                        </w:tbl>
                        <w:p w14:paraId="695FAED5" w14:textId="77777777" w:rsidR="00DD314E" w:rsidRPr="006C12F1" w:rsidRDefault="00DD314E" w:rsidP="0023341C">
                          <w:pPr>
                            <w:spacing w:after="40" w:line="240" w:lineRule="auto"/>
                            <w:jc w:val="right"/>
                            <w:rPr>
                              <w:iCs/>
                              <w:color w:val="00A97C"/>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3F0B" id="_x0000_t202" coordsize="21600,21600" o:spt="202" path="m,l,21600r21600,l21600,xe">
              <v:stroke joinstyle="miter"/>
              <v:path gradientshapeok="t" o:connecttype="rect"/>
            </v:shapetype>
            <v:shape id="Text Box 1971902607" o:spid="_x0000_s1029" type="#_x0000_t202" alt="Title: Footer Text Box" style="position:absolute;left:0;text-align:left;margin-left:-376.6pt;margin-top:5.75pt;width:428.35pt;height:23.5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QW9wEAANEDAAAOAAAAZHJzL2Uyb0RvYy54bWysU8Fu2zAMvQ/YPwi6L3aCZGuNOEWXIsOA&#10;bh3Q7QNkWbaFyaJGKbGzrx8lp2nQ3Yr6IIii9Mj3+Ly+GXvDDgq9Blvy+SznTFkJtbZtyX/93H24&#10;4swHYWthwKqSH5XnN5v379aDK9QCOjC1QkYg1heDK3kXgiuyzMtO9cLPwClLyQawF4FCbLMaxUDo&#10;vckWef4xGwBrhyCV93R6NyX5JuE3jZLhoWm8CsyUnHoLacW0VnHNNmtRtChcp+WpDfGKLnqhLRU9&#10;Q92JINge9X9QvZYIHpowk9Bn0DRaqsSB2MzzF2weO+FU4kLieHeWyb8drPx+eHQ/kIXxM4w0wETC&#10;u3uQvz2zsO2EbdUtIgydEjUVnkfJssH54vQ0Su0LH0Gq4RvUNGSxD5CAxgb7qArxZIROAzieRVdj&#10;YJIOV8tlni9XnEnKLa6vlqs0lUwUT68d+vBFQc/ipuRIQ03o4nDvQ+xGFE9XYjEPRtc7bUwKsK22&#10;BtlBkAF26UsEXlwzNl62EJ9NiPEk0YzMJo5hrEama+oyQkTWFdRH4o0w+Yr+A9p0gH85G8hTJfd/&#10;9gIVZ+arJe2u58SVTJiC5erTggK8zFSXGWElQZU8cDZtt2Ey7t6hbjuqNE3Lwi3p3egkxXNXp/bJ&#10;N0mhk8ejMS/jdOv5T9z8AwAA//8DAFBLAwQUAAYACAAAACEAqkmMmt4AAAAKAQAADwAAAGRycy9k&#10;b3ducmV2LnhtbEyPwU7DMAyG70i8Q2QkLmhLt5F1lKYTIIG4buwB0sZrKxqnarK1e3u8E7vZ+j/9&#10;/pxvJ9eJMw6h9aRhMU9AIFXetlRrOPx8zjYgQjRkTecJNVwwwLa4v8tNZv1IOzzvYy24hEJmNDQx&#10;9pmUoWrQmTD3PRJnRz84E3kdamkHM3K56+QySdbSmZb4QmN6/Giw+t2fnIbj9/ikXsbyKx7S3fP6&#10;3bRp6S9aPz5Mb68gIk7xH4arPqtDwU6lP5ENotMwS9VqySwnCwXiSiQrHkoNaqNAFrm8faH4AwAA&#10;//8DAFBLAQItABQABgAIAAAAIQC2gziS/gAAAOEBAAATAAAAAAAAAAAAAAAAAAAAAABbQ29udGVu&#10;dF9UeXBlc10ueG1sUEsBAi0AFAAGAAgAAAAhADj9If/WAAAAlAEAAAsAAAAAAAAAAAAAAAAALwEA&#10;AF9yZWxzLy5yZWxzUEsBAi0AFAAGAAgAAAAhAAlWBBb3AQAA0QMAAA4AAAAAAAAAAAAAAAAALgIA&#10;AGRycy9lMm9Eb2MueG1sUEsBAi0AFAAGAAgAAAAhAKpJjJreAAAACgEAAA8AAAAAAAAAAAAAAAAA&#10;UQQAAGRycy9kb3ducmV2LnhtbFBLBQYAAAAABAAEAPMAAABcBQAAAAA=&#10;" stroked="f">
              <v:textbox>
                <w:txbxContent>
                  <w:tbl>
                    <w:tblPr>
                      <w:tblW w:w="7937" w:type="dxa"/>
                      <w:jc w:val="right"/>
                      <w:tblLook w:val="0000" w:firstRow="0" w:lastRow="0" w:firstColumn="0" w:lastColumn="0" w:noHBand="0" w:noVBand="0"/>
                    </w:tblPr>
                    <w:tblGrid>
                      <w:gridCol w:w="7370"/>
                      <w:gridCol w:w="567"/>
                    </w:tblGrid>
                    <w:tr w:rsidR="00DD314E" w:rsidRPr="006C12F1" w14:paraId="02AAB147" w14:textId="77777777" w:rsidTr="00B15B73">
                      <w:trPr>
                        <w:trHeight w:hRule="exact" w:val="284"/>
                        <w:jc w:val="right"/>
                      </w:trPr>
                      <w:tc>
                        <w:tcPr>
                          <w:tcW w:w="7370" w:type="dxa"/>
                        </w:tcPr>
                        <w:p w14:paraId="4A3CCCEC" w14:textId="50B2792E" w:rsidR="00DD314E" w:rsidRPr="0023341C" w:rsidRDefault="006671CF" w:rsidP="00D463CE">
                          <w:pPr>
                            <w:pStyle w:val="Footer"/>
                          </w:pPr>
                          <w:fldSimple w:instr=" FILENAME   \* MERGEFORMAT ">
                            <w:r>
                              <w:rPr>
                                <w:noProof/>
                              </w:rPr>
                              <w:t>23905 - Stage 5 Final Report - AR-PST Topic 6-2 - Advitech_Rev1.docx</w:t>
                            </w:r>
                          </w:fldSimple>
                          <w:r w:rsidR="00DD314E" w:rsidRPr="0023341C">
                            <w:t xml:space="preserve"> |</w:t>
                          </w:r>
                          <w:r w:rsidR="00DD314E">
                            <w:t xml:space="preserve"> </w:t>
                          </w:r>
                          <w:fldSimple w:instr=" DOCPROPERTY  Status  \* MERGEFORMAT ">
                            <w:r w:rsidR="00254B23">
                              <w:t>Final</w:t>
                            </w:r>
                          </w:fldSimple>
                        </w:p>
                      </w:tc>
                      <w:tc>
                        <w:tcPr>
                          <w:tcW w:w="567" w:type="dxa"/>
                        </w:tcPr>
                        <w:p w14:paraId="198E499C" w14:textId="77777777" w:rsidR="00DD314E" w:rsidRPr="00D463CE" w:rsidRDefault="00DD314E" w:rsidP="00D463CE">
                          <w:pPr>
                            <w:spacing w:after="0" w:line="240" w:lineRule="auto"/>
                            <w:jc w:val="both"/>
                            <w:rPr>
                              <w:rStyle w:val="PageNumber"/>
                            </w:rPr>
                          </w:pPr>
                          <w:r>
                            <w:rPr>
                              <w:rStyle w:val="PageNumber"/>
                            </w:rPr>
                            <w:fldChar w:fldCharType="begin"/>
                          </w:r>
                          <w:r>
                            <w:rPr>
                              <w:rStyle w:val="PageNumber"/>
                            </w:rPr>
                            <w:instrText xml:space="preserve"> PAGE  \* roman </w:instrText>
                          </w:r>
                          <w:r>
                            <w:rPr>
                              <w:rStyle w:val="PageNumber"/>
                            </w:rPr>
                            <w:fldChar w:fldCharType="separate"/>
                          </w:r>
                          <w:r>
                            <w:rPr>
                              <w:rStyle w:val="PageNumber"/>
                              <w:noProof/>
                            </w:rPr>
                            <w:t>i</w:t>
                          </w:r>
                          <w:r>
                            <w:rPr>
                              <w:rStyle w:val="PageNumber"/>
                            </w:rPr>
                            <w:fldChar w:fldCharType="end"/>
                          </w:r>
                        </w:p>
                      </w:tc>
                    </w:tr>
                  </w:tbl>
                  <w:p w14:paraId="695FAED5" w14:textId="77777777" w:rsidR="00DD314E" w:rsidRPr="006C12F1" w:rsidRDefault="00DD314E" w:rsidP="0023341C">
                    <w:pPr>
                      <w:spacing w:after="40" w:line="240" w:lineRule="auto"/>
                      <w:jc w:val="right"/>
                      <w:rPr>
                        <w:iCs/>
                        <w:color w:val="00A97C"/>
                        <w:sz w:val="15"/>
                        <w:szCs w:val="15"/>
                      </w:rPr>
                    </w:pPr>
                  </w:p>
                </w:txbxContent>
              </v:textbox>
              <w10:wrap anchorx="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C74A" w14:textId="77777777" w:rsidR="00DD314E" w:rsidRDefault="00DD314E" w:rsidP="00D81F84">
    <w:pPr>
      <w:pStyle w:val="Footer"/>
    </w:pPr>
    <w:r w:rsidRPr="00C129DC">
      <w:rPr>
        <w:noProof/>
        <w:color w:val="00A97C"/>
      </w:rPr>
      <mc:AlternateContent>
        <mc:Choice Requires="wps">
          <w:drawing>
            <wp:anchor distT="0" distB="0" distL="114300" distR="114300" simplePos="0" relativeHeight="251681792" behindDoc="0" locked="1" layoutInCell="1" allowOverlap="1" wp14:anchorId="2677155C" wp14:editId="417B3C18">
              <wp:simplePos x="0" y="0"/>
              <wp:positionH relativeFrom="page">
                <wp:align>center</wp:align>
              </wp:positionH>
              <wp:positionV relativeFrom="page">
                <wp:align>bottom</wp:align>
              </wp:positionV>
              <wp:extent cx="10800000" cy="208800"/>
              <wp:effectExtent l="0" t="0" r="1905" b="1270"/>
              <wp:wrapNone/>
              <wp:docPr id="523127150" name="Rectangle 523127150"/>
              <wp:cNvGraphicFramePr/>
              <a:graphic xmlns:a="http://schemas.openxmlformats.org/drawingml/2006/main">
                <a:graphicData uri="http://schemas.microsoft.com/office/word/2010/wordprocessingShape">
                  <wps:wsp>
                    <wps:cNvSpPr/>
                    <wps:spPr>
                      <a:xfrm>
                        <a:off x="0" y="0"/>
                        <a:ext cx="10800000" cy="2088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19CF" id="Rectangle 523127150" o:spid="_x0000_s1026" style="position:absolute;margin-left:0;margin-top:0;width:850.4pt;height:16.45pt;z-index:25168179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YtcwIAAGMFAAAOAAAAZHJzL2Uyb0RvYy54bWysVMFu2zAMvQ/YPwi6r7aDdOuCOkXQosOA&#10;oi2WDj2rslQLkEWNUuJkXz9KdpyuK3YYloMiiuQj+Uzy/GLXWbZVGAy4mlcnJWfKSWiMe67594fr&#10;D2echShcIyw4VfO9Cvxi+f7dee8XagYt2EYhIxAXFr2veRujXxRFkK3qRDgBrxwpNWAnIon4XDQo&#10;ekLvbDEry49FD9h4BKlCoNerQcmXGV9rJeOd1kFFZmtOucV8Yj6f0lksz8XiGYVvjRzTEP+QRSeM&#10;o6AT1JWIgm3Q/AHVGYkQQMcTCV0BWhupcg1UTVW+qmbdCq9yLURO8BNN4f/Bytvt2t8j0dD7sAh0&#10;TVXsNHbpn/Jju0zWfiJL7SKT9FiVZ2X6cSZJOSvPSEx0Fkd3jyF+UdCxdKk50tfIJIntTYiD6cEk&#10;RQtgTXNtrM1C6gB1aZFtBX07IaVycT4G+M3SumTvIHkOoOmlONaTb3FvVbKz7pvSzDRUwSwnk1vt&#10;daBqULWiUUP801zqAD955GIzYELWFH/CHgHeKqIaixjtk6vKnTo5l39LbMhh8siRwcXJuTMO8C0A&#10;G6fIg/2BpIGaxNITNPt7ZAjDnAQvrw19uhsR4r1AGgz62jTs8Y4ObaGvOYw3zlrAn2+9J3vqV9Jy&#10;1tOg1Tz82AhUnNmvjjr5czWfp8nMwvz004wEfKl5eqlxm+4SqB8qWite5muyj/Zw1QjdI+2EVYpK&#10;KuEkxa65jHgQLuOwAGirSLVaZTOaRi/ijVt7mcATq6k1H3aPAv3Yv5Fa/xYOQykWr9p4sE2eDlab&#10;CNrkHj/yOvJNk5wbZ9w6aVW8lLPVcTcufwEAAP//AwBQSwMEFAAGAAgAAAAhAHqN8jveAAAABQEA&#10;AA8AAABkcnMvZG93bnJldi54bWxMj0FLw0AQhe+C/2EZwYvY3bZSbcymGMFDL9W2gnjbZqdJMDsb&#10;spM2/ffdetHLg+EN730vXQyuEQfsQu1Jw3ikQCAV3tZUavjcvt0/gQhsyJrGE2o4YYBFdn2VmsT6&#10;I63xsOFSxBAKidFQMbeJlKGo0Jkw8i1S9Pa+c4bj2ZXSduYYw10jJ0rNpDM1xYbKtPhaYfGz6Z2G&#10;fjk+7R/ey+lym+ff+fzjruWvlda3N8PLMwjGgf+e4YIf0SGLTDvfkw2i0RCH8K9evEel4o6dhulk&#10;DjJL5X/67AwAAP//AwBQSwECLQAUAAYACAAAACEAtoM4kv4AAADhAQAAEwAAAAAAAAAAAAAAAAAA&#10;AAAAW0NvbnRlbnRfVHlwZXNdLnhtbFBLAQItABQABgAIAAAAIQA4/SH/1gAAAJQBAAALAAAAAAAA&#10;AAAAAAAAAC8BAABfcmVscy8ucmVsc1BLAQItABQABgAIAAAAIQBYKJYtcwIAAGMFAAAOAAAAAAAA&#10;AAAAAAAAAC4CAABkcnMvZTJvRG9jLnhtbFBLAQItABQABgAIAAAAIQB6jfI73gAAAAUBAAAPAAAA&#10;AAAAAAAAAAAAAM0EAABkcnMvZG93bnJldi54bWxQSwUGAAAAAAQABADzAAAA2AUAAAAA&#10;" fillcolor="#009b69 [3207]" stroked="f" strokeweight="1pt">
              <w10:wrap anchorx="page" anchory="page"/>
              <w10:anchorlock/>
            </v:rect>
          </w:pict>
        </mc:Fallback>
      </mc:AlternateContent>
    </w:r>
    <w:r>
      <w:rPr>
        <w:noProof/>
      </w:rPr>
      <w:drawing>
        <wp:anchor distT="0" distB="0" distL="114300" distR="114300" simplePos="0" relativeHeight="251683840" behindDoc="1" locked="1" layoutInCell="1" allowOverlap="1" wp14:anchorId="2FBD3E1C" wp14:editId="0A048667">
          <wp:simplePos x="0" y="0"/>
          <wp:positionH relativeFrom="page">
            <wp:posOffset>180340</wp:posOffset>
          </wp:positionH>
          <wp:positionV relativeFrom="paragraph">
            <wp:posOffset>-269875</wp:posOffset>
          </wp:positionV>
          <wp:extent cx="1681200" cy="691200"/>
          <wp:effectExtent l="0" t="0" r="0" b="0"/>
          <wp:wrapNone/>
          <wp:docPr id="1237530819" name="Picture 12375308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a:off x="0" y="0"/>
                    <a:ext cx="1681200" cy="691200"/>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en-AU"/>
      </w:rPr>
      <mc:AlternateContent>
        <mc:Choice Requires="wps">
          <w:drawing>
            <wp:anchor distT="0" distB="0" distL="114300" distR="114300" simplePos="0" relativeHeight="251682816" behindDoc="0" locked="1" layoutInCell="1" allowOverlap="1" wp14:anchorId="6AA4C2CE" wp14:editId="4DD24B2D">
              <wp:simplePos x="0" y="0"/>
              <wp:positionH relativeFrom="rightMargin">
                <wp:posOffset>-4782820</wp:posOffset>
              </wp:positionH>
              <wp:positionV relativeFrom="paragraph">
                <wp:posOffset>73025</wp:posOffset>
              </wp:positionV>
              <wp:extent cx="5440045" cy="298450"/>
              <wp:effectExtent l="0" t="0" r="8255" b="6350"/>
              <wp:wrapNone/>
              <wp:docPr id="1743309992" name="Text Box 1743309992" title="Footer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04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937" w:type="dxa"/>
                            <w:jc w:val="right"/>
                            <w:tblLook w:val="0000" w:firstRow="0" w:lastRow="0" w:firstColumn="0" w:lastColumn="0" w:noHBand="0" w:noVBand="0"/>
                          </w:tblPr>
                          <w:tblGrid>
                            <w:gridCol w:w="7370"/>
                            <w:gridCol w:w="567"/>
                          </w:tblGrid>
                          <w:tr w:rsidR="00DD314E" w:rsidRPr="006C12F1" w14:paraId="4A534F0D" w14:textId="77777777" w:rsidTr="00B15B73">
                            <w:trPr>
                              <w:trHeight w:hRule="exact" w:val="284"/>
                              <w:jc w:val="right"/>
                            </w:trPr>
                            <w:tc>
                              <w:tcPr>
                                <w:tcW w:w="7370" w:type="dxa"/>
                              </w:tcPr>
                              <w:p w14:paraId="0F26D316" w14:textId="41BED07A" w:rsidR="00DD314E" w:rsidRPr="0023341C" w:rsidRDefault="006671CF" w:rsidP="00D463CE">
                                <w:pPr>
                                  <w:pStyle w:val="Footer"/>
                                </w:pPr>
                                <w:fldSimple w:instr=" FILENAME   \* MERGEFORMAT ">
                                  <w:r>
                                    <w:rPr>
                                      <w:noProof/>
                                    </w:rPr>
                                    <w:t>23905 - Stage 5 Final Report - AR-PST Topic 6-2 - Advitech_Rev1.docx</w:t>
                                  </w:r>
                                </w:fldSimple>
                                <w:r w:rsidR="00DD314E" w:rsidRPr="0023341C">
                                  <w:t xml:space="preserve"> |</w:t>
                                </w:r>
                                <w:r w:rsidR="00DD314E">
                                  <w:t xml:space="preserve"> </w:t>
                                </w:r>
                                <w:fldSimple w:instr=" DOCPROPERTY  Status  \* MERGEFORMAT ">
                                  <w:r w:rsidR="00254B23">
                                    <w:t>Final</w:t>
                                  </w:r>
                                </w:fldSimple>
                              </w:p>
                            </w:tc>
                            <w:tc>
                              <w:tcPr>
                                <w:tcW w:w="567" w:type="dxa"/>
                              </w:tcPr>
                              <w:p w14:paraId="5F7C9B01" w14:textId="6DD33DD0" w:rsidR="00DD314E" w:rsidRPr="00D463CE" w:rsidRDefault="00DD314E" w:rsidP="00D463CE">
                                <w:pPr>
                                  <w:spacing w:after="0" w:line="240" w:lineRule="auto"/>
                                  <w:jc w:val="both"/>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tc>
                          </w:tr>
                        </w:tbl>
                        <w:p w14:paraId="790C8FD1" w14:textId="77777777" w:rsidR="00DD314E" w:rsidRPr="006C12F1" w:rsidRDefault="00DD314E" w:rsidP="0023341C">
                          <w:pPr>
                            <w:spacing w:after="40" w:line="240" w:lineRule="auto"/>
                            <w:jc w:val="right"/>
                            <w:rPr>
                              <w:iCs/>
                              <w:color w:val="00A97C"/>
                              <w:sz w:val="15"/>
                              <w:szCs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4C2CE" id="_x0000_t202" coordsize="21600,21600" o:spt="202" path="m,l,21600r21600,l21600,xe">
              <v:stroke joinstyle="miter"/>
              <v:path gradientshapeok="t" o:connecttype="rect"/>
            </v:shapetype>
            <v:shape id="Text Box 1743309992" o:spid="_x0000_s1030" type="#_x0000_t202" alt="Title: Footer Text Box" style="position:absolute;left:0;text-align:left;margin-left:-376.6pt;margin-top:5.75pt;width:428.35pt;height:23.5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H6+AEAANEDAAAOAAAAZHJzL2Uyb0RvYy54bWysU8tu2zAQvBfoPxC815Jdu00Ey0HqwEWB&#10;9AGk/QCKoiSiFJdd0pbcr++SchwjuQXVgeByydmd2dH6ZuwNOyj0GmzJ57OcM2Ul1Nq2Jf/1c/fu&#10;ijMfhK2FAatKflSe32zevlkPrlAL6MDUChmBWF8MruRdCK7IMi871Qs/A6csJRvAXgQKsc1qFAOh&#10;9yZb5PmHbACsHYJU3tPp3ZTkm4TfNEqG703jVWCm5NRbSCumtYprtlmLokXhOi1PbYhXdNELbano&#10;GepOBMH2qF9A9VoieGjCTEKfQdNoqRIHYjPPn7F56IRTiQuJ491ZJv//YOW3w4P7gSyMn2CkASYS&#10;3t2D/O2ZhW0nbKtuEWHolKip8DxKlg3OF6enUWpf+AhSDV+hpiGLfYAENDbYR1WIJyN0GsDxLLoa&#10;A5N0uFou83y54kxSbnF9tVylqWSieHzt0IfPCnoWNyVHGmpCF4d7H2I3oni8Eot5MLreaWNSgG21&#10;NcgOggywS18i8OyasfGyhfhsQowniWZkNnEMYzUyXZf8fYSIrCuoj8QbYfIV/Qe06QD/cjaQp0ru&#10;/+wFKs7MF0vaXc+JK5kwBcvVxwUFeJmpLjPCSoIqeeBs2m7DZNy9Q912VGmaloVb0rvRSYqnrk7t&#10;k2+SQiePR2NexunW05+4+QcAAP//AwBQSwMEFAAGAAgAAAAhAKpJjJreAAAACgEAAA8AAABkcnMv&#10;ZG93bnJldi54bWxMj8FOwzAMhu9IvENkJC5oS7eRdZSmEyCBuG7sAdLGaysap2qytXt7vBO72fo/&#10;/f6cbyfXiTMOofWkYTFPQCBV3rZUazj8fM42IEI0ZE3nCTVcMMC2uL/LTWb9SDs872MtuIRCZjQ0&#10;MfaZlKFq0Jkw9z0SZ0c/OBN5HWppBzNyuevkMknW0pmW+EJjevxosPrdn5yG4/f4pF7G8ise0t3z&#10;+t20aekvWj8+TG+vICJO8R+Gqz6rQ8FOpT+RDaLTMEvVasksJwsF4kokKx5KDWqjQBa5vH2h+AMA&#10;AP//AwBQSwECLQAUAAYACAAAACEAtoM4kv4AAADhAQAAEwAAAAAAAAAAAAAAAAAAAAAAW0NvbnRl&#10;bnRfVHlwZXNdLnhtbFBLAQItABQABgAIAAAAIQA4/SH/1gAAAJQBAAALAAAAAAAAAAAAAAAAAC8B&#10;AABfcmVscy8ucmVsc1BLAQItABQABgAIAAAAIQCpGPH6+AEAANEDAAAOAAAAAAAAAAAAAAAAAC4C&#10;AABkcnMvZTJvRG9jLnhtbFBLAQItABQABgAIAAAAIQCqSYya3gAAAAoBAAAPAAAAAAAAAAAAAAAA&#10;AFIEAABkcnMvZG93bnJldi54bWxQSwUGAAAAAAQABADzAAAAXQUAAAAA&#10;" stroked="f">
              <v:textbox>
                <w:txbxContent>
                  <w:tbl>
                    <w:tblPr>
                      <w:tblW w:w="7937" w:type="dxa"/>
                      <w:jc w:val="right"/>
                      <w:tblLook w:val="0000" w:firstRow="0" w:lastRow="0" w:firstColumn="0" w:lastColumn="0" w:noHBand="0" w:noVBand="0"/>
                    </w:tblPr>
                    <w:tblGrid>
                      <w:gridCol w:w="7370"/>
                      <w:gridCol w:w="567"/>
                    </w:tblGrid>
                    <w:tr w:rsidR="00DD314E" w:rsidRPr="006C12F1" w14:paraId="4A534F0D" w14:textId="77777777" w:rsidTr="00B15B73">
                      <w:trPr>
                        <w:trHeight w:hRule="exact" w:val="284"/>
                        <w:jc w:val="right"/>
                      </w:trPr>
                      <w:tc>
                        <w:tcPr>
                          <w:tcW w:w="7370" w:type="dxa"/>
                        </w:tcPr>
                        <w:p w14:paraId="0F26D316" w14:textId="41BED07A" w:rsidR="00DD314E" w:rsidRPr="0023341C" w:rsidRDefault="006671CF" w:rsidP="00D463CE">
                          <w:pPr>
                            <w:pStyle w:val="Footer"/>
                          </w:pPr>
                          <w:fldSimple w:instr=" FILENAME   \* MERGEFORMAT ">
                            <w:r>
                              <w:rPr>
                                <w:noProof/>
                              </w:rPr>
                              <w:t>23905 - Stage 5 Final Report - AR-PST Topic 6-2 - Advitech_Rev1.docx</w:t>
                            </w:r>
                          </w:fldSimple>
                          <w:r w:rsidR="00DD314E" w:rsidRPr="0023341C">
                            <w:t xml:space="preserve"> |</w:t>
                          </w:r>
                          <w:r w:rsidR="00DD314E">
                            <w:t xml:space="preserve"> </w:t>
                          </w:r>
                          <w:fldSimple w:instr=" DOCPROPERTY  Status  \* MERGEFORMAT ">
                            <w:r w:rsidR="00254B23">
                              <w:t>Final</w:t>
                            </w:r>
                          </w:fldSimple>
                        </w:p>
                      </w:tc>
                      <w:tc>
                        <w:tcPr>
                          <w:tcW w:w="567" w:type="dxa"/>
                        </w:tcPr>
                        <w:p w14:paraId="5F7C9B01" w14:textId="6DD33DD0" w:rsidR="00DD314E" w:rsidRPr="00D463CE" w:rsidRDefault="00DD314E" w:rsidP="00D463CE">
                          <w:pPr>
                            <w:spacing w:after="0" w:line="240" w:lineRule="auto"/>
                            <w:jc w:val="both"/>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tc>
                    </w:tr>
                  </w:tbl>
                  <w:p w14:paraId="790C8FD1" w14:textId="77777777" w:rsidR="00DD314E" w:rsidRPr="006C12F1" w:rsidRDefault="00DD314E" w:rsidP="0023341C">
                    <w:pPr>
                      <w:spacing w:after="40" w:line="240" w:lineRule="auto"/>
                      <w:jc w:val="right"/>
                      <w:rPr>
                        <w:iCs/>
                        <w:color w:val="00A97C"/>
                        <w:sz w:val="15"/>
                        <w:szCs w:val="15"/>
                      </w:rPr>
                    </w:pP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4875" w14:textId="77777777" w:rsidR="00E17094" w:rsidRDefault="00E17094" w:rsidP="00977445">
      <w:pPr>
        <w:spacing w:after="0" w:line="240" w:lineRule="auto"/>
      </w:pPr>
      <w:r>
        <w:separator/>
      </w:r>
    </w:p>
  </w:footnote>
  <w:footnote w:type="continuationSeparator" w:id="0">
    <w:p w14:paraId="4AFE49EC" w14:textId="77777777" w:rsidR="00E17094" w:rsidRDefault="00E17094" w:rsidP="00977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EE02" w14:textId="77777777" w:rsidR="004F53DB" w:rsidRDefault="004F53DB" w:rsidP="00D81F84">
    <w:pPr>
      <w:pStyle w:val="Header"/>
    </w:pPr>
    <w:r>
      <w:rPr>
        <w:noProof/>
      </w:rPr>
      <w:drawing>
        <wp:anchor distT="0" distB="0" distL="114300" distR="114300" simplePos="0" relativeHeight="251671552" behindDoc="1" locked="1" layoutInCell="1" allowOverlap="1" wp14:anchorId="6D3FD8B9" wp14:editId="456A2858">
          <wp:simplePos x="0" y="0"/>
          <wp:positionH relativeFrom="rightMargin">
            <wp:posOffset>-269875</wp:posOffset>
          </wp:positionH>
          <wp:positionV relativeFrom="page">
            <wp:posOffset>-345440</wp:posOffset>
          </wp:positionV>
          <wp:extent cx="792000" cy="936000"/>
          <wp:effectExtent l="0" t="57150" r="27305" b="54610"/>
          <wp:wrapNone/>
          <wp:docPr id="985271597" name="Picture 98527159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rot="21241933">
                    <a:off x="0" y="0"/>
                    <a:ext cx="792000" cy="93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1" layoutInCell="1" allowOverlap="1" wp14:anchorId="149A8A9E" wp14:editId="07C4904A">
          <wp:simplePos x="0" y="0"/>
          <wp:positionH relativeFrom="rightMargin">
            <wp:posOffset>385445</wp:posOffset>
          </wp:positionH>
          <wp:positionV relativeFrom="page">
            <wp:posOffset>183515</wp:posOffset>
          </wp:positionV>
          <wp:extent cx="774000" cy="918000"/>
          <wp:effectExtent l="61277" t="0" r="0" b="30797"/>
          <wp:wrapNone/>
          <wp:docPr id="174553349" name="Picture 1745533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pic:nvPicPr>
                <pic:blipFill>
                  <a:blip r:embed="rId2" cstate="screen">
                    <a:extLst>
                      <a:ext uri="{28A0092B-C50C-407E-A947-70E740481C1C}">
                        <a14:useLocalDpi xmlns:a14="http://schemas.microsoft.com/office/drawing/2010/main"/>
                      </a:ext>
                    </a:extLst>
                  </a:blip>
                  <a:stretch>
                    <a:fillRect/>
                  </a:stretch>
                </pic:blipFill>
                <pic:spPr>
                  <a:xfrm rot="4992047">
                    <a:off x="0" y="0"/>
                    <a:ext cx="774000" cy="91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84D9" w14:textId="77777777" w:rsidR="004F53DB" w:rsidRDefault="004F53DB" w:rsidP="002C5DB4">
    <w:pPr>
      <w:pStyle w:val="Header"/>
      <w:tabs>
        <w:tab w:val="left" w:pos="8250"/>
      </w:tabs>
    </w:pPr>
    <w:r>
      <w:rPr>
        <w:noProof/>
      </w:rPr>
      <w:drawing>
        <wp:anchor distT="0" distB="0" distL="114300" distR="114300" simplePos="0" relativeHeight="251662336" behindDoc="1" locked="1" layoutInCell="1" allowOverlap="1" wp14:anchorId="6D6AD2E2" wp14:editId="36292B01">
          <wp:simplePos x="0" y="0"/>
          <wp:positionH relativeFrom="page">
            <wp:posOffset>467995</wp:posOffset>
          </wp:positionH>
          <wp:positionV relativeFrom="page">
            <wp:posOffset>212725</wp:posOffset>
          </wp:positionV>
          <wp:extent cx="3816000" cy="1566000"/>
          <wp:effectExtent l="0" t="0" r="0" b="0"/>
          <wp:wrapNone/>
          <wp:docPr id="1762086732" name="Picture 17620867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a:off x="0" y="0"/>
                    <a:ext cx="3816000" cy="1566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1" layoutInCell="1" allowOverlap="1" wp14:anchorId="6463856D" wp14:editId="59028C0D">
          <wp:simplePos x="0" y="0"/>
          <wp:positionH relativeFrom="page">
            <wp:posOffset>2792730</wp:posOffset>
          </wp:positionH>
          <wp:positionV relativeFrom="page">
            <wp:posOffset>3914775</wp:posOffset>
          </wp:positionV>
          <wp:extent cx="5727065" cy="6774815"/>
          <wp:effectExtent l="0" t="0" r="6985" b="6985"/>
          <wp:wrapNone/>
          <wp:docPr id="585589342" name="Picture 58558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5727065" cy="67748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0" behindDoc="1" locked="1" layoutInCell="1" allowOverlap="1" wp14:anchorId="51C3A650" wp14:editId="59D031DD">
          <wp:simplePos x="0" y="0"/>
          <wp:positionH relativeFrom="page">
            <wp:align>center</wp:align>
          </wp:positionH>
          <wp:positionV relativeFrom="page">
            <wp:posOffset>0</wp:posOffset>
          </wp:positionV>
          <wp:extent cx="7826400" cy="11023200"/>
          <wp:effectExtent l="0" t="0" r="3175" b="6985"/>
          <wp:wrapNone/>
          <wp:docPr id="1515798541" name="Picture 151579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a:ext>
                    </a:extLst>
                  </a:blip>
                  <a:stretch>
                    <a:fillRect/>
                  </a:stretch>
                </pic:blipFill>
                <pic:spPr>
                  <a:xfrm>
                    <a:off x="0" y="0"/>
                    <a:ext cx="7826400" cy="1102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EA4F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E3297"/>
    <w:multiLevelType w:val="hybridMultilevel"/>
    <w:tmpl w:val="EC5C0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082A2B"/>
    <w:multiLevelType w:val="hybridMultilevel"/>
    <w:tmpl w:val="D3D40D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6C370D"/>
    <w:multiLevelType w:val="multilevel"/>
    <w:tmpl w:val="CFDCCED2"/>
    <w:styleLink w:val="TableListBullets"/>
    <w:lvl w:ilvl="0">
      <w:start w:val="1"/>
      <w:numFmt w:val="bullet"/>
      <w:pStyle w:val="TableListBullet"/>
      <w:lvlText w:val=""/>
      <w:lvlJc w:val="left"/>
      <w:pPr>
        <w:ind w:left="360" w:hanging="360"/>
      </w:pPr>
      <w:rPr>
        <w:rFonts w:ascii="Wingdings" w:hAnsi="Wingdings" w:hint="default"/>
      </w:rPr>
    </w:lvl>
    <w:lvl w:ilvl="1">
      <w:start w:val="1"/>
      <w:numFmt w:val="bullet"/>
      <w:pStyle w:val="TableListBullet2"/>
      <w:lvlText w:val="­"/>
      <w:lvlJc w:val="left"/>
      <w:pPr>
        <w:ind w:left="720" w:hanging="360"/>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06EB05B8"/>
    <w:multiLevelType w:val="hybridMultilevel"/>
    <w:tmpl w:val="17C2C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A61476"/>
    <w:multiLevelType w:val="hybridMultilevel"/>
    <w:tmpl w:val="5A02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2C4CC3"/>
    <w:multiLevelType w:val="multilevel"/>
    <w:tmpl w:val="BA561A94"/>
    <w:styleLink w:val="TableListNumbers"/>
    <w:lvl w:ilvl="0">
      <w:start w:val="1"/>
      <w:numFmt w:val="decimal"/>
      <w:pStyle w:val="TableListNumber"/>
      <w:lvlText w:val="%1."/>
      <w:lvlJc w:val="left"/>
      <w:pPr>
        <w:ind w:left="360" w:hanging="360"/>
      </w:pPr>
      <w:rPr>
        <w:rFonts w:hint="default"/>
      </w:rPr>
    </w:lvl>
    <w:lvl w:ilvl="1">
      <w:start w:val="1"/>
      <w:numFmt w:val="lowerLetter"/>
      <w:pStyle w:val="TableListNumber2"/>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0EAA38E5"/>
    <w:multiLevelType w:val="multilevel"/>
    <w:tmpl w:val="0CDA691E"/>
    <w:styleLink w:val="CurrentList3"/>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0EF75435"/>
    <w:multiLevelType w:val="multilevel"/>
    <w:tmpl w:val="7A1E5004"/>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11B91BA9"/>
    <w:multiLevelType w:val="multilevel"/>
    <w:tmpl w:val="EBDABC8E"/>
    <w:styleLink w:val="ListParagraph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spacing w:val="4"/>
        <w:sz w:val="18"/>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2EA3CEC"/>
    <w:multiLevelType w:val="multilevel"/>
    <w:tmpl w:val="DCD4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9013F7"/>
    <w:multiLevelType w:val="multilevel"/>
    <w:tmpl w:val="4288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A7622"/>
    <w:multiLevelType w:val="multilevel"/>
    <w:tmpl w:val="7E6092F8"/>
    <w:styleLink w:val="ListBullets"/>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57"/>
      </w:pPr>
      <w:rPr>
        <w:rFonts w:ascii="Wingdings" w:hAnsi="Wingdings" w:hint="default"/>
      </w:rPr>
    </w:lvl>
    <w:lvl w:ilvl="2">
      <w:start w:val="1"/>
      <w:numFmt w:val="bullet"/>
      <w:pStyle w:val="ListBullet3"/>
      <w:lvlText w:val="­"/>
      <w:lvlJc w:val="left"/>
      <w:pPr>
        <w:ind w:left="1435" w:hanging="358"/>
      </w:pPr>
      <w:rPr>
        <w:rFonts w:ascii="Courier New" w:hAnsi="Courier New" w:hint="default"/>
      </w:rPr>
    </w:lvl>
    <w:lvl w:ilvl="3">
      <w:start w:val="1"/>
      <w:numFmt w:val="bullet"/>
      <w:pStyle w:val="ListBullet4"/>
      <w:lvlText w:val="­"/>
      <w:lvlJc w:val="left"/>
      <w:pPr>
        <w:ind w:left="1791" w:hanging="720"/>
      </w:pPr>
      <w:rPr>
        <w:rFonts w:ascii="Courier New" w:hAnsi="Courier New" w:hint="default"/>
      </w:rPr>
    </w:lvl>
    <w:lvl w:ilvl="4">
      <w:start w:val="1"/>
      <w:numFmt w:val="bullet"/>
      <w:pStyle w:val="ListBullet5"/>
      <w:lvlText w:val="­"/>
      <w:lvlJc w:val="left"/>
      <w:pPr>
        <w:ind w:left="2148" w:hanging="720"/>
      </w:pPr>
      <w:rPr>
        <w:rFonts w:ascii="Courier New" w:hAnsi="Courier New" w:hint="default"/>
      </w:rPr>
    </w:lvl>
    <w:lvl w:ilvl="5">
      <w:start w:val="1"/>
      <w:numFmt w:val="none"/>
      <w:lvlText w:val=""/>
      <w:lvlJc w:val="left"/>
      <w:pPr>
        <w:ind w:left="2505" w:hanging="720"/>
      </w:pPr>
      <w:rPr>
        <w:rFonts w:hint="default"/>
      </w:rPr>
    </w:lvl>
    <w:lvl w:ilvl="6">
      <w:start w:val="1"/>
      <w:numFmt w:val="none"/>
      <w:lvlText w:val=""/>
      <w:lvlJc w:val="left"/>
      <w:pPr>
        <w:ind w:left="2862" w:hanging="720"/>
      </w:pPr>
      <w:rPr>
        <w:rFonts w:hint="default"/>
      </w:rPr>
    </w:lvl>
    <w:lvl w:ilvl="7">
      <w:start w:val="1"/>
      <w:numFmt w:val="none"/>
      <w:lvlText w:val=""/>
      <w:lvlJc w:val="left"/>
      <w:pPr>
        <w:ind w:left="3219" w:hanging="720"/>
      </w:pPr>
      <w:rPr>
        <w:rFonts w:hint="default"/>
      </w:rPr>
    </w:lvl>
    <w:lvl w:ilvl="8">
      <w:start w:val="1"/>
      <w:numFmt w:val="none"/>
      <w:lvlText w:val=""/>
      <w:lvlJc w:val="left"/>
      <w:pPr>
        <w:ind w:left="3576" w:hanging="720"/>
      </w:pPr>
      <w:rPr>
        <w:rFonts w:hint="default"/>
      </w:rPr>
    </w:lvl>
  </w:abstractNum>
  <w:abstractNum w:abstractNumId="13" w15:restartNumberingAfterBreak="0">
    <w:nsid w:val="1983753C"/>
    <w:multiLevelType w:val="hybridMultilevel"/>
    <w:tmpl w:val="86F63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77176E"/>
    <w:multiLevelType w:val="multilevel"/>
    <w:tmpl w:val="14A8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C1435"/>
    <w:multiLevelType w:val="hybridMultilevel"/>
    <w:tmpl w:val="B040F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805C4A"/>
    <w:multiLevelType w:val="multilevel"/>
    <w:tmpl w:val="7C7C32A0"/>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spacing w:val="4"/>
        <w:sz w:val="18"/>
      </w:rPr>
    </w:lvl>
    <w:lvl w:ilvl="2">
      <w:start w:val="1"/>
      <w:numFmt w:val="decimal"/>
      <w:pStyle w:val="Heading3"/>
      <w:lvlText w:val="%1.%2.%3"/>
      <w:lvlJc w:val="left"/>
      <w:pPr>
        <w:ind w:left="720" w:hanging="720"/>
      </w:pPr>
      <w:rPr>
        <w:rFonts w:hint="default"/>
        <w:sz w:val="18"/>
      </w:rPr>
    </w:lvl>
    <w:lvl w:ilvl="3">
      <w:start w:val="1"/>
      <w:numFmt w:val="decimal"/>
      <w:pStyle w:val="Heading4"/>
      <w:lvlText w:val="%1.%2.%3.%4"/>
      <w:lvlJc w:val="left"/>
      <w:pPr>
        <w:ind w:left="720" w:hanging="720"/>
      </w:pPr>
      <w:rPr>
        <w:rFonts w:hint="default"/>
        <w:sz w:val="16"/>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lef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abstractNum w:abstractNumId="17" w15:restartNumberingAfterBreak="0">
    <w:nsid w:val="29BC4103"/>
    <w:multiLevelType w:val="multilevel"/>
    <w:tmpl w:val="7C7C32A0"/>
    <w:numStyleLink w:val="Headings"/>
  </w:abstractNum>
  <w:abstractNum w:abstractNumId="18" w15:restartNumberingAfterBreak="0">
    <w:nsid w:val="2A4C6548"/>
    <w:multiLevelType w:val="multilevel"/>
    <w:tmpl w:val="9D76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71050"/>
    <w:multiLevelType w:val="multilevel"/>
    <w:tmpl w:val="07186A0A"/>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34AB3A6C"/>
    <w:multiLevelType w:val="multilevel"/>
    <w:tmpl w:val="BA561A94"/>
    <w:numStyleLink w:val="TableListNumbers"/>
  </w:abstractNum>
  <w:abstractNum w:abstractNumId="21" w15:restartNumberingAfterBreak="0">
    <w:nsid w:val="3E601DC6"/>
    <w:multiLevelType w:val="hybridMultilevel"/>
    <w:tmpl w:val="B2143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B110F5"/>
    <w:multiLevelType w:val="hybridMultilevel"/>
    <w:tmpl w:val="8190E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6F5BDB"/>
    <w:multiLevelType w:val="multilevel"/>
    <w:tmpl w:val="0CDA691E"/>
    <w:styleLink w:val="CurrentList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4CC73F21"/>
    <w:multiLevelType w:val="multilevel"/>
    <w:tmpl w:val="1B16653A"/>
    <w:styleLink w:val="ListNumbers"/>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35" w:hanging="358"/>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4EAA1A12"/>
    <w:multiLevelType w:val="multilevel"/>
    <w:tmpl w:val="D03C4302"/>
    <w:styleLink w:val="AppendixHeadings"/>
    <w:lvl w:ilvl="0">
      <w:start w:val="1"/>
      <w:numFmt w:val="upperLetter"/>
      <w:pStyle w:val="AppendixHeading"/>
      <w:lvlText w:val="Appendix %1"/>
      <w:lvlJc w:val="left"/>
      <w:pPr>
        <w:ind w:left="360" w:hanging="360"/>
      </w:pPr>
      <w:rPr>
        <w:rFonts w:hint="default"/>
      </w:rPr>
    </w:lvl>
    <w:lvl w:ilvl="1">
      <w:start w:val="1"/>
      <w:numFmt w:val="none"/>
      <w:pStyle w:val="AppendixHeading2"/>
      <w:lvlText w:val="%1:"/>
      <w:lvlJc w:val="left"/>
      <w:pPr>
        <w:ind w:left="0" w:hanging="357"/>
      </w:pPr>
      <w:rPr>
        <w:rFonts w:hint="default"/>
        <w:color w:val="FFFFFF" w:themeColor="background1"/>
      </w:rPr>
    </w:lvl>
    <w:lvl w:ilvl="2">
      <w:start w:val="1"/>
      <w:numFmt w:val="decimal"/>
      <w:pStyle w:val="AppendixHeading3"/>
      <w:lvlText w:val="%1.%3"/>
      <w:lvlJc w:val="left"/>
      <w:pPr>
        <w:ind w:left="720" w:hanging="720"/>
      </w:pPr>
      <w:rPr>
        <w:rFonts w:hint="default"/>
      </w:rPr>
    </w:lvl>
    <w:lvl w:ilvl="3">
      <w:start w:val="1"/>
      <w:numFmt w:val="decimal"/>
      <w:pStyle w:val="AppendixHeading4"/>
      <w:lvlText w:val="%1.%3.%4"/>
      <w:lvlJc w:val="left"/>
      <w:pPr>
        <w:ind w:left="72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61359CB"/>
    <w:multiLevelType w:val="multilevel"/>
    <w:tmpl w:val="B7DE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E678B"/>
    <w:multiLevelType w:val="multilevel"/>
    <w:tmpl w:val="407A11EA"/>
    <w:lvl w:ilvl="0">
      <w:start w:val="1"/>
      <w:numFmt w:val="bullet"/>
      <w:pStyle w:val="ListParagraph"/>
      <w:lvlText w:val=""/>
      <w:lvlJc w:val="left"/>
      <w:pPr>
        <w:ind w:left="360" w:hanging="360"/>
      </w:pPr>
      <w:rPr>
        <w:rFonts w:ascii="Wingdings" w:hAnsi="Wingdings" w:hint="default"/>
      </w:rPr>
    </w:lvl>
    <w:lvl w:ilvl="1">
      <w:start w:val="1"/>
      <w:numFmt w:val="bullet"/>
      <w:lvlText w:val="­"/>
      <w:lvlJc w:val="left"/>
      <w:pPr>
        <w:ind w:left="725" w:hanging="363"/>
      </w:pPr>
      <w:rPr>
        <w:rFonts w:ascii="Courier New" w:hAnsi="Courier New" w:hint="default"/>
      </w:rPr>
    </w:lvl>
    <w:lvl w:ilvl="2">
      <w:start w:val="1"/>
      <w:numFmt w:val="bullet"/>
      <w:lvlText w:val=""/>
      <w:lvlJc w:val="left"/>
      <w:pPr>
        <w:ind w:left="2029" w:hanging="360"/>
      </w:pPr>
      <w:rPr>
        <w:rFonts w:ascii="Wingdings" w:hAnsi="Wingdings" w:hint="default"/>
      </w:rPr>
    </w:lvl>
    <w:lvl w:ilvl="3">
      <w:start w:val="1"/>
      <w:numFmt w:val="bullet"/>
      <w:lvlText w:val=""/>
      <w:lvlJc w:val="left"/>
      <w:pPr>
        <w:ind w:left="2749" w:hanging="360"/>
      </w:pPr>
      <w:rPr>
        <w:rFonts w:ascii="Symbol" w:hAnsi="Symbol" w:hint="default"/>
      </w:rPr>
    </w:lvl>
    <w:lvl w:ilvl="4">
      <w:start w:val="1"/>
      <w:numFmt w:val="bullet"/>
      <w:lvlText w:val="o"/>
      <w:lvlJc w:val="left"/>
      <w:pPr>
        <w:ind w:left="3469" w:hanging="360"/>
      </w:pPr>
      <w:rPr>
        <w:rFonts w:ascii="Courier New" w:hAnsi="Courier New" w:cs="Courier New" w:hint="default"/>
      </w:rPr>
    </w:lvl>
    <w:lvl w:ilvl="5">
      <w:start w:val="1"/>
      <w:numFmt w:val="bullet"/>
      <w:lvlText w:val=""/>
      <w:lvlJc w:val="left"/>
      <w:pPr>
        <w:ind w:left="4189" w:hanging="360"/>
      </w:pPr>
      <w:rPr>
        <w:rFonts w:ascii="Wingdings" w:hAnsi="Wingdings" w:hint="default"/>
      </w:rPr>
    </w:lvl>
    <w:lvl w:ilvl="6">
      <w:start w:val="1"/>
      <w:numFmt w:val="bullet"/>
      <w:lvlText w:val=""/>
      <w:lvlJc w:val="left"/>
      <w:pPr>
        <w:ind w:left="4909" w:hanging="360"/>
      </w:pPr>
      <w:rPr>
        <w:rFonts w:ascii="Symbol" w:hAnsi="Symbol" w:hint="default"/>
      </w:rPr>
    </w:lvl>
    <w:lvl w:ilvl="7">
      <w:start w:val="1"/>
      <w:numFmt w:val="bullet"/>
      <w:lvlText w:val="o"/>
      <w:lvlJc w:val="left"/>
      <w:pPr>
        <w:ind w:left="5629" w:hanging="360"/>
      </w:pPr>
      <w:rPr>
        <w:rFonts w:ascii="Courier New" w:hAnsi="Courier New" w:cs="Courier New" w:hint="default"/>
      </w:rPr>
    </w:lvl>
    <w:lvl w:ilvl="8">
      <w:start w:val="1"/>
      <w:numFmt w:val="bullet"/>
      <w:lvlText w:val=""/>
      <w:lvlJc w:val="left"/>
      <w:pPr>
        <w:ind w:left="6349" w:hanging="360"/>
      </w:pPr>
      <w:rPr>
        <w:rFonts w:ascii="Wingdings" w:hAnsi="Wingdings" w:hint="default"/>
      </w:rPr>
    </w:lvl>
  </w:abstractNum>
  <w:abstractNum w:abstractNumId="28" w15:restartNumberingAfterBreak="0">
    <w:nsid w:val="60753D71"/>
    <w:multiLevelType w:val="hybridMultilevel"/>
    <w:tmpl w:val="B90A52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4950777"/>
    <w:multiLevelType w:val="multilevel"/>
    <w:tmpl w:val="D6AC27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C1082C"/>
    <w:multiLevelType w:val="multilevel"/>
    <w:tmpl w:val="4BA6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AA44D8"/>
    <w:multiLevelType w:val="multilevel"/>
    <w:tmpl w:val="92F6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A675FC"/>
    <w:multiLevelType w:val="multilevel"/>
    <w:tmpl w:val="1B16653A"/>
    <w:numStyleLink w:val="ListNumbers"/>
  </w:abstractNum>
  <w:abstractNum w:abstractNumId="33" w15:restartNumberingAfterBreak="0">
    <w:nsid w:val="77357360"/>
    <w:multiLevelType w:val="hybridMultilevel"/>
    <w:tmpl w:val="D624B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9067512">
    <w:abstractNumId w:val="27"/>
  </w:num>
  <w:num w:numId="2" w16cid:durableId="589239706">
    <w:abstractNumId w:val="19"/>
  </w:num>
  <w:num w:numId="3" w16cid:durableId="766778618">
    <w:abstractNumId w:val="23"/>
  </w:num>
  <w:num w:numId="4" w16cid:durableId="1892492660">
    <w:abstractNumId w:val="7"/>
  </w:num>
  <w:num w:numId="5" w16cid:durableId="1331177861">
    <w:abstractNumId w:val="9"/>
  </w:num>
  <w:num w:numId="6" w16cid:durableId="429742421">
    <w:abstractNumId w:val="16"/>
  </w:num>
  <w:num w:numId="7" w16cid:durableId="1608808679">
    <w:abstractNumId w:val="12"/>
  </w:num>
  <w:num w:numId="8" w16cid:durableId="1111166027">
    <w:abstractNumId w:val="17"/>
  </w:num>
  <w:num w:numId="9" w16cid:durableId="727457745">
    <w:abstractNumId w:val="24"/>
  </w:num>
  <w:num w:numId="10" w16cid:durableId="1544636753">
    <w:abstractNumId w:val="32"/>
  </w:num>
  <w:num w:numId="11" w16cid:durableId="1314603309">
    <w:abstractNumId w:val="3"/>
  </w:num>
  <w:num w:numId="12" w16cid:durableId="1571190684">
    <w:abstractNumId w:val="6"/>
  </w:num>
  <w:num w:numId="13" w16cid:durableId="1491361662">
    <w:abstractNumId w:val="20"/>
  </w:num>
  <w:num w:numId="14" w16cid:durableId="168259976">
    <w:abstractNumId w:val="25"/>
  </w:num>
  <w:num w:numId="15" w16cid:durableId="875891475">
    <w:abstractNumId w:val="14"/>
  </w:num>
  <w:num w:numId="16" w16cid:durableId="1563296183">
    <w:abstractNumId w:val="10"/>
  </w:num>
  <w:num w:numId="17" w16cid:durableId="798719983">
    <w:abstractNumId w:val="31"/>
  </w:num>
  <w:num w:numId="18" w16cid:durableId="2005548329">
    <w:abstractNumId w:val="8"/>
  </w:num>
  <w:num w:numId="19" w16cid:durableId="3440438">
    <w:abstractNumId w:val="18"/>
  </w:num>
  <w:num w:numId="20" w16cid:durableId="745105034">
    <w:abstractNumId w:val="1"/>
  </w:num>
  <w:num w:numId="21" w16cid:durableId="1909415002">
    <w:abstractNumId w:val="21"/>
  </w:num>
  <w:num w:numId="22" w16cid:durableId="656147959">
    <w:abstractNumId w:val="29"/>
  </w:num>
  <w:num w:numId="23" w16cid:durableId="306395312">
    <w:abstractNumId w:val="11"/>
  </w:num>
  <w:num w:numId="24" w16cid:durableId="522060061">
    <w:abstractNumId w:val="26"/>
  </w:num>
  <w:num w:numId="25" w16cid:durableId="280846197">
    <w:abstractNumId w:val="28"/>
  </w:num>
  <w:num w:numId="26" w16cid:durableId="1960646632">
    <w:abstractNumId w:val="30"/>
  </w:num>
  <w:num w:numId="27" w16cid:durableId="1906913060">
    <w:abstractNumId w:val="0"/>
  </w:num>
  <w:num w:numId="28" w16cid:durableId="914899664">
    <w:abstractNumId w:val="33"/>
  </w:num>
  <w:num w:numId="29" w16cid:durableId="605121231">
    <w:abstractNumId w:val="22"/>
  </w:num>
  <w:num w:numId="30" w16cid:durableId="87190969">
    <w:abstractNumId w:val="13"/>
  </w:num>
  <w:num w:numId="31" w16cid:durableId="1508254445">
    <w:abstractNumId w:val="17"/>
    <w:lvlOverride w:ilvl="0">
      <w:startOverride w:val="2"/>
    </w:lvlOverride>
    <w:lvlOverride w:ilvl="1">
      <w:startOverride w:val="1"/>
    </w:lvlOverride>
    <w:lvlOverride w:ilvl="2">
      <w:startOverride w:val="3"/>
    </w:lvlOverride>
  </w:num>
  <w:num w:numId="32" w16cid:durableId="1969580345">
    <w:abstractNumId w:val="2"/>
  </w:num>
  <w:num w:numId="33" w16cid:durableId="869562562">
    <w:abstractNumId w:val="4"/>
  </w:num>
  <w:num w:numId="34" w16cid:durableId="2031370912">
    <w:abstractNumId w:val="15"/>
  </w:num>
  <w:num w:numId="35" w16cid:durableId="1396703394">
    <w:abstractNumId w:val="5"/>
  </w:num>
  <w:num w:numId="36" w16cid:durableId="80682240">
    <w:abstractNumId w:val="17"/>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mima Jackson">
    <w15:presenceInfo w15:providerId="AD" w15:userId="S::jemima.jackson@advitech.com.au::48e18d0d-66a3-444f-ba7d-58dcb78b860f"/>
  </w15:person>
  <w15:person w15:author="Öleg Fina">
    <w15:presenceInfo w15:providerId="AD" w15:userId="S::oleg.fina@advitech.com.au::f6d72797-5cfc-45df-afbe-7d1b821950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EE"/>
    <w:rsid w:val="00001B1B"/>
    <w:rsid w:val="000056EE"/>
    <w:rsid w:val="00005715"/>
    <w:rsid w:val="0000644C"/>
    <w:rsid w:val="000077F2"/>
    <w:rsid w:val="000119B6"/>
    <w:rsid w:val="00011B36"/>
    <w:rsid w:val="00012A00"/>
    <w:rsid w:val="00012D3C"/>
    <w:rsid w:val="000137F4"/>
    <w:rsid w:val="000148BE"/>
    <w:rsid w:val="000161A8"/>
    <w:rsid w:val="00017786"/>
    <w:rsid w:val="000226D2"/>
    <w:rsid w:val="00022E84"/>
    <w:rsid w:val="00032298"/>
    <w:rsid w:val="00036C9A"/>
    <w:rsid w:val="0003758C"/>
    <w:rsid w:val="0003767D"/>
    <w:rsid w:val="00040248"/>
    <w:rsid w:val="00040535"/>
    <w:rsid w:val="00046C79"/>
    <w:rsid w:val="00050653"/>
    <w:rsid w:val="000528EC"/>
    <w:rsid w:val="000616DE"/>
    <w:rsid w:val="0006331B"/>
    <w:rsid w:val="000635F8"/>
    <w:rsid w:val="0006464A"/>
    <w:rsid w:val="00064A9E"/>
    <w:rsid w:val="000656E0"/>
    <w:rsid w:val="000673B1"/>
    <w:rsid w:val="00070277"/>
    <w:rsid w:val="00071FDF"/>
    <w:rsid w:val="00073061"/>
    <w:rsid w:val="0007448A"/>
    <w:rsid w:val="00076007"/>
    <w:rsid w:val="00076C4B"/>
    <w:rsid w:val="00077440"/>
    <w:rsid w:val="0007757A"/>
    <w:rsid w:val="000776AF"/>
    <w:rsid w:val="00081A8D"/>
    <w:rsid w:val="00081AA9"/>
    <w:rsid w:val="0008337C"/>
    <w:rsid w:val="00083931"/>
    <w:rsid w:val="000846FA"/>
    <w:rsid w:val="00090D12"/>
    <w:rsid w:val="00095C1A"/>
    <w:rsid w:val="00096C0A"/>
    <w:rsid w:val="000B0906"/>
    <w:rsid w:val="000B3E15"/>
    <w:rsid w:val="000B4B9E"/>
    <w:rsid w:val="000B68FE"/>
    <w:rsid w:val="000B6E19"/>
    <w:rsid w:val="000B79EF"/>
    <w:rsid w:val="000C1276"/>
    <w:rsid w:val="000C1F81"/>
    <w:rsid w:val="000C297E"/>
    <w:rsid w:val="000D357A"/>
    <w:rsid w:val="000D3FCD"/>
    <w:rsid w:val="000D469B"/>
    <w:rsid w:val="000D68CD"/>
    <w:rsid w:val="000D6DB4"/>
    <w:rsid w:val="000D7491"/>
    <w:rsid w:val="000E2983"/>
    <w:rsid w:val="000E3652"/>
    <w:rsid w:val="000E510B"/>
    <w:rsid w:val="000E6813"/>
    <w:rsid w:val="000E7AAC"/>
    <w:rsid w:val="000F2CAD"/>
    <w:rsid w:val="000F470D"/>
    <w:rsid w:val="000F4B33"/>
    <w:rsid w:val="000F6576"/>
    <w:rsid w:val="00102AA6"/>
    <w:rsid w:val="001040AD"/>
    <w:rsid w:val="001053D7"/>
    <w:rsid w:val="0011162D"/>
    <w:rsid w:val="0011297D"/>
    <w:rsid w:val="00120FEE"/>
    <w:rsid w:val="00121F30"/>
    <w:rsid w:val="00122ADC"/>
    <w:rsid w:val="00122B6A"/>
    <w:rsid w:val="00123EF2"/>
    <w:rsid w:val="0012417A"/>
    <w:rsid w:val="00124C87"/>
    <w:rsid w:val="001433FA"/>
    <w:rsid w:val="00143D46"/>
    <w:rsid w:val="0015039D"/>
    <w:rsid w:val="00150522"/>
    <w:rsid w:val="0015208A"/>
    <w:rsid w:val="00153057"/>
    <w:rsid w:val="00155DBD"/>
    <w:rsid w:val="0015722F"/>
    <w:rsid w:val="00157F79"/>
    <w:rsid w:val="0016068E"/>
    <w:rsid w:val="001608C1"/>
    <w:rsid w:val="00160949"/>
    <w:rsid w:val="001657AC"/>
    <w:rsid w:val="0017168E"/>
    <w:rsid w:val="00181237"/>
    <w:rsid w:val="00181294"/>
    <w:rsid w:val="00181ECD"/>
    <w:rsid w:val="00190205"/>
    <w:rsid w:val="00191340"/>
    <w:rsid w:val="00193252"/>
    <w:rsid w:val="00196115"/>
    <w:rsid w:val="00197963"/>
    <w:rsid w:val="001A14A7"/>
    <w:rsid w:val="001A184D"/>
    <w:rsid w:val="001A2F43"/>
    <w:rsid w:val="001A35B2"/>
    <w:rsid w:val="001A48A4"/>
    <w:rsid w:val="001A6A25"/>
    <w:rsid w:val="001B43BB"/>
    <w:rsid w:val="001B7ECD"/>
    <w:rsid w:val="001C2BF7"/>
    <w:rsid w:val="001C5705"/>
    <w:rsid w:val="001D0B7B"/>
    <w:rsid w:val="001D1162"/>
    <w:rsid w:val="001D64C5"/>
    <w:rsid w:val="001D6F03"/>
    <w:rsid w:val="001D7698"/>
    <w:rsid w:val="001E11CF"/>
    <w:rsid w:val="001E1396"/>
    <w:rsid w:val="001E3650"/>
    <w:rsid w:val="00200097"/>
    <w:rsid w:val="00201238"/>
    <w:rsid w:val="00202D75"/>
    <w:rsid w:val="00204E0C"/>
    <w:rsid w:val="002053A6"/>
    <w:rsid w:val="002110DD"/>
    <w:rsid w:val="002177A1"/>
    <w:rsid w:val="0022229D"/>
    <w:rsid w:val="002228C0"/>
    <w:rsid w:val="002229A6"/>
    <w:rsid w:val="00222B21"/>
    <w:rsid w:val="0022406C"/>
    <w:rsid w:val="0022514C"/>
    <w:rsid w:val="00227435"/>
    <w:rsid w:val="00227ED7"/>
    <w:rsid w:val="00230A54"/>
    <w:rsid w:val="00232737"/>
    <w:rsid w:val="0023341C"/>
    <w:rsid w:val="0023587E"/>
    <w:rsid w:val="00235D5F"/>
    <w:rsid w:val="00236D66"/>
    <w:rsid w:val="00244628"/>
    <w:rsid w:val="00247D31"/>
    <w:rsid w:val="00250183"/>
    <w:rsid w:val="00251D3F"/>
    <w:rsid w:val="00252E0D"/>
    <w:rsid w:val="00254AEB"/>
    <w:rsid w:val="00254B23"/>
    <w:rsid w:val="00255FDE"/>
    <w:rsid w:val="00256DED"/>
    <w:rsid w:val="00262A6D"/>
    <w:rsid w:val="00263355"/>
    <w:rsid w:val="00266443"/>
    <w:rsid w:val="00266AA6"/>
    <w:rsid w:val="002678AD"/>
    <w:rsid w:val="002713C0"/>
    <w:rsid w:val="002740B3"/>
    <w:rsid w:val="00274A2A"/>
    <w:rsid w:val="00276FEB"/>
    <w:rsid w:val="00277715"/>
    <w:rsid w:val="002778A7"/>
    <w:rsid w:val="00277B32"/>
    <w:rsid w:val="00283048"/>
    <w:rsid w:val="00283CD2"/>
    <w:rsid w:val="00284F2F"/>
    <w:rsid w:val="00286BBC"/>
    <w:rsid w:val="00292013"/>
    <w:rsid w:val="00292394"/>
    <w:rsid w:val="0029545D"/>
    <w:rsid w:val="00296140"/>
    <w:rsid w:val="002973AF"/>
    <w:rsid w:val="002977AE"/>
    <w:rsid w:val="002A174D"/>
    <w:rsid w:val="002A31AF"/>
    <w:rsid w:val="002A4735"/>
    <w:rsid w:val="002A70B2"/>
    <w:rsid w:val="002A7FDC"/>
    <w:rsid w:val="002B04DD"/>
    <w:rsid w:val="002B0E98"/>
    <w:rsid w:val="002C08AE"/>
    <w:rsid w:val="002C0905"/>
    <w:rsid w:val="002C0A83"/>
    <w:rsid w:val="002C0F63"/>
    <w:rsid w:val="002C24DC"/>
    <w:rsid w:val="002C4510"/>
    <w:rsid w:val="002C4786"/>
    <w:rsid w:val="002C5DB4"/>
    <w:rsid w:val="002C5E6C"/>
    <w:rsid w:val="002C67A8"/>
    <w:rsid w:val="002D0EF7"/>
    <w:rsid w:val="002D3D68"/>
    <w:rsid w:val="002D437B"/>
    <w:rsid w:val="002D7BB7"/>
    <w:rsid w:val="002E2F1B"/>
    <w:rsid w:val="002E41A3"/>
    <w:rsid w:val="002E4F4F"/>
    <w:rsid w:val="002F1320"/>
    <w:rsid w:val="002F2085"/>
    <w:rsid w:val="002F2AF9"/>
    <w:rsid w:val="002F3B3B"/>
    <w:rsid w:val="002F6A44"/>
    <w:rsid w:val="002F6F91"/>
    <w:rsid w:val="0030133B"/>
    <w:rsid w:val="00301AC6"/>
    <w:rsid w:val="00301F37"/>
    <w:rsid w:val="0030214E"/>
    <w:rsid w:val="003038ED"/>
    <w:rsid w:val="003045D3"/>
    <w:rsid w:val="003069EA"/>
    <w:rsid w:val="0030760A"/>
    <w:rsid w:val="00312BA0"/>
    <w:rsid w:val="0031455A"/>
    <w:rsid w:val="00316396"/>
    <w:rsid w:val="00317E8A"/>
    <w:rsid w:val="003219EF"/>
    <w:rsid w:val="00321F4C"/>
    <w:rsid w:val="003228E7"/>
    <w:rsid w:val="00331DCB"/>
    <w:rsid w:val="003334B6"/>
    <w:rsid w:val="003334E8"/>
    <w:rsid w:val="00334435"/>
    <w:rsid w:val="00337491"/>
    <w:rsid w:val="00337564"/>
    <w:rsid w:val="00342F3C"/>
    <w:rsid w:val="003509D7"/>
    <w:rsid w:val="00351530"/>
    <w:rsid w:val="00351E60"/>
    <w:rsid w:val="00357EA4"/>
    <w:rsid w:val="00360948"/>
    <w:rsid w:val="00362313"/>
    <w:rsid w:val="00374C91"/>
    <w:rsid w:val="00375002"/>
    <w:rsid w:val="00376917"/>
    <w:rsid w:val="00377E97"/>
    <w:rsid w:val="00382849"/>
    <w:rsid w:val="00385127"/>
    <w:rsid w:val="0038618B"/>
    <w:rsid w:val="00386D6F"/>
    <w:rsid w:val="003922D6"/>
    <w:rsid w:val="00392AD8"/>
    <w:rsid w:val="0039308E"/>
    <w:rsid w:val="00393267"/>
    <w:rsid w:val="00394942"/>
    <w:rsid w:val="003A0BB0"/>
    <w:rsid w:val="003A401F"/>
    <w:rsid w:val="003B35B4"/>
    <w:rsid w:val="003B4902"/>
    <w:rsid w:val="003C03A3"/>
    <w:rsid w:val="003C3E65"/>
    <w:rsid w:val="003C425D"/>
    <w:rsid w:val="003C5C3B"/>
    <w:rsid w:val="003C60EE"/>
    <w:rsid w:val="003C7BF4"/>
    <w:rsid w:val="003D324F"/>
    <w:rsid w:val="003D50EE"/>
    <w:rsid w:val="003E2E62"/>
    <w:rsid w:val="003E40D6"/>
    <w:rsid w:val="003E6981"/>
    <w:rsid w:val="003E7D3D"/>
    <w:rsid w:val="003F4572"/>
    <w:rsid w:val="004022A2"/>
    <w:rsid w:val="004049B0"/>
    <w:rsid w:val="0040571E"/>
    <w:rsid w:val="00407092"/>
    <w:rsid w:val="004071EA"/>
    <w:rsid w:val="0041174A"/>
    <w:rsid w:val="00412EFB"/>
    <w:rsid w:val="00416FA0"/>
    <w:rsid w:val="00417F09"/>
    <w:rsid w:val="00420BB4"/>
    <w:rsid w:val="00422F41"/>
    <w:rsid w:val="00425EDF"/>
    <w:rsid w:val="00427DA0"/>
    <w:rsid w:val="0043416B"/>
    <w:rsid w:val="00435042"/>
    <w:rsid w:val="004362DD"/>
    <w:rsid w:val="0043676E"/>
    <w:rsid w:val="00437420"/>
    <w:rsid w:val="00437915"/>
    <w:rsid w:val="00440A85"/>
    <w:rsid w:val="00443CE9"/>
    <w:rsid w:val="004454A5"/>
    <w:rsid w:val="00445551"/>
    <w:rsid w:val="004513F9"/>
    <w:rsid w:val="00451DE0"/>
    <w:rsid w:val="00453ECD"/>
    <w:rsid w:val="004677D7"/>
    <w:rsid w:val="00470C23"/>
    <w:rsid w:val="00470FFA"/>
    <w:rsid w:val="00471120"/>
    <w:rsid w:val="00471F1E"/>
    <w:rsid w:val="00472199"/>
    <w:rsid w:val="00475402"/>
    <w:rsid w:val="004775EF"/>
    <w:rsid w:val="00477B5A"/>
    <w:rsid w:val="00481398"/>
    <w:rsid w:val="004818CE"/>
    <w:rsid w:val="0048218E"/>
    <w:rsid w:val="00482BDF"/>
    <w:rsid w:val="004861AC"/>
    <w:rsid w:val="00490D65"/>
    <w:rsid w:val="00492592"/>
    <w:rsid w:val="00493AA2"/>
    <w:rsid w:val="0049497A"/>
    <w:rsid w:val="00495841"/>
    <w:rsid w:val="00496A41"/>
    <w:rsid w:val="00497B5A"/>
    <w:rsid w:val="004A2549"/>
    <w:rsid w:val="004A415B"/>
    <w:rsid w:val="004A7A4A"/>
    <w:rsid w:val="004B1365"/>
    <w:rsid w:val="004B2C65"/>
    <w:rsid w:val="004B2D01"/>
    <w:rsid w:val="004B4D2A"/>
    <w:rsid w:val="004B726D"/>
    <w:rsid w:val="004B7292"/>
    <w:rsid w:val="004C2F27"/>
    <w:rsid w:val="004C3D24"/>
    <w:rsid w:val="004C4431"/>
    <w:rsid w:val="004C51E1"/>
    <w:rsid w:val="004C613B"/>
    <w:rsid w:val="004C6E60"/>
    <w:rsid w:val="004D18B1"/>
    <w:rsid w:val="004D1A09"/>
    <w:rsid w:val="004D1E8A"/>
    <w:rsid w:val="004D3EEA"/>
    <w:rsid w:val="004D43B5"/>
    <w:rsid w:val="004D5E13"/>
    <w:rsid w:val="004E2FE9"/>
    <w:rsid w:val="004E7C16"/>
    <w:rsid w:val="004E7D7F"/>
    <w:rsid w:val="004F02EB"/>
    <w:rsid w:val="004F1965"/>
    <w:rsid w:val="004F46F4"/>
    <w:rsid w:val="004F53DB"/>
    <w:rsid w:val="0050413D"/>
    <w:rsid w:val="00506934"/>
    <w:rsid w:val="00515D81"/>
    <w:rsid w:val="005176E3"/>
    <w:rsid w:val="00517715"/>
    <w:rsid w:val="00520E83"/>
    <w:rsid w:val="00522418"/>
    <w:rsid w:val="005226E0"/>
    <w:rsid w:val="005242E6"/>
    <w:rsid w:val="00535586"/>
    <w:rsid w:val="0054065E"/>
    <w:rsid w:val="005410A6"/>
    <w:rsid w:val="0054438C"/>
    <w:rsid w:val="00545687"/>
    <w:rsid w:val="00546DA5"/>
    <w:rsid w:val="00546E00"/>
    <w:rsid w:val="00547809"/>
    <w:rsid w:val="00550409"/>
    <w:rsid w:val="00550600"/>
    <w:rsid w:val="0055339B"/>
    <w:rsid w:val="0055353B"/>
    <w:rsid w:val="005548BD"/>
    <w:rsid w:val="0056116E"/>
    <w:rsid w:val="00563EF6"/>
    <w:rsid w:val="005728AB"/>
    <w:rsid w:val="00576CCC"/>
    <w:rsid w:val="0058091F"/>
    <w:rsid w:val="005811F9"/>
    <w:rsid w:val="00582171"/>
    <w:rsid w:val="00582B2E"/>
    <w:rsid w:val="00583FF6"/>
    <w:rsid w:val="0058678C"/>
    <w:rsid w:val="00586FAA"/>
    <w:rsid w:val="00587B22"/>
    <w:rsid w:val="00595649"/>
    <w:rsid w:val="005960B2"/>
    <w:rsid w:val="005A0ED7"/>
    <w:rsid w:val="005A16B8"/>
    <w:rsid w:val="005A17BF"/>
    <w:rsid w:val="005A2AA7"/>
    <w:rsid w:val="005A5287"/>
    <w:rsid w:val="005A5844"/>
    <w:rsid w:val="005A64E5"/>
    <w:rsid w:val="005A683A"/>
    <w:rsid w:val="005B0044"/>
    <w:rsid w:val="005B7055"/>
    <w:rsid w:val="005C381A"/>
    <w:rsid w:val="005C5618"/>
    <w:rsid w:val="005C6FB5"/>
    <w:rsid w:val="005D0C34"/>
    <w:rsid w:val="005D2A6A"/>
    <w:rsid w:val="005D3D72"/>
    <w:rsid w:val="005D645A"/>
    <w:rsid w:val="005D703D"/>
    <w:rsid w:val="005E06E1"/>
    <w:rsid w:val="005E52A0"/>
    <w:rsid w:val="005E68D1"/>
    <w:rsid w:val="005F4B2C"/>
    <w:rsid w:val="00600A6B"/>
    <w:rsid w:val="00602355"/>
    <w:rsid w:val="00602701"/>
    <w:rsid w:val="00603583"/>
    <w:rsid w:val="00605626"/>
    <w:rsid w:val="00607FFC"/>
    <w:rsid w:val="00610104"/>
    <w:rsid w:val="00612318"/>
    <w:rsid w:val="0061297C"/>
    <w:rsid w:val="006147C0"/>
    <w:rsid w:val="0061493D"/>
    <w:rsid w:val="00615ACA"/>
    <w:rsid w:val="00615CE7"/>
    <w:rsid w:val="0061788E"/>
    <w:rsid w:val="00617D6D"/>
    <w:rsid w:val="00621480"/>
    <w:rsid w:val="0062422A"/>
    <w:rsid w:val="00624E2E"/>
    <w:rsid w:val="006276E0"/>
    <w:rsid w:val="00630E07"/>
    <w:rsid w:val="006310C9"/>
    <w:rsid w:val="006352E3"/>
    <w:rsid w:val="006420CC"/>
    <w:rsid w:val="0064261E"/>
    <w:rsid w:val="00642CDD"/>
    <w:rsid w:val="00647109"/>
    <w:rsid w:val="0064772D"/>
    <w:rsid w:val="006517FA"/>
    <w:rsid w:val="00655505"/>
    <w:rsid w:val="00655AD7"/>
    <w:rsid w:val="00656E01"/>
    <w:rsid w:val="0065708A"/>
    <w:rsid w:val="00657797"/>
    <w:rsid w:val="00663211"/>
    <w:rsid w:val="006636A8"/>
    <w:rsid w:val="006650BE"/>
    <w:rsid w:val="006671CF"/>
    <w:rsid w:val="00671CA3"/>
    <w:rsid w:val="00672A68"/>
    <w:rsid w:val="00673A4D"/>
    <w:rsid w:val="0067430C"/>
    <w:rsid w:val="00675DDB"/>
    <w:rsid w:val="006768AD"/>
    <w:rsid w:val="00676C2F"/>
    <w:rsid w:val="00677046"/>
    <w:rsid w:val="00677DEC"/>
    <w:rsid w:val="006815E3"/>
    <w:rsid w:val="0068255D"/>
    <w:rsid w:val="00683FB0"/>
    <w:rsid w:val="00684F2A"/>
    <w:rsid w:val="006857AA"/>
    <w:rsid w:val="00686DBC"/>
    <w:rsid w:val="006912D3"/>
    <w:rsid w:val="00691878"/>
    <w:rsid w:val="006A0B0D"/>
    <w:rsid w:val="006A0D7C"/>
    <w:rsid w:val="006A3C86"/>
    <w:rsid w:val="006A4675"/>
    <w:rsid w:val="006A47CC"/>
    <w:rsid w:val="006A707D"/>
    <w:rsid w:val="006B0470"/>
    <w:rsid w:val="006B584F"/>
    <w:rsid w:val="006C096B"/>
    <w:rsid w:val="006C3BF2"/>
    <w:rsid w:val="006C44E0"/>
    <w:rsid w:val="006C641C"/>
    <w:rsid w:val="006C7818"/>
    <w:rsid w:val="006D0262"/>
    <w:rsid w:val="006D3A3D"/>
    <w:rsid w:val="006D41B2"/>
    <w:rsid w:val="006D55B7"/>
    <w:rsid w:val="006D7FC1"/>
    <w:rsid w:val="006E24DF"/>
    <w:rsid w:val="006E4590"/>
    <w:rsid w:val="006E7EA1"/>
    <w:rsid w:val="006F226A"/>
    <w:rsid w:val="006F25A5"/>
    <w:rsid w:val="006F2F18"/>
    <w:rsid w:val="006F30DA"/>
    <w:rsid w:val="006F4878"/>
    <w:rsid w:val="006F6FB8"/>
    <w:rsid w:val="007021BE"/>
    <w:rsid w:val="0070277F"/>
    <w:rsid w:val="007034D2"/>
    <w:rsid w:val="00703A10"/>
    <w:rsid w:val="0070552E"/>
    <w:rsid w:val="007058CA"/>
    <w:rsid w:val="0071775F"/>
    <w:rsid w:val="00717F87"/>
    <w:rsid w:val="00720D72"/>
    <w:rsid w:val="00725FE8"/>
    <w:rsid w:val="00727E45"/>
    <w:rsid w:val="00731B24"/>
    <w:rsid w:val="007321DE"/>
    <w:rsid w:val="00732AB7"/>
    <w:rsid w:val="00734E7B"/>
    <w:rsid w:val="00734F0E"/>
    <w:rsid w:val="00735722"/>
    <w:rsid w:val="00741549"/>
    <w:rsid w:val="0074384C"/>
    <w:rsid w:val="00745C8F"/>
    <w:rsid w:val="00746C54"/>
    <w:rsid w:val="007476BD"/>
    <w:rsid w:val="00750BC6"/>
    <w:rsid w:val="00751171"/>
    <w:rsid w:val="00751CAB"/>
    <w:rsid w:val="0075287A"/>
    <w:rsid w:val="0075431E"/>
    <w:rsid w:val="00762607"/>
    <w:rsid w:val="00764927"/>
    <w:rsid w:val="0076681A"/>
    <w:rsid w:val="0076709C"/>
    <w:rsid w:val="007677E9"/>
    <w:rsid w:val="007713DD"/>
    <w:rsid w:val="007771E7"/>
    <w:rsid w:val="00777CAF"/>
    <w:rsid w:val="00783BA3"/>
    <w:rsid w:val="0078402F"/>
    <w:rsid w:val="00796388"/>
    <w:rsid w:val="007A2741"/>
    <w:rsid w:val="007A3B65"/>
    <w:rsid w:val="007A5F05"/>
    <w:rsid w:val="007A69B3"/>
    <w:rsid w:val="007B2691"/>
    <w:rsid w:val="007B7F7A"/>
    <w:rsid w:val="007C12CE"/>
    <w:rsid w:val="007C6899"/>
    <w:rsid w:val="007D1C91"/>
    <w:rsid w:val="007D242C"/>
    <w:rsid w:val="007E0F7A"/>
    <w:rsid w:val="007E46D6"/>
    <w:rsid w:val="007E7B92"/>
    <w:rsid w:val="007F22C7"/>
    <w:rsid w:val="007F6729"/>
    <w:rsid w:val="007F6FA1"/>
    <w:rsid w:val="008006A5"/>
    <w:rsid w:val="00805BDF"/>
    <w:rsid w:val="00810671"/>
    <w:rsid w:val="008112D4"/>
    <w:rsid w:val="0081329D"/>
    <w:rsid w:val="00814295"/>
    <w:rsid w:val="0081509A"/>
    <w:rsid w:val="00816BA0"/>
    <w:rsid w:val="00824454"/>
    <w:rsid w:val="00824895"/>
    <w:rsid w:val="00824C47"/>
    <w:rsid w:val="008277DA"/>
    <w:rsid w:val="00832A34"/>
    <w:rsid w:val="0083361B"/>
    <w:rsid w:val="00836010"/>
    <w:rsid w:val="00836EF8"/>
    <w:rsid w:val="00840786"/>
    <w:rsid w:val="008444B4"/>
    <w:rsid w:val="00845BF7"/>
    <w:rsid w:val="008468CD"/>
    <w:rsid w:val="00851E52"/>
    <w:rsid w:val="008531B0"/>
    <w:rsid w:val="008570E6"/>
    <w:rsid w:val="00862003"/>
    <w:rsid w:val="008673A5"/>
    <w:rsid w:val="0087125C"/>
    <w:rsid w:val="008762D0"/>
    <w:rsid w:val="0087722E"/>
    <w:rsid w:val="008811E5"/>
    <w:rsid w:val="00885B91"/>
    <w:rsid w:val="00890BEF"/>
    <w:rsid w:val="008911B4"/>
    <w:rsid w:val="0089237F"/>
    <w:rsid w:val="00894E5C"/>
    <w:rsid w:val="00896666"/>
    <w:rsid w:val="00897DEB"/>
    <w:rsid w:val="008B1451"/>
    <w:rsid w:val="008B358B"/>
    <w:rsid w:val="008B5946"/>
    <w:rsid w:val="008B5C57"/>
    <w:rsid w:val="008C1ACD"/>
    <w:rsid w:val="008C3835"/>
    <w:rsid w:val="008C52EC"/>
    <w:rsid w:val="008C54C6"/>
    <w:rsid w:val="008C7DA0"/>
    <w:rsid w:val="008D2F21"/>
    <w:rsid w:val="008D55B6"/>
    <w:rsid w:val="008D5E82"/>
    <w:rsid w:val="008D776F"/>
    <w:rsid w:val="008E223D"/>
    <w:rsid w:val="008E38BA"/>
    <w:rsid w:val="008E712B"/>
    <w:rsid w:val="008F0152"/>
    <w:rsid w:val="008F15DD"/>
    <w:rsid w:val="008F1AA2"/>
    <w:rsid w:val="008F22A0"/>
    <w:rsid w:val="008F6321"/>
    <w:rsid w:val="008F652D"/>
    <w:rsid w:val="008F689D"/>
    <w:rsid w:val="00900AEA"/>
    <w:rsid w:val="00902274"/>
    <w:rsid w:val="00902302"/>
    <w:rsid w:val="00902BFC"/>
    <w:rsid w:val="009060AF"/>
    <w:rsid w:val="00910886"/>
    <w:rsid w:val="0091134C"/>
    <w:rsid w:val="00914F9A"/>
    <w:rsid w:val="009215D0"/>
    <w:rsid w:val="00922245"/>
    <w:rsid w:val="009227DD"/>
    <w:rsid w:val="00922C45"/>
    <w:rsid w:val="009253B1"/>
    <w:rsid w:val="009259BF"/>
    <w:rsid w:val="0093216F"/>
    <w:rsid w:val="00933C56"/>
    <w:rsid w:val="009373DA"/>
    <w:rsid w:val="00937E81"/>
    <w:rsid w:val="00950D83"/>
    <w:rsid w:val="00951F38"/>
    <w:rsid w:val="00953DFB"/>
    <w:rsid w:val="00961549"/>
    <w:rsid w:val="009630C3"/>
    <w:rsid w:val="0096513F"/>
    <w:rsid w:val="00966F41"/>
    <w:rsid w:val="009734A3"/>
    <w:rsid w:val="00974419"/>
    <w:rsid w:val="0097534D"/>
    <w:rsid w:val="00975A5A"/>
    <w:rsid w:val="00977445"/>
    <w:rsid w:val="00980FB3"/>
    <w:rsid w:val="00981387"/>
    <w:rsid w:val="009830B0"/>
    <w:rsid w:val="0098387D"/>
    <w:rsid w:val="009853C3"/>
    <w:rsid w:val="00991524"/>
    <w:rsid w:val="00992E86"/>
    <w:rsid w:val="00996CAB"/>
    <w:rsid w:val="00997A1A"/>
    <w:rsid w:val="00997A51"/>
    <w:rsid w:val="009A03CD"/>
    <w:rsid w:val="009A1E76"/>
    <w:rsid w:val="009A2035"/>
    <w:rsid w:val="009A25BC"/>
    <w:rsid w:val="009A27D2"/>
    <w:rsid w:val="009B4BF0"/>
    <w:rsid w:val="009B4EE8"/>
    <w:rsid w:val="009C2CE1"/>
    <w:rsid w:val="009C2E34"/>
    <w:rsid w:val="009C4120"/>
    <w:rsid w:val="009C769B"/>
    <w:rsid w:val="009D02FB"/>
    <w:rsid w:val="009E23F6"/>
    <w:rsid w:val="009E2AFA"/>
    <w:rsid w:val="009E4BB5"/>
    <w:rsid w:val="009E7074"/>
    <w:rsid w:val="009E79E1"/>
    <w:rsid w:val="009E7E96"/>
    <w:rsid w:val="009F2CE3"/>
    <w:rsid w:val="009F31D1"/>
    <w:rsid w:val="009F5032"/>
    <w:rsid w:val="009F59A6"/>
    <w:rsid w:val="009F78CE"/>
    <w:rsid w:val="009F78F5"/>
    <w:rsid w:val="00A03C97"/>
    <w:rsid w:val="00A0635E"/>
    <w:rsid w:val="00A0728B"/>
    <w:rsid w:val="00A1559B"/>
    <w:rsid w:val="00A2099A"/>
    <w:rsid w:val="00A212DC"/>
    <w:rsid w:val="00A2306E"/>
    <w:rsid w:val="00A2375F"/>
    <w:rsid w:val="00A23C08"/>
    <w:rsid w:val="00A276AD"/>
    <w:rsid w:val="00A304E5"/>
    <w:rsid w:val="00A31385"/>
    <w:rsid w:val="00A31AAA"/>
    <w:rsid w:val="00A33B71"/>
    <w:rsid w:val="00A357B3"/>
    <w:rsid w:val="00A36222"/>
    <w:rsid w:val="00A3671C"/>
    <w:rsid w:val="00A46088"/>
    <w:rsid w:val="00A47C17"/>
    <w:rsid w:val="00A51630"/>
    <w:rsid w:val="00A54797"/>
    <w:rsid w:val="00A5614F"/>
    <w:rsid w:val="00A6075D"/>
    <w:rsid w:val="00A61AC4"/>
    <w:rsid w:val="00A64085"/>
    <w:rsid w:val="00A64567"/>
    <w:rsid w:val="00A6599E"/>
    <w:rsid w:val="00A67B38"/>
    <w:rsid w:val="00A67C87"/>
    <w:rsid w:val="00A710C4"/>
    <w:rsid w:val="00A72FF4"/>
    <w:rsid w:val="00A73539"/>
    <w:rsid w:val="00A751D3"/>
    <w:rsid w:val="00A75411"/>
    <w:rsid w:val="00A77293"/>
    <w:rsid w:val="00A80680"/>
    <w:rsid w:val="00A81BB5"/>
    <w:rsid w:val="00A8240A"/>
    <w:rsid w:val="00A909BB"/>
    <w:rsid w:val="00A92267"/>
    <w:rsid w:val="00A9310A"/>
    <w:rsid w:val="00A959F9"/>
    <w:rsid w:val="00AA1797"/>
    <w:rsid w:val="00AA20B9"/>
    <w:rsid w:val="00AA3047"/>
    <w:rsid w:val="00AA5406"/>
    <w:rsid w:val="00AA5772"/>
    <w:rsid w:val="00AA735B"/>
    <w:rsid w:val="00AA7E81"/>
    <w:rsid w:val="00AB144B"/>
    <w:rsid w:val="00AB1F96"/>
    <w:rsid w:val="00AB3057"/>
    <w:rsid w:val="00AC3420"/>
    <w:rsid w:val="00AC719C"/>
    <w:rsid w:val="00AD362F"/>
    <w:rsid w:val="00AD5061"/>
    <w:rsid w:val="00AD54B3"/>
    <w:rsid w:val="00AE117E"/>
    <w:rsid w:val="00AE17B5"/>
    <w:rsid w:val="00AE376F"/>
    <w:rsid w:val="00AF0B76"/>
    <w:rsid w:val="00AF1727"/>
    <w:rsid w:val="00AF2A4B"/>
    <w:rsid w:val="00AF60F1"/>
    <w:rsid w:val="00AF6C50"/>
    <w:rsid w:val="00B00A42"/>
    <w:rsid w:val="00B01A3E"/>
    <w:rsid w:val="00B0266D"/>
    <w:rsid w:val="00B0407E"/>
    <w:rsid w:val="00B0588B"/>
    <w:rsid w:val="00B06079"/>
    <w:rsid w:val="00B06437"/>
    <w:rsid w:val="00B07429"/>
    <w:rsid w:val="00B100E3"/>
    <w:rsid w:val="00B10610"/>
    <w:rsid w:val="00B13327"/>
    <w:rsid w:val="00B134E7"/>
    <w:rsid w:val="00B13A3D"/>
    <w:rsid w:val="00B13BF9"/>
    <w:rsid w:val="00B15B73"/>
    <w:rsid w:val="00B16E4E"/>
    <w:rsid w:val="00B2023A"/>
    <w:rsid w:val="00B2049D"/>
    <w:rsid w:val="00B21F81"/>
    <w:rsid w:val="00B24BC0"/>
    <w:rsid w:val="00B2524C"/>
    <w:rsid w:val="00B25536"/>
    <w:rsid w:val="00B33EEC"/>
    <w:rsid w:val="00B34813"/>
    <w:rsid w:val="00B3658C"/>
    <w:rsid w:val="00B37918"/>
    <w:rsid w:val="00B411C3"/>
    <w:rsid w:val="00B41F73"/>
    <w:rsid w:val="00B426A4"/>
    <w:rsid w:val="00B45FC6"/>
    <w:rsid w:val="00B46633"/>
    <w:rsid w:val="00B46F77"/>
    <w:rsid w:val="00B50244"/>
    <w:rsid w:val="00B50CAB"/>
    <w:rsid w:val="00B527AA"/>
    <w:rsid w:val="00B539C8"/>
    <w:rsid w:val="00B549C3"/>
    <w:rsid w:val="00B56143"/>
    <w:rsid w:val="00B56261"/>
    <w:rsid w:val="00B57423"/>
    <w:rsid w:val="00B60766"/>
    <w:rsid w:val="00B6517C"/>
    <w:rsid w:val="00B65D37"/>
    <w:rsid w:val="00B71280"/>
    <w:rsid w:val="00B7792B"/>
    <w:rsid w:val="00B81BAB"/>
    <w:rsid w:val="00B83281"/>
    <w:rsid w:val="00B83541"/>
    <w:rsid w:val="00B85460"/>
    <w:rsid w:val="00B90360"/>
    <w:rsid w:val="00B90687"/>
    <w:rsid w:val="00B928B9"/>
    <w:rsid w:val="00B93941"/>
    <w:rsid w:val="00B958C3"/>
    <w:rsid w:val="00B9770D"/>
    <w:rsid w:val="00BA0566"/>
    <w:rsid w:val="00BB0343"/>
    <w:rsid w:val="00BB1BBE"/>
    <w:rsid w:val="00BB7620"/>
    <w:rsid w:val="00BC2930"/>
    <w:rsid w:val="00BC535F"/>
    <w:rsid w:val="00BD0493"/>
    <w:rsid w:val="00BD5473"/>
    <w:rsid w:val="00BD54EB"/>
    <w:rsid w:val="00BD567F"/>
    <w:rsid w:val="00BD5BA0"/>
    <w:rsid w:val="00BD669E"/>
    <w:rsid w:val="00BD7317"/>
    <w:rsid w:val="00BE4CE9"/>
    <w:rsid w:val="00BF0FCF"/>
    <w:rsid w:val="00BF2DBF"/>
    <w:rsid w:val="00BF37D9"/>
    <w:rsid w:val="00BF61EF"/>
    <w:rsid w:val="00C005E1"/>
    <w:rsid w:val="00C01F4F"/>
    <w:rsid w:val="00C03039"/>
    <w:rsid w:val="00C034D2"/>
    <w:rsid w:val="00C04B41"/>
    <w:rsid w:val="00C04C11"/>
    <w:rsid w:val="00C129DC"/>
    <w:rsid w:val="00C1339F"/>
    <w:rsid w:val="00C16A47"/>
    <w:rsid w:val="00C22608"/>
    <w:rsid w:val="00C2380E"/>
    <w:rsid w:val="00C23B47"/>
    <w:rsid w:val="00C309AB"/>
    <w:rsid w:val="00C31667"/>
    <w:rsid w:val="00C33006"/>
    <w:rsid w:val="00C34D3C"/>
    <w:rsid w:val="00C35BBF"/>
    <w:rsid w:val="00C40DAB"/>
    <w:rsid w:val="00C40F83"/>
    <w:rsid w:val="00C426E9"/>
    <w:rsid w:val="00C51CA4"/>
    <w:rsid w:val="00C557EE"/>
    <w:rsid w:val="00C55A90"/>
    <w:rsid w:val="00C565A0"/>
    <w:rsid w:val="00C570FB"/>
    <w:rsid w:val="00C57C82"/>
    <w:rsid w:val="00C60343"/>
    <w:rsid w:val="00C61532"/>
    <w:rsid w:val="00C63664"/>
    <w:rsid w:val="00C6485C"/>
    <w:rsid w:val="00C65122"/>
    <w:rsid w:val="00C71059"/>
    <w:rsid w:val="00C71C10"/>
    <w:rsid w:val="00C750E9"/>
    <w:rsid w:val="00C77621"/>
    <w:rsid w:val="00C80C35"/>
    <w:rsid w:val="00C82AEE"/>
    <w:rsid w:val="00C902E0"/>
    <w:rsid w:val="00C94C4C"/>
    <w:rsid w:val="00C94CFB"/>
    <w:rsid w:val="00C9518C"/>
    <w:rsid w:val="00C96B18"/>
    <w:rsid w:val="00C96CD3"/>
    <w:rsid w:val="00CA087C"/>
    <w:rsid w:val="00CA4B7E"/>
    <w:rsid w:val="00CA72A3"/>
    <w:rsid w:val="00CB15D2"/>
    <w:rsid w:val="00CC2F92"/>
    <w:rsid w:val="00CC5B22"/>
    <w:rsid w:val="00CC68B9"/>
    <w:rsid w:val="00CC6EB9"/>
    <w:rsid w:val="00CD072F"/>
    <w:rsid w:val="00CD21BB"/>
    <w:rsid w:val="00CD2207"/>
    <w:rsid w:val="00CD4F2B"/>
    <w:rsid w:val="00CD60E4"/>
    <w:rsid w:val="00CD777B"/>
    <w:rsid w:val="00CD7D35"/>
    <w:rsid w:val="00CE058E"/>
    <w:rsid w:val="00CE0614"/>
    <w:rsid w:val="00CE09A3"/>
    <w:rsid w:val="00CE0E69"/>
    <w:rsid w:val="00CE1E3F"/>
    <w:rsid w:val="00CE4618"/>
    <w:rsid w:val="00CE56B9"/>
    <w:rsid w:val="00CE797F"/>
    <w:rsid w:val="00CE7DD4"/>
    <w:rsid w:val="00CF38CE"/>
    <w:rsid w:val="00CF3C3B"/>
    <w:rsid w:val="00CF72BB"/>
    <w:rsid w:val="00D00AFC"/>
    <w:rsid w:val="00D03A0A"/>
    <w:rsid w:val="00D10886"/>
    <w:rsid w:val="00D1112E"/>
    <w:rsid w:val="00D15BBA"/>
    <w:rsid w:val="00D16BF4"/>
    <w:rsid w:val="00D232EA"/>
    <w:rsid w:val="00D251F5"/>
    <w:rsid w:val="00D264C5"/>
    <w:rsid w:val="00D26766"/>
    <w:rsid w:val="00D30294"/>
    <w:rsid w:val="00D33D36"/>
    <w:rsid w:val="00D34191"/>
    <w:rsid w:val="00D35C6A"/>
    <w:rsid w:val="00D36E4B"/>
    <w:rsid w:val="00D40666"/>
    <w:rsid w:val="00D44FF4"/>
    <w:rsid w:val="00D463CE"/>
    <w:rsid w:val="00D469D5"/>
    <w:rsid w:val="00D51A8F"/>
    <w:rsid w:val="00D536C2"/>
    <w:rsid w:val="00D55DA8"/>
    <w:rsid w:val="00D5647C"/>
    <w:rsid w:val="00D62A33"/>
    <w:rsid w:val="00D62C5D"/>
    <w:rsid w:val="00D63727"/>
    <w:rsid w:val="00D72715"/>
    <w:rsid w:val="00D72F0B"/>
    <w:rsid w:val="00D74BD9"/>
    <w:rsid w:val="00D74F45"/>
    <w:rsid w:val="00D759BE"/>
    <w:rsid w:val="00D7632C"/>
    <w:rsid w:val="00D81F84"/>
    <w:rsid w:val="00D82E18"/>
    <w:rsid w:val="00D863A5"/>
    <w:rsid w:val="00D9180C"/>
    <w:rsid w:val="00D93190"/>
    <w:rsid w:val="00D9375D"/>
    <w:rsid w:val="00D93EEF"/>
    <w:rsid w:val="00D9579B"/>
    <w:rsid w:val="00D9645B"/>
    <w:rsid w:val="00D96B4F"/>
    <w:rsid w:val="00D96C4E"/>
    <w:rsid w:val="00D96F00"/>
    <w:rsid w:val="00D973C3"/>
    <w:rsid w:val="00DA0106"/>
    <w:rsid w:val="00DA4D61"/>
    <w:rsid w:val="00DA7A90"/>
    <w:rsid w:val="00DB0CE4"/>
    <w:rsid w:val="00DB1005"/>
    <w:rsid w:val="00DB2257"/>
    <w:rsid w:val="00DB7793"/>
    <w:rsid w:val="00DC1F12"/>
    <w:rsid w:val="00DC5C6A"/>
    <w:rsid w:val="00DD21F0"/>
    <w:rsid w:val="00DD314E"/>
    <w:rsid w:val="00DE57FB"/>
    <w:rsid w:val="00DF3798"/>
    <w:rsid w:val="00DF3E9A"/>
    <w:rsid w:val="00DF41C3"/>
    <w:rsid w:val="00DF70D2"/>
    <w:rsid w:val="00E01F54"/>
    <w:rsid w:val="00E0249C"/>
    <w:rsid w:val="00E11EDD"/>
    <w:rsid w:val="00E14463"/>
    <w:rsid w:val="00E144F4"/>
    <w:rsid w:val="00E16DA0"/>
    <w:rsid w:val="00E17094"/>
    <w:rsid w:val="00E207B1"/>
    <w:rsid w:val="00E212DA"/>
    <w:rsid w:val="00E229AF"/>
    <w:rsid w:val="00E24966"/>
    <w:rsid w:val="00E251AA"/>
    <w:rsid w:val="00E2727A"/>
    <w:rsid w:val="00E30FC6"/>
    <w:rsid w:val="00E31B95"/>
    <w:rsid w:val="00E337B6"/>
    <w:rsid w:val="00E3404A"/>
    <w:rsid w:val="00E34384"/>
    <w:rsid w:val="00E34BD6"/>
    <w:rsid w:val="00E36C7E"/>
    <w:rsid w:val="00E371E1"/>
    <w:rsid w:val="00E4096D"/>
    <w:rsid w:val="00E40F83"/>
    <w:rsid w:val="00E44A4B"/>
    <w:rsid w:val="00E44CDC"/>
    <w:rsid w:val="00E45E6F"/>
    <w:rsid w:val="00E505CE"/>
    <w:rsid w:val="00E52A80"/>
    <w:rsid w:val="00E541AC"/>
    <w:rsid w:val="00E6026A"/>
    <w:rsid w:val="00E61D52"/>
    <w:rsid w:val="00E634D2"/>
    <w:rsid w:val="00E645A3"/>
    <w:rsid w:val="00E6494C"/>
    <w:rsid w:val="00E65BC6"/>
    <w:rsid w:val="00E6623F"/>
    <w:rsid w:val="00E67D6E"/>
    <w:rsid w:val="00E70427"/>
    <w:rsid w:val="00E71F5D"/>
    <w:rsid w:val="00E72AC0"/>
    <w:rsid w:val="00E7373B"/>
    <w:rsid w:val="00E73FB1"/>
    <w:rsid w:val="00E7584C"/>
    <w:rsid w:val="00E75F50"/>
    <w:rsid w:val="00E83476"/>
    <w:rsid w:val="00E84A3C"/>
    <w:rsid w:val="00E8564B"/>
    <w:rsid w:val="00E8590C"/>
    <w:rsid w:val="00E87720"/>
    <w:rsid w:val="00E87D1C"/>
    <w:rsid w:val="00E90F68"/>
    <w:rsid w:val="00E937B5"/>
    <w:rsid w:val="00E93DDF"/>
    <w:rsid w:val="00E94B7E"/>
    <w:rsid w:val="00E9598F"/>
    <w:rsid w:val="00E95EC9"/>
    <w:rsid w:val="00E96305"/>
    <w:rsid w:val="00E96544"/>
    <w:rsid w:val="00E96DD8"/>
    <w:rsid w:val="00EA33F8"/>
    <w:rsid w:val="00EA4376"/>
    <w:rsid w:val="00EA54F9"/>
    <w:rsid w:val="00EA563B"/>
    <w:rsid w:val="00EB2FEE"/>
    <w:rsid w:val="00EB48D0"/>
    <w:rsid w:val="00EB5C73"/>
    <w:rsid w:val="00EC0A98"/>
    <w:rsid w:val="00EC4117"/>
    <w:rsid w:val="00EC482D"/>
    <w:rsid w:val="00EC65F4"/>
    <w:rsid w:val="00ED032D"/>
    <w:rsid w:val="00ED21FE"/>
    <w:rsid w:val="00EE0154"/>
    <w:rsid w:val="00EE03BD"/>
    <w:rsid w:val="00EE0766"/>
    <w:rsid w:val="00EE1CE4"/>
    <w:rsid w:val="00EE2CCF"/>
    <w:rsid w:val="00EF2A88"/>
    <w:rsid w:val="00EF3CDD"/>
    <w:rsid w:val="00EF4BAD"/>
    <w:rsid w:val="00EF7E8A"/>
    <w:rsid w:val="00F0136F"/>
    <w:rsid w:val="00F05031"/>
    <w:rsid w:val="00F10A17"/>
    <w:rsid w:val="00F12269"/>
    <w:rsid w:val="00F12384"/>
    <w:rsid w:val="00F16343"/>
    <w:rsid w:val="00F264ED"/>
    <w:rsid w:val="00F32283"/>
    <w:rsid w:val="00F33A67"/>
    <w:rsid w:val="00F33B9A"/>
    <w:rsid w:val="00F35B6A"/>
    <w:rsid w:val="00F3671B"/>
    <w:rsid w:val="00F467FE"/>
    <w:rsid w:val="00F51B4A"/>
    <w:rsid w:val="00F51C51"/>
    <w:rsid w:val="00F51F4C"/>
    <w:rsid w:val="00F5384D"/>
    <w:rsid w:val="00F549FC"/>
    <w:rsid w:val="00F54DF5"/>
    <w:rsid w:val="00F57EF4"/>
    <w:rsid w:val="00F6634F"/>
    <w:rsid w:val="00F70341"/>
    <w:rsid w:val="00F71305"/>
    <w:rsid w:val="00F7144C"/>
    <w:rsid w:val="00F71F7D"/>
    <w:rsid w:val="00F736B2"/>
    <w:rsid w:val="00F74DD6"/>
    <w:rsid w:val="00F76D0E"/>
    <w:rsid w:val="00F76F1C"/>
    <w:rsid w:val="00F816AD"/>
    <w:rsid w:val="00F8171E"/>
    <w:rsid w:val="00F827B5"/>
    <w:rsid w:val="00F82C91"/>
    <w:rsid w:val="00F84904"/>
    <w:rsid w:val="00F84C5F"/>
    <w:rsid w:val="00F85764"/>
    <w:rsid w:val="00F93296"/>
    <w:rsid w:val="00F97CC3"/>
    <w:rsid w:val="00FA0121"/>
    <w:rsid w:val="00FA2480"/>
    <w:rsid w:val="00FA53EE"/>
    <w:rsid w:val="00FA6A01"/>
    <w:rsid w:val="00FA7483"/>
    <w:rsid w:val="00FB090E"/>
    <w:rsid w:val="00FB0918"/>
    <w:rsid w:val="00FB5182"/>
    <w:rsid w:val="00FB52F5"/>
    <w:rsid w:val="00FB5ECD"/>
    <w:rsid w:val="00FB706E"/>
    <w:rsid w:val="00FC0195"/>
    <w:rsid w:val="00FC1DCD"/>
    <w:rsid w:val="00FC2125"/>
    <w:rsid w:val="00FC2E3E"/>
    <w:rsid w:val="00FC58C5"/>
    <w:rsid w:val="00FD42D1"/>
    <w:rsid w:val="00FD4965"/>
    <w:rsid w:val="00FD51D4"/>
    <w:rsid w:val="00FD69B0"/>
    <w:rsid w:val="00FD69E2"/>
    <w:rsid w:val="00FD7A7F"/>
    <w:rsid w:val="00FE1BB8"/>
    <w:rsid w:val="00FE2A88"/>
    <w:rsid w:val="00FE3CDC"/>
    <w:rsid w:val="00FE675D"/>
    <w:rsid w:val="00FF09B5"/>
    <w:rsid w:val="00FF3288"/>
    <w:rsid w:val="00FF75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AFB48"/>
  <w15:chartTrackingRefBased/>
  <w15:docId w15:val="{5FFBAB3F-849C-46DC-99E1-A3E441A3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iPriority="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A7"/>
    <w:pPr>
      <w:spacing w:after="120" w:line="240" w:lineRule="atLeast"/>
    </w:pPr>
    <w:rPr>
      <w:rFonts w:ascii="Gilroy" w:hAnsi="Gilroy" w:cs="Times New Roman (Body CS)"/>
      <w:spacing w:val="4"/>
      <w:sz w:val="19"/>
    </w:rPr>
  </w:style>
  <w:style w:type="paragraph" w:styleId="Heading1">
    <w:name w:val="heading 1"/>
    <w:next w:val="Normal"/>
    <w:link w:val="Heading1Char"/>
    <w:uiPriority w:val="9"/>
    <w:qFormat/>
    <w:rsid w:val="00A67B38"/>
    <w:pPr>
      <w:keepNext/>
      <w:keepLines/>
      <w:numPr>
        <w:numId w:val="8"/>
      </w:numPr>
      <w:spacing w:before="360" w:after="240" w:line="240" w:lineRule="atLeast"/>
      <w:outlineLvl w:val="0"/>
    </w:pPr>
    <w:rPr>
      <w:rFonts w:ascii="Gilroy" w:eastAsiaTheme="majorEastAsia" w:hAnsi="Gilroy" w:cs="Times New Roman (Headings CS)"/>
      <w:b/>
      <w:color w:val="000000" w:themeColor="text1"/>
      <w:spacing w:val="4"/>
      <w:sz w:val="36"/>
      <w:szCs w:val="32"/>
    </w:rPr>
  </w:style>
  <w:style w:type="paragraph" w:styleId="Heading2">
    <w:name w:val="heading 2"/>
    <w:basedOn w:val="Heading1"/>
    <w:next w:val="Normal"/>
    <w:link w:val="Heading2Char"/>
    <w:uiPriority w:val="2"/>
    <w:qFormat/>
    <w:rsid w:val="000D357A"/>
    <w:pPr>
      <w:numPr>
        <w:ilvl w:val="1"/>
      </w:numPr>
      <w:spacing w:before="240" w:after="120"/>
      <w:outlineLvl w:val="1"/>
    </w:pPr>
    <w:rPr>
      <w:rFonts w:cstheme="majorBidi"/>
      <w:color w:val="00A97C"/>
      <w:sz w:val="24"/>
      <w:szCs w:val="26"/>
    </w:rPr>
  </w:style>
  <w:style w:type="paragraph" w:styleId="Heading3">
    <w:name w:val="heading 3"/>
    <w:basedOn w:val="Heading2"/>
    <w:next w:val="Normal"/>
    <w:link w:val="Heading3Char"/>
    <w:uiPriority w:val="2"/>
    <w:qFormat/>
    <w:rsid w:val="00C57C82"/>
    <w:pPr>
      <w:numPr>
        <w:ilvl w:val="2"/>
      </w:numPr>
      <w:outlineLvl w:val="2"/>
    </w:pPr>
    <w:rPr>
      <w:color w:val="000000" w:themeColor="text1"/>
      <w:sz w:val="20"/>
    </w:rPr>
  </w:style>
  <w:style w:type="paragraph" w:styleId="Heading4">
    <w:name w:val="heading 4"/>
    <w:basedOn w:val="Heading3"/>
    <w:next w:val="Normal"/>
    <w:link w:val="Heading4Char"/>
    <w:uiPriority w:val="2"/>
    <w:rsid w:val="003B35B4"/>
    <w:pPr>
      <w:numPr>
        <w:ilvl w:val="3"/>
      </w:numPr>
      <w:spacing w:before="120"/>
      <w:outlineLvl w:val="3"/>
    </w:pPr>
    <w:rPr>
      <w:b w:val="0"/>
      <w:i/>
      <w:iCs/>
      <w:color w:val="00A97C"/>
    </w:rPr>
  </w:style>
  <w:style w:type="paragraph" w:styleId="Heading5">
    <w:name w:val="heading 5"/>
    <w:basedOn w:val="Heading4"/>
    <w:next w:val="Normal"/>
    <w:link w:val="Heading5Char"/>
    <w:uiPriority w:val="2"/>
    <w:semiHidden/>
    <w:unhideWhenUsed/>
    <w:rsid w:val="00122B6A"/>
    <w:pPr>
      <w:numPr>
        <w:ilvl w:val="4"/>
      </w:numPr>
      <w:outlineLvl w:val="4"/>
    </w:pPr>
    <w:rPr>
      <w:rFonts w:asciiTheme="majorHAnsi" w:hAnsiTheme="majorHAnsi"/>
      <w:color w:val="C5390D" w:themeColor="accent1" w:themeShade="BF"/>
    </w:rPr>
  </w:style>
  <w:style w:type="paragraph" w:styleId="Heading6">
    <w:name w:val="heading 6"/>
    <w:basedOn w:val="Normal"/>
    <w:next w:val="Normal"/>
    <w:link w:val="Heading6Char"/>
    <w:uiPriority w:val="9"/>
    <w:semiHidden/>
    <w:unhideWhenUsed/>
    <w:qFormat/>
    <w:rsid w:val="00C57C82"/>
    <w:pPr>
      <w:keepNext/>
      <w:keepLines/>
      <w:numPr>
        <w:ilvl w:val="5"/>
        <w:numId w:val="8"/>
      </w:numPr>
      <w:spacing w:before="40" w:after="0"/>
      <w:outlineLvl w:val="5"/>
    </w:pPr>
    <w:rPr>
      <w:rFonts w:asciiTheme="majorHAnsi" w:eastAsiaTheme="majorEastAsia" w:hAnsiTheme="majorHAnsi" w:cstheme="majorBidi"/>
      <w:color w:val="832608" w:themeColor="accent1" w:themeShade="7F"/>
    </w:rPr>
  </w:style>
  <w:style w:type="paragraph" w:styleId="Heading7">
    <w:name w:val="heading 7"/>
    <w:basedOn w:val="Normal"/>
    <w:next w:val="Normal"/>
    <w:link w:val="Heading7Char"/>
    <w:uiPriority w:val="9"/>
    <w:semiHidden/>
    <w:unhideWhenUsed/>
    <w:qFormat/>
    <w:rsid w:val="00C57C82"/>
    <w:pPr>
      <w:keepNext/>
      <w:keepLines/>
      <w:numPr>
        <w:ilvl w:val="6"/>
        <w:numId w:val="8"/>
      </w:numPr>
      <w:spacing w:before="40" w:after="0"/>
      <w:outlineLvl w:val="6"/>
    </w:pPr>
    <w:rPr>
      <w:rFonts w:asciiTheme="majorHAnsi" w:eastAsiaTheme="majorEastAsia" w:hAnsiTheme="majorHAnsi" w:cstheme="majorBidi"/>
      <w:i/>
      <w:iCs/>
      <w:color w:val="832608" w:themeColor="accent1" w:themeShade="7F"/>
    </w:rPr>
  </w:style>
  <w:style w:type="paragraph" w:styleId="Heading8">
    <w:name w:val="heading 8"/>
    <w:basedOn w:val="Normal"/>
    <w:next w:val="Normal"/>
    <w:link w:val="Heading8Char"/>
    <w:uiPriority w:val="9"/>
    <w:semiHidden/>
    <w:unhideWhenUsed/>
    <w:qFormat/>
    <w:rsid w:val="00C57C8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7C8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7"/>
    <w:unhideWhenUsed/>
    <w:rsid w:val="00D81F84"/>
  </w:style>
  <w:style w:type="character" w:customStyle="1" w:styleId="HeaderChar">
    <w:name w:val="Header Char"/>
    <w:basedOn w:val="DefaultParagraphFont"/>
    <w:link w:val="Header"/>
    <w:uiPriority w:val="7"/>
    <w:rsid w:val="00D33D36"/>
    <w:rPr>
      <w:rFonts w:ascii="Gilroy" w:hAnsi="Gilroy" w:cs="Times New Roman (Body CS)"/>
      <w:spacing w:val="4"/>
      <w:sz w:val="18"/>
    </w:rPr>
  </w:style>
  <w:style w:type="paragraph" w:styleId="Footer">
    <w:name w:val="footer"/>
    <w:basedOn w:val="Normal"/>
    <w:link w:val="FooterChar"/>
    <w:uiPriority w:val="7"/>
    <w:rsid w:val="00D463CE"/>
    <w:pPr>
      <w:spacing w:before="50" w:after="0" w:line="240" w:lineRule="auto"/>
      <w:jc w:val="right"/>
    </w:pPr>
    <w:rPr>
      <w:sz w:val="15"/>
      <w:szCs w:val="15"/>
    </w:rPr>
  </w:style>
  <w:style w:type="character" w:customStyle="1" w:styleId="FooterChar">
    <w:name w:val="Footer Char"/>
    <w:basedOn w:val="DefaultParagraphFont"/>
    <w:link w:val="Footer"/>
    <w:uiPriority w:val="7"/>
    <w:rsid w:val="00D463CE"/>
    <w:rPr>
      <w:rFonts w:ascii="Gilroy" w:hAnsi="Gilroy" w:cs="Times New Roman (Body CS)"/>
      <w:spacing w:val="4"/>
      <w:sz w:val="15"/>
      <w:szCs w:val="15"/>
    </w:rPr>
  </w:style>
  <w:style w:type="character" w:customStyle="1" w:styleId="Heading1Char">
    <w:name w:val="Heading 1 Char"/>
    <w:basedOn w:val="DefaultParagraphFont"/>
    <w:link w:val="Heading1"/>
    <w:uiPriority w:val="9"/>
    <w:rsid w:val="00A67B38"/>
    <w:rPr>
      <w:rFonts w:ascii="Gilroy" w:eastAsiaTheme="majorEastAsia" w:hAnsi="Gilroy" w:cs="Times New Roman (Headings CS)"/>
      <w:b/>
      <w:color w:val="000000" w:themeColor="text1"/>
      <w:spacing w:val="4"/>
      <w:sz w:val="36"/>
      <w:szCs w:val="32"/>
    </w:rPr>
  </w:style>
  <w:style w:type="paragraph" w:styleId="Caption">
    <w:name w:val="caption"/>
    <w:basedOn w:val="Normal"/>
    <w:next w:val="Normal"/>
    <w:uiPriority w:val="1"/>
    <w:qFormat/>
    <w:rsid w:val="00E67D6E"/>
    <w:pPr>
      <w:spacing w:before="200" w:line="240" w:lineRule="auto"/>
      <w:jc w:val="center"/>
    </w:pPr>
    <w:rPr>
      <w:rFonts w:ascii="Gilroy Bold" w:hAnsi="Gilroy Bold"/>
      <w:iCs/>
      <w:sz w:val="20"/>
      <w:szCs w:val="18"/>
    </w:rPr>
  </w:style>
  <w:style w:type="paragraph" w:customStyle="1" w:styleId="NormalGreen">
    <w:name w:val="Normal Green"/>
    <w:basedOn w:val="NormalBold"/>
    <w:qFormat/>
    <w:rsid w:val="00DA4D61"/>
    <w:rPr>
      <w:color w:val="009B69" w:themeColor="accent4"/>
    </w:rPr>
  </w:style>
  <w:style w:type="character" w:styleId="PageNumber">
    <w:name w:val="page number"/>
    <w:basedOn w:val="DefaultParagraphFont"/>
    <w:uiPriority w:val="7"/>
    <w:unhideWhenUsed/>
    <w:rsid w:val="00D463CE"/>
    <w:rPr>
      <w:b/>
      <w:bCs/>
      <w:iCs/>
      <w:color w:val="00A97C"/>
      <w:sz w:val="20"/>
      <w:szCs w:val="20"/>
    </w:rPr>
  </w:style>
  <w:style w:type="character" w:customStyle="1" w:styleId="Heading2Char">
    <w:name w:val="Heading 2 Char"/>
    <w:basedOn w:val="DefaultParagraphFont"/>
    <w:link w:val="Heading2"/>
    <w:uiPriority w:val="2"/>
    <w:rsid w:val="000D357A"/>
    <w:rPr>
      <w:rFonts w:ascii="Gilroy" w:eastAsiaTheme="majorEastAsia" w:hAnsi="Gilroy" w:cstheme="majorBidi"/>
      <w:b/>
      <w:color w:val="00A97C"/>
      <w:spacing w:val="4"/>
      <w:szCs w:val="26"/>
    </w:rPr>
  </w:style>
  <w:style w:type="character" w:customStyle="1" w:styleId="Heading3Char">
    <w:name w:val="Heading 3 Char"/>
    <w:basedOn w:val="DefaultParagraphFont"/>
    <w:link w:val="Heading3"/>
    <w:uiPriority w:val="2"/>
    <w:rsid w:val="00C57C82"/>
    <w:rPr>
      <w:rFonts w:ascii="Gilroy" w:eastAsiaTheme="majorEastAsia" w:hAnsi="Gilroy" w:cstheme="majorBidi"/>
      <w:b/>
      <w:color w:val="000000" w:themeColor="text1"/>
      <w:spacing w:val="4"/>
      <w:sz w:val="20"/>
      <w:szCs w:val="26"/>
    </w:rPr>
  </w:style>
  <w:style w:type="paragraph" w:styleId="Title">
    <w:name w:val="Title"/>
    <w:basedOn w:val="Normal"/>
    <w:next w:val="Title2"/>
    <w:link w:val="TitleChar"/>
    <w:uiPriority w:val="6"/>
    <w:rsid w:val="00C902E0"/>
    <w:pPr>
      <w:keepNext/>
      <w:spacing w:after="240"/>
      <w:contextualSpacing/>
    </w:pPr>
    <w:rPr>
      <w:rFonts w:eastAsiaTheme="majorEastAsia" w:cstheme="majorBidi"/>
      <w:b/>
      <w:color w:val="FFFFFF" w:themeColor="background1"/>
      <w:spacing w:val="-10"/>
      <w:kern w:val="28"/>
      <w:sz w:val="72"/>
      <w:szCs w:val="56"/>
    </w:rPr>
  </w:style>
  <w:style w:type="character" w:customStyle="1" w:styleId="TitleChar">
    <w:name w:val="Title Char"/>
    <w:basedOn w:val="DefaultParagraphFont"/>
    <w:link w:val="Title"/>
    <w:uiPriority w:val="6"/>
    <w:rsid w:val="00C902E0"/>
    <w:rPr>
      <w:rFonts w:ascii="Gilroy" w:eastAsiaTheme="majorEastAsia" w:hAnsi="Gilroy" w:cstheme="majorBidi"/>
      <w:b/>
      <w:color w:val="FFFFFF" w:themeColor="background1"/>
      <w:spacing w:val="-10"/>
      <w:kern w:val="28"/>
      <w:sz w:val="72"/>
      <w:szCs w:val="56"/>
    </w:rPr>
  </w:style>
  <w:style w:type="character" w:customStyle="1" w:styleId="ListParagraphChar">
    <w:name w:val="List Paragraph Char"/>
    <w:basedOn w:val="DefaultParagraphFont"/>
    <w:link w:val="ListParagraph"/>
    <w:rsid w:val="00150522"/>
    <w:rPr>
      <w:rFonts w:ascii="Gilroy" w:hAnsi="Gilroy" w:cs="Times New Roman (Body CS)"/>
      <w:spacing w:val="4"/>
      <w:sz w:val="19"/>
    </w:rPr>
  </w:style>
  <w:style w:type="paragraph" w:styleId="BodyText">
    <w:name w:val="Body Text"/>
    <w:basedOn w:val="Normal"/>
    <w:link w:val="BodyTextChar"/>
    <w:unhideWhenUsed/>
    <w:qFormat/>
    <w:rsid w:val="00B134E7"/>
  </w:style>
  <w:style w:type="character" w:styleId="Emphasis">
    <w:name w:val="Emphasis"/>
    <w:basedOn w:val="DefaultParagraphFont"/>
    <w:uiPriority w:val="5"/>
    <w:rsid w:val="008F1AA2"/>
    <w:rPr>
      <w:i/>
      <w:iCs/>
    </w:rPr>
  </w:style>
  <w:style w:type="character" w:customStyle="1" w:styleId="BodyTextChar">
    <w:name w:val="Body Text Char"/>
    <w:basedOn w:val="DefaultParagraphFont"/>
    <w:link w:val="BodyText"/>
    <w:rsid w:val="00B134E7"/>
    <w:rPr>
      <w:rFonts w:ascii="Gilroy" w:hAnsi="Gilroy" w:cs="Times New Roman (Body CS)"/>
      <w:spacing w:val="4"/>
      <w:sz w:val="18"/>
    </w:rPr>
  </w:style>
  <w:style w:type="paragraph" w:styleId="Quote">
    <w:name w:val="Quote"/>
    <w:basedOn w:val="Normal"/>
    <w:next w:val="Normal"/>
    <w:link w:val="QuoteChar"/>
    <w:autoRedefine/>
    <w:uiPriority w:val="29"/>
    <w:rsid w:val="00520E83"/>
    <w:pPr>
      <w:spacing w:before="200" w:after="160"/>
      <w:ind w:left="397" w:right="862"/>
      <w:jc w:val="center"/>
    </w:pPr>
    <w:rPr>
      <w:b/>
      <w:i/>
      <w:iCs/>
      <w:color w:val="00A97C"/>
    </w:rPr>
  </w:style>
  <w:style w:type="character" w:customStyle="1" w:styleId="QuoteChar">
    <w:name w:val="Quote Char"/>
    <w:basedOn w:val="DefaultParagraphFont"/>
    <w:link w:val="Quote"/>
    <w:uiPriority w:val="29"/>
    <w:rsid w:val="00520E83"/>
    <w:rPr>
      <w:rFonts w:ascii="Arial" w:hAnsi="Arial" w:cs="Times New Roman (Body CS)"/>
      <w:b/>
      <w:i/>
      <w:iCs/>
      <w:color w:val="00A97C"/>
      <w:spacing w:val="4"/>
      <w:sz w:val="18"/>
    </w:rPr>
  </w:style>
  <w:style w:type="paragraph" w:styleId="IntenseQuote">
    <w:name w:val="Intense Quote"/>
    <w:basedOn w:val="Normal"/>
    <w:next w:val="Normal"/>
    <w:link w:val="IntenseQuoteChar"/>
    <w:uiPriority w:val="30"/>
    <w:rsid w:val="00520E83"/>
    <w:pPr>
      <w:pBdr>
        <w:top w:val="single" w:sz="4" w:space="10" w:color="F15928" w:themeColor="accent1"/>
        <w:bottom w:val="single" w:sz="4" w:space="10" w:color="F15928" w:themeColor="accent1"/>
      </w:pBdr>
      <w:spacing w:before="360" w:after="360"/>
      <w:ind w:left="864" w:right="864"/>
      <w:jc w:val="center"/>
    </w:pPr>
    <w:rPr>
      <w:i/>
      <w:iCs/>
      <w:color w:val="F15928" w:themeColor="accent1"/>
    </w:rPr>
  </w:style>
  <w:style w:type="character" w:customStyle="1" w:styleId="IntenseQuoteChar">
    <w:name w:val="Intense Quote Char"/>
    <w:basedOn w:val="DefaultParagraphFont"/>
    <w:link w:val="IntenseQuote"/>
    <w:uiPriority w:val="30"/>
    <w:rsid w:val="00520E83"/>
    <w:rPr>
      <w:rFonts w:ascii="Arial" w:hAnsi="Arial" w:cs="Times New Roman (Body CS)"/>
      <w:i/>
      <w:iCs/>
      <w:color w:val="F15928" w:themeColor="accent1"/>
      <w:spacing w:val="4"/>
      <w:sz w:val="18"/>
    </w:rPr>
  </w:style>
  <w:style w:type="character" w:customStyle="1" w:styleId="Heading5Char">
    <w:name w:val="Heading 5 Char"/>
    <w:basedOn w:val="DefaultParagraphFont"/>
    <w:link w:val="Heading5"/>
    <w:uiPriority w:val="2"/>
    <w:semiHidden/>
    <w:rsid w:val="00B00A42"/>
    <w:rPr>
      <w:rFonts w:asciiTheme="majorHAnsi" w:eastAsiaTheme="majorEastAsia" w:hAnsiTheme="majorHAnsi" w:cstheme="majorBidi"/>
      <w:i/>
      <w:iCs/>
      <w:color w:val="C5390D" w:themeColor="accent1" w:themeShade="BF"/>
      <w:spacing w:val="4"/>
      <w:sz w:val="20"/>
      <w:szCs w:val="26"/>
    </w:rPr>
  </w:style>
  <w:style w:type="numbering" w:customStyle="1" w:styleId="Headings">
    <w:name w:val="Headings"/>
    <w:uiPriority w:val="99"/>
    <w:rsid w:val="00C57C82"/>
    <w:pPr>
      <w:numPr>
        <w:numId w:val="6"/>
      </w:numPr>
    </w:pPr>
  </w:style>
  <w:style w:type="paragraph" w:styleId="ListParagraph">
    <w:name w:val="List Paragraph"/>
    <w:basedOn w:val="Normal"/>
    <w:link w:val="ListParagraphChar"/>
    <w:uiPriority w:val="34"/>
    <w:qFormat/>
    <w:rsid w:val="003A0BB0"/>
    <w:pPr>
      <w:numPr>
        <w:numId w:val="1"/>
      </w:numPr>
    </w:pPr>
  </w:style>
  <w:style w:type="table" w:styleId="TableGrid">
    <w:name w:val="Table Grid"/>
    <w:basedOn w:val="TableNormal"/>
    <w:uiPriority w:val="39"/>
    <w:rsid w:val="00337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20E83"/>
    <w:pPr>
      <w:numPr>
        <w:numId w:val="2"/>
      </w:numPr>
    </w:pPr>
  </w:style>
  <w:style w:type="paragraph" w:customStyle="1" w:styleId="NormalBold">
    <w:name w:val="Normal Bold"/>
    <w:basedOn w:val="Normal"/>
    <w:qFormat/>
    <w:rsid w:val="00337491"/>
    <w:rPr>
      <w:b/>
      <w:bCs/>
    </w:rPr>
  </w:style>
  <w:style w:type="paragraph" w:customStyle="1" w:styleId="NormalLevel3">
    <w:name w:val="Normal Level 3"/>
    <w:basedOn w:val="Normal"/>
    <w:rsid w:val="00122B6A"/>
    <w:pPr>
      <w:ind w:left="357"/>
    </w:pPr>
  </w:style>
  <w:style w:type="character" w:customStyle="1" w:styleId="Heading4Char">
    <w:name w:val="Heading 4 Char"/>
    <w:basedOn w:val="DefaultParagraphFont"/>
    <w:link w:val="Heading4"/>
    <w:uiPriority w:val="2"/>
    <w:rsid w:val="003B35B4"/>
    <w:rPr>
      <w:rFonts w:ascii="Gilroy" w:eastAsiaTheme="majorEastAsia" w:hAnsi="Gilroy" w:cstheme="majorBidi"/>
      <w:i/>
      <w:iCs/>
      <w:color w:val="00A97C"/>
      <w:spacing w:val="4"/>
      <w:sz w:val="20"/>
      <w:szCs w:val="26"/>
    </w:rPr>
  </w:style>
  <w:style w:type="numbering" w:customStyle="1" w:styleId="CurrentList2">
    <w:name w:val="Current List2"/>
    <w:uiPriority w:val="99"/>
    <w:rsid w:val="00337491"/>
    <w:pPr>
      <w:numPr>
        <w:numId w:val="3"/>
      </w:numPr>
    </w:pPr>
  </w:style>
  <w:style w:type="numbering" w:customStyle="1" w:styleId="CurrentList3">
    <w:name w:val="Current List3"/>
    <w:uiPriority w:val="99"/>
    <w:rsid w:val="00337491"/>
    <w:pPr>
      <w:numPr>
        <w:numId w:val="4"/>
      </w:numPr>
    </w:pPr>
  </w:style>
  <w:style w:type="paragraph" w:customStyle="1" w:styleId="Footer2">
    <w:name w:val="Footer 2"/>
    <w:basedOn w:val="Footer"/>
    <w:semiHidden/>
    <w:unhideWhenUsed/>
    <w:rsid w:val="00D81F84"/>
  </w:style>
  <w:style w:type="paragraph" w:styleId="TOC1">
    <w:name w:val="toc 1"/>
    <w:basedOn w:val="Normal"/>
    <w:next w:val="Normal"/>
    <w:uiPriority w:val="39"/>
    <w:unhideWhenUsed/>
    <w:rsid w:val="00A2099A"/>
    <w:pPr>
      <w:tabs>
        <w:tab w:val="right" w:pos="9628"/>
      </w:tabs>
      <w:spacing w:before="120"/>
      <w:ind w:left="363" w:hanging="363"/>
    </w:pPr>
    <w:rPr>
      <w:rFonts w:ascii="Gilroy Bold" w:hAnsi="Gilroy Bold"/>
      <w:b/>
      <w:bCs/>
      <w:noProof/>
      <w:sz w:val="20"/>
      <w:szCs w:val="22"/>
    </w:rPr>
  </w:style>
  <w:style w:type="paragraph" w:styleId="TOC2">
    <w:name w:val="toc 2"/>
    <w:basedOn w:val="TOC1"/>
    <w:next w:val="Normal"/>
    <w:uiPriority w:val="39"/>
    <w:unhideWhenUsed/>
    <w:rsid w:val="00357EA4"/>
    <w:pPr>
      <w:ind w:left="1083" w:hanging="720"/>
    </w:pPr>
    <w:rPr>
      <w:rFonts w:ascii="Gilroy" w:hAnsi="Gilroy"/>
      <w:b w:val="0"/>
      <w:bCs w:val="0"/>
      <w:sz w:val="18"/>
    </w:rPr>
  </w:style>
  <w:style w:type="paragraph" w:styleId="TOC3">
    <w:name w:val="toc 3"/>
    <w:basedOn w:val="TOC2"/>
    <w:next w:val="Normal"/>
    <w:autoRedefine/>
    <w:uiPriority w:val="39"/>
    <w:unhideWhenUsed/>
    <w:rsid w:val="00D34191"/>
    <w:rPr>
      <w:color w:val="7F7F7F" w:themeColor="accent6" w:themeTint="80"/>
    </w:rPr>
  </w:style>
  <w:style w:type="paragraph" w:styleId="TOC4">
    <w:name w:val="toc 4"/>
    <w:basedOn w:val="Normal"/>
    <w:next w:val="Normal"/>
    <w:autoRedefine/>
    <w:uiPriority w:val="39"/>
    <w:unhideWhenUsed/>
    <w:rsid w:val="00D34191"/>
    <w:pPr>
      <w:spacing w:before="120"/>
    </w:pPr>
    <w:rPr>
      <w:rFonts w:asciiTheme="minorHAnsi" w:hAnsiTheme="minorHAnsi"/>
      <w:sz w:val="22"/>
      <w:szCs w:val="22"/>
    </w:rPr>
  </w:style>
  <w:style w:type="paragraph" w:styleId="TOC5">
    <w:name w:val="toc 5"/>
    <w:basedOn w:val="Normal"/>
    <w:next w:val="Normal"/>
    <w:autoRedefine/>
    <w:uiPriority w:val="39"/>
    <w:semiHidden/>
    <w:rsid w:val="0089237F"/>
    <w:pPr>
      <w:spacing w:after="0"/>
    </w:pPr>
    <w:rPr>
      <w:rFonts w:asciiTheme="minorHAnsi" w:hAnsiTheme="minorHAnsi"/>
      <w:sz w:val="22"/>
      <w:szCs w:val="22"/>
    </w:rPr>
  </w:style>
  <w:style w:type="paragraph" w:styleId="TOC6">
    <w:name w:val="toc 6"/>
    <w:basedOn w:val="Normal"/>
    <w:next w:val="Normal"/>
    <w:autoRedefine/>
    <w:uiPriority w:val="39"/>
    <w:semiHidden/>
    <w:rsid w:val="0089237F"/>
    <w:pPr>
      <w:spacing w:after="0"/>
    </w:pPr>
    <w:rPr>
      <w:rFonts w:asciiTheme="minorHAnsi" w:hAnsiTheme="minorHAnsi"/>
      <w:sz w:val="22"/>
      <w:szCs w:val="22"/>
    </w:rPr>
  </w:style>
  <w:style w:type="paragraph" w:styleId="TOC7">
    <w:name w:val="toc 7"/>
    <w:basedOn w:val="Normal"/>
    <w:next w:val="Normal"/>
    <w:autoRedefine/>
    <w:uiPriority w:val="39"/>
    <w:semiHidden/>
    <w:rsid w:val="0089237F"/>
    <w:pPr>
      <w:spacing w:after="0"/>
    </w:pPr>
    <w:rPr>
      <w:rFonts w:asciiTheme="minorHAnsi" w:hAnsiTheme="minorHAnsi"/>
      <w:sz w:val="22"/>
      <w:szCs w:val="22"/>
    </w:rPr>
  </w:style>
  <w:style w:type="paragraph" w:styleId="TOC8">
    <w:name w:val="toc 8"/>
    <w:basedOn w:val="Normal"/>
    <w:next w:val="Normal"/>
    <w:autoRedefine/>
    <w:uiPriority w:val="39"/>
    <w:semiHidden/>
    <w:rsid w:val="0089237F"/>
    <w:pPr>
      <w:spacing w:after="0"/>
    </w:pPr>
    <w:rPr>
      <w:rFonts w:asciiTheme="minorHAnsi" w:hAnsiTheme="minorHAnsi"/>
      <w:sz w:val="22"/>
      <w:szCs w:val="22"/>
    </w:rPr>
  </w:style>
  <w:style w:type="paragraph" w:styleId="TOC9">
    <w:name w:val="toc 9"/>
    <w:basedOn w:val="Normal"/>
    <w:next w:val="Normal"/>
    <w:autoRedefine/>
    <w:uiPriority w:val="39"/>
    <w:semiHidden/>
    <w:rsid w:val="0089237F"/>
    <w:pPr>
      <w:spacing w:after="0"/>
    </w:pPr>
    <w:rPr>
      <w:rFonts w:asciiTheme="minorHAnsi" w:hAnsiTheme="minorHAnsi"/>
      <w:sz w:val="22"/>
      <w:szCs w:val="22"/>
    </w:rPr>
  </w:style>
  <w:style w:type="character" w:styleId="Hyperlink">
    <w:name w:val="Hyperlink"/>
    <w:basedOn w:val="DefaultParagraphFont"/>
    <w:uiPriority w:val="99"/>
    <w:unhideWhenUsed/>
    <w:rsid w:val="00B134E7"/>
    <w:rPr>
      <w:rFonts w:ascii="Gilroy" w:hAnsi="Gilroy"/>
      <w:color w:val="0D458D" w:themeColor="text2"/>
      <w:sz w:val="18"/>
      <w:u w:val="single"/>
    </w:rPr>
  </w:style>
  <w:style w:type="paragraph" w:customStyle="1" w:styleId="CaptionImage">
    <w:name w:val="Caption Image"/>
    <w:basedOn w:val="Caption"/>
    <w:next w:val="Normal"/>
    <w:uiPriority w:val="1"/>
    <w:rsid w:val="00E67D6E"/>
  </w:style>
  <w:style w:type="numbering" w:customStyle="1" w:styleId="ListParagraph2">
    <w:name w:val="List Paragraph 2"/>
    <w:basedOn w:val="NoList"/>
    <w:rsid w:val="00C01F4F"/>
    <w:pPr>
      <w:numPr>
        <w:numId w:val="5"/>
      </w:numPr>
    </w:pPr>
  </w:style>
  <w:style w:type="paragraph" w:styleId="ListBullet">
    <w:name w:val="List Bullet"/>
    <w:basedOn w:val="Normal"/>
    <w:uiPriority w:val="1"/>
    <w:qFormat/>
    <w:rsid w:val="00416FA0"/>
    <w:pPr>
      <w:numPr>
        <w:numId w:val="7"/>
      </w:numPr>
      <w:spacing w:before="120"/>
    </w:pPr>
  </w:style>
  <w:style w:type="paragraph" w:customStyle="1" w:styleId="TableHeading">
    <w:name w:val="Table Heading"/>
    <w:basedOn w:val="Heading3"/>
    <w:uiPriority w:val="4"/>
    <w:rsid w:val="00470FFA"/>
    <w:pPr>
      <w:numPr>
        <w:ilvl w:val="0"/>
        <w:numId w:val="0"/>
      </w:numPr>
      <w:spacing w:before="60" w:after="60"/>
      <w:outlineLvl w:val="9"/>
    </w:pPr>
    <w:rPr>
      <w:bCs/>
      <w:color w:val="FFFFFF" w:themeColor="background1"/>
    </w:rPr>
  </w:style>
  <w:style w:type="paragraph" w:customStyle="1" w:styleId="TableBody">
    <w:name w:val="Table Body"/>
    <w:basedOn w:val="Normal"/>
    <w:uiPriority w:val="4"/>
    <w:qFormat/>
    <w:rsid w:val="00301F37"/>
    <w:pPr>
      <w:spacing w:before="60"/>
    </w:pPr>
  </w:style>
  <w:style w:type="character" w:customStyle="1" w:styleId="Heading6Char">
    <w:name w:val="Heading 6 Char"/>
    <w:basedOn w:val="DefaultParagraphFont"/>
    <w:link w:val="Heading6"/>
    <w:uiPriority w:val="9"/>
    <w:semiHidden/>
    <w:rsid w:val="00C309AB"/>
    <w:rPr>
      <w:rFonts w:asciiTheme="majorHAnsi" w:eastAsiaTheme="majorEastAsia" w:hAnsiTheme="majorHAnsi" w:cstheme="majorBidi"/>
      <w:color w:val="832608" w:themeColor="accent1" w:themeShade="7F"/>
      <w:spacing w:val="4"/>
      <w:sz w:val="19"/>
    </w:rPr>
  </w:style>
  <w:style w:type="character" w:customStyle="1" w:styleId="Heading7Char">
    <w:name w:val="Heading 7 Char"/>
    <w:basedOn w:val="DefaultParagraphFont"/>
    <w:link w:val="Heading7"/>
    <w:uiPriority w:val="9"/>
    <w:semiHidden/>
    <w:rsid w:val="00C309AB"/>
    <w:rPr>
      <w:rFonts w:asciiTheme="majorHAnsi" w:eastAsiaTheme="majorEastAsia" w:hAnsiTheme="majorHAnsi" w:cstheme="majorBidi"/>
      <w:i/>
      <w:iCs/>
      <w:color w:val="832608" w:themeColor="accent1" w:themeShade="7F"/>
      <w:spacing w:val="4"/>
      <w:sz w:val="19"/>
    </w:rPr>
  </w:style>
  <w:style w:type="character" w:customStyle="1" w:styleId="Heading8Char">
    <w:name w:val="Heading 8 Char"/>
    <w:basedOn w:val="DefaultParagraphFont"/>
    <w:link w:val="Heading8"/>
    <w:uiPriority w:val="9"/>
    <w:semiHidden/>
    <w:rsid w:val="00C309AB"/>
    <w:rPr>
      <w:rFonts w:asciiTheme="majorHAnsi" w:eastAsiaTheme="majorEastAsia" w:hAnsiTheme="majorHAnsi" w:cstheme="majorBidi"/>
      <w:color w:val="272727" w:themeColor="text1" w:themeTint="D8"/>
      <w:spacing w:val="4"/>
      <w:sz w:val="21"/>
      <w:szCs w:val="21"/>
    </w:rPr>
  </w:style>
  <w:style w:type="character" w:customStyle="1" w:styleId="Heading9Char">
    <w:name w:val="Heading 9 Char"/>
    <w:basedOn w:val="DefaultParagraphFont"/>
    <w:link w:val="Heading9"/>
    <w:uiPriority w:val="9"/>
    <w:semiHidden/>
    <w:rsid w:val="00C309AB"/>
    <w:rPr>
      <w:rFonts w:asciiTheme="majorHAnsi" w:eastAsiaTheme="majorEastAsia" w:hAnsiTheme="majorHAnsi" w:cstheme="majorBidi"/>
      <w:i/>
      <w:iCs/>
      <w:color w:val="272727" w:themeColor="text1" w:themeTint="D8"/>
      <w:spacing w:val="4"/>
      <w:sz w:val="21"/>
      <w:szCs w:val="21"/>
    </w:rPr>
  </w:style>
  <w:style w:type="paragraph" w:customStyle="1" w:styleId="Title2">
    <w:name w:val="Title 2"/>
    <w:basedOn w:val="Title"/>
    <w:link w:val="Title2Char"/>
    <w:uiPriority w:val="6"/>
    <w:rsid w:val="004818CE"/>
    <w:rPr>
      <w:spacing w:val="4"/>
      <w:sz w:val="32"/>
      <w:szCs w:val="32"/>
    </w:rPr>
  </w:style>
  <w:style w:type="paragraph" w:customStyle="1" w:styleId="Title3">
    <w:name w:val="Title 3"/>
    <w:basedOn w:val="Title2"/>
    <w:link w:val="Title3Char"/>
    <w:uiPriority w:val="6"/>
    <w:rsid w:val="00392AD8"/>
    <w:rPr>
      <w:b w:val="0"/>
      <w:sz w:val="22"/>
      <w:szCs w:val="22"/>
    </w:rPr>
  </w:style>
  <w:style w:type="paragraph" w:customStyle="1" w:styleId="Title4">
    <w:name w:val="Title 4"/>
    <w:basedOn w:val="Title3"/>
    <w:link w:val="Title4Char"/>
    <w:uiPriority w:val="6"/>
    <w:rsid w:val="00255FDE"/>
    <w:pPr>
      <w:spacing w:after="160"/>
      <w:contextualSpacing w:val="0"/>
    </w:pPr>
    <w:rPr>
      <w:sz w:val="20"/>
    </w:rPr>
  </w:style>
  <w:style w:type="character" w:customStyle="1" w:styleId="Title2Char">
    <w:name w:val="Title 2 Char"/>
    <w:basedOn w:val="TitleChar"/>
    <w:link w:val="Title2"/>
    <w:uiPriority w:val="6"/>
    <w:rsid w:val="00D33D36"/>
    <w:rPr>
      <w:rFonts w:ascii="Gilroy" w:eastAsiaTheme="majorEastAsia" w:hAnsi="Gilroy" w:cstheme="majorBidi"/>
      <w:b/>
      <w:color w:val="FFFFFF" w:themeColor="background1"/>
      <w:spacing w:val="4"/>
      <w:kern w:val="28"/>
      <w:sz w:val="32"/>
      <w:szCs w:val="32"/>
    </w:rPr>
  </w:style>
  <w:style w:type="character" w:customStyle="1" w:styleId="Title3Char">
    <w:name w:val="Title 3 Char"/>
    <w:basedOn w:val="Title2Char"/>
    <w:link w:val="Title3"/>
    <w:uiPriority w:val="6"/>
    <w:rsid w:val="00D33D36"/>
    <w:rPr>
      <w:rFonts w:ascii="Gilroy" w:eastAsiaTheme="majorEastAsia" w:hAnsi="Gilroy" w:cstheme="majorBidi"/>
      <w:b w:val="0"/>
      <w:color w:val="FFFFFF" w:themeColor="background1"/>
      <w:spacing w:val="4"/>
      <w:kern w:val="28"/>
      <w:sz w:val="22"/>
      <w:szCs w:val="22"/>
    </w:rPr>
  </w:style>
  <w:style w:type="character" w:customStyle="1" w:styleId="Title4Char">
    <w:name w:val="Title 4 Char"/>
    <w:basedOn w:val="Title3Char"/>
    <w:link w:val="Title4"/>
    <w:uiPriority w:val="6"/>
    <w:rsid w:val="00D33D36"/>
    <w:rPr>
      <w:rFonts w:ascii="Gilroy" w:eastAsiaTheme="majorEastAsia" w:hAnsi="Gilroy" w:cstheme="majorBidi"/>
      <w:b w:val="0"/>
      <w:color w:val="FFFFFF" w:themeColor="background1"/>
      <w:spacing w:val="4"/>
      <w:kern w:val="28"/>
      <w:sz w:val="20"/>
      <w:szCs w:val="22"/>
    </w:rPr>
  </w:style>
  <w:style w:type="paragraph" w:customStyle="1" w:styleId="Heading3NoNumbering">
    <w:name w:val="Heading 3 No Numbering"/>
    <w:basedOn w:val="Normal"/>
    <w:next w:val="Normal"/>
    <w:uiPriority w:val="3"/>
    <w:qFormat/>
    <w:rsid w:val="002C24DC"/>
    <w:pPr>
      <w:keepNext/>
      <w:spacing w:before="240"/>
    </w:pPr>
    <w:rPr>
      <w:b/>
      <w:bCs/>
      <w:sz w:val="20"/>
      <w:szCs w:val="26"/>
    </w:rPr>
  </w:style>
  <w:style w:type="paragraph" w:customStyle="1" w:styleId="Heading2NoNumbering">
    <w:name w:val="Heading 2 No Numbering"/>
    <w:basedOn w:val="Normal"/>
    <w:next w:val="Normal"/>
    <w:uiPriority w:val="3"/>
    <w:qFormat/>
    <w:rsid w:val="002C24DC"/>
    <w:pPr>
      <w:keepNext/>
      <w:spacing w:before="240"/>
    </w:pPr>
    <w:rPr>
      <w:b/>
      <w:color w:val="009B69" w:themeColor="accent4"/>
      <w:sz w:val="24"/>
      <w:szCs w:val="30"/>
    </w:rPr>
  </w:style>
  <w:style w:type="paragraph" w:customStyle="1" w:styleId="Heading1NoNumbering">
    <w:name w:val="Heading 1 No Numbering"/>
    <w:basedOn w:val="Normal"/>
    <w:next w:val="Normal"/>
    <w:uiPriority w:val="3"/>
    <w:qFormat/>
    <w:rsid w:val="00337564"/>
    <w:pPr>
      <w:keepNext/>
      <w:spacing w:after="240"/>
    </w:pPr>
    <w:rPr>
      <w:b/>
      <w:sz w:val="36"/>
      <w:szCs w:val="36"/>
    </w:rPr>
  </w:style>
  <w:style w:type="paragraph" w:customStyle="1" w:styleId="GreenHighlightParagraph">
    <w:name w:val="Green Highlight Paragraph"/>
    <w:basedOn w:val="Normal"/>
    <w:next w:val="Normal"/>
    <w:uiPriority w:val="1"/>
    <w:qFormat/>
    <w:rsid w:val="002E4F4F"/>
    <w:rPr>
      <w:noProof/>
      <w:color w:val="009B69" w:themeColor="accent4"/>
      <w:sz w:val="22"/>
      <w:szCs w:val="28"/>
    </w:rPr>
  </w:style>
  <w:style w:type="character" w:styleId="PlaceholderText">
    <w:name w:val="Placeholder Text"/>
    <w:basedOn w:val="DefaultParagraphFont"/>
    <w:uiPriority w:val="99"/>
    <w:semiHidden/>
    <w:rsid w:val="00DB0CE4"/>
    <w:rPr>
      <w:color w:val="808080"/>
    </w:rPr>
  </w:style>
  <w:style w:type="paragraph" w:styleId="TOCHeading">
    <w:name w:val="TOC Heading"/>
    <w:basedOn w:val="Title"/>
    <w:next w:val="Normal"/>
    <w:uiPriority w:val="39"/>
    <w:unhideWhenUsed/>
    <w:qFormat/>
    <w:rsid w:val="00FA2480"/>
  </w:style>
  <w:style w:type="numbering" w:customStyle="1" w:styleId="ListBullets">
    <w:name w:val="ListBullets"/>
    <w:uiPriority w:val="99"/>
    <w:rsid w:val="00E44CDC"/>
    <w:pPr>
      <w:numPr>
        <w:numId w:val="7"/>
      </w:numPr>
    </w:pPr>
  </w:style>
  <w:style w:type="numbering" w:customStyle="1" w:styleId="ListNumbers">
    <w:name w:val="ListNumbers"/>
    <w:uiPriority w:val="99"/>
    <w:rsid w:val="00150522"/>
    <w:pPr>
      <w:numPr>
        <w:numId w:val="9"/>
      </w:numPr>
    </w:pPr>
  </w:style>
  <w:style w:type="paragraph" w:styleId="ListBullet2">
    <w:name w:val="List Bullet 2"/>
    <w:basedOn w:val="Normal"/>
    <w:uiPriority w:val="1"/>
    <w:rsid w:val="00416FA0"/>
    <w:pPr>
      <w:numPr>
        <w:ilvl w:val="1"/>
        <w:numId w:val="7"/>
      </w:numPr>
      <w:spacing w:before="120"/>
    </w:pPr>
  </w:style>
  <w:style w:type="paragraph" w:styleId="ListBullet3">
    <w:name w:val="List Bullet 3"/>
    <w:basedOn w:val="Normal"/>
    <w:uiPriority w:val="1"/>
    <w:unhideWhenUsed/>
    <w:rsid w:val="00416FA0"/>
    <w:pPr>
      <w:numPr>
        <w:ilvl w:val="2"/>
        <w:numId w:val="7"/>
      </w:numPr>
      <w:spacing w:before="120"/>
      <w:ind w:left="1434" w:hanging="357"/>
    </w:pPr>
  </w:style>
  <w:style w:type="paragraph" w:styleId="ListBullet4">
    <w:name w:val="List Bullet 4"/>
    <w:basedOn w:val="Normal"/>
    <w:uiPriority w:val="1"/>
    <w:unhideWhenUsed/>
    <w:rsid w:val="00416FA0"/>
    <w:pPr>
      <w:numPr>
        <w:ilvl w:val="3"/>
        <w:numId w:val="7"/>
      </w:numPr>
      <w:ind w:left="1792"/>
    </w:pPr>
  </w:style>
  <w:style w:type="paragraph" w:styleId="ListBullet5">
    <w:name w:val="List Bullet 5"/>
    <w:basedOn w:val="Normal"/>
    <w:uiPriority w:val="99"/>
    <w:semiHidden/>
    <w:unhideWhenUsed/>
    <w:rsid w:val="00E44CDC"/>
    <w:pPr>
      <w:numPr>
        <w:ilvl w:val="4"/>
        <w:numId w:val="7"/>
      </w:numPr>
      <w:contextualSpacing/>
    </w:pPr>
  </w:style>
  <w:style w:type="numbering" w:customStyle="1" w:styleId="TableListBullets">
    <w:name w:val="TableListBullets"/>
    <w:uiPriority w:val="99"/>
    <w:rsid w:val="00F70341"/>
    <w:pPr>
      <w:numPr>
        <w:numId w:val="11"/>
      </w:numPr>
    </w:pPr>
  </w:style>
  <w:style w:type="paragraph" w:styleId="ListNumber">
    <w:name w:val="List Number"/>
    <w:basedOn w:val="Normal"/>
    <w:uiPriority w:val="1"/>
    <w:qFormat/>
    <w:rsid w:val="00416FA0"/>
    <w:pPr>
      <w:numPr>
        <w:numId w:val="10"/>
      </w:numPr>
      <w:spacing w:before="120"/>
    </w:pPr>
  </w:style>
  <w:style w:type="paragraph" w:styleId="ListNumber2">
    <w:name w:val="List Number 2"/>
    <w:basedOn w:val="Normal"/>
    <w:uiPriority w:val="1"/>
    <w:rsid w:val="00416FA0"/>
    <w:pPr>
      <w:numPr>
        <w:ilvl w:val="1"/>
        <w:numId w:val="10"/>
      </w:numPr>
      <w:spacing w:before="120"/>
    </w:pPr>
  </w:style>
  <w:style w:type="paragraph" w:styleId="ListNumber3">
    <w:name w:val="List Number 3"/>
    <w:basedOn w:val="Normal"/>
    <w:uiPriority w:val="1"/>
    <w:unhideWhenUsed/>
    <w:rsid w:val="00416FA0"/>
    <w:pPr>
      <w:numPr>
        <w:ilvl w:val="2"/>
        <w:numId w:val="10"/>
      </w:numPr>
      <w:spacing w:before="120"/>
      <w:ind w:left="1434" w:hanging="357"/>
    </w:pPr>
  </w:style>
  <w:style w:type="paragraph" w:customStyle="1" w:styleId="TableListBullet">
    <w:name w:val="Table List Bullet"/>
    <w:basedOn w:val="TableBody"/>
    <w:uiPriority w:val="4"/>
    <w:qFormat/>
    <w:rsid w:val="0015208A"/>
    <w:pPr>
      <w:numPr>
        <w:numId w:val="11"/>
      </w:numPr>
    </w:pPr>
  </w:style>
  <w:style w:type="paragraph" w:customStyle="1" w:styleId="TableListBullet2">
    <w:name w:val="Table List Bullet 2"/>
    <w:basedOn w:val="TableBody"/>
    <w:uiPriority w:val="4"/>
    <w:qFormat/>
    <w:rsid w:val="0015208A"/>
    <w:pPr>
      <w:numPr>
        <w:ilvl w:val="1"/>
        <w:numId w:val="11"/>
      </w:numPr>
    </w:pPr>
  </w:style>
  <w:style w:type="paragraph" w:customStyle="1" w:styleId="TableListNumber">
    <w:name w:val="Table List Number"/>
    <w:basedOn w:val="TableListBullet2"/>
    <w:uiPriority w:val="4"/>
    <w:qFormat/>
    <w:rsid w:val="0015208A"/>
    <w:pPr>
      <w:numPr>
        <w:ilvl w:val="0"/>
        <w:numId w:val="13"/>
      </w:numPr>
    </w:pPr>
  </w:style>
  <w:style w:type="paragraph" w:customStyle="1" w:styleId="TableListNumber2">
    <w:name w:val="Table List Number 2"/>
    <w:basedOn w:val="TableListNumber"/>
    <w:uiPriority w:val="4"/>
    <w:qFormat/>
    <w:rsid w:val="0015208A"/>
    <w:pPr>
      <w:numPr>
        <w:ilvl w:val="1"/>
      </w:numPr>
    </w:pPr>
  </w:style>
  <w:style w:type="numbering" w:customStyle="1" w:styleId="TableListNumbers">
    <w:name w:val="TableListNumbers"/>
    <w:uiPriority w:val="99"/>
    <w:rsid w:val="00AE117E"/>
    <w:pPr>
      <w:numPr>
        <w:numId w:val="12"/>
      </w:numPr>
    </w:pPr>
  </w:style>
  <w:style w:type="character" w:styleId="UnresolvedMention">
    <w:name w:val="Unresolved Mention"/>
    <w:basedOn w:val="DefaultParagraphFont"/>
    <w:uiPriority w:val="99"/>
    <w:semiHidden/>
    <w:unhideWhenUsed/>
    <w:rsid w:val="001E11CF"/>
    <w:rPr>
      <w:color w:val="605E5C"/>
      <w:shd w:val="clear" w:color="auto" w:fill="E1DFDD"/>
    </w:rPr>
  </w:style>
  <w:style w:type="paragraph" w:customStyle="1" w:styleId="NormalSmall">
    <w:name w:val="Normal Small"/>
    <w:basedOn w:val="Normal"/>
    <w:qFormat/>
    <w:rsid w:val="00E01F54"/>
    <w:pPr>
      <w:spacing w:after="60" w:line="200" w:lineRule="atLeast"/>
    </w:pPr>
    <w:rPr>
      <w:sz w:val="16"/>
      <w:szCs w:val="22"/>
    </w:rPr>
  </w:style>
  <w:style w:type="table" w:customStyle="1" w:styleId="AdvitechTable">
    <w:name w:val="Advitech Table"/>
    <w:basedOn w:val="TableNormal"/>
    <w:uiPriority w:val="99"/>
    <w:rsid w:val="00FE3CDC"/>
    <w:pPr>
      <w:spacing w:before="60" w:after="120" w:line="240" w:lineRule="atLeast"/>
    </w:pPr>
    <w:rPr>
      <w:rFonts w:ascii="Gilroy" w:hAnsi="Gilroy"/>
      <w:sz w:val="19"/>
    </w:rPr>
    <w:tblPr>
      <w:tblBorders>
        <w:top w:val="single" w:sz="4" w:space="0" w:color="D9D9D9" w:themeColor="background1" w:themeShade="D9"/>
        <w:bottom w:val="single" w:sz="4" w:space="0" w:color="D9D9D9" w:themeColor="background1" w:themeShade="D9"/>
        <w:insideH w:val="single" w:sz="4" w:space="0" w:color="D9D9D9" w:themeColor="background1" w:themeShade="D9"/>
      </w:tblBorders>
    </w:tblPr>
    <w:tcPr>
      <w:vAlign w:val="center"/>
    </w:tcPr>
    <w:tblStylePr w:type="firstRow">
      <w:rPr>
        <w:rFonts w:ascii="Gilroy Bold" w:hAnsi="Gilroy Bold"/>
        <w:b w:val="0"/>
        <w:color w:val="FFFFFF" w:themeColor="background1"/>
        <w:sz w:val="18"/>
      </w:rPr>
      <w:tblPr/>
      <w:tcPr>
        <w:tcBorders>
          <w:top w:val="nil"/>
          <w:left w:val="nil"/>
          <w:bottom w:val="nil"/>
          <w:right w:val="nil"/>
          <w:insideH w:val="nil"/>
          <w:insideV w:val="nil"/>
          <w:tl2br w:val="nil"/>
          <w:tr2bl w:val="nil"/>
        </w:tcBorders>
        <w:shd w:val="clear" w:color="auto" w:fill="009B69" w:themeFill="accent4"/>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009B69" w:themeFill="accent4"/>
      </w:tcPr>
    </w:tblStylePr>
    <w:tblStylePr w:type="firstCol">
      <w:rPr>
        <w:color w:val="FFFFFF" w:themeColor="background1"/>
      </w:rPr>
      <w:tblPr/>
      <w:tcPr>
        <w:shd w:val="clear" w:color="auto" w:fill="009B69" w:themeFill="accent4"/>
      </w:tcPr>
    </w:tblStylePr>
  </w:style>
  <w:style w:type="paragraph" w:customStyle="1" w:styleId="TitleBlack">
    <w:name w:val="Title Black"/>
    <w:basedOn w:val="Title"/>
    <w:next w:val="Normal"/>
    <w:uiPriority w:val="5"/>
    <w:qFormat/>
    <w:rsid w:val="00A6075D"/>
    <w:rPr>
      <w:color w:val="auto"/>
    </w:rPr>
  </w:style>
  <w:style w:type="paragraph" w:customStyle="1" w:styleId="AppendixHeading">
    <w:name w:val="Appendix Heading"/>
    <w:basedOn w:val="TitleBlack"/>
    <w:next w:val="AppendixHeading2"/>
    <w:uiPriority w:val="4"/>
    <w:qFormat/>
    <w:rsid w:val="00250183"/>
    <w:pPr>
      <w:numPr>
        <w:numId w:val="14"/>
      </w:numPr>
      <w:pBdr>
        <w:bottom w:val="single" w:sz="4" w:space="1" w:color="BFBFBF" w:themeColor="background1" w:themeShade="BF"/>
      </w:pBdr>
    </w:pPr>
  </w:style>
  <w:style w:type="paragraph" w:customStyle="1" w:styleId="AppendixHeading2">
    <w:name w:val="Appendix Heading 2"/>
    <w:basedOn w:val="AppendixHeading"/>
    <w:next w:val="Normal"/>
    <w:uiPriority w:val="4"/>
    <w:qFormat/>
    <w:rsid w:val="002713C0"/>
    <w:pPr>
      <w:numPr>
        <w:ilvl w:val="1"/>
      </w:numPr>
      <w:pBdr>
        <w:bottom w:val="none" w:sz="0" w:space="0" w:color="auto"/>
      </w:pBdr>
    </w:pPr>
    <w:rPr>
      <w:sz w:val="36"/>
    </w:rPr>
  </w:style>
  <w:style w:type="paragraph" w:customStyle="1" w:styleId="AppendixHeading3">
    <w:name w:val="Appendix Heading 3"/>
    <w:basedOn w:val="AppendixHeading2"/>
    <w:next w:val="Normal"/>
    <w:uiPriority w:val="4"/>
    <w:qFormat/>
    <w:rsid w:val="00417F09"/>
    <w:pPr>
      <w:numPr>
        <w:ilvl w:val="2"/>
      </w:numPr>
      <w:spacing w:before="240"/>
    </w:pPr>
    <w:rPr>
      <w:color w:val="009B69" w:themeColor="accent4"/>
      <w:sz w:val="24"/>
    </w:rPr>
  </w:style>
  <w:style w:type="paragraph" w:customStyle="1" w:styleId="AppendixHeading4">
    <w:name w:val="Appendix Heading 4"/>
    <w:basedOn w:val="AppendixHeading3"/>
    <w:next w:val="Normal"/>
    <w:uiPriority w:val="4"/>
    <w:qFormat/>
    <w:rsid w:val="00417F09"/>
    <w:pPr>
      <w:numPr>
        <w:ilvl w:val="3"/>
      </w:numPr>
    </w:pPr>
    <w:rPr>
      <w:color w:val="auto"/>
      <w:sz w:val="20"/>
    </w:rPr>
  </w:style>
  <w:style w:type="numbering" w:customStyle="1" w:styleId="AppendixHeadings">
    <w:name w:val="AppendixHeadings"/>
    <w:uiPriority w:val="99"/>
    <w:rsid w:val="00250183"/>
    <w:pPr>
      <w:numPr>
        <w:numId w:val="14"/>
      </w:numPr>
    </w:pPr>
  </w:style>
  <w:style w:type="paragraph" w:styleId="BalloonText">
    <w:name w:val="Balloon Text"/>
    <w:basedOn w:val="Normal"/>
    <w:link w:val="BalloonTextChar"/>
    <w:uiPriority w:val="99"/>
    <w:semiHidden/>
    <w:unhideWhenUsed/>
    <w:rsid w:val="00E4096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E4096D"/>
    <w:rPr>
      <w:rFonts w:ascii="Segoe UI" w:hAnsi="Segoe UI" w:cs="Segoe UI"/>
      <w:spacing w:val="4"/>
      <w:sz w:val="18"/>
      <w:szCs w:val="18"/>
    </w:rPr>
  </w:style>
  <w:style w:type="paragraph" w:customStyle="1" w:styleId="TableBodySmall">
    <w:name w:val="Table Body Small"/>
    <w:basedOn w:val="TableBody"/>
    <w:uiPriority w:val="4"/>
    <w:qFormat/>
    <w:rsid w:val="009C2E34"/>
    <w:pPr>
      <w:spacing w:after="60" w:line="180" w:lineRule="atLeast"/>
    </w:pPr>
    <w:rPr>
      <w:sz w:val="16"/>
      <w:szCs w:val="22"/>
    </w:rPr>
  </w:style>
  <w:style w:type="character" w:customStyle="1" w:styleId="normaltextrun">
    <w:name w:val="normaltextrun"/>
    <w:basedOn w:val="DefaultParagraphFont"/>
    <w:rsid w:val="00FF3288"/>
  </w:style>
  <w:style w:type="paragraph" w:styleId="Bibliography">
    <w:name w:val="Bibliography"/>
    <w:basedOn w:val="Normal"/>
    <w:next w:val="Normal"/>
    <w:uiPriority w:val="37"/>
    <w:unhideWhenUsed/>
    <w:rsid w:val="002F6A44"/>
  </w:style>
  <w:style w:type="character" w:styleId="CommentReference">
    <w:name w:val="annotation reference"/>
    <w:basedOn w:val="DefaultParagraphFont"/>
    <w:uiPriority w:val="99"/>
    <w:semiHidden/>
    <w:unhideWhenUsed/>
    <w:rsid w:val="00FC2E3E"/>
    <w:rPr>
      <w:sz w:val="16"/>
      <w:szCs w:val="16"/>
    </w:rPr>
  </w:style>
  <w:style w:type="paragraph" w:styleId="CommentText">
    <w:name w:val="annotation text"/>
    <w:basedOn w:val="Normal"/>
    <w:link w:val="CommentTextChar"/>
    <w:uiPriority w:val="99"/>
    <w:unhideWhenUsed/>
    <w:rsid w:val="00FC2E3E"/>
    <w:pPr>
      <w:spacing w:line="240" w:lineRule="auto"/>
    </w:pPr>
    <w:rPr>
      <w:sz w:val="20"/>
      <w:szCs w:val="20"/>
    </w:rPr>
  </w:style>
  <w:style w:type="character" w:customStyle="1" w:styleId="CommentTextChar">
    <w:name w:val="Comment Text Char"/>
    <w:basedOn w:val="DefaultParagraphFont"/>
    <w:link w:val="CommentText"/>
    <w:uiPriority w:val="99"/>
    <w:rsid w:val="00FC2E3E"/>
    <w:rPr>
      <w:rFonts w:ascii="Gilroy" w:hAnsi="Gilroy" w:cs="Times New Roman (Body CS)"/>
      <w:spacing w:val="4"/>
      <w:sz w:val="20"/>
      <w:szCs w:val="20"/>
    </w:rPr>
  </w:style>
  <w:style w:type="paragraph" w:styleId="CommentSubject">
    <w:name w:val="annotation subject"/>
    <w:basedOn w:val="CommentText"/>
    <w:next w:val="CommentText"/>
    <w:link w:val="CommentSubjectChar"/>
    <w:uiPriority w:val="99"/>
    <w:semiHidden/>
    <w:unhideWhenUsed/>
    <w:rsid w:val="00FC2E3E"/>
    <w:rPr>
      <w:b/>
      <w:bCs/>
    </w:rPr>
  </w:style>
  <w:style w:type="character" w:customStyle="1" w:styleId="CommentSubjectChar">
    <w:name w:val="Comment Subject Char"/>
    <w:basedOn w:val="CommentTextChar"/>
    <w:link w:val="CommentSubject"/>
    <w:uiPriority w:val="99"/>
    <w:semiHidden/>
    <w:rsid w:val="00FC2E3E"/>
    <w:rPr>
      <w:rFonts w:ascii="Gilroy" w:hAnsi="Gilroy" w:cs="Times New Roman (Body CS)"/>
      <w:b/>
      <w:bCs/>
      <w:spacing w:val="4"/>
      <w:sz w:val="20"/>
      <w:szCs w:val="20"/>
    </w:rPr>
  </w:style>
  <w:style w:type="paragraph" w:styleId="NormalWeb">
    <w:name w:val="Normal (Web)"/>
    <w:basedOn w:val="Normal"/>
    <w:uiPriority w:val="99"/>
    <w:unhideWhenUsed/>
    <w:rsid w:val="003D50EE"/>
    <w:pPr>
      <w:spacing w:before="100" w:beforeAutospacing="1" w:after="100" w:afterAutospacing="1" w:line="240" w:lineRule="auto"/>
    </w:pPr>
    <w:rPr>
      <w:rFonts w:ascii="Times New Roman" w:eastAsia="Times New Roman" w:hAnsi="Times New Roman" w:cs="Times New Roman"/>
      <w:spacing w:val="0"/>
      <w:sz w:val="24"/>
      <w:lang w:eastAsia="en-AU"/>
    </w:rPr>
  </w:style>
  <w:style w:type="character" w:customStyle="1" w:styleId="t286pc">
    <w:name w:val="t286pc"/>
    <w:basedOn w:val="DefaultParagraphFont"/>
    <w:rsid w:val="00046C79"/>
  </w:style>
  <w:style w:type="character" w:styleId="Strong">
    <w:name w:val="Strong"/>
    <w:basedOn w:val="DefaultParagraphFont"/>
    <w:uiPriority w:val="22"/>
    <w:qFormat/>
    <w:rsid w:val="00046C79"/>
    <w:rPr>
      <w:b/>
      <w:bCs/>
    </w:rPr>
  </w:style>
  <w:style w:type="paragraph" w:customStyle="1" w:styleId="paragraph">
    <w:name w:val="paragraph"/>
    <w:basedOn w:val="Normal"/>
    <w:rsid w:val="00DF3798"/>
    <w:pPr>
      <w:spacing w:before="100" w:beforeAutospacing="1" w:after="100" w:afterAutospacing="1" w:line="240" w:lineRule="auto"/>
      <w:jc w:val="both"/>
    </w:pPr>
    <w:rPr>
      <w:rFonts w:ascii="Times New Roman" w:eastAsia="Times New Roman" w:hAnsi="Times New Roman" w:cs="Times New Roman"/>
      <w:spacing w:val="0"/>
      <w:sz w:val="24"/>
      <w:lang w:eastAsia="en-AU"/>
    </w:rPr>
  </w:style>
  <w:style w:type="paragraph" w:customStyle="1" w:styleId="ListAlpha0">
    <w:name w:val="List Alpha"/>
    <w:basedOn w:val="BodyText"/>
    <w:uiPriority w:val="2"/>
    <w:qFormat/>
    <w:rsid w:val="006F6FB8"/>
    <w:pPr>
      <w:numPr>
        <w:numId w:val="18"/>
      </w:numPr>
      <w:spacing w:before="60" w:after="60" w:line="264" w:lineRule="auto"/>
      <w:jc w:val="both"/>
    </w:pPr>
    <w:rPr>
      <w:rFonts w:asciiTheme="minorHAnsi" w:hAnsiTheme="minorHAnsi" w:cstheme="minorBidi"/>
      <w:spacing w:val="0"/>
      <w:sz w:val="20"/>
      <w:szCs w:val="22"/>
    </w:rPr>
  </w:style>
  <w:style w:type="paragraph" w:customStyle="1" w:styleId="ListAlpha2">
    <w:name w:val="List Alpha 2"/>
    <w:basedOn w:val="ListAlpha0"/>
    <w:uiPriority w:val="19"/>
    <w:rsid w:val="006F6FB8"/>
    <w:pPr>
      <w:numPr>
        <w:ilvl w:val="1"/>
      </w:numPr>
    </w:pPr>
  </w:style>
  <w:style w:type="paragraph" w:customStyle="1" w:styleId="ListAlpha3">
    <w:name w:val="List Alpha 3"/>
    <w:basedOn w:val="ListAlpha0"/>
    <w:uiPriority w:val="19"/>
    <w:rsid w:val="006F6FB8"/>
    <w:pPr>
      <w:numPr>
        <w:ilvl w:val="2"/>
      </w:numPr>
    </w:pPr>
  </w:style>
  <w:style w:type="paragraph" w:customStyle="1" w:styleId="ListAlpha4">
    <w:name w:val="List Alpha 4"/>
    <w:basedOn w:val="ListAlpha0"/>
    <w:uiPriority w:val="19"/>
    <w:rsid w:val="006F6FB8"/>
    <w:pPr>
      <w:numPr>
        <w:ilvl w:val="3"/>
      </w:numPr>
    </w:pPr>
  </w:style>
  <w:style w:type="paragraph" w:customStyle="1" w:styleId="ListAlpha5">
    <w:name w:val="List Alpha 5"/>
    <w:basedOn w:val="ListAlpha0"/>
    <w:uiPriority w:val="19"/>
    <w:rsid w:val="006F6FB8"/>
    <w:pPr>
      <w:numPr>
        <w:ilvl w:val="4"/>
      </w:numPr>
    </w:pPr>
  </w:style>
  <w:style w:type="paragraph" w:customStyle="1" w:styleId="ListAlpha6">
    <w:name w:val="List Alpha 6"/>
    <w:basedOn w:val="ListAlpha0"/>
    <w:uiPriority w:val="19"/>
    <w:rsid w:val="006F6FB8"/>
    <w:pPr>
      <w:numPr>
        <w:ilvl w:val="5"/>
      </w:numPr>
      <w:tabs>
        <w:tab w:val="num" w:pos="4320"/>
      </w:tabs>
    </w:pPr>
  </w:style>
  <w:style w:type="numbering" w:customStyle="1" w:styleId="ListAlpha">
    <w:name w:val="List_Alpha"/>
    <w:uiPriority w:val="99"/>
    <w:rsid w:val="006F6FB8"/>
    <w:pPr>
      <w:numPr>
        <w:numId w:val="18"/>
      </w:numPr>
    </w:pPr>
  </w:style>
  <w:style w:type="paragraph" w:styleId="Revision">
    <w:name w:val="Revision"/>
    <w:hidden/>
    <w:uiPriority w:val="99"/>
    <w:semiHidden/>
    <w:rsid w:val="00DA7A90"/>
    <w:rPr>
      <w:rFonts w:ascii="Gilroy" w:hAnsi="Gilroy" w:cs="Times New Roman (Body CS)"/>
      <w:spacing w:val="4"/>
      <w:sz w:val="19"/>
    </w:rPr>
  </w:style>
  <w:style w:type="paragraph" w:styleId="TableofFigures">
    <w:name w:val="table of figures"/>
    <w:basedOn w:val="Normal"/>
    <w:next w:val="Normal"/>
    <w:uiPriority w:val="99"/>
    <w:unhideWhenUsed/>
    <w:rsid w:val="00E96544"/>
    <w:pPr>
      <w:spacing w:after="0"/>
    </w:pPr>
  </w:style>
  <w:style w:type="paragraph" w:styleId="HTMLPreformatted">
    <w:name w:val="HTML Preformatted"/>
    <w:basedOn w:val="Normal"/>
    <w:link w:val="HTMLPreformattedChar"/>
    <w:uiPriority w:val="99"/>
    <w:semiHidden/>
    <w:unhideWhenUsed/>
    <w:rsid w:val="00B0407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407E"/>
    <w:rPr>
      <w:rFonts w:ascii="Consolas" w:hAnsi="Consolas" w:cs="Times New Roman (Body CS)"/>
      <w:spacing w:val="4"/>
      <w:sz w:val="20"/>
      <w:szCs w:val="20"/>
    </w:rPr>
  </w:style>
  <w:style w:type="table" w:customStyle="1" w:styleId="AdvitechTable1">
    <w:name w:val="Advitech Table1"/>
    <w:basedOn w:val="TableNormal"/>
    <w:uiPriority w:val="99"/>
    <w:rsid w:val="000B3E15"/>
    <w:pPr>
      <w:spacing w:before="60" w:after="120" w:line="240" w:lineRule="atLeast"/>
    </w:pPr>
    <w:rPr>
      <w:rFonts w:ascii="Gilroy" w:hAnsi="Gilroy"/>
      <w:sz w:val="19"/>
    </w:rPr>
    <w:tblPr>
      <w:tblBorders>
        <w:top w:val="single" w:sz="4" w:space="0" w:color="D9D9D9" w:themeColor="background1" w:themeShade="D9"/>
        <w:bottom w:val="single" w:sz="4" w:space="0" w:color="D9D9D9" w:themeColor="background1" w:themeShade="D9"/>
        <w:insideH w:val="single" w:sz="4" w:space="0" w:color="D9D9D9" w:themeColor="background1" w:themeShade="D9"/>
      </w:tblBorders>
    </w:tblPr>
    <w:tcPr>
      <w:vAlign w:val="center"/>
    </w:tcPr>
    <w:tblStylePr w:type="firstRow">
      <w:rPr>
        <w:rFonts w:ascii="Gilroy" w:hAnsi="Gilroy"/>
        <w:b w:val="0"/>
        <w:color w:val="FFFFFF" w:themeColor="background1"/>
        <w:sz w:val="18"/>
      </w:rPr>
      <w:tblPr/>
      <w:tcPr>
        <w:tcBorders>
          <w:top w:val="nil"/>
          <w:left w:val="nil"/>
          <w:bottom w:val="nil"/>
          <w:right w:val="nil"/>
          <w:insideH w:val="nil"/>
          <w:insideV w:val="nil"/>
          <w:tl2br w:val="nil"/>
          <w:tr2bl w:val="nil"/>
        </w:tcBorders>
        <w:shd w:val="clear" w:color="auto" w:fill="009B69" w:themeFill="accent4"/>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009B69" w:themeFill="accent4"/>
      </w:tcPr>
    </w:tblStylePr>
    <w:tblStylePr w:type="firstCol">
      <w:rPr>
        <w:color w:val="FFFFFF" w:themeColor="background1"/>
      </w:rPr>
      <w:tblPr/>
      <w:tcPr>
        <w:shd w:val="clear" w:color="auto" w:fill="009B69" w:themeFill="accent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433">
      <w:bodyDiv w:val="1"/>
      <w:marLeft w:val="0"/>
      <w:marRight w:val="0"/>
      <w:marTop w:val="0"/>
      <w:marBottom w:val="0"/>
      <w:divBdr>
        <w:top w:val="none" w:sz="0" w:space="0" w:color="auto"/>
        <w:left w:val="none" w:sz="0" w:space="0" w:color="auto"/>
        <w:bottom w:val="none" w:sz="0" w:space="0" w:color="auto"/>
        <w:right w:val="none" w:sz="0" w:space="0" w:color="auto"/>
      </w:divBdr>
    </w:div>
    <w:div w:id="2587059">
      <w:bodyDiv w:val="1"/>
      <w:marLeft w:val="0"/>
      <w:marRight w:val="0"/>
      <w:marTop w:val="0"/>
      <w:marBottom w:val="0"/>
      <w:divBdr>
        <w:top w:val="none" w:sz="0" w:space="0" w:color="auto"/>
        <w:left w:val="none" w:sz="0" w:space="0" w:color="auto"/>
        <w:bottom w:val="none" w:sz="0" w:space="0" w:color="auto"/>
        <w:right w:val="none" w:sz="0" w:space="0" w:color="auto"/>
      </w:divBdr>
    </w:div>
    <w:div w:id="10182565">
      <w:bodyDiv w:val="1"/>
      <w:marLeft w:val="0"/>
      <w:marRight w:val="0"/>
      <w:marTop w:val="0"/>
      <w:marBottom w:val="0"/>
      <w:divBdr>
        <w:top w:val="none" w:sz="0" w:space="0" w:color="auto"/>
        <w:left w:val="none" w:sz="0" w:space="0" w:color="auto"/>
        <w:bottom w:val="none" w:sz="0" w:space="0" w:color="auto"/>
        <w:right w:val="none" w:sz="0" w:space="0" w:color="auto"/>
      </w:divBdr>
    </w:div>
    <w:div w:id="16586531">
      <w:bodyDiv w:val="1"/>
      <w:marLeft w:val="0"/>
      <w:marRight w:val="0"/>
      <w:marTop w:val="0"/>
      <w:marBottom w:val="0"/>
      <w:divBdr>
        <w:top w:val="none" w:sz="0" w:space="0" w:color="auto"/>
        <w:left w:val="none" w:sz="0" w:space="0" w:color="auto"/>
        <w:bottom w:val="none" w:sz="0" w:space="0" w:color="auto"/>
        <w:right w:val="none" w:sz="0" w:space="0" w:color="auto"/>
      </w:divBdr>
    </w:div>
    <w:div w:id="17514155">
      <w:bodyDiv w:val="1"/>
      <w:marLeft w:val="0"/>
      <w:marRight w:val="0"/>
      <w:marTop w:val="0"/>
      <w:marBottom w:val="0"/>
      <w:divBdr>
        <w:top w:val="none" w:sz="0" w:space="0" w:color="auto"/>
        <w:left w:val="none" w:sz="0" w:space="0" w:color="auto"/>
        <w:bottom w:val="none" w:sz="0" w:space="0" w:color="auto"/>
        <w:right w:val="none" w:sz="0" w:space="0" w:color="auto"/>
      </w:divBdr>
    </w:div>
    <w:div w:id="19431391">
      <w:bodyDiv w:val="1"/>
      <w:marLeft w:val="0"/>
      <w:marRight w:val="0"/>
      <w:marTop w:val="0"/>
      <w:marBottom w:val="0"/>
      <w:divBdr>
        <w:top w:val="none" w:sz="0" w:space="0" w:color="auto"/>
        <w:left w:val="none" w:sz="0" w:space="0" w:color="auto"/>
        <w:bottom w:val="none" w:sz="0" w:space="0" w:color="auto"/>
        <w:right w:val="none" w:sz="0" w:space="0" w:color="auto"/>
      </w:divBdr>
    </w:div>
    <w:div w:id="25105590">
      <w:bodyDiv w:val="1"/>
      <w:marLeft w:val="0"/>
      <w:marRight w:val="0"/>
      <w:marTop w:val="0"/>
      <w:marBottom w:val="0"/>
      <w:divBdr>
        <w:top w:val="none" w:sz="0" w:space="0" w:color="auto"/>
        <w:left w:val="none" w:sz="0" w:space="0" w:color="auto"/>
        <w:bottom w:val="none" w:sz="0" w:space="0" w:color="auto"/>
        <w:right w:val="none" w:sz="0" w:space="0" w:color="auto"/>
      </w:divBdr>
    </w:div>
    <w:div w:id="29454717">
      <w:bodyDiv w:val="1"/>
      <w:marLeft w:val="0"/>
      <w:marRight w:val="0"/>
      <w:marTop w:val="0"/>
      <w:marBottom w:val="0"/>
      <w:divBdr>
        <w:top w:val="none" w:sz="0" w:space="0" w:color="auto"/>
        <w:left w:val="none" w:sz="0" w:space="0" w:color="auto"/>
        <w:bottom w:val="none" w:sz="0" w:space="0" w:color="auto"/>
        <w:right w:val="none" w:sz="0" w:space="0" w:color="auto"/>
      </w:divBdr>
    </w:div>
    <w:div w:id="32313726">
      <w:bodyDiv w:val="1"/>
      <w:marLeft w:val="0"/>
      <w:marRight w:val="0"/>
      <w:marTop w:val="0"/>
      <w:marBottom w:val="0"/>
      <w:divBdr>
        <w:top w:val="none" w:sz="0" w:space="0" w:color="auto"/>
        <w:left w:val="none" w:sz="0" w:space="0" w:color="auto"/>
        <w:bottom w:val="none" w:sz="0" w:space="0" w:color="auto"/>
        <w:right w:val="none" w:sz="0" w:space="0" w:color="auto"/>
      </w:divBdr>
    </w:div>
    <w:div w:id="35666634">
      <w:bodyDiv w:val="1"/>
      <w:marLeft w:val="0"/>
      <w:marRight w:val="0"/>
      <w:marTop w:val="0"/>
      <w:marBottom w:val="0"/>
      <w:divBdr>
        <w:top w:val="none" w:sz="0" w:space="0" w:color="auto"/>
        <w:left w:val="none" w:sz="0" w:space="0" w:color="auto"/>
        <w:bottom w:val="none" w:sz="0" w:space="0" w:color="auto"/>
        <w:right w:val="none" w:sz="0" w:space="0" w:color="auto"/>
      </w:divBdr>
    </w:div>
    <w:div w:id="36706335">
      <w:bodyDiv w:val="1"/>
      <w:marLeft w:val="0"/>
      <w:marRight w:val="0"/>
      <w:marTop w:val="0"/>
      <w:marBottom w:val="0"/>
      <w:divBdr>
        <w:top w:val="none" w:sz="0" w:space="0" w:color="auto"/>
        <w:left w:val="none" w:sz="0" w:space="0" w:color="auto"/>
        <w:bottom w:val="none" w:sz="0" w:space="0" w:color="auto"/>
        <w:right w:val="none" w:sz="0" w:space="0" w:color="auto"/>
      </w:divBdr>
    </w:div>
    <w:div w:id="39088351">
      <w:bodyDiv w:val="1"/>
      <w:marLeft w:val="0"/>
      <w:marRight w:val="0"/>
      <w:marTop w:val="0"/>
      <w:marBottom w:val="0"/>
      <w:divBdr>
        <w:top w:val="none" w:sz="0" w:space="0" w:color="auto"/>
        <w:left w:val="none" w:sz="0" w:space="0" w:color="auto"/>
        <w:bottom w:val="none" w:sz="0" w:space="0" w:color="auto"/>
        <w:right w:val="none" w:sz="0" w:space="0" w:color="auto"/>
      </w:divBdr>
    </w:div>
    <w:div w:id="40253689">
      <w:bodyDiv w:val="1"/>
      <w:marLeft w:val="0"/>
      <w:marRight w:val="0"/>
      <w:marTop w:val="0"/>
      <w:marBottom w:val="0"/>
      <w:divBdr>
        <w:top w:val="none" w:sz="0" w:space="0" w:color="auto"/>
        <w:left w:val="none" w:sz="0" w:space="0" w:color="auto"/>
        <w:bottom w:val="none" w:sz="0" w:space="0" w:color="auto"/>
        <w:right w:val="none" w:sz="0" w:space="0" w:color="auto"/>
      </w:divBdr>
    </w:div>
    <w:div w:id="41178729">
      <w:bodyDiv w:val="1"/>
      <w:marLeft w:val="0"/>
      <w:marRight w:val="0"/>
      <w:marTop w:val="0"/>
      <w:marBottom w:val="0"/>
      <w:divBdr>
        <w:top w:val="none" w:sz="0" w:space="0" w:color="auto"/>
        <w:left w:val="none" w:sz="0" w:space="0" w:color="auto"/>
        <w:bottom w:val="none" w:sz="0" w:space="0" w:color="auto"/>
        <w:right w:val="none" w:sz="0" w:space="0" w:color="auto"/>
      </w:divBdr>
    </w:div>
    <w:div w:id="41490166">
      <w:bodyDiv w:val="1"/>
      <w:marLeft w:val="0"/>
      <w:marRight w:val="0"/>
      <w:marTop w:val="0"/>
      <w:marBottom w:val="0"/>
      <w:divBdr>
        <w:top w:val="none" w:sz="0" w:space="0" w:color="auto"/>
        <w:left w:val="none" w:sz="0" w:space="0" w:color="auto"/>
        <w:bottom w:val="none" w:sz="0" w:space="0" w:color="auto"/>
        <w:right w:val="none" w:sz="0" w:space="0" w:color="auto"/>
      </w:divBdr>
    </w:div>
    <w:div w:id="42407611">
      <w:bodyDiv w:val="1"/>
      <w:marLeft w:val="0"/>
      <w:marRight w:val="0"/>
      <w:marTop w:val="0"/>
      <w:marBottom w:val="0"/>
      <w:divBdr>
        <w:top w:val="none" w:sz="0" w:space="0" w:color="auto"/>
        <w:left w:val="none" w:sz="0" w:space="0" w:color="auto"/>
        <w:bottom w:val="none" w:sz="0" w:space="0" w:color="auto"/>
        <w:right w:val="none" w:sz="0" w:space="0" w:color="auto"/>
      </w:divBdr>
    </w:div>
    <w:div w:id="45037000">
      <w:bodyDiv w:val="1"/>
      <w:marLeft w:val="0"/>
      <w:marRight w:val="0"/>
      <w:marTop w:val="0"/>
      <w:marBottom w:val="0"/>
      <w:divBdr>
        <w:top w:val="none" w:sz="0" w:space="0" w:color="auto"/>
        <w:left w:val="none" w:sz="0" w:space="0" w:color="auto"/>
        <w:bottom w:val="none" w:sz="0" w:space="0" w:color="auto"/>
        <w:right w:val="none" w:sz="0" w:space="0" w:color="auto"/>
      </w:divBdr>
    </w:div>
    <w:div w:id="45688433">
      <w:bodyDiv w:val="1"/>
      <w:marLeft w:val="0"/>
      <w:marRight w:val="0"/>
      <w:marTop w:val="0"/>
      <w:marBottom w:val="0"/>
      <w:divBdr>
        <w:top w:val="none" w:sz="0" w:space="0" w:color="auto"/>
        <w:left w:val="none" w:sz="0" w:space="0" w:color="auto"/>
        <w:bottom w:val="none" w:sz="0" w:space="0" w:color="auto"/>
        <w:right w:val="none" w:sz="0" w:space="0" w:color="auto"/>
      </w:divBdr>
    </w:div>
    <w:div w:id="55517653">
      <w:bodyDiv w:val="1"/>
      <w:marLeft w:val="0"/>
      <w:marRight w:val="0"/>
      <w:marTop w:val="0"/>
      <w:marBottom w:val="0"/>
      <w:divBdr>
        <w:top w:val="none" w:sz="0" w:space="0" w:color="auto"/>
        <w:left w:val="none" w:sz="0" w:space="0" w:color="auto"/>
        <w:bottom w:val="none" w:sz="0" w:space="0" w:color="auto"/>
        <w:right w:val="none" w:sz="0" w:space="0" w:color="auto"/>
      </w:divBdr>
    </w:div>
    <w:div w:id="57215548">
      <w:bodyDiv w:val="1"/>
      <w:marLeft w:val="0"/>
      <w:marRight w:val="0"/>
      <w:marTop w:val="0"/>
      <w:marBottom w:val="0"/>
      <w:divBdr>
        <w:top w:val="none" w:sz="0" w:space="0" w:color="auto"/>
        <w:left w:val="none" w:sz="0" w:space="0" w:color="auto"/>
        <w:bottom w:val="none" w:sz="0" w:space="0" w:color="auto"/>
        <w:right w:val="none" w:sz="0" w:space="0" w:color="auto"/>
      </w:divBdr>
    </w:div>
    <w:div w:id="57487009">
      <w:bodyDiv w:val="1"/>
      <w:marLeft w:val="0"/>
      <w:marRight w:val="0"/>
      <w:marTop w:val="0"/>
      <w:marBottom w:val="0"/>
      <w:divBdr>
        <w:top w:val="none" w:sz="0" w:space="0" w:color="auto"/>
        <w:left w:val="none" w:sz="0" w:space="0" w:color="auto"/>
        <w:bottom w:val="none" w:sz="0" w:space="0" w:color="auto"/>
        <w:right w:val="none" w:sz="0" w:space="0" w:color="auto"/>
      </w:divBdr>
    </w:div>
    <w:div w:id="57636053">
      <w:bodyDiv w:val="1"/>
      <w:marLeft w:val="0"/>
      <w:marRight w:val="0"/>
      <w:marTop w:val="0"/>
      <w:marBottom w:val="0"/>
      <w:divBdr>
        <w:top w:val="none" w:sz="0" w:space="0" w:color="auto"/>
        <w:left w:val="none" w:sz="0" w:space="0" w:color="auto"/>
        <w:bottom w:val="none" w:sz="0" w:space="0" w:color="auto"/>
        <w:right w:val="none" w:sz="0" w:space="0" w:color="auto"/>
      </w:divBdr>
    </w:div>
    <w:div w:id="59987860">
      <w:bodyDiv w:val="1"/>
      <w:marLeft w:val="0"/>
      <w:marRight w:val="0"/>
      <w:marTop w:val="0"/>
      <w:marBottom w:val="0"/>
      <w:divBdr>
        <w:top w:val="none" w:sz="0" w:space="0" w:color="auto"/>
        <w:left w:val="none" w:sz="0" w:space="0" w:color="auto"/>
        <w:bottom w:val="none" w:sz="0" w:space="0" w:color="auto"/>
        <w:right w:val="none" w:sz="0" w:space="0" w:color="auto"/>
      </w:divBdr>
    </w:div>
    <w:div w:id="60255231">
      <w:bodyDiv w:val="1"/>
      <w:marLeft w:val="0"/>
      <w:marRight w:val="0"/>
      <w:marTop w:val="0"/>
      <w:marBottom w:val="0"/>
      <w:divBdr>
        <w:top w:val="none" w:sz="0" w:space="0" w:color="auto"/>
        <w:left w:val="none" w:sz="0" w:space="0" w:color="auto"/>
        <w:bottom w:val="none" w:sz="0" w:space="0" w:color="auto"/>
        <w:right w:val="none" w:sz="0" w:space="0" w:color="auto"/>
      </w:divBdr>
    </w:div>
    <w:div w:id="61101511">
      <w:bodyDiv w:val="1"/>
      <w:marLeft w:val="0"/>
      <w:marRight w:val="0"/>
      <w:marTop w:val="0"/>
      <w:marBottom w:val="0"/>
      <w:divBdr>
        <w:top w:val="none" w:sz="0" w:space="0" w:color="auto"/>
        <w:left w:val="none" w:sz="0" w:space="0" w:color="auto"/>
        <w:bottom w:val="none" w:sz="0" w:space="0" w:color="auto"/>
        <w:right w:val="none" w:sz="0" w:space="0" w:color="auto"/>
      </w:divBdr>
    </w:div>
    <w:div w:id="61292613">
      <w:bodyDiv w:val="1"/>
      <w:marLeft w:val="0"/>
      <w:marRight w:val="0"/>
      <w:marTop w:val="0"/>
      <w:marBottom w:val="0"/>
      <w:divBdr>
        <w:top w:val="none" w:sz="0" w:space="0" w:color="auto"/>
        <w:left w:val="none" w:sz="0" w:space="0" w:color="auto"/>
        <w:bottom w:val="none" w:sz="0" w:space="0" w:color="auto"/>
        <w:right w:val="none" w:sz="0" w:space="0" w:color="auto"/>
      </w:divBdr>
    </w:div>
    <w:div w:id="61410795">
      <w:bodyDiv w:val="1"/>
      <w:marLeft w:val="0"/>
      <w:marRight w:val="0"/>
      <w:marTop w:val="0"/>
      <w:marBottom w:val="0"/>
      <w:divBdr>
        <w:top w:val="none" w:sz="0" w:space="0" w:color="auto"/>
        <w:left w:val="none" w:sz="0" w:space="0" w:color="auto"/>
        <w:bottom w:val="none" w:sz="0" w:space="0" w:color="auto"/>
        <w:right w:val="none" w:sz="0" w:space="0" w:color="auto"/>
      </w:divBdr>
    </w:div>
    <w:div w:id="67046772">
      <w:bodyDiv w:val="1"/>
      <w:marLeft w:val="0"/>
      <w:marRight w:val="0"/>
      <w:marTop w:val="0"/>
      <w:marBottom w:val="0"/>
      <w:divBdr>
        <w:top w:val="none" w:sz="0" w:space="0" w:color="auto"/>
        <w:left w:val="none" w:sz="0" w:space="0" w:color="auto"/>
        <w:bottom w:val="none" w:sz="0" w:space="0" w:color="auto"/>
        <w:right w:val="none" w:sz="0" w:space="0" w:color="auto"/>
      </w:divBdr>
    </w:div>
    <w:div w:id="68701207">
      <w:bodyDiv w:val="1"/>
      <w:marLeft w:val="0"/>
      <w:marRight w:val="0"/>
      <w:marTop w:val="0"/>
      <w:marBottom w:val="0"/>
      <w:divBdr>
        <w:top w:val="none" w:sz="0" w:space="0" w:color="auto"/>
        <w:left w:val="none" w:sz="0" w:space="0" w:color="auto"/>
        <w:bottom w:val="none" w:sz="0" w:space="0" w:color="auto"/>
        <w:right w:val="none" w:sz="0" w:space="0" w:color="auto"/>
      </w:divBdr>
    </w:div>
    <w:div w:id="70080372">
      <w:bodyDiv w:val="1"/>
      <w:marLeft w:val="0"/>
      <w:marRight w:val="0"/>
      <w:marTop w:val="0"/>
      <w:marBottom w:val="0"/>
      <w:divBdr>
        <w:top w:val="none" w:sz="0" w:space="0" w:color="auto"/>
        <w:left w:val="none" w:sz="0" w:space="0" w:color="auto"/>
        <w:bottom w:val="none" w:sz="0" w:space="0" w:color="auto"/>
        <w:right w:val="none" w:sz="0" w:space="0" w:color="auto"/>
      </w:divBdr>
    </w:div>
    <w:div w:id="71045617">
      <w:bodyDiv w:val="1"/>
      <w:marLeft w:val="0"/>
      <w:marRight w:val="0"/>
      <w:marTop w:val="0"/>
      <w:marBottom w:val="0"/>
      <w:divBdr>
        <w:top w:val="none" w:sz="0" w:space="0" w:color="auto"/>
        <w:left w:val="none" w:sz="0" w:space="0" w:color="auto"/>
        <w:bottom w:val="none" w:sz="0" w:space="0" w:color="auto"/>
        <w:right w:val="none" w:sz="0" w:space="0" w:color="auto"/>
      </w:divBdr>
    </w:div>
    <w:div w:id="71244925">
      <w:bodyDiv w:val="1"/>
      <w:marLeft w:val="0"/>
      <w:marRight w:val="0"/>
      <w:marTop w:val="0"/>
      <w:marBottom w:val="0"/>
      <w:divBdr>
        <w:top w:val="none" w:sz="0" w:space="0" w:color="auto"/>
        <w:left w:val="none" w:sz="0" w:space="0" w:color="auto"/>
        <w:bottom w:val="none" w:sz="0" w:space="0" w:color="auto"/>
        <w:right w:val="none" w:sz="0" w:space="0" w:color="auto"/>
      </w:divBdr>
    </w:div>
    <w:div w:id="72557612">
      <w:bodyDiv w:val="1"/>
      <w:marLeft w:val="0"/>
      <w:marRight w:val="0"/>
      <w:marTop w:val="0"/>
      <w:marBottom w:val="0"/>
      <w:divBdr>
        <w:top w:val="none" w:sz="0" w:space="0" w:color="auto"/>
        <w:left w:val="none" w:sz="0" w:space="0" w:color="auto"/>
        <w:bottom w:val="none" w:sz="0" w:space="0" w:color="auto"/>
        <w:right w:val="none" w:sz="0" w:space="0" w:color="auto"/>
      </w:divBdr>
    </w:div>
    <w:div w:id="75329586">
      <w:bodyDiv w:val="1"/>
      <w:marLeft w:val="0"/>
      <w:marRight w:val="0"/>
      <w:marTop w:val="0"/>
      <w:marBottom w:val="0"/>
      <w:divBdr>
        <w:top w:val="none" w:sz="0" w:space="0" w:color="auto"/>
        <w:left w:val="none" w:sz="0" w:space="0" w:color="auto"/>
        <w:bottom w:val="none" w:sz="0" w:space="0" w:color="auto"/>
        <w:right w:val="none" w:sz="0" w:space="0" w:color="auto"/>
      </w:divBdr>
    </w:div>
    <w:div w:id="76439529">
      <w:bodyDiv w:val="1"/>
      <w:marLeft w:val="0"/>
      <w:marRight w:val="0"/>
      <w:marTop w:val="0"/>
      <w:marBottom w:val="0"/>
      <w:divBdr>
        <w:top w:val="none" w:sz="0" w:space="0" w:color="auto"/>
        <w:left w:val="none" w:sz="0" w:space="0" w:color="auto"/>
        <w:bottom w:val="none" w:sz="0" w:space="0" w:color="auto"/>
        <w:right w:val="none" w:sz="0" w:space="0" w:color="auto"/>
      </w:divBdr>
    </w:div>
    <w:div w:id="77287914">
      <w:bodyDiv w:val="1"/>
      <w:marLeft w:val="0"/>
      <w:marRight w:val="0"/>
      <w:marTop w:val="0"/>
      <w:marBottom w:val="0"/>
      <w:divBdr>
        <w:top w:val="none" w:sz="0" w:space="0" w:color="auto"/>
        <w:left w:val="none" w:sz="0" w:space="0" w:color="auto"/>
        <w:bottom w:val="none" w:sz="0" w:space="0" w:color="auto"/>
        <w:right w:val="none" w:sz="0" w:space="0" w:color="auto"/>
      </w:divBdr>
    </w:div>
    <w:div w:id="85464741">
      <w:bodyDiv w:val="1"/>
      <w:marLeft w:val="0"/>
      <w:marRight w:val="0"/>
      <w:marTop w:val="0"/>
      <w:marBottom w:val="0"/>
      <w:divBdr>
        <w:top w:val="none" w:sz="0" w:space="0" w:color="auto"/>
        <w:left w:val="none" w:sz="0" w:space="0" w:color="auto"/>
        <w:bottom w:val="none" w:sz="0" w:space="0" w:color="auto"/>
        <w:right w:val="none" w:sz="0" w:space="0" w:color="auto"/>
      </w:divBdr>
    </w:div>
    <w:div w:id="89661422">
      <w:bodyDiv w:val="1"/>
      <w:marLeft w:val="0"/>
      <w:marRight w:val="0"/>
      <w:marTop w:val="0"/>
      <w:marBottom w:val="0"/>
      <w:divBdr>
        <w:top w:val="none" w:sz="0" w:space="0" w:color="auto"/>
        <w:left w:val="none" w:sz="0" w:space="0" w:color="auto"/>
        <w:bottom w:val="none" w:sz="0" w:space="0" w:color="auto"/>
        <w:right w:val="none" w:sz="0" w:space="0" w:color="auto"/>
      </w:divBdr>
    </w:div>
    <w:div w:id="93211662">
      <w:bodyDiv w:val="1"/>
      <w:marLeft w:val="0"/>
      <w:marRight w:val="0"/>
      <w:marTop w:val="0"/>
      <w:marBottom w:val="0"/>
      <w:divBdr>
        <w:top w:val="none" w:sz="0" w:space="0" w:color="auto"/>
        <w:left w:val="none" w:sz="0" w:space="0" w:color="auto"/>
        <w:bottom w:val="none" w:sz="0" w:space="0" w:color="auto"/>
        <w:right w:val="none" w:sz="0" w:space="0" w:color="auto"/>
      </w:divBdr>
    </w:div>
    <w:div w:id="100956280">
      <w:bodyDiv w:val="1"/>
      <w:marLeft w:val="0"/>
      <w:marRight w:val="0"/>
      <w:marTop w:val="0"/>
      <w:marBottom w:val="0"/>
      <w:divBdr>
        <w:top w:val="none" w:sz="0" w:space="0" w:color="auto"/>
        <w:left w:val="none" w:sz="0" w:space="0" w:color="auto"/>
        <w:bottom w:val="none" w:sz="0" w:space="0" w:color="auto"/>
        <w:right w:val="none" w:sz="0" w:space="0" w:color="auto"/>
      </w:divBdr>
    </w:div>
    <w:div w:id="102042153">
      <w:bodyDiv w:val="1"/>
      <w:marLeft w:val="0"/>
      <w:marRight w:val="0"/>
      <w:marTop w:val="0"/>
      <w:marBottom w:val="0"/>
      <w:divBdr>
        <w:top w:val="none" w:sz="0" w:space="0" w:color="auto"/>
        <w:left w:val="none" w:sz="0" w:space="0" w:color="auto"/>
        <w:bottom w:val="none" w:sz="0" w:space="0" w:color="auto"/>
        <w:right w:val="none" w:sz="0" w:space="0" w:color="auto"/>
      </w:divBdr>
    </w:div>
    <w:div w:id="104620586">
      <w:bodyDiv w:val="1"/>
      <w:marLeft w:val="0"/>
      <w:marRight w:val="0"/>
      <w:marTop w:val="0"/>
      <w:marBottom w:val="0"/>
      <w:divBdr>
        <w:top w:val="none" w:sz="0" w:space="0" w:color="auto"/>
        <w:left w:val="none" w:sz="0" w:space="0" w:color="auto"/>
        <w:bottom w:val="none" w:sz="0" w:space="0" w:color="auto"/>
        <w:right w:val="none" w:sz="0" w:space="0" w:color="auto"/>
      </w:divBdr>
    </w:div>
    <w:div w:id="104621097">
      <w:bodyDiv w:val="1"/>
      <w:marLeft w:val="0"/>
      <w:marRight w:val="0"/>
      <w:marTop w:val="0"/>
      <w:marBottom w:val="0"/>
      <w:divBdr>
        <w:top w:val="none" w:sz="0" w:space="0" w:color="auto"/>
        <w:left w:val="none" w:sz="0" w:space="0" w:color="auto"/>
        <w:bottom w:val="none" w:sz="0" w:space="0" w:color="auto"/>
        <w:right w:val="none" w:sz="0" w:space="0" w:color="auto"/>
      </w:divBdr>
    </w:div>
    <w:div w:id="107432639">
      <w:bodyDiv w:val="1"/>
      <w:marLeft w:val="0"/>
      <w:marRight w:val="0"/>
      <w:marTop w:val="0"/>
      <w:marBottom w:val="0"/>
      <w:divBdr>
        <w:top w:val="none" w:sz="0" w:space="0" w:color="auto"/>
        <w:left w:val="none" w:sz="0" w:space="0" w:color="auto"/>
        <w:bottom w:val="none" w:sz="0" w:space="0" w:color="auto"/>
        <w:right w:val="none" w:sz="0" w:space="0" w:color="auto"/>
      </w:divBdr>
    </w:div>
    <w:div w:id="107706015">
      <w:bodyDiv w:val="1"/>
      <w:marLeft w:val="0"/>
      <w:marRight w:val="0"/>
      <w:marTop w:val="0"/>
      <w:marBottom w:val="0"/>
      <w:divBdr>
        <w:top w:val="none" w:sz="0" w:space="0" w:color="auto"/>
        <w:left w:val="none" w:sz="0" w:space="0" w:color="auto"/>
        <w:bottom w:val="none" w:sz="0" w:space="0" w:color="auto"/>
        <w:right w:val="none" w:sz="0" w:space="0" w:color="auto"/>
      </w:divBdr>
    </w:div>
    <w:div w:id="107747821">
      <w:bodyDiv w:val="1"/>
      <w:marLeft w:val="0"/>
      <w:marRight w:val="0"/>
      <w:marTop w:val="0"/>
      <w:marBottom w:val="0"/>
      <w:divBdr>
        <w:top w:val="none" w:sz="0" w:space="0" w:color="auto"/>
        <w:left w:val="none" w:sz="0" w:space="0" w:color="auto"/>
        <w:bottom w:val="none" w:sz="0" w:space="0" w:color="auto"/>
        <w:right w:val="none" w:sz="0" w:space="0" w:color="auto"/>
      </w:divBdr>
    </w:div>
    <w:div w:id="107968788">
      <w:bodyDiv w:val="1"/>
      <w:marLeft w:val="0"/>
      <w:marRight w:val="0"/>
      <w:marTop w:val="0"/>
      <w:marBottom w:val="0"/>
      <w:divBdr>
        <w:top w:val="none" w:sz="0" w:space="0" w:color="auto"/>
        <w:left w:val="none" w:sz="0" w:space="0" w:color="auto"/>
        <w:bottom w:val="none" w:sz="0" w:space="0" w:color="auto"/>
        <w:right w:val="none" w:sz="0" w:space="0" w:color="auto"/>
      </w:divBdr>
    </w:div>
    <w:div w:id="108167086">
      <w:bodyDiv w:val="1"/>
      <w:marLeft w:val="0"/>
      <w:marRight w:val="0"/>
      <w:marTop w:val="0"/>
      <w:marBottom w:val="0"/>
      <w:divBdr>
        <w:top w:val="none" w:sz="0" w:space="0" w:color="auto"/>
        <w:left w:val="none" w:sz="0" w:space="0" w:color="auto"/>
        <w:bottom w:val="none" w:sz="0" w:space="0" w:color="auto"/>
        <w:right w:val="none" w:sz="0" w:space="0" w:color="auto"/>
      </w:divBdr>
    </w:div>
    <w:div w:id="112405707">
      <w:bodyDiv w:val="1"/>
      <w:marLeft w:val="0"/>
      <w:marRight w:val="0"/>
      <w:marTop w:val="0"/>
      <w:marBottom w:val="0"/>
      <w:divBdr>
        <w:top w:val="none" w:sz="0" w:space="0" w:color="auto"/>
        <w:left w:val="none" w:sz="0" w:space="0" w:color="auto"/>
        <w:bottom w:val="none" w:sz="0" w:space="0" w:color="auto"/>
        <w:right w:val="none" w:sz="0" w:space="0" w:color="auto"/>
      </w:divBdr>
    </w:div>
    <w:div w:id="112748657">
      <w:bodyDiv w:val="1"/>
      <w:marLeft w:val="0"/>
      <w:marRight w:val="0"/>
      <w:marTop w:val="0"/>
      <w:marBottom w:val="0"/>
      <w:divBdr>
        <w:top w:val="none" w:sz="0" w:space="0" w:color="auto"/>
        <w:left w:val="none" w:sz="0" w:space="0" w:color="auto"/>
        <w:bottom w:val="none" w:sz="0" w:space="0" w:color="auto"/>
        <w:right w:val="none" w:sz="0" w:space="0" w:color="auto"/>
      </w:divBdr>
    </w:div>
    <w:div w:id="114645526">
      <w:bodyDiv w:val="1"/>
      <w:marLeft w:val="0"/>
      <w:marRight w:val="0"/>
      <w:marTop w:val="0"/>
      <w:marBottom w:val="0"/>
      <w:divBdr>
        <w:top w:val="none" w:sz="0" w:space="0" w:color="auto"/>
        <w:left w:val="none" w:sz="0" w:space="0" w:color="auto"/>
        <w:bottom w:val="none" w:sz="0" w:space="0" w:color="auto"/>
        <w:right w:val="none" w:sz="0" w:space="0" w:color="auto"/>
      </w:divBdr>
    </w:div>
    <w:div w:id="114755572">
      <w:bodyDiv w:val="1"/>
      <w:marLeft w:val="0"/>
      <w:marRight w:val="0"/>
      <w:marTop w:val="0"/>
      <w:marBottom w:val="0"/>
      <w:divBdr>
        <w:top w:val="none" w:sz="0" w:space="0" w:color="auto"/>
        <w:left w:val="none" w:sz="0" w:space="0" w:color="auto"/>
        <w:bottom w:val="none" w:sz="0" w:space="0" w:color="auto"/>
        <w:right w:val="none" w:sz="0" w:space="0" w:color="auto"/>
      </w:divBdr>
    </w:div>
    <w:div w:id="116266078">
      <w:bodyDiv w:val="1"/>
      <w:marLeft w:val="0"/>
      <w:marRight w:val="0"/>
      <w:marTop w:val="0"/>
      <w:marBottom w:val="0"/>
      <w:divBdr>
        <w:top w:val="none" w:sz="0" w:space="0" w:color="auto"/>
        <w:left w:val="none" w:sz="0" w:space="0" w:color="auto"/>
        <w:bottom w:val="none" w:sz="0" w:space="0" w:color="auto"/>
        <w:right w:val="none" w:sz="0" w:space="0" w:color="auto"/>
      </w:divBdr>
    </w:div>
    <w:div w:id="117844511">
      <w:bodyDiv w:val="1"/>
      <w:marLeft w:val="0"/>
      <w:marRight w:val="0"/>
      <w:marTop w:val="0"/>
      <w:marBottom w:val="0"/>
      <w:divBdr>
        <w:top w:val="none" w:sz="0" w:space="0" w:color="auto"/>
        <w:left w:val="none" w:sz="0" w:space="0" w:color="auto"/>
        <w:bottom w:val="none" w:sz="0" w:space="0" w:color="auto"/>
        <w:right w:val="none" w:sz="0" w:space="0" w:color="auto"/>
      </w:divBdr>
    </w:div>
    <w:div w:id="120542010">
      <w:bodyDiv w:val="1"/>
      <w:marLeft w:val="0"/>
      <w:marRight w:val="0"/>
      <w:marTop w:val="0"/>
      <w:marBottom w:val="0"/>
      <w:divBdr>
        <w:top w:val="none" w:sz="0" w:space="0" w:color="auto"/>
        <w:left w:val="none" w:sz="0" w:space="0" w:color="auto"/>
        <w:bottom w:val="none" w:sz="0" w:space="0" w:color="auto"/>
        <w:right w:val="none" w:sz="0" w:space="0" w:color="auto"/>
      </w:divBdr>
    </w:div>
    <w:div w:id="124354556">
      <w:bodyDiv w:val="1"/>
      <w:marLeft w:val="0"/>
      <w:marRight w:val="0"/>
      <w:marTop w:val="0"/>
      <w:marBottom w:val="0"/>
      <w:divBdr>
        <w:top w:val="none" w:sz="0" w:space="0" w:color="auto"/>
        <w:left w:val="none" w:sz="0" w:space="0" w:color="auto"/>
        <w:bottom w:val="none" w:sz="0" w:space="0" w:color="auto"/>
        <w:right w:val="none" w:sz="0" w:space="0" w:color="auto"/>
      </w:divBdr>
    </w:div>
    <w:div w:id="125004205">
      <w:bodyDiv w:val="1"/>
      <w:marLeft w:val="0"/>
      <w:marRight w:val="0"/>
      <w:marTop w:val="0"/>
      <w:marBottom w:val="0"/>
      <w:divBdr>
        <w:top w:val="none" w:sz="0" w:space="0" w:color="auto"/>
        <w:left w:val="none" w:sz="0" w:space="0" w:color="auto"/>
        <w:bottom w:val="none" w:sz="0" w:space="0" w:color="auto"/>
        <w:right w:val="none" w:sz="0" w:space="0" w:color="auto"/>
      </w:divBdr>
    </w:div>
    <w:div w:id="126240992">
      <w:bodyDiv w:val="1"/>
      <w:marLeft w:val="0"/>
      <w:marRight w:val="0"/>
      <w:marTop w:val="0"/>
      <w:marBottom w:val="0"/>
      <w:divBdr>
        <w:top w:val="none" w:sz="0" w:space="0" w:color="auto"/>
        <w:left w:val="none" w:sz="0" w:space="0" w:color="auto"/>
        <w:bottom w:val="none" w:sz="0" w:space="0" w:color="auto"/>
        <w:right w:val="none" w:sz="0" w:space="0" w:color="auto"/>
      </w:divBdr>
    </w:div>
    <w:div w:id="128059054">
      <w:bodyDiv w:val="1"/>
      <w:marLeft w:val="0"/>
      <w:marRight w:val="0"/>
      <w:marTop w:val="0"/>
      <w:marBottom w:val="0"/>
      <w:divBdr>
        <w:top w:val="none" w:sz="0" w:space="0" w:color="auto"/>
        <w:left w:val="none" w:sz="0" w:space="0" w:color="auto"/>
        <w:bottom w:val="none" w:sz="0" w:space="0" w:color="auto"/>
        <w:right w:val="none" w:sz="0" w:space="0" w:color="auto"/>
      </w:divBdr>
    </w:div>
    <w:div w:id="130290471">
      <w:bodyDiv w:val="1"/>
      <w:marLeft w:val="0"/>
      <w:marRight w:val="0"/>
      <w:marTop w:val="0"/>
      <w:marBottom w:val="0"/>
      <w:divBdr>
        <w:top w:val="none" w:sz="0" w:space="0" w:color="auto"/>
        <w:left w:val="none" w:sz="0" w:space="0" w:color="auto"/>
        <w:bottom w:val="none" w:sz="0" w:space="0" w:color="auto"/>
        <w:right w:val="none" w:sz="0" w:space="0" w:color="auto"/>
      </w:divBdr>
    </w:div>
    <w:div w:id="131288650">
      <w:bodyDiv w:val="1"/>
      <w:marLeft w:val="0"/>
      <w:marRight w:val="0"/>
      <w:marTop w:val="0"/>
      <w:marBottom w:val="0"/>
      <w:divBdr>
        <w:top w:val="none" w:sz="0" w:space="0" w:color="auto"/>
        <w:left w:val="none" w:sz="0" w:space="0" w:color="auto"/>
        <w:bottom w:val="none" w:sz="0" w:space="0" w:color="auto"/>
        <w:right w:val="none" w:sz="0" w:space="0" w:color="auto"/>
      </w:divBdr>
    </w:div>
    <w:div w:id="133914378">
      <w:bodyDiv w:val="1"/>
      <w:marLeft w:val="0"/>
      <w:marRight w:val="0"/>
      <w:marTop w:val="0"/>
      <w:marBottom w:val="0"/>
      <w:divBdr>
        <w:top w:val="none" w:sz="0" w:space="0" w:color="auto"/>
        <w:left w:val="none" w:sz="0" w:space="0" w:color="auto"/>
        <w:bottom w:val="none" w:sz="0" w:space="0" w:color="auto"/>
        <w:right w:val="none" w:sz="0" w:space="0" w:color="auto"/>
      </w:divBdr>
    </w:div>
    <w:div w:id="139541427">
      <w:bodyDiv w:val="1"/>
      <w:marLeft w:val="0"/>
      <w:marRight w:val="0"/>
      <w:marTop w:val="0"/>
      <w:marBottom w:val="0"/>
      <w:divBdr>
        <w:top w:val="none" w:sz="0" w:space="0" w:color="auto"/>
        <w:left w:val="none" w:sz="0" w:space="0" w:color="auto"/>
        <w:bottom w:val="none" w:sz="0" w:space="0" w:color="auto"/>
        <w:right w:val="none" w:sz="0" w:space="0" w:color="auto"/>
      </w:divBdr>
    </w:div>
    <w:div w:id="141430173">
      <w:bodyDiv w:val="1"/>
      <w:marLeft w:val="0"/>
      <w:marRight w:val="0"/>
      <w:marTop w:val="0"/>
      <w:marBottom w:val="0"/>
      <w:divBdr>
        <w:top w:val="none" w:sz="0" w:space="0" w:color="auto"/>
        <w:left w:val="none" w:sz="0" w:space="0" w:color="auto"/>
        <w:bottom w:val="none" w:sz="0" w:space="0" w:color="auto"/>
        <w:right w:val="none" w:sz="0" w:space="0" w:color="auto"/>
      </w:divBdr>
    </w:div>
    <w:div w:id="145126930">
      <w:bodyDiv w:val="1"/>
      <w:marLeft w:val="0"/>
      <w:marRight w:val="0"/>
      <w:marTop w:val="0"/>
      <w:marBottom w:val="0"/>
      <w:divBdr>
        <w:top w:val="none" w:sz="0" w:space="0" w:color="auto"/>
        <w:left w:val="none" w:sz="0" w:space="0" w:color="auto"/>
        <w:bottom w:val="none" w:sz="0" w:space="0" w:color="auto"/>
        <w:right w:val="none" w:sz="0" w:space="0" w:color="auto"/>
      </w:divBdr>
    </w:div>
    <w:div w:id="147133597">
      <w:bodyDiv w:val="1"/>
      <w:marLeft w:val="0"/>
      <w:marRight w:val="0"/>
      <w:marTop w:val="0"/>
      <w:marBottom w:val="0"/>
      <w:divBdr>
        <w:top w:val="none" w:sz="0" w:space="0" w:color="auto"/>
        <w:left w:val="none" w:sz="0" w:space="0" w:color="auto"/>
        <w:bottom w:val="none" w:sz="0" w:space="0" w:color="auto"/>
        <w:right w:val="none" w:sz="0" w:space="0" w:color="auto"/>
      </w:divBdr>
    </w:div>
    <w:div w:id="147526679">
      <w:bodyDiv w:val="1"/>
      <w:marLeft w:val="0"/>
      <w:marRight w:val="0"/>
      <w:marTop w:val="0"/>
      <w:marBottom w:val="0"/>
      <w:divBdr>
        <w:top w:val="none" w:sz="0" w:space="0" w:color="auto"/>
        <w:left w:val="none" w:sz="0" w:space="0" w:color="auto"/>
        <w:bottom w:val="none" w:sz="0" w:space="0" w:color="auto"/>
        <w:right w:val="none" w:sz="0" w:space="0" w:color="auto"/>
      </w:divBdr>
    </w:div>
    <w:div w:id="150294513">
      <w:bodyDiv w:val="1"/>
      <w:marLeft w:val="0"/>
      <w:marRight w:val="0"/>
      <w:marTop w:val="0"/>
      <w:marBottom w:val="0"/>
      <w:divBdr>
        <w:top w:val="none" w:sz="0" w:space="0" w:color="auto"/>
        <w:left w:val="none" w:sz="0" w:space="0" w:color="auto"/>
        <w:bottom w:val="none" w:sz="0" w:space="0" w:color="auto"/>
        <w:right w:val="none" w:sz="0" w:space="0" w:color="auto"/>
      </w:divBdr>
    </w:div>
    <w:div w:id="150754304">
      <w:bodyDiv w:val="1"/>
      <w:marLeft w:val="0"/>
      <w:marRight w:val="0"/>
      <w:marTop w:val="0"/>
      <w:marBottom w:val="0"/>
      <w:divBdr>
        <w:top w:val="none" w:sz="0" w:space="0" w:color="auto"/>
        <w:left w:val="none" w:sz="0" w:space="0" w:color="auto"/>
        <w:bottom w:val="none" w:sz="0" w:space="0" w:color="auto"/>
        <w:right w:val="none" w:sz="0" w:space="0" w:color="auto"/>
      </w:divBdr>
    </w:div>
    <w:div w:id="154883935">
      <w:bodyDiv w:val="1"/>
      <w:marLeft w:val="0"/>
      <w:marRight w:val="0"/>
      <w:marTop w:val="0"/>
      <w:marBottom w:val="0"/>
      <w:divBdr>
        <w:top w:val="none" w:sz="0" w:space="0" w:color="auto"/>
        <w:left w:val="none" w:sz="0" w:space="0" w:color="auto"/>
        <w:bottom w:val="none" w:sz="0" w:space="0" w:color="auto"/>
        <w:right w:val="none" w:sz="0" w:space="0" w:color="auto"/>
      </w:divBdr>
    </w:div>
    <w:div w:id="157159124">
      <w:bodyDiv w:val="1"/>
      <w:marLeft w:val="0"/>
      <w:marRight w:val="0"/>
      <w:marTop w:val="0"/>
      <w:marBottom w:val="0"/>
      <w:divBdr>
        <w:top w:val="none" w:sz="0" w:space="0" w:color="auto"/>
        <w:left w:val="none" w:sz="0" w:space="0" w:color="auto"/>
        <w:bottom w:val="none" w:sz="0" w:space="0" w:color="auto"/>
        <w:right w:val="none" w:sz="0" w:space="0" w:color="auto"/>
      </w:divBdr>
    </w:div>
    <w:div w:id="157431105">
      <w:bodyDiv w:val="1"/>
      <w:marLeft w:val="0"/>
      <w:marRight w:val="0"/>
      <w:marTop w:val="0"/>
      <w:marBottom w:val="0"/>
      <w:divBdr>
        <w:top w:val="none" w:sz="0" w:space="0" w:color="auto"/>
        <w:left w:val="none" w:sz="0" w:space="0" w:color="auto"/>
        <w:bottom w:val="none" w:sz="0" w:space="0" w:color="auto"/>
        <w:right w:val="none" w:sz="0" w:space="0" w:color="auto"/>
      </w:divBdr>
    </w:div>
    <w:div w:id="158469930">
      <w:bodyDiv w:val="1"/>
      <w:marLeft w:val="0"/>
      <w:marRight w:val="0"/>
      <w:marTop w:val="0"/>
      <w:marBottom w:val="0"/>
      <w:divBdr>
        <w:top w:val="none" w:sz="0" w:space="0" w:color="auto"/>
        <w:left w:val="none" w:sz="0" w:space="0" w:color="auto"/>
        <w:bottom w:val="none" w:sz="0" w:space="0" w:color="auto"/>
        <w:right w:val="none" w:sz="0" w:space="0" w:color="auto"/>
      </w:divBdr>
    </w:div>
    <w:div w:id="161357230">
      <w:bodyDiv w:val="1"/>
      <w:marLeft w:val="0"/>
      <w:marRight w:val="0"/>
      <w:marTop w:val="0"/>
      <w:marBottom w:val="0"/>
      <w:divBdr>
        <w:top w:val="none" w:sz="0" w:space="0" w:color="auto"/>
        <w:left w:val="none" w:sz="0" w:space="0" w:color="auto"/>
        <w:bottom w:val="none" w:sz="0" w:space="0" w:color="auto"/>
        <w:right w:val="none" w:sz="0" w:space="0" w:color="auto"/>
      </w:divBdr>
    </w:div>
    <w:div w:id="165175477">
      <w:bodyDiv w:val="1"/>
      <w:marLeft w:val="0"/>
      <w:marRight w:val="0"/>
      <w:marTop w:val="0"/>
      <w:marBottom w:val="0"/>
      <w:divBdr>
        <w:top w:val="none" w:sz="0" w:space="0" w:color="auto"/>
        <w:left w:val="none" w:sz="0" w:space="0" w:color="auto"/>
        <w:bottom w:val="none" w:sz="0" w:space="0" w:color="auto"/>
        <w:right w:val="none" w:sz="0" w:space="0" w:color="auto"/>
      </w:divBdr>
    </w:div>
    <w:div w:id="170730169">
      <w:bodyDiv w:val="1"/>
      <w:marLeft w:val="0"/>
      <w:marRight w:val="0"/>
      <w:marTop w:val="0"/>
      <w:marBottom w:val="0"/>
      <w:divBdr>
        <w:top w:val="none" w:sz="0" w:space="0" w:color="auto"/>
        <w:left w:val="none" w:sz="0" w:space="0" w:color="auto"/>
        <w:bottom w:val="none" w:sz="0" w:space="0" w:color="auto"/>
        <w:right w:val="none" w:sz="0" w:space="0" w:color="auto"/>
      </w:divBdr>
    </w:div>
    <w:div w:id="171186528">
      <w:bodyDiv w:val="1"/>
      <w:marLeft w:val="0"/>
      <w:marRight w:val="0"/>
      <w:marTop w:val="0"/>
      <w:marBottom w:val="0"/>
      <w:divBdr>
        <w:top w:val="none" w:sz="0" w:space="0" w:color="auto"/>
        <w:left w:val="none" w:sz="0" w:space="0" w:color="auto"/>
        <w:bottom w:val="none" w:sz="0" w:space="0" w:color="auto"/>
        <w:right w:val="none" w:sz="0" w:space="0" w:color="auto"/>
      </w:divBdr>
    </w:div>
    <w:div w:id="172840751">
      <w:bodyDiv w:val="1"/>
      <w:marLeft w:val="0"/>
      <w:marRight w:val="0"/>
      <w:marTop w:val="0"/>
      <w:marBottom w:val="0"/>
      <w:divBdr>
        <w:top w:val="none" w:sz="0" w:space="0" w:color="auto"/>
        <w:left w:val="none" w:sz="0" w:space="0" w:color="auto"/>
        <w:bottom w:val="none" w:sz="0" w:space="0" w:color="auto"/>
        <w:right w:val="none" w:sz="0" w:space="0" w:color="auto"/>
      </w:divBdr>
    </w:div>
    <w:div w:id="177089231">
      <w:bodyDiv w:val="1"/>
      <w:marLeft w:val="0"/>
      <w:marRight w:val="0"/>
      <w:marTop w:val="0"/>
      <w:marBottom w:val="0"/>
      <w:divBdr>
        <w:top w:val="none" w:sz="0" w:space="0" w:color="auto"/>
        <w:left w:val="none" w:sz="0" w:space="0" w:color="auto"/>
        <w:bottom w:val="none" w:sz="0" w:space="0" w:color="auto"/>
        <w:right w:val="none" w:sz="0" w:space="0" w:color="auto"/>
      </w:divBdr>
    </w:div>
    <w:div w:id="177499872">
      <w:bodyDiv w:val="1"/>
      <w:marLeft w:val="0"/>
      <w:marRight w:val="0"/>
      <w:marTop w:val="0"/>
      <w:marBottom w:val="0"/>
      <w:divBdr>
        <w:top w:val="none" w:sz="0" w:space="0" w:color="auto"/>
        <w:left w:val="none" w:sz="0" w:space="0" w:color="auto"/>
        <w:bottom w:val="none" w:sz="0" w:space="0" w:color="auto"/>
        <w:right w:val="none" w:sz="0" w:space="0" w:color="auto"/>
      </w:divBdr>
    </w:div>
    <w:div w:id="177739874">
      <w:bodyDiv w:val="1"/>
      <w:marLeft w:val="0"/>
      <w:marRight w:val="0"/>
      <w:marTop w:val="0"/>
      <w:marBottom w:val="0"/>
      <w:divBdr>
        <w:top w:val="none" w:sz="0" w:space="0" w:color="auto"/>
        <w:left w:val="none" w:sz="0" w:space="0" w:color="auto"/>
        <w:bottom w:val="none" w:sz="0" w:space="0" w:color="auto"/>
        <w:right w:val="none" w:sz="0" w:space="0" w:color="auto"/>
      </w:divBdr>
    </w:div>
    <w:div w:id="180290830">
      <w:bodyDiv w:val="1"/>
      <w:marLeft w:val="0"/>
      <w:marRight w:val="0"/>
      <w:marTop w:val="0"/>
      <w:marBottom w:val="0"/>
      <w:divBdr>
        <w:top w:val="none" w:sz="0" w:space="0" w:color="auto"/>
        <w:left w:val="none" w:sz="0" w:space="0" w:color="auto"/>
        <w:bottom w:val="none" w:sz="0" w:space="0" w:color="auto"/>
        <w:right w:val="none" w:sz="0" w:space="0" w:color="auto"/>
      </w:divBdr>
    </w:div>
    <w:div w:id="180827924">
      <w:bodyDiv w:val="1"/>
      <w:marLeft w:val="0"/>
      <w:marRight w:val="0"/>
      <w:marTop w:val="0"/>
      <w:marBottom w:val="0"/>
      <w:divBdr>
        <w:top w:val="none" w:sz="0" w:space="0" w:color="auto"/>
        <w:left w:val="none" w:sz="0" w:space="0" w:color="auto"/>
        <w:bottom w:val="none" w:sz="0" w:space="0" w:color="auto"/>
        <w:right w:val="none" w:sz="0" w:space="0" w:color="auto"/>
      </w:divBdr>
    </w:div>
    <w:div w:id="182866776">
      <w:bodyDiv w:val="1"/>
      <w:marLeft w:val="0"/>
      <w:marRight w:val="0"/>
      <w:marTop w:val="0"/>
      <w:marBottom w:val="0"/>
      <w:divBdr>
        <w:top w:val="none" w:sz="0" w:space="0" w:color="auto"/>
        <w:left w:val="none" w:sz="0" w:space="0" w:color="auto"/>
        <w:bottom w:val="none" w:sz="0" w:space="0" w:color="auto"/>
        <w:right w:val="none" w:sz="0" w:space="0" w:color="auto"/>
      </w:divBdr>
    </w:div>
    <w:div w:id="183591292">
      <w:bodyDiv w:val="1"/>
      <w:marLeft w:val="0"/>
      <w:marRight w:val="0"/>
      <w:marTop w:val="0"/>
      <w:marBottom w:val="0"/>
      <w:divBdr>
        <w:top w:val="none" w:sz="0" w:space="0" w:color="auto"/>
        <w:left w:val="none" w:sz="0" w:space="0" w:color="auto"/>
        <w:bottom w:val="none" w:sz="0" w:space="0" w:color="auto"/>
        <w:right w:val="none" w:sz="0" w:space="0" w:color="auto"/>
      </w:divBdr>
    </w:div>
    <w:div w:id="185368522">
      <w:bodyDiv w:val="1"/>
      <w:marLeft w:val="0"/>
      <w:marRight w:val="0"/>
      <w:marTop w:val="0"/>
      <w:marBottom w:val="0"/>
      <w:divBdr>
        <w:top w:val="none" w:sz="0" w:space="0" w:color="auto"/>
        <w:left w:val="none" w:sz="0" w:space="0" w:color="auto"/>
        <w:bottom w:val="none" w:sz="0" w:space="0" w:color="auto"/>
        <w:right w:val="none" w:sz="0" w:space="0" w:color="auto"/>
      </w:divBdr>
    </w:div>
    <w:div w:id="196626608">
      <w:bodyDiv w:val="1"/>
      <w:marLeft w:val="0"/>
      <w:marRight w:val="0"/>
      <w:marTop w:val="0"/>
      <w:marBottom w:val="0"/>
      <w:divBdr>
        <w:top w:val="none" w:sz="0" w:space="0" w:color="auto"/>
        <w:left w:val="none" w:sz="0" w:space="0" w:color="auto"/>
        <w:bottom w:val="none" w:sz="0" w:space="0" w:color="auto"/>
        <w:right w:val="none" w:sz="0" w:space="0" w:color="auto"/>
      </w:divBdr>
    </w:div>
    <w:div w:id="196704779">
      <w:bodyDiv w:val="1"/>
      <w:marLeft w:val="0"/>
      <w:marRight w:val="0"/>
      <w:marTop w:val="0"/>
      <w:marBottom w:val="0"/>
      <w:divBdr>
        <w:top w:val="none" w:sz="0" w:space="0" w:color="auto"/>
        <w:left w:val="none" w:sz="0" w:space="0" w:color="auto"/>
        <w:bottom w:val="none" w:sz="0" w:space="0" w:color="auto"/>
        <w:right w:val="none" w:sz="0" w:space="0" w:color="auto"/>
      </w:divBdr>
    </w:div>
    <w:div w:id="198052166">
      <w:bodyDiv w:val="1"/>
      <w:marLeft w:val="0"/>
      <w:marRight w:val="0"/>
      <w:marTop w:val="0"/>
      <w:marBottom w:val="0"/>
      <w:divBdr>
        <w:top w:val="none" w:sz="0" w:space="0" w:color="auto"/>
        <w:left w:val="none" w:sz="0" w:space="0" w:color="auto"/>
        <w:bottom w:val="none" w:sz="0" w:space="0" w:color="auto"/>
        <w:right w:val="none" w:sz="0" w:space="0" w:color="auto"/>
      </w:divBdr>
    </w:div>
    <w:div w:id="199368900">
      <w:bodyDiv w:val="1"/>
      <w:marLeft w:val="0"/>
      <w:marRight w:val="0"/>
      <w:marTop w:val="0"/>
      <w:marBottom w:val="0"/>
      <w:divBdr>
        <w:top w:val="none" w:sz="0" w:space="0" w:color="auto"/>
        <w:left w:val="none" w:sz="0" w:space="0" w:color="auto"/>
        <w:bottom w:val="none" w:sz="0" w:space="0" w:color="auto"/>
        <w:right w:val="none" w:sz="0" w:space="0" w:color="auto"/>
      </w:divBdr>
    </w:div>
    <w:div w:id="202208000">
      <w:bodyDiv w:val="1"/>
      <w:marLeft w:val="0"/>
      <w:marRight w:val="0"/>
      <w:marTop w:val="0"/>
      <w:marBottom w:val="0"/>
      <w:divBdr>
        <w:top w:val="none" w:sz="0" w:space="0" w:color="auto"/>
        <w:left w:val="none" w:sz="0" w:space="0" w:color="auto"/>
        <w:bottom w:val="none" w:sz="0" w:space="0" w:color="auto"/>
        <w:right w:val="none" w:sz="0" w:space="0" w:color="auto"/>
      </w:divBdr>
    </w:div>
    <w:div w:id="203255645">
      <w:bodyDiv w:val="1"/>
      <w:marLeft w:val="0"/>
      <w:marRight w:val="0"/>
      <w:marTop w:val="0"/>
      <w:marBottom w:val="0"/>
      <w:divBdr>
        <w:top w:val="none" w:sz="0" w:space="0" w:color="auto"/>
        <w:left w:val="none" w:sz="0" w:space="0" w:color="auto"/>
        <w:bottom w:val="none" w:sz="0" w:space="0" w:color="auto"/>
        <w:right w:val="none" w:sz="0" w:space="0" w:color="auto"/>
      </w:divBdr>
    </w:div>
    <w:div w:id="205995271">
      <w:bodyDiv w:val="1"/>
      <w:marLeft w:val="0"/>
      <w:marRight w:val="0"/>
      <w:marTop w:val="0"/>
      <w:marBottom w:val="0"/>
      <w:divBdr>
        <w:top w:val="none" w:sz="0" w:space="0" w:color="auto"/>
        <w:left w:val="none" w:sz="0" w:space="0" w:color="auto"/>
        <w:bottom w:val="none" w:sz="0" w:space="0" w:color="auto"/>
        <w:right w:val="none" w:sz="0" w:space="0" w:color="auto"/>
      </w:divBdr>
    </w:div>
    <w:div w:id="209343519">
      <w:bodyDiv w:val="1"/>
      <w:marLeft w:val="0"/>
      <w:marRight w:val="0"/>
      <w:marTop w:val="0"/>
      <w:marBottom w:val="0"/>
      <w:divBdr>
        <w:top w:val="none" w:sz="0" w:space="0" w:color="auto"/>
        <w:left w:val="none" w:sz="0" w:space="0" w:color="auto"/>
        <w:bottom w:val="none" w:sz="0" w:space="0" w:color="auto"/>
        <w:right w:val="none" w:sz="0" w:space="0" w:color="auto"/>
      </w:divBdr>
    </w:div>
    <w:div w:id="210268353">
      <w:bodyDiv w:val="1"/>
      <w:marLeft w:val="0"/>
      <w:marRight w:val="0"/>
      <w:marTop w:val="0"/>
      <w:marBottom w:val="0"/>
      <w:divBdr>
        <w:top w:val="none" w:sz="0" w:space="0" w:color="auto"/>
        <w:left w:val="none" w:sz="0" w:space="0" w:color="auto"/>
        <w:bottom w:val="none" w:sz="0" w:space="0" w:color="auto"/>
        <w:right w:val="none" w:sz="0" w:space="0" w:color="auto"/>
      </w:divBdr>
    </w:div>
    <w:div w:id="212348586">
      <w:bodyDiv w:val="1"/>
      <w:marLeft w:val="0"/>
      <w:marRight w:val="0"/>
      <w:marTop w:val="0"/>
      <w:marBottom w:val="0"/>
      <w:divBdr>
        <w:top w:val="none" w:sz="0" w:space="0" w:color="auto"/>
        <w:left w:val="none" w:sz="0" w:space="0" w:color="auto"/>
        <w:bottom w:val="none" w:sz="0" w:space="0" w:color="auto"/>
        <w:right w:val="none" w:sz="0" w:space="0" w:color="auto"/>
      </w:divBdr>
    </w:div>
    <w:div w:id="213850933">
      <w:bodyDiv w:val="1"/>
      <w:marLeft w:val="0"/>
      <w:marRight w:val="0"/>
      <w:marTop w:val="0"/>
      <w:marBottom w:val="0"/>
      <w:divBdr>
        <w:top w:val="none" w:sz="0" w:space="0" w:color="auto"/>
        <w:left w:val="none" w:sz="0" w:space="0" w:color="auto"/>
        <w:bottom w:val="none" w:sz="0" w:space="0" w:color="auto"/>
        <w:right w:val="none" w:sz="0" w:space="0" w:color="auto"/>
      </w:divBdr>
    </w:div>
    <w:div w:id="215236626">
      <w:bodyDiv w:val="1"/>
      <w:marLeft w:val="0"/>
      <w:marRight w:val="0"/>
      <w:marTop w:val="0"/>
      <w:marBottom w:val="0"/>
      <w:divBdr>
        <w:top w:val="none" w:sz="0" w:space="0" w:color="auto"/>
        <w:left w:val="none" w:sz="0" w:space="0" w:color="auto"/>
        <w:bottom w:val="none" w:sz="0" w:space="0" w:color="auto"/>
        <w:right w:val="none" w:sz="0" w:space="0" w:color="auto"/>
      </w:divBdr>
    </w:div>
    <w:div w:id="217136810">
      <w:bodyDiv w:val="1"/>
      <w:marLeft w:val="0"/>
      <w:marRight w:val="0"/>
      <w:marTop w:val="0"/>
      <w:marBottom w:val="0"/>
      <w:divBdr>
        <w:top w:val="none" w:sz="0" w:space="0" w:color="auto"/>
        <w:left w:val="none" w:sz="0" w:space="0" w:color="auto"/>
        <w:bottom w:val="none" w:sz="0" w:space="0" w:color="auto"/>
        <w:right w:val="none" w:sz="0" w:space="0" w:color="auto"/>
      </w:divBdr>
    </w:div>
    <w:div w:id="218981384">
      <w:bodyDiv w:val="1"/>
      <w:marLeft w:val="0"/>
      <w:marRight w:val="0"/>
      <w:marTop w:val="0"/>
      <w:marBottom w:val="0"/>
      <w:divBdr>
        <w:top w:val="none" w:sz="0" w:space="0" w:color="auto"/>
        <w:left w:val="none" w:sz="0" w:space="0" w:color="auto"/>
        <w:bottom w:val="none" w:sz="0" w:space="0" w:color="auto"/>
        <w:right w:val="none" w:sz="0" w:space="0" w:color="auto"/>
      </w:divBdr>
    </w:div>
    <w:div w:id="219750087">
      <w:bodyDiv w:val="1"/>
      <w:marLeft w:val="0"/>
      <w:marRight w:val="0"/>
      <w:marTop w:val="0"/>
      <w:marBottom w:val="0"/>
      <w:divBdr>
        <w:top w:val="none" w:sz="0" w:space="0" w:color="auto"/>
        <w:left w:val="none" w:sz="0" w:space="0" w:color="auto"/>
        <w:bottom w:val="none" w:sz="0" w:space="0" w:color="auto"/>
        <w:right w:val="none" w:sz="0" w:space="0" w:color="auto"/>
      </w:divBdr>
    </w:div>
    <w:div w:id="220597690">
      <w:bodyDiv w:val="1"/>
      <w:marLeft w:val="0"/>
      <w:marRight w:val="0"/>
      <w:marTop w:val="0"/>
      <w:marBottom w:val="0"/>
      <w:divBdr>
        <w:top w:val="none" w:sz="0" w:space="0" w:color="auto"/>
        <w:left w:val="none" w:sz="0" w:space="0" w:color="auto"/>
        <w:bottom w:val="none" w:sz="0" w:space="0" w:color="auto"/>
        <w:right w:val="none" w:sz="0" w:space="0" w:color="auto"/>
      </w:divBdr>
    </w:div>
    <w:div w:id="230621493">
      <w:bodyDiv w:val="1"/>
      <w:marLeft w:val="0"/>
      <w:marRight w:val="0"/>
      <w:marTop w:val="0"/>
      <w:marBottom w:val="0"/>
      <w:divBdr>
        <w:top w:val="none" w:sz="0" w:space="0" w:color="auto"/>
        <w:left w:val="none" w:sz="0" w:space="0" w:color="auto"/>
        <w:bottom w:val="none" w:sz="0" w:space="0" w:color="auto"/>
        <w:right w:val="none" w:sz="0" w:space="0" w:color="auto"/>
      </w:divBdr>
    </w:div>
    <w:div w:id="231046360">
      <w:bodyDiv w:val="1"/>
      <w:marLeft w:val="0"/>
      <w:marRight w:val="0"/>
      <w:marTop w:val="0"/>
      <w:marBottom w:val="0"/>
      <w:divBdr>
        <w:top w:val="none" w:sz="0" w:space="0" w:color="auto"/>
        <w:left w:val="none" w:sz="0" w:space="0" w:color="auto"/>
        <w:bottom w:val="none" w:sz="0" w:space="0" w:color="auto"/>
        <w:right w:val="none" w:sz="0" w:space="0" w:color="auto"/>
      </w:divBdr>
    </w:div>
    <w:div w:id="243226012">
      <w:bodyDiv w:val="1"/>
      <w:marLeft w:val="0"/>
      <w:marRight w:val="0"/>
      <w:marTop w:val="0"/>
      <w:marBottom w:val="0"/>
      <w:divBdr>
        <w:top w:val="none" w:sz="0" w:space="0" w:color="auto"/>
        <w:left w:val="none" w:sz="0" w:space="0" w:color="auto"/>
        <w:bottom w:val="none" w:sz="0" w:space="0" w:color="auto"/>
        <w:right w:val="none" w:sz="0" w:space="0" w:color="auto"/>
      </w:divBdr>
    </w:div>
    <w:div w:id="244194835">
      <w:bodyDiv w:val="1"/>
      <w:marLeft w:val="0"/>
      <w:marRight w:val="0"/>
      <w:marTop w:val="0"/>
      <w:marBottom w:val="0"/>
      <w:divBdr>
        <w:top w:val="none" w:sz="0" w:space="0" w:color="auto"/>
        <w:left w:val="none" w:sz="0" w:space="0" w:color="auto"/>
        <w:bottom w:val="none" w:sz="0" w:space="0" w:color="auto"/>
        <w:right w:val="none" w:sz="0" w:space="0" w:color="auto"/>
      </w:divBdr>
    </w:div>
    <w:div w:id="247270742">
      <w:bodyDiv w:val="1"/>
      <w:marLeft w:val="0"/>
      <w:marRight w:val="0"/>
      <w:marTop w:val="0"/>
      <w:marBottom w:val="0"/>
      <w:divBdr>
        <w:top w:val="none" w:sz="0" w:space="0" w:color="auto"/>
        <w:left w:val="none" w:sz="0" w:space="0" w:color="auto"/>
        <w:bottom w:val="none" w:sz="0" w:space="0" w:color="auto"/>
        <w:right w:val="none" w:sz="0" w:space="0" w:color="auto"/>
      </w:divBdr>
    </w:div>
    <w:div w:id="250244136">
      <w:bodyDiv w:val="1"/>
      <w:marLeft w:val="0"/>
      <w:marRight w:val="0"/>
      <w:marTop w:val="0"/>
      <w:marBottom w:val="0"/>
      <w:divBdr>
        <w:top w:val="none" w:sz="0" w:space="0" w:color="auto"/>
        <w:left w:val="none" w:sz="0" w:space="0" w:color="auto"/>
        <w:bottom w:val="none" w:sz="0" w:space="0" w:color="auto"/>
        <w:right w:val="none" w:sz="0" w:space="0" w:color="auto"/>
      </w:divBdr>
    </w:div>
    <w:div w:id="253705680">
      <w:bodyDiv w:val="1"/>
      <w:marLeft w:val="0"/>
      <w:marRight w:val="0"/>
      <w:marTop w:val="0"/>
      <w:marBottom w:val="0"/>
      <w:divBdr>
        <w:top w:val="none" w:sz="0" w:space="0" w:color="auto"/>
        <w:left w:val="none" w:sz="0" w:space="0" w:color="auto"/>
        <w:bottom w:val="none" w:sz="0" w:space="0" w:color="auto"/>
        <w:right w:val="none" w:sz="0" w:space="0" w:color="auto"/>
      </w:divBdr>
    </w:div>
    <w:div w:id="255679314">
      <w:bodyDiv w:val="1"/>
      <w:marLeft w:val="0"/>
      <w:marRight w:val="0"/>
      <w:marTop w:val="0"/>
      <w:marBottom w:val="0"/>
      <w:divBdr>
        <w:top w:val="none" w:sz="0" w:space="0" w:color="auto"/>
        <w:left w:val="none" w:sz="0" w:space="0" w:color="auto"/>
        <w:bottom w:val="none" w:sz="0" w:space="0" w:color="auto"/>
        <w:right w:val="none" w:sz="0" w:space="0" w:color="auto"/>
      </w:divBdr>
    </w:div>
    <w:div w:id="257762670">
      <w:bodyDiv w:val="1"/>
      <w:marLeft w:val="0"/>
      <w:marRight w:val="0"/>
      <w:marTop w:val="0"/>
      <w:marBottom w:val="0"/>
      <w:divBdr>
        <w:top w:val="none" w:sz="0" w:space="0" w:color="auto"/>
        <w:left w:val="none" w:sz="0" w:space="0" w:color="auto"/>
        <w:bottom w:val="none" w:sz="0" w:space="0" w:color="auto"/>
        <w:right w:val="none" w:sz="0" w:space="0" w:color="auto"/>
      </w:divBdr>
    </w:div>
    <w:div w:id="259414996">
      <w:bodyDiv w:val="1"/>
      <w:marLeft w:val="0"/>
      <w:marRight w:val="0"/>
      <w:marTop w:val="0"/>
      <w:marBottom w:val="0"/>
      <w:divBdr>
        <w:top w:val="none" w:sz="0" w:space="0" w:color="auto"/>
        <w:left w:val="none" w:sz="0" w:space="0" w:color="auto"/>
        <w:bottom w:val="none" w:sz="0" w:space="0" w:color="auto"/>
        <w:right w:val="none" w:sz="0" w:space="0" w:color="auto"/>
      </w:divBdr>
    </w:div>
    <w:div w:id="262883064">
      <w:bodyDiv w:val="1"/>
      <w:marLeft w:val="0"/>
      <w:marRight w:val="0"/>
      <w:marTop w:val="0"/>
      <w:marBottom w:val="0"/>
      <w:divBdr>
        <w:top w:val="none" w:sz="0" w:space="0" w:color="auto"/>
        <w:left w:val="none" w:sz="0" w:space="0" w:color="auto"/>
        <w:bottom w:val="none" w:sz="0" w:space="0" w:color="auto"/>
        <w:right w:val="none" w:sz="0" w:space="0" w:color="auto"/>
      </w:divBdr>
    </w:div>
    <w:div w:id="267128723">
      <w:bodyDiv w:val="1"/>
      <w:marLeft w:val="0"/>
      <w:marRight w:val="0"/>
      <w:marTop w:val="0"/>
      <w:marBottom w:val="0"/>
      <w:divBdr>
        <w:top w:val="none" w:sz="0" w:space="0" w:color="auto"/>
        <w:left w:val="none" w:sz="0" w:space="0" w:color="auto"/>
        <w:bottom w:val="none" w:sz="0" w:space="0" w:color="auto"/>
        <w:right w:val="none" w:sz="0" w:space="0" w:color="auto"/>
      </w:divBdr>
    </w:div>
    <w:div w:id="269238440">
      <w:bodyDiv w:val="1"/>
      <w:marLeft w:val="0"/>
      <w:marRight w:val="0"/>
      <w:marTop w:val="0"/>
      <w:marBottom w:val="0"/>
      <w:divBdr>
        <w:top w:val="none" w:sz="0" w:space="0" w:color="auto"/>
        <w:left w:val="none" w:sz="0" w:space="0" w:color="auto"/>
        <w:bottom w:val="none" w:sz="0" w:space="0" w:color="auto"/>
        <w:right w:val="none" w:sz="0" w:space="0" w:color="auto"/>
      </w:divBdr>
    </w:div>
    <w:div w:id="270742559">
      <w:bodyDiv w:val="1"/>
      <w:marLeft w:val="0"/>
      <w:marRight w:val="0"/>
      <w:marTop w:val="0"/>
      <w:marBottom w:val="0"/>
      <w:divBdr>
        <w:top w:val="none" w:sz="0" w:space="0" w:color="auto"/>
        <w:left w:val="none" w:sz="0" w:space="0" w:color="auto"/>
        <w:bottom w:val="none" w:sz="0" w:space="0" w:color="auto"/>
        <w:right w:val="none" w:sz="0" w:space="0" w:color="auto"/>
      </w:divBdr>
    </w:div>
    <w:div w:id="271934068">
      <w:bodyDiv w:val="1"/>
      <w:marLeft w:val="0"/>
      <w:marRight w:val="0"/>
      <w:marTop w:val="0"/>
      <w:marBottom w:val="0"/>
      <w:divBdr>
        <w:top w:val="none" w:sz="0" w:space="0" w:color="auto"/>
        <w:left w:val="none" w:sz="0" w:space="0" w:color="auto"/>
        <w:bottom w:val="none" w:sz="0" w:space="0" w:color="auto"/>
        <w:right w:val="none" w:sz="0" w:space="0" w:color="auto"/>
      </w:divBdr>
    </w:div>
    <w:div w:id="272832526">
      <w:bodyDiv w:val="1"/>
      <w:marLeft w:val="0"/>
      <w:marRight w:val="0"/>
      <w:marTop w:val="0"/>
      <w:marBottom w:val="0"/>
      <w:divBdr>
        <w:top w:val="none" w:sz="0" w:space="0" w:color="auto"/>
        <w:left w:val="none" w:sz="0" w:space="0" w:color="auto"/>
        <w:bottom w:val="none" w:sz="0" w:space="0" w:color="auto"/>
        <w:right w:val="none" w:sz="0" w:space="0" w:color="auto"/>
      </w:divBdr>
    </w:div>
    <w:div w:id="274409265">
      <w:bodyDiv w:val="1"/>
      <w:marLeft w:val="0"/>
      <w:marRight w:val="0"/>
      <w:marTop w:val="0"/>
      <w:marBottom w:val="0"/>
      <w:divBdr>
        <w:top w:val="none" w:sz="0" w:space="0" w:color="auto"/>
        <w:left w:val="none" w:sz="0" w:space="0" w:color="auto"/>
        <w:bottom w:val="none" w:sz="0" w:space="0" w:color="auto"/>
        <w:right w:val="none" w:sz="0" w:space="0" w:color="auto"/>
      </w:divBdr>
    </w:div>
    <w:div w:id="275137230">
      <w:bodyDiv w:val="1"/>
      <w:marLeft w:val="0"/>
      <w:marRight w:val="0"/>
      <w:marTop w:val="0"/>
      <w:marBottom w:val="0"/>
      <w:divBdr>
        <w:top w:val="none" w:sz="0" w:space="0" w:color="auto"/>
        <w:left w:val="none" w:sz="0" w:space="0" w:color="auto"/>
        <w:bottom w:val="none" w:sz="0" w:space="0" w:color="auto"/>
        <w:right w:val="none" w:sz="0" w:space="0" w:color="auto"/>
      </w:divBdr>
    </w:div>
    <w:div w:id="281956683">
      <w:bodyDiv w:val="1"/>
      <w:marLeft w:val="0"/>
      <w:marRight w:val="0"/>
      <w:marTop w:val="0"/>
      <w:marBottom w:val="0"/>
      <w:divBdr>
        <w:top w:val="none" w:sz="0" w:space="0" w:color="auto"/>
        <w:left w:val="none" w:sz="0" w:space="0" w:color="auto"/>
        <w:bottom w:val="none" w:sz="0" w:space="0" w:color="auto"/>
        <w:right w:val="none" w:sz="0" w:space="0" w:color="auto"/>
      </w:divBdr>
    </w:div>
    <w:div w:id="283731580">
      <w:bodyDiv w:val="1"/>
      <w:marLeft w:val="0"/>
      <w:marRight w:val="0"/>
      <w:marTop w:val="0"/>
      <w:marBottom w:val="0"/>
      <w:divBdr>
        <w:top w:val="none" w:sz="0" w:space="0" w:color="auto"/>
        <w:left w:val="none" w:sz="0" w:space="0" w:color="auto"/>
        <w:bottom w:val="none" w:sz="0" w:space="0" w:color="auto"/>
        <w:right w:val="none" w:sz="0" w:space="0" w:color="auto"/>
      </w:divBdr>
    </w:div>
    <w:div w:id="283969502">
      <w:bodyDiv w:val="1"/>
      <w:marLeft w:val="0"/>
      <w:marRight w:val="0"/>
      <w:marTop w:val="0"/>
      <w:marBottom w:val="0"/>
      <w:divBdr>
        <w:top w:val="none" w:sz="0" w:space="0" w:color="auto"/>
        <w:left w:val="none" w:sz="0" w:space="0" w:color="auto"/>
        <w:bottom w:val="none" w:sz="0" w:space="0" w:color="auto"/>
        <w:right w:val="none" w:sz="0" w:space="0" w:color="auto"/>
      </w:divBdr>
    </w:div>
    <w:div w:id="285435267">
      <w:bodyDiv w:val="1"/>
      <w:marLeft w:val="0"/>
      <w:marRight w:val="0"/>
      <w:marTop w:val="0"/>
      <w:marBottom w:val="0"/>
      <w:divBdr>
        <w:top w:val="none" w:sz="0" w:space="0" w:color="auto"/>
        <w:left w:val="none" w:sz="0" w:space="0" w:color="auto"/>
        <w:bottom w:val="none" w:sz="0" w:space="0" w:color="auto"/>
        <w:right w:val="none" w:sz="0" w:space="0" w:color="auto"/>
      </w:divBdr>
    </w:div>
    <w:div w:id="285820635">
      <w:bodyDiv w:val="1"/>
      <w:marLeft w:val="0"/>
      <w:marRight w:val="0"/>
      <w:marTop w:val="0"/>
      <w:marBottom w:val="0"/>
      <w:divBdr>
        <w:top w:val="none" w:sz="0" w:space="0" w:color="auto"/>
        <w:left w:val="none" w:sz="0" w:space="0" w:color="auto"/>
        <w:bottom w:val="none" w:sz="0" w:space="0" w:color="auto"/>
        <w:right w:val="none" w:sz="0" w:space="0" w:color="auto"/>
      </w:divBdr>
    </w:div>
    <w:div w:id="286469601">
      <w:bodyDiv w:val="1"/>
      <w:marLeft w:val="0"/>
      <w:marRight w:val="0"/>
      <w:marTop w:val="0"/>
      <w:marBottom w:val="0"/>
      <w:divBdr>
        <w:top w:val="none" w:sz="0" w:space="0" w:color="auto"/>
        <w:left w:val="none" w:sz="0" w:space="0" w:color="auto"/>
        <w:bottom w:val="none" w:sz="0" w:space="0" w:color="auto"/>
        <w:right w:val="none" w:sz="0" w:space="0" w:color="auto"/>
      </w:divBdr>
    </w:div>
    <w:div w:id="289093818">
      <w:bodyDiv w:val="1"/>
      <w:marLeft w:val="0"/>
      <w:marRight w:val="0"/>
      <w:marTop w:val="0"/>
      <w:marBottom w:val="0"/>
      <w:divBdr>
        <w:top w:val="none" w:sz="0" w:space="0" w:color="auto"/>
        <w:left w:val="none" w:sz="0" w:space="0" w:color="auto"/>
        <w:bottom w:val="none" w:sz="0" w:space="0" w:color="auto"/>
        <w:right w:val="none" w:sz="0" w:space="0" w:color="auto"/>
      </w:divBdr>
    </w:div>
    <w:div w:id="295575216">
      <w:bodyDiv w:val="1"/>
      <w:marLeft w:val="0"/>
      <w:marRight w:val="0"/>
      <w:marTop w:val="0"/>
      <w:marBottom w:val="0"/>
      <w:divBdr>
        <w:top w:val="none" w:sz="0" w:space="0" w:color="auto"/>
        <w:left w:val="none" w:sz="0" w:space="0" w:color="auto"/>
        <w:bottom w:val="none" w:sz="0" w:space="0" w:color="auto"/>
        <w:right w:val="none" w:sz="0" w:space="0" w:color="auto"/>
      </w:divBdr>
    </w:div>
    <w:div w:id="299313927">
      <w:bodyDiv w:val="1"/>
      <w:marLeft w:val="0"/>
      <w:marRight w:val="0"/>
      <w:marTop w:val="0"/>
      <w:marBottom w:val="0"/>
      <w:divBdr>
        <w:top w:val="none" w:sz="0" w:space="0" w:color="auto"/>
        <w:left w:val="none" w:sz="0" w:space="0" w:color="auto"/>
        <w:bottom w:val="none" w:sz="0" w:space="0" w:color="auto"/>
        <w:right w:val="none" w:sz="0" w:space="0" w:color="auto"/>
      </w:divBdr>
    </w:div>
    <w:div w:id="300230506">
      <w:bodyDiv w:val="1"/>
      <w:marLeft w:val="0"/>
      <w:marRight w:val="0"/>
      <w:marTop w:val="0"/>
      <w:marBottom w:val="0"/>
      <w:divBdr>
        <w:top w:val="none" w:sz="0" w:space="0" w:color="auto"/>
        <w:left w:val="none" w:sz="0" w:space="0" w:color="auto"/>
        <w:bottom w:val="none" w:sz="0" w:space="0" w:color="auto"/>
        <w:right w:val="none" w:sz="0" w:space="0" w:color="auto"/>
      </w:divBdr>
    </w:div>
    <w:div w:id="301469944">
      <w:bodyDiv w:val="1"/>
      <w:marLeft w:val="0"/>
      <w:marRight w:val="0"/>
      <w:marTop w:val="0"/>
      <w:marBottom w:val="0"/>
      <w:divBdr>
        <w:top w:val="none" w:sz="0" w:space="0" w:color="auto"/>
        <w:left w:val="none" w:sz="0" w:space="0" w:color="auto"/>
        <w:bottom w:val="none" w:sz="0" w:space="0" w:color="auto"/>
        <w:right w:val="none" w:sz="0" w:space="0" w:color="auto"/>
      </w:divBdr>
    </w:div>
    <w:div w:id="303698590">
      <w:bodyDiv w:val="1"/>
      <w:marLeft w:val="0"/>
      <w:marRight w:val="0"/>
      <w:marTop w:val="0"/>
      <w:marBottom w:val="0"/>
      <w:divBdr>
        <w:top w:val="none" w:sz="0" w:space="0" w:color="auto"/>
        <w:left w:val="none" w:sz="0" w:space="0" w:color="auto"/>
        <w:bottom w:val="none" w:sz="0" w:space="0" w:color="auto"/>
        <w:right w:val="none" w:sz="0" w:space="0" w:color="auto"/>
      </w:divBdr>
    </w:div>
    <w:div w:id="304168752">
      <w:bodyDiv w:val="1"/>
      <w:marLeft w:val="0"/>
      <w:marRight w:val="0"/>
      <w:marTop w:val="0"/>
      <w:marBottom w:val="0"/>
      <w:divBdr>
        <w:top w:val="none" w:sz="0" w:space="0" w:color="auto"/>
        <w:left w:val="none" w:sz="0" w:space="0" w:color="auto"/>
        <w:bottom w:val="none" w:sz="0" w:space="0" w:color="auto"/>
        <w:right w:val="none" w:sz="0" w:space="0" w:color="auto"/>
      </w:divBdr>
    </w:div>
    <w:div w:id="305549257">
      <w:bodyDiv w:val="1"/>
      <w:marLeft w:val="0"/>
      <w:marRight w:val="0"/>
      <w:marTop w:val="0"/>
      <w:marBottom w:val="0"/>
      <w:divBdr>
        <w:top w:val="none" w:sz="0" w:space="0" w:color="auto"/>
        <w:left w:val="none" w:sz="0" w:space="0" w:color="auto"/>
        <w:bottom w:val="none" w:sz="0" w:space="0" w:color="auto"/>
        <w:right w:val="none" w:sz="0" w:space="0" w:color="auto"/>
      </w:divBdr>
    </w:div>
    <w:div w:id="313878276">
      <w:bodyDiv w:val="1"/>
      <w:marLeft w:val="0"/>
      <w:marRight w:val="0"/>
      <w:marTop w:val="0"/>
      <w:marBottom w:val="0"/>
      <w:divBdr>
        <w:top w:val="none" w:sz="0" w:space="0" w:color="auto"/>
        <w:left w:val="none" w:sz="0" w:space="0" w:color="auto"/>
        <w:bottom w:val="none" w:sz="0" w:space="0" w:color="auto"/>
        <w:right w:val="none" w:sz="0" w:space="0" w:color="auto"/>
      </w:divBdr>
    </w:div>
    <w:div w:id="313989996">
      <w:bodyDiv w:val="1"/>
      <w:marLeft w:val="0"/>
      <w:marRight w:val="0"/>
      <w:marTop w:val="0"/>
      <w:marBottom w:val="0"/>
      <w:divBdr>
        <w:top w:val="none" w:sz="0" w:space="0" w:color="auto"/>
        <w:left w:val="none" w:sz="0" w:space="0" w:color="auto"/>
        <w:bottom w:val="none" w:sz="0" w:space="0" w:color="auto"/>
        <w:right w:val="none" w:sz="0" w:space="0" w:color="auto"/>
      </w:divBdr>
    </w:div>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316306661">
      <w:bodyDiv w:val="1"/>
      <w:marLeft w:val="0"/>
      <w:marRight w:val="0"/>
      <w:marTop w:val="0"/>
      <w:marBottom w:val="0"/>
      <w:divBdr>
        <w:top w:val="none" w:sz="0" w:space="0" w:color="auto"/>
        <w:left w:val="none" w:sz="0" w:space="0" w:color="auto"/>
        <w:bottom w:val="none" w:sz="0" w:space="0" w:color="auto"/>
        <w:right w:val="none" w:sz="0" w:space="0" w:color="auto"/>
      </w:divBdr>
    </w:div>
    <w:div w:id="318584028">
      <w:bodyDiv w:val="1"/>
      <w:marLeft w:val="0"/>
      <w:marRight w:val="0"/>
      <w:marTop w:val="0"/>
      <w:marBottom w:val="0"/>
      <w:divBdr>
        <w:top w:val="none" w:sz="0" w:space="0" w:color="auto"/>
        <w:left w:val="none" w:sz="0" w:space="0" w:color="auto"/>
        <w:bottom w:val="none" w:sz="0" w:space="0" w:color="auto"/>
        <w:right w:val="none" w:sz="0" w:space="0" w:color="auto"/>
      </w:divBdr>
    </w:div>
    <w:div w:id="320541685">
      <w:bodyDiv w:val="1"/>
      <w:marLeft w:val="0"/>
      <w:marRight w:val="0"/>
      <w:marTop w:val="0"/>
      <w:marBottom w:val="0"/>
      <w:divBdr>
        <w:top w:val="none" w:sz="0" w:space="0" w:color="auto"/>
        <w:left w:val="none" w:sz="0" w:space="0" w:color="auto"/>
        <w:bottom w:val="none" w:sz="0" w:space="0" w:color="auto"/>
        <w:right w:val="none" w:sz="0" w:space="0" w:color="auto"/>
      </w:divBdr>
    </w:div>
    <w:div w:id="322047667">
      <w:bodyDiv w:val="1"/>
      <w:marLeft w:val="0"/>
      <w:marRight w:val="0"/>
      <w:marTop w:val="0"/>
      <w:marBottom w:val="0"/>
      <w:divBdr>
        <w:top w:val="none" w:sz="0" w:space="0" w:color="auto"/>
        <w:left w:val="none" w:sz="0" w:space="0" w:color="auto"/>
        <w:bottom w:val="none" w:sz="0" w:space="0" w:color="auto"/>
        <w:right w:val="none" w:sz="0" w:space="0" w:color="auto"/>
      </w:divBdr>
    </w:div>
    <w:div w:id="322779627">
      <w:bodyDiv w:val="1"/>
      <w:marLeft w:val="0"/>
      <w:marRight w:val="0"/>
      <w:marTop w:val="0"/>
      <w:marBottom w:val="0"/>
      <w:divBdr>
        <w:top w:val="none" w:sz="0" w:space="0" w:color="auto"/>
        <w:left w:val="none" w:sz="0" w:space="0" w:color="auto"/>
        <w:bottom w:val="none" w:sz="0" w:space="0" w:color="auto"/>
        <w:right w:val="none" w:sz="0" w:space="0" w:color="auto"/>
      </w:divBdr>
    </w:div>
    <w:div w:id="326909038">
      <w:bodyDiv w:val="1"/>
      <w:marLeft w:val="0"/>
      <w:marRight w:val="0"/>
      <w:marTop w:val="0"/>
      <w:marBottom w:val="0"/>
      <w:divBdr>
        <w:top w:val="none" w:sz="0" w:space="0" w:color="auto"/>
        <w:left w:val="none" w:sz="0" w:space="0" w:color="auto"/>
        <w:bottom w:val="none" w:sz="0" w:space="0" w:color="auto"/>
        <w:right w:val="none" w:sz="0" w:space="0" w:color="auto"/>
      </w:divBdr>
    </w:div>
    <w:div w:id="328095201">
      <w:bodyDiv w:val="1"/>
      <w:marLeft w:val="0"/>
      <w:marRight w:val="0"/>
      <w:marTop w:val="0"/>
      <w:marBottom w:val="0"/>
      <w:divBdr>
        <w:top w:val="none" w:sz="0" w:space="0" w:color="auto"/>
        <w:left w:val="none" w:sz="0" w:space="0" w:color="auto"/>
        <w:bottom w:val="none" w:sz="0" w:space="0" w:color="auto"/>
        <w:right w:val="none" w:sz="0" w:space="0" w:color="auto"/>
      </w:divBdr>
    </w:div>
    <w:div w:id="329993201">
      <w:bodyDiv w:val="1"/>
      <w:marLeft w:val="0"/>
      <w:marRight w:val="0"/>
      <w:marTop w:val="0"/>
      <w:marBottom w:val="0"/>
      <w:divBdr>
        <w:top w:val="none" w:sz="0" w:space="0" w:color="auto"/>
        <w:left w:val="none" w:sz="0" w:space="0" w:color="auto"/>
        <w:bottom w:val="none" w:sz="0" w:space="0" w:color="auto"/>
        <w:right w:val="none" w:sz="0" w:space="0" w:color="auto"/>
      </w:divBdr>
    </w:div>
    <w:div w:id="330180260">
      <w:bodyDiv w:val="1"/>
      <w:marLeft w:val="0"/>
      <w:marRight w:val="0"/>
      <w:marTop w:val="0"/>
      <w:marBottom w:val="0"/>
      <w:divBdr>
        <w:top w:val="none" w:sz="0" w:space="0" w:color="auto"/>
        <w:left w:val="none" w:sz="0" w:space="0" w:color="auto"/>
        <w:bottom w:val="none" w:sz="0" w:space="0" w:color="auto"/>
        <w:right w:val="none" w:sz="0" w:space="0" w:color="auto"/>
      </w:divBdr>
    </w:div>
    <w:div w:id="330256442">
      <w:bodyDiv w:val="1"/>
      <w:marLeft w:val="0"/>
      <w:marRight w:val="0"/>
      <w:marTop w:val="0"/>
      <w:marBottom w:val="0"/>
      <w:divBdr>
        <w:top w:val="none" w:sz="0" w:space="0" w:color="auto"/>
        <w:left w:val="none" w:sz="0" w:space="0" w:color="auto"/>
        <w:bottom w:val="none" w:sz="0" w:space="0" w:color="auto"/>
        <w:right w:val="none" w:sz="0" w:space="0" w:color="auto"/>
      </w:divBdr>
    </w:div>
    <w:div w:id="335231053">
      <w:bodyDiv w:val="1"/>
      <w:marLeft w:val="0"/>
      <w:marRight w:val="0"/>
      <w:marTop w:val="0"/>
      <w:marBottom w:val="0"/>
      <w:divBdr>
        <w:top w:val="none" w:sz="0" w:space="0" w:color="auto"/>
        <w:left w:val="none" w:sz="0" w:space="0" w:color="auto"/>
        <w:bottom w:val="none" w:sz="0" w:space="0" w:color="auto"/>
        <w:right w:val="none" w:sz="0" w:space="0" w:color="auto"/>
      </w:divBdr>
    </w:div>
    <w:div w:id="344284534">
      <w:bodyDiv w:val="1"/>
      <w:marLeft w:val="0"/>
      <w:marRight w:val="0"/>
      <w:marTop w:val="0"/>
      <w:marBottom w:val="0"/>
      <w:divBdr>
        <w:top w:val="none" w:sz="0" w:space="0" w:color="auto"/>
        <w:left w:val="none" w:sz="0" w:space="0" w:color="auto"/>
        <w:bottom w:val="none" w:sz="0" w:space="0" w:color="auto"/>
        <w:right w:val="none" w:sz="0" w:space="0" w:color="auto"/>
      </w:divBdr>
    </w:div>
    <w:div w:id="344332909">
      <w:bodyDiv w:val="1"/>
      <w:marLeft w:val="0"/>
      <w:marRight w:val="0"/>
      <w:marTop w:val="0"/>
      <w:marBottom w:val="0"/>
      <w:divBdr>
        <w:top w:val="none" w:sz="0" w:space="0" w:color="auto"/>
        <w:left w:val="none" w:sz="0" w:space="0" w:color="auto"/>
        <w:bottom w:val="none" w:sz="0" w:space="0" w:color="auto"/>
        <w:right w:val="none" w:sz="0" w:space="0" w:color="auto"/>
      </w:divBdr>
    </w:div>
    <w:div w:id="346255230">
      <w:bodyDiv w:val="1"/>
      <w:marLeft w:val="0"/>
      <w:marRight w:val="0"/>
      <w:marTop w:val="0"/>
      <w:marBottom w:val="0"/>
      <w:divBdr>
        <w:top w:val="none" w:sz="0" w:space="0" w:color="auto"/>
        <w:left w:val="none" w:sz="0" w:space="0" w:color="auto"/>
        <w:bottom w:val="none" w:sz="0" w:space="0" w:color="auto"/>
        <w:right w:val="none" w:sz="0" w:space="0" w:color="auto"/>
      </w:divBdr>
    </w:div>
    <w:div w:id="348683110">
      <w:bodyDiv w:val="1"/>
      <w:marLeft w:val="0"/>
      <w:marRight w:val="0"/>
      <w:marTop w:val="0"/>
      <w:marBottom w:val="0"/>
      <w:divBdr>
        <w:top w:val="none" w:sz="0" w:space="0" w:color="auto"/>
        <w:left w:val="none" w:sz="0" w:space="0" w:color="auto"/>
        <w:bottom w:val="none" w:sz="0" w:space="0" w:color="auto"/>
        <w:right w:val="none" w:sz="0" w:space="0" w:color="auto"/>
      </w:divBdr>
    </w:div>
    <w:div w:id="352075968">
      <w:bodyDiv w:val="1"/>
      <w:marLeft w:val="0"/>
      <w:marRight w:val="0"/>
      <w:marTop w:val="0"/>
      <w:marBottom w:val="0"/>
      <w:divBdr>
        <w:top w:val="none" w:sz="0" w:space="0" w:color="auto"/>
        <w:left w:val="none" w:sz="0" w:space="0" w:color="auto"/>
        <w:bottom w:val="none" w:sz="0" w:space="0" w:color="auto"/>
        <w:right w:val="none" w:sz="0" w:space="0" w:color="auto"/>
      </w:divBdr>
    </w:div>
    <w:div w:id="353577124">
      <w:bodyDiv w:val="1"/>
      <w:marLeft w:val="0"/>
      <w:marRight w:val="0"/>
      <w:marTop w:val="0"/>
      <w:marBottom w:val="0"/>
      <w:divBdr>
        <w:top w:val="none" w:sz="0" w:space="0" w:color="auto"/>
        <w:left w:val="none" w:sz="0" w:space="0" w:color="auto"/>
        <w:bottom w:val="none" w:sz="0" w:space="0" w:color="auto"/>
        <w:right w:val="none" w:sz="0" w:space="0" w:color="auto"/>
      </w:divBdr>
    </w:div>
    <w:div w:id="355732840">
      <w:bodyDiv w:val="1"/>
      <w:marLeft w:val="0"/>
      <w:marRight w:val="0"/>
      <w:marTop w:val="0"/>
      <w:marBottom w:val="0"/>
      <w:divBdr>
        <w:top w:val="none" w:sz="0" w:space="0" w:color="auto"/>
        <w:left w:val="none" w:sz="0" w:space="0" w:color="auto"/>
        <w:bottom w:val="none" w:sz="0" w:space="0" w:color="auto"/>
        <w:right w:val="none" w:sz="0" w:space="0" w:color="auto"/>
      </w:divBdr>
    </w:div>
    <w:div w:id="356541215">
      <w:bodyDiv w:val="1"/>
      <w:marLeft w:val="0"/>
      <w:marRight w:val="0"/>
      <w:marTop w:val="0"/>
      <w:marBottom w:val="0"/>
      <w:divBdr>
        <w:top w:val="none" w:sz="0" w:space="0" w:color="auto"/>
        <w:left w:val="none" w:sz="0" w:space="0" w:color="auto"/>
        <w:bottom w:val="none" w:sz="0" w:space="0" w:color="auto"/>
        <w:right w:val="none" w:sz="0" w:space="0" w:color="auto"/>
      </w:divBdr>
    </w:div>
    <w:div w:id="359598481">
      <w:bodyDiv w:val="1"/>
      <w:marLeft w:val="0"/>
      <w:marRight w:val="0"/>
      <w:marTop w:val="0"/>
      <w:marBottom w:val="0"/>
      <w:divBdr>
        <w:top w:val="none" w:sz="0" w:space="0" w:color="auto"/>
        <w:left w:val="none" w:sz="0" w:space="0" w:color="auto"/>
        <w:bottom w:val="none" w:sz="0" w:space="0" w:color="auto"/>
        <w:right w:val="none" w:sz="0" w:space="0" w:color="auto"/>
      </w:divBdr>
    </w:div>
    <w:div w:id="364141744">
      <w:bodyDiv w:val="1"/>
      <w:marLeft w:val="0"/>
      <w:marRight w:val="0"/>
      <w:marTop w:val="0"/>
      <w:marBottom w:val="0"/>
      <w:divBdr>
        <w:top w:val="none" w:sz="0" w:space="0" w:color="auto"/>
        <w:left w:val="none" w:sz="0" w:space="0" w:color="auto"/>
        <w:bottom w:val="none" w:sz="0" w:space="0" w:color="auto"/>
        <w:right w:val="none" w:sz="0" w:space="0" w:color="auto"/>
      </w:divBdr>
    </w:div>
    <w:div w:id="370155090">
      <w:bodyDiv w:val="1"/>
      <w:marLeft w:val="0"/>
      <w:marRight w:val="0"/>
      <w:marTop w:val="0"/>
      <w:marBottom w:val="0"/>
      <w:divBdr>
        <w:top w:val="none" w:sz="0" w:space="0" w:color="auto"/>
        <w:left w:val="none" w:sz="0" w:space="0" w:color="auto"/>
        <w:bottom w:val="none" w:sz="0" w:space="0" w:color="auto"/>
        <w:right w:val="none" w:sz="0" w:space="0" w:color="auto"/>
      </w:divBdr>
    </w:div>
    <w:div w:id="381754629">
      <w:bodyDiv w:val="1"/>
      <w:marLeft w:val="0"/>
      <w:marRight w:val="0"/>
      <w:marTop w:val="0"/>
      <w:marBottom w:val="0"/>
      <w:divBdr>
        <w:top w:val="none" w:sz="0" w:space="0" w:color="auto"/>
        <w:left w:val="none" w:sz="0" w:space="0" w:color="auto"/>
        <w:bottom w:val="none" w:sz="0" w:space="0" w:color="auto"/>
        <w:right w:val="none" w:sz="0" w:space="0" w:color="auto"/>
      </w:divBdr>
    </w:div>
    <w:div w:id="382559062">
      <w:bodyDiv w:val="1"/>
      <w:marLeft w:val="0"/>
      <w:marRight w:val="0"/>
      <w:marTop w:val="0"/>
      <w:marBottom w:val="0"/>
      <w:divBdr>
        <w:top w:val="none" w:sz="0" w:space="0" w:color="auto"/>
        <w:left w:val="none" w:sz="0" w:space="0" w:color="auto"/>
        <w:bottom w:val="none" w:sz="0" w:space="0" w:color="auto"/>
        <w:right w:val="none" w:sz="0" w:space="0" w:color="auto"/>
      </w:divBdr>
    </w:div>
    <w:div w:id="388110699">
      <w:bodyDiv w:val="1"/>
      <w:marLeft w:val="0"/>
      <w:marRight w:val="0"/>
      <w:marTop w:val="0"/>
      <w:marBottom w:val="0"/>
      <w:divBdr>
        <w:top w:val="none" w:sz="0" w:space="0" w:color="auto"/>
        <w:left w:val="none" w:sz="0" w:space="0" w:color="auto"/>
        <w:bottom w:val="none" w:sz="0" w:space="0" w:color="auto"/>
        <w:right w:val="none" w:sz="0" w:space="0" w:color="auto"/>
      </w:divBdr>
    </w:div>
    <w:div w:id="390857937">
      <w:bodyDiv w:val="1"/>
      <w:marLeft w:val="0"/>
      <w:marRight w:val="0"/>
      <w:marTop w:val="0"/>
      <w:marBottom w:val="0"/>
      <w:divBdr>
        <w:top w:val="none" w:sz="0" w:space="0" w:color="auto"/>
        <w:left w:val="none" w:sz="0" w:space="0" w:color="auto"/>
        <w:bottom w:val="none" w:sz="0" w:space="0" w:color="auto"/>
        <w:right w:val="none" w:sz="0" w:space="0" w:color="auto"/>
      </w:divBdr>
    </w:div>
    <w:div w:id="390926277">
      <w:bodyDiv w:val="1"/>
      <w:marLeft w:val="0"/>
      <w:marRight w:val="0"/>
      <w:marTop w:val="0"/>
      <w:marBottom w:val="0"/>
      <w:divBdr>
        <w:top w:val="none" w:sz="0" w:space="0" w:color="auto"/>
        <w:left w:val="none" w:sz="0" w:space="0" w:color="auto"/>
        <w:bottom w:val="none" w:sz="0" w:space="0" w:color="auto"/>
        <w:right w:val="none" w:sz="0" w:space="0" w:color="auto"/>
      </w:divBdr>
    </w:div>
    <w:div w:id="392317568">
      <w:bodyDiv w:val="1"/>
      <w:marLeft w:val="0"/>
      <w:marRight w:val="0"/>
      <w:marTop w:val="0"/>
      <w:marBottom w:val="0"/>
      <w:divBdr>
        <w:top w:val="none" w:sz="0" w:space="0" w:color="auto"/>
        <w:left w:val="none" w:sz="0" w:space="0" w:color="auto"/>
        <w:bottom w:val="none" w:sz="0" w:space="0" w:color="auto"/>
        <w:right w:val="none" w:sz="0" w:space="0" w:color="auto"/>
      </w:divBdr>
    </w:div>
    <w:div w:id="393047805">
      <w:bodyDiv w:val="1"/>
      <w:marLeft w:val="0"/>
      <w:marRight w:val="0"/>
      <w:marTop w:val="0"/>
      <w:marBottom w:val="0"/>
      <w:divBdr>
        <w:top w:val="none" w:sz="0" w:space="0" w:color="auto"/>
        <w:left w:val="none" w:sz="0" w:space="0" w:color="auto"/>
        <w:bottom w:val="none" w:sz="0" w:space="0" w:color="auto"/>
        <w:right w:val="none" w:sz="0" w:space="0" w:color="auto"/>
      </w:divBdr>
    </w:div>
    <w:div w:id="393965624">
      <w:bodyDiv w:val="1"/>
      <w:marLeft w:val="0"/>
      <w:marRight w:val="0"/>
      <w:marTop w:val="0"/>
      <w:marBottom w:val="0"/>
      <w:divBdr>
        <w:top w:val="none" w:sz="0" w:space="0" w:color="auto"/>
        <w:left w:val="none" w:sz="0" w:space="0" w:color="auto"/>
        <w:bottom w:val="none" w:sz="0" w:space="0" w:color="auto"/>
        <w:right w:val="none" w:sz="0" w:space="0" w:color="auto"/>
      </w:divBdr>
    </w:div>
    <w:div w:id="395783287">
      <w:bodyDiv w:val="1"/>
      <w:marLeft w:val="0"/>
      <w:marRight w:val="0"/>
      <w:marTop w:val="0"/>
      <w:marBottom w:val="0"/>
      <w:divBdr>
        <w:top w:val="none" w:sz="0" w:space="0" w:color="auto"/>
        <w:left w:val="none" w:sz="0" w:space="0" w:color="auto"/>
        <w:bottom w:val="none" w:sz="0" w:space="0" w:color="auto"/>
        <w:right w:val="none" w:sz="0" w:space="0" w:color="auto"/>
      </w:divBdr>
    </w:div>
    <w:div w:id="399641962">
      <w:bodyDiv w:val="1"/>
      <w:marLeft w:val="0"/>
      <w:marRight w:val="0"/>
      <w:marTop w:val="0"/>
      <w:marBottom w:val="0"/>
      <w:divBdr>
        <w:top w:val="none" w:sz="0" w:space="0" w:color="auto"/>
        <w:left w:val="none" w:sz="0" w:space="0" w:color="auto"/>
        <w:bottom w:val="none" w:sz="0" w:space="0" w:color="auto"/>
        <w:right w:val="none" w:sz="0" w:space="0" w:color="auto"/>
      </w:divBdr>
    </w:div>
    <w:div w:id="402877702">
      <w:bodyDiv w:val="1"/>
      <w:marLeft w:val="0"/>
      <w:marRight w:val="0"/>
      <w:marTop w:val="0"/>
      <w:marBottom w:val="0"/>
      <w:divBdr>
        <w:top w:val="none" w:sz="0" w:space="0" w:color="auto"/>
        <w:left w:val="none" w:sz="0" w:space="0" w:color="auto"/>
        <w:bottom w:val="none" w:sz="0" w:space="0" w:color="auto"/>
        <w:right w:val="none" w:sz="0" w:space="0" w:color="auto"/>
      </w:divBdr>
    </w:div>
    <w:div w:id="408574937">
      <w:bodyDiv w:val="1"/>
      <w:marLeft w:val="0"/>
      <w:marRight w:val="0"/>
      <w:marTop w:val="0"/>
      <w:marBottom w:val="0"/>
      <w:divBdr>
        <w:top w:val="none" w:sz="0" w:space="0" w:color="auto"/>
        <w:left w:val="none" w:sz="0" w:space="0" w:color="auto"/>
        <w:bottom w:val="none" w:sz="0" w:space="0" w:color="auto"/>
        <w:right w:val="none" w:sz="0" w:space="0" w:color="auto"/>
      </w:divBdr>
    </w:div>
    <w:div w:id="409621304">
      <w:bodyDiv w:val="1"/>
      <w:marLeft w:val="0"/>
      <w:marRight w:val="0"/>
      <w:marTop w:val="0"/>
      <w:marBottom w:val="0"/>
      <w:divBdr>
        <w:top w:val="none" w:sz="0" w:space="0" w:color="auto"/>
        <w:left w:val="none" w:sz="0" w:space="0" w:color="auto"/>
        <w:bottom w:val="none" w:sz="0" w:space="0" w:color="auto"/>
        <w:right w:val="none" w:sz="0" w:space="0" w:color="auto"/>
      </w:divBdr>
    </w:div>
    <w:div w:id="410933260">
      <w:bodyDiv w:val="1"/>
      <w:marLeft w:val="0"/>
      <w:marRight w:val="0"/>
      <w:marTop w:val="0"/>
      <w:marBottom w:val="0"/>
      <w:divBdr>
        <w:top w:val="none" w:sz="0" w:space="0" w:color="auto"/>
        <w:left w:val="none" w:sz="0" w:space="0" w:color="auto"/>
        <w:bottom w:val="none" w:sz="0" w:space="0" w:color="auto"/>
        <w:right w:val="none" w:sz="0" w:space="0" w:color="auto"/>
      </w:divBdr>
    </w:div>
    <w:div w:id="413941029">
      <w:bodyDiv w:val="1"/>
      <w:marLeft w:val="0"/>
      <w:marRight w:val="0"/>
      <w:marTop w:val="0"/>
      <w:marBottom w:val="0"/>
      <w:divBdr>
        <w:top w:val="none" w:sz="0" w:space="0" w:color="auto"/>
        <w:left w:val="none" w:sz="0" w:space="0" w:color="auto"/>
        <w:bottom w:val="none" w:sz="0" w:space="0" w:color="auto"/>
        <w:right w:val="none" w:sz="0" w:space="0" w:color="auto"/>
      </w:divBdr>
    </w:div>
    <w:div w:id="414741669">
      <w:bodyDiv w:val="1"/>
      <w:marLeft w:val="0"/>
      <w:marRight w:val="0"/>
      <w:marTop w:val="0"/>
      <w:marBottom w:val="0"/>
      <w:divBdr>
        <w:top w:val="none" w:sz="0" w:space="0" w:color="auto"/>
        <w:left w:val="none" w:sz="0" w:space="0" w:color="auto"/>
        <w:bottom w:val="none" w:sz="0" w:space="0" w:color="auto"/>
        <w:right w:val="none" w:sz="0" w:space="0" w:color="auto"/>
      </w:divBdr>
    </w:div>
    <w:div w:id="415054687">
      <w:bodyDiv w:val="1"/>
      <w:marLeft w:val="0"/>
      <w:marRight w:val="0"/>
      <w:marTop w:val="0"/>
      <w:marBottom w:val="0"/>
      <w:divBdr>
        <w:top w:val="none" w:sz="0" w:space="0" w:color="auto"/>
        <w:left w:val="none" w:sz="0" w:space="0" w:color="auto"/>
        <w:bottom w:val="none" w:sz="0" w:space="0" w:color="auto"/>
        <w:right w:val="none" w:sz="0" w:space="0" w:color="auto"/>
      </w:divBdr>
    </w:div>
    <w:div w:id="419372254">
      <w:bodyDiv w:val="1"/>
      <w:marLeft w:val="0"/>
      <w:marRight w:val="0"/>
      <w:marTop w:val="0"/>
      <w:marBottom w:val="0"/>
      <w:divBdr>
        <w:top w:val="none" w:sz="0" w:space="0" w:color="auto"/>
        <w:left w:val="none" w:sz="0" w:space="0" w:color="auto"/>
        <w:bottom w:val="none" w:sz="0" w:space="0" w:color="auto"/>
        <w:right w:val="none" w:sz="0" w:space="0" w:color="auto"/>
      </w:divBdr>
    </w:div>
    <w:div w:id="421412549">
      <w:bodyDiv w:val="1"/>
      <w:marLeft w:val="0"/>
      <w:marRight w:val="0"/>
      <w:marTop w:val="0"/>
      <w:marBottom w:val="0"/>
      <w:divBdr>
        <w:top w:val="none" w:sz="0" w:space="0" w:color="auto"/>
        <w:left w:val="none" w:sz="0" w:space="0" w:color="auto"/>
        <w:bottom w:val="none" w:sz="0" w:space="0" w:color="auto"/>
        <w:right w:val="none" w:sz="0" w:space="0" w:color="auto"/>
      </w:divBdr>
    </w:div>
    <w:div w:id="421534422">
      <w:bodyDiv w:val="1"/>
      <w:marLeft w:val="0"/>
      <w:marRight w:val="0"/>
      <w:marTop w:val="0"/>
      <w:marBottom w:val="0"/>
      <w:divBdr>
        <w:top w:val="none" w:sz="0" w:space="0" w:color="auto"/>
        <w:left w:val="none" w:sz="0" w:space="0" w:color="auto"/>
        <w:bottom w:val="none" w:sz="0" w:space="0" w:color="auto"/>
        <w:right w:val="none" w:sz="0" w:space="0" w:color="auto"/>
      </w:divBdr>
    </w:div>
    <w:div w:id="422382975">
      <w:bodyDiv w:val="1"/>
      <w:marLeft w:val="0"/>
      <w:marRight w:val="0"/>
      <w:marTop w:val="0"/>
      <w:marBottom w:val="0"/>
      <w:divBdr>
        <w:top w:val="none" w:sz="0" w:space="0" w:color="auto"/>
        <w:left w:val="none" w:sz="0" w:space="0" w:color="auto"/>
        <w:bottom w:val="none" w:sz="0" w:space="0" w:color="auto"/>
        <w:right w:val="none" w:sz="0" w:space="0" w:color="auto"/>
      </w:divBdr>
    </w:div>
    <w:div w:id="423696428">
      <w:bodyDiv w:val="1"/>
      <w:marLeft w:val="0"/>
      <w:marRight w:val="0"/>
      <w:marTop w:val="0"/>
      <w:marBottom w:val="0"/>
      <w:divBdr>
        <w:top w:val="none" w:sz="0" w:space="0" w:color="auto"/>
        <w:left w:val="none" w:sz="0" w:space="0" w:color="auto"/>
        <w:bottom w:val="none" w:sz="0" w:space="0" w:color="auto"/>
        <w:right w:val="none" w:sz="0" w:space="0" w:color="auto"/>
      </w:divBdr>
    </w:div>
    <w:div w:id="427123313">
      <w:bodyDiv w:val="1"/>
      <w:marLeft w:val="0"/>
      <w:marRight w:val="0"/>
      <w:marTop w:val="0"/>
      <w:marBottom w:val="0"/>
      <w:divBdr>
        <w:top w:val="none" w:sz="0" w:space="0" w:color="auto"/>
        <w:left w:val="none" w:sz="0" w:space="0" w:color="auto"/>
        <w:bottom w:val="none" w:sz="0" w:space="0" w:color="auto"/>
        <w:right w:val="none" w:sz="0" w:space="0" w:color="auto"/>
      </w:divBdr>
    </w:div>
    <w:div w:id="427967982">
      <w:bodyDiv w:val="1"/>
      <w:marLeft w:val="0"/>
      <w:marRight w:val="0"/>
      <w:marTop w:val="0"/>
      <w:marBottom w:val="0"/>
      <w:divBdr>
        <w:top w:val="none" w:sz="0" w:space="0" w:color="auto"/>
        <w:left w:val="none" w:sz="0" w:space="0" w:color="auto"/>
        <w:bottom w:val="none" w:sz="0" w:space="0" w:color="auto"/>
        <w:right w:val="none" w:sz="0" w:space="0" w:color="auto"/>
      </w:divBdr>
    </w:div>
    <w:div w:id="429738742">
      <w:bodyDiv w:val="1"/>
      <w:marLeft w:val="0"/>
      <w:marRight w:val="0"/>
      <w:marTop w:val="0"/>
      <w:marBottom w:val="0"/>
      <w:divBdr>
        <w:top w:val="none" w:sz="0" w:space="0" w:color="auto"/>
        <w:left w:val="none" w:sz="0" w:space="0" w:color="auto"/>
        <w:bottom w:val="none" w:sz="0" w:space="0" w:color="auto"/>
        <w:right w:val="none" w:sz="0" w:space="0" w:color="auto"/>
      </w:divBdr>
    </w:div>
    <w:div w:id="442388608">
      <w:bodyDiv w:val="1"/>
      <w:marLeft w:val="0"/>
      <w:marRight w:val="0"/>
      <w:marTop w:val="0"/>
      <w:marBottom w:val="0"/>
      <w:divBdr>
        <w:top w:val="none" w:sz="0" w:space="0" w:color="auto"/>
        <w:left w:val="none" w:sz="0" w:space="0" w:color="auto"/>
        <w:bottom w:val="none" w:sz="0" w:space="0" w:color="auto"/>
        <w:right w:val="none" w:sz="0" w:space="0" w:color="auto"/>
      </w:divBdr>
    </w:div>
    <w:div w:id="444348211">
      <w:bodyDiv w:val="1"/>
      <w:marLeft w:val="0"/>
      <w:marRight w:val="0"/>
      <w:marTop w:val="0"/>
      <w:marBottom w:val="0"/>
      <w:divBdr>
        <w:top w:val="none" w:sz="0" w:space="0" w:color="auto"/>
        <w:left w:val="none" w:sz="0" w:space="0" w:color="auto"/>
        <w:bottom w:val="none" w:sz="0" w:space="0" w:color="auto"/>
        <w:right w:val="none" w:sz="0" w:space="0" w:color="auto"/>
      </w:divBdr>
    </w:div>
    <w:div w:id="446395760">
      <w:bodyDiv w:val="1"/>
      <w:marLeft w:val="0"/>
      <w:marRight w:val="0"/>
      <w:marTop w:val="0"/>
      <w:marBottom w:val="0"/>
      <w:divBdr>
        <w:top w:val="none" w:sz="0" w:space="0" w:color="auto"/>
        <w:left w:val="none" w:sz="0" w:space="0" w:color="auto"/>
        <w:bottom w:val="none" w:sz="0" w:space="0" w:color="auto"/>
        <w:right w:val="none" w:sz="0" w:space="0" w:color="auto"/>
      </w:divBdr>
    </w:div>
    <w:div w:id="448669348">
      <w:bodyDiv w:val="1"/>
      <w:marLeft w:val="0"/>
      <w:marRight w:val="0"/>
      <w:marTop w:val="0"/>
      <w:marBottom w:val="0"/>
      <w:divBdr>
        <w:top w:val="none" w:sz="0" w:space="0" w:color="auto"/>
        <w:left w:val="none" w:sz="0" w:space="0" w:color="auto"/>
        <w:bottom w:val="none" w:sz="0" w:space="0" w:color="auto"/>
        <w:right w:val="none" w:sz="0" w:space="0" w:color="auto"/>
      </w:divBdr>
    </w:div>
    <w:div w:id="449326520">
      <w:bodyDiv w:val="1"/>
      <w:marLeft w:val="0"/>
      <w:marRight w:val="0"/>
      <w:marTop w:val="0"/>
      <w:marBottom w:val="0"/>
      <w:divBdr>
        <w:top w:val="none" w:sz="0" w:space="0" w:color="auto"/>
        <w:left w:val="none" w:sz="0" w:space="0" w:color="auto"/>
        <w:bottom w:val="none" w:sz="0" w:space="0" w:color="auto"/>
        <w:right w:val="none" w:sz="0" w:space="0" w:color="auto"/>
      </w:divBdr>
    </w:div>
    <w:div w:id="449513270">
      <w:bodyDiv w:val="1"/>
      <w:marLeft w:val="0"/>
      <w:marRight w:val="0"/>
      <w:marTop w:val="0"/>
      <w:marBottom w:val="0"/>
      <w:divBdr>
        <w:top w:val="none" w:sz="0" w:space="0" w:color="auto"/>
        <w:left w:val="none" w:sz="0" w:space="0" w:color="auto"/>
        <w:bottom w:val="none" w:sz="0" w:space="0" w:color="auto"/>
        <w:right w:val="none" w:sz="0" w:space="0" w:color="auto"/>
      </w:divBdr>
    </w:div>
    <w:div w:id="454101112">
      <w:bodyDiv w:val="1"/>
      <w:marLeft w:val="0"/>
      <w:marRight w:val="0"/>
      <w:marTop w:val="0"/>
      <w:marBottom w:val="0"/>
      <w:divBdr>
        <w:top w:val="none" w:sz="0" w:space="0" w:color="auto"/>
        <w:left w:val="none" w:sz="0" w:space="0" w:color="auto"/>
        <w:bottom w:val="none" w:sz="0" w:space="0" w:color="auto"/>
        <w:right w:val="none" w:sz="0" w:space="0" w:color="auto"/>
      </w:divBdr>
    </w:div>
    <w:div w:id="454642219">
      <w:bodyDiv w:val="1"/>
      <w:marLeft w:val="0"/>
      <w:marRight w:val="0"/>
      <w:marTop w:val="0"/>
      <w:marBottom w:val="0"/>
      <w:divBdr>
        <w:top w:val="none" w:sz="0" w:space="0" w:color="auto"/>
        <w:left w:val="none" w:sz="0" w:space="0" w:color="auto"/>
        <w:bottom w:val="none" w:sz="0" w:space="0" w:color="auto"/>
        <w:right w:val="none" w:sz="0" w:space="0" w:color="auto"/>
      </w:divBdr>
    </w:div>
    <w:div w:id="456604378">
      <w:bodyDiv w:val="1"/>
      <w:marLeft w:val="0"/>
      <w:marRight w:val="0"/>
      <w:marTop w:val="0"/>
      <w:marBottom w:val="0"/>
      <w:divBdr>
        <w:top w:val="none" w:sz="0" w:space="0" w:color="auto"/>
        <w:left w:val="none" w:sz="0" w:space="0" w:color="auto"/>
        <w:bottom w:val="none" w:sz="0" w:space="0" w:color="auto"/>
        <w:right w:val="none" w:sz="0" w:space="0" w:color="auto"/>
      </w:divBdr>
    </w:div>
    <w:div w:id="457451818">
      <w:bodyDiv w:val="1"/>
      <w:marLeft w:val="0"/>
      <w:marRight w:val="0"/>
      <w:marTop w:val="0"/>
      <w:marBottom w:val="0"/>
      <w:divBdr>
        <w:top w:val="none" w:sz="0" w:space="0" w:color="auto"/>
        <w:left w:val="none" w:sz="0" w:space="0" w:color="auto"/>
        <w:bottom w:val="none" w:sz="0" w:space="0" w:color="auto"/>
        <w:right w:val="none" w:sz="0" w:space="0" w:color="auto"/>
      </w:divBdr>
    </w:div>
    <w:div w:id="457914828">
      <w:bodyDiv w:val="1"/>
      <w:marLeft w:val="0"/>
      <w:marRight w:val="0"/>
      <w:marTop w:val="0"/>
      <w:marBottom w:val="0"/>
      <w:divBdr>
        <w:top w:val="none" w:sz="0" w:space="0" w:color="auto"/>
        <w:left w:val="none" w:sz="0" w:space="0" w:color="auto"/>
        <w:bottom w:val="none" w:sz="0" w:space="0" w:color="auto"/>
        <w:right w:val="none" w:sz="0" w:space="0" w:color="auto"/>
      </w:divBdr>
    </w:div>
    <w:div w:id="460609543">
      <w:bodyDiv w:val="1"/>
      <w:marLeft w:val="0"/>
      <w:marRight w:val="0"/>
      <w:marTop w:val="0"/>
      <w:marBottom w:val="0"/>
      <w:divBdr>
        <w:top w:val="none" w:sz="0" w:space="0" w:color="auto"/>
        <w:left w:val="none" w:sz="0" w:space="0" w:color="auto"/>
        <w:bottom w:val="none" w:sz="0" w:space="0" w:color="auto"/>
        <w:right w:val="none" w:sz="0" w:space="0" w:color="auto"/>
      </w:divBdr>
    </w:div>
    <w:div w:id="461312069">
      <w:bodyDiv w:val="1"/>
      <w:marLeft w:val="0"/>
      <w:marRight w:val="0"/>
      <w:marTop w:val="0"/>
      <w:marBottom w:val="0"/>
      <w:divBdr>
        <w:top w:val="none" w:sz="0" w:space="0" w:color="auto"/>
        <w:left w:val="none" w:sz="0" w:space="0" w:color="auto"/>
        <w:bottom w:val="none" w:sz="0" w:space="0" w:color="auto"/>
        <w:right w:val="none" w:sz="0" w:space="0" w:color="auto"/>
      </w:divBdr>
    </w:div>
    <w:div w:id="461312751">
      <w:bodyDiv w:val="1"/>
      <w:marLeft w:val="0"/>
      <w:marRight w:val="0"/>
      <w:marTop w:val="0"/>
      <w:marBottom w:val="0"/>
      <w:divBdr>
        <w:top w:val="none" w:sz="0" w:space="0" w:color="auto"/>
        <w:left w:val="none" w:sz="0" w:space="0" w:color="auto"/>
        <w:bottom w:val="none" w:sz="0" w:space="0" w:color="auto"/>
        <w:right w:val="none" w:sz="0" w:space="0" w:color="auto"/>
      </w:divBdr>
    </w:div>
    <w:div w:id="464394792">
      <w:bodyDiv w:val="1"/>
      <w:marLeft w:val="0"/>
      <w:marRight w:val="0"/>
      <w:marTop w:val="0"/>
      <w:marBottom w:val="0"/>
      <w:divBdr>
        <w:top w:val="none" w:sz="0" w:space="0" w:color="auto"/>
        <w:left w:val="none" w:sz="0" w:space="0" w:color="auto"/>
        <w:bottom w:val="none" w:sz="0" w:space="0" w:color="auto"/>
        <w:right w:val="none" w:sz="0" w:space="0" w:color="auto"/>
      </w:divBdr>
    </w:div>
    <w:div w:id="465896576">
      <w:bodyDiv w:val="1"/>
      <w:marLeft w:val="0"/>
      <w:marRight w:val="0"/>
      <w:marTop w:val="0"/>
      <w:marBottom w:val="0"/>
      <w:divBdr>
        <w:top w:val="none" w:sz="0" w:space="0" w:color="auto"/>
        <w:left w:val="none" w:sz="0" w:space="0" w:color="auto"/>
        <w:bottom w:val="none" w:sz="0" w:space="0" w:color="auto"/>
        <w:right w:val="none" w:sz="0" w:space="0" w:color="auto"/>
      </w:divBdr>
    </w:div>
    <w:div w:id="471412739">
      <w:bodyDiv w:val="1"/>
      <w:marLeft w:val="0"/>
      <w:marRight w:val="0"/>
      <w:marTop w:val="0"/>
      <w:marBottom w:val="0"/>
      <w:divBdr>
        <w:top w:val="none" w:sz="0" w:space="0" w:color="auto"/>
        <w:left w:val="none" w:sz="0" w:space="0" w:color="auto"/>
        <w:bottom w:val="none" w:sz="0" w:space="0" w:color="auto"/>
        <w:right w:val="none" w:sz="0" w:space="0" w:color="auto"/>
      </w:divBdr>
    </w:div>
    <w:div w:id="472330459">
      <w:bodyDiv w:val="1"/>
      <w:marLeft w:val="0"/>
      <w:marRight w:val="0"/>
      <w:marTop w:val="0"/>
      <w:marBottom w:val="0"/>
      <w:divBdr>
        <w:top w:val="none" w:sz="0" w:space="0" w:color="auto"/>
        <w:left w:val="none" w:sz="0" w:space="0" w:color="auto"/>
        <w:bottom w:val="none" w:sz="0" w:space="0" w:color="auto"/>
        <w:right w:val="none" w:sz="0" w:space="0" w:color="auto"/>
      </w:divBdr>
    </w:div>
    <w:div w:id="474419312">
      <w:bodyDiv w:val="1"/>
      <w:marLeft w:val="0"/>
      <w:marRight w:val="0"/>
      <w:marTop w:val="0"/>
      <w:marBottom w:val="0"/>
      <w:divBdr>
        <w:top w:val="none" w:sz="0" w:space="0" w:color="auto"/>
        <w:left w:val="none" w:sz="0" w:space="0" w:color="auto"/>
        <w:bottom w:val="none" w:sz="0" w:space="0" w:color="auto"/>
        <w:right w:val="none" w:sz="0" w:space="0" w:color="auto"/>
      </w:divBdr>
    </w:div>
    <w:div w:id="477647518">
      <w:bodyDiv w:val="1"/>
      <w:marLeft w:val="0"/>
      <w:marRight w:val="0"/>
      <w:marTop w:val="0"/>
      <w:marBottom w:val="0"/>
      <w:divBdr>
        <w:top w:val="none" w:sz="0" w:space="0" w:color="auto"/>
        <w:left w:val="none" w:sz="0" w:space="0" w:color="auto"/>
        <w:bottom w:val="none" w:sz="0" w:space="0" w:color="auto"/>
        <w:right w:val="none" w:sz="0" w:space="0" w:color="auto"/>
      </w:divBdr>
    </w:div>
    <w:div w:id="479004917">
      <w:bodyDiv w:val="1"/>
      <w:marLeft w:val="0"/>
      <w:marRight w:val="0"/>
      <w:marTop w:val="0"/>
      <w:marBottom w:val="0"/>
      <w:divBdr>
        <w:top w:val="none" w:sz="0" w:space="0" w:color="auto"/>
        <w:left w:val="none" w:sz="0" w:space="0" w:color="auto"/>
        <w:bottom w:val="none" w:sz="0" w:space="0" w:color="auto"/>
        <w:right w:val="none" w:sz="0" w:space="0" w:color="auto"/>
      </w:divBdr>
    </w:div>
    <w:div w:id="482157382">
      <w:bodyDiv w:val="1"/>
      <w:marLeft w:val="0"/>
      <w:marRight w:val="0"/>
      <w:marTop w:val="0"/>
      <w:marBottom w:val="0"/>
      <w:divBdr>
        <w:top w:val="none" w:sz="0" w:space="0" w:color="auto"/>
        <w:left w:val="none" w:sz="0" w:space="0" w:color="auto"/>
        <w:bottom w:val="none" w:sz="0" w:space="0" w:color="auto"/>
        <w:right w:val="none" w:sz="0" w:space="0" w:color="auto"/>
      </w:divBdr>
    </w:div>
    <w:div w:id="482426087">
      <w:bodyDiv w:val="1"/>
      <w:marLeft w:val="0"/>
      <w:marRight w:val="0"/>
      <w:marTop w:val="0"/>
      <w:marBottom w:val="0"/>
      <w:divBdr>
        <w:top w:val="none" w:sz="0" w:space="0" w:color="auto"/>
        <w:left w:val="none" w:sz="0" w:space="0" w:color="auto"/>
        <w:bottom w:val="none" w:sz="0" w:space="0" w:color="auto"/>
        <w:right w:val="none" w:sz="0" w:space="0" w:color="auto"/>
      </w:divBdr>
    </w:div>
    <w:div w:id="483085783">
      <w:bodyDiv w:val="1"/>
      <w:marLeft w:val="0"/>
      <w:marRight w:val="0"/>
      <w:marTop w:val="0"/>
      <w:marBottom w:val="0"/>
      <w:divBdr>
        <w:top w:val="none" w:sz="0" w:space="0" w:color="auto"/>
        <w:left w:val="none" w:sz="0" w:space="0" w:color="auto"/>
        <w:bottom w:val="none" w:sz="0" w:space="0" w:color="auto"/>
        <w:right w:val="none" w:sz="0" w:space="0" w:color="auto"/>
      </w:divBdr>
    </w:div>
    <w:div w:id="483552082">
      <w:bodyDiv w:val="1"/>
      <w:marLeft w:val="0"/>
      <w:marRight w:val="0"/>
      <w:marTop w:val="0"/>
      <w:marBottom w:val="0"/>
      <w:divBdr>
        <w:top w:val="none" w:sz="0" w:space="0" w:color="auto"/>
        <w:left w:val="none" w:sz="0" w:space="0" w:color="auto"/>
        <w:bottom w:val="none" w:sz="0" w:space="0" w:color="auto"/>
        <w:right w:val="none" w:sz="0" w:space="0" w:color="auto"/>
      </w:divBdr>
    </w:div>
    <w:div w:id="484712407">
      <w:bodyDiv w:val="1"/>
      <w:marLeft w:val="0"/>
      <w:marRight w:val="0"/>
      <w:marTop w:val="0"/>
      <w:marBottom w:val="0"/>
      <w:divBdr>
        <w:top w:val="none" w:sz="0" w:space="0" w:color="auto"/>
        <w:left w:val="none" w:sz="0" w:space="0" w:color="auto"/>
        <w:bottom w:val="none" w:sz="0" w:space="0" w:color="auto"/>
        <w:right w:val="none" w:sz="0" w:space="0" w:color="auto"/>
      </w:divBdr>
    </w:div>
    <w:div w:id="485054173">
      <w:bodyDiv w:val="1"/>
      <w:marLeft w:val="0"/>
      <w:marRight w:val="0"/>
      <w:marTop w:val="0"/>
      <w:marBottom w:val="0"/>
      <w:divBdr>
        <w:top w:val="none" w:sz="0" w:space="0" w:color="auto"/>
        <w:left w:val="none" w:sz="0" w:space="0" w:color="auto"/>
        <w:bottom w:val="none" w:sz="0" w:space="0" w:color="auto"/>
        <w:right w:val="none" w:sz="0" w:space="0" w:color="auto"/>
      </w:divBdr>
    </w:div>
    <w:div w:id="487206827">
      <w:bodyDiv w:val="1"/>
      <w:marLeft w:val="0"/>
      <w:marRight w:val="0"/>
      <w:marTop w:val="0"/>
      <w:marBottom w:val="0"/>
      <w:divBdr>
        <w:top w:val="none" w:sz="0" w:space="0" w:color="auto"/>
        <w:left w:val="none" w:sz="0" w:space="0" w:color="auto"/>
        <w:bottom w:val="none" w:sz="0" w:space="0" w:color="auto"/>
        <w:right w:val="none" w:sz="0" w:space="0" w:color="auto"/>
      </w:divBdr>
    </w:div>
    <w:div w:id="487402215">
      <w:bodyDiv w:val="1"/>
      <w:marLeft w:val="0"/>
      <w:marRight w:val="0"/>
      <w:marTop w:val="0"/>
      <w:marBottom w:val="0"/>
      <w:divBdr>
        <w:top w:val="none" w:sz="0" w:space="0" w:color="auto"/>
        <w:left w:val="none" w:sz="0" w:space="0" w:color="auto"/>
        <w:bottom w:val="none" w:sz="0" w:space="0" w:color="auto"/>
        <w:right w:val="none" w:sz="0" w:space="0" w:color="auto"/>
      </w:divBdr>
    </w:div>
    <w:div w:id="487789194">
      <w:bodyDiv w:val="1"/>
      <w:marLeft w:val="0"/>
      <w:marRight w:val="0"/>
      <w:marTop w:val="0"/>
      <w:marBottom w:val="0"/>
      <w:divBdr>
        <w:top w:val="none" w:sz="0" w:space="0" w:color="auto"/>
        <w:left w:val="none" w:sz="0" w:space="0" w:color="auto"/>
        <w:bottom w:val="none" w:sz="0" w:space="0" w:color="auto"/>
        <w:right w:val="none" w:sz="0" w:space="0" w:color="auto"/>
      </w:divBdr>
    </w:div>
    <w:div w:id="489829620">
      <w:bodyDiv w:val="1"/>
      <w:marLeft w:val="0"/>
      <w:marRight w:val="0"/>
      <w:marTop w:val="0"/>
      <w:marBottom w:val="0"/>
      <w:divBdr>
        <w:top w:val="none" w:sz="0" w:space="0" w:color="auto"/>
        <w:left w:val="none" w:sz="0" w:space="0" w:color="auto"/>
        <w:bottom w:val="none" w:sz="0" w:space="0" w:color="auto"/>
        <w:right w:val="none" w:sz="0" w:space="0" w:color="auto"/>
      </w:divBdr>
    </w:div>
    <w:div w:id="490100639">
      <w:bodyDiv w:val="1"/>
      <w:marLeft w:val="0"/>
      <w:marRight w:val="0"/>
      <w:marTop w:val="0"/>
      <w:marBottom w:val="0"/>
      <w:divBdr>
        <w:top w:val="none" w:sz="0" w:space="0" w:color="auto"/>
        <w:left w:val="none" w:sz="0" w:space="0" w:color="auto"/>
        <w:bottom w:val="none" w:sz="0" w:space="0" w:color="auto"/>
        <w:right w:val="none" w:sz="0" w:space="0" w:color="auto"/>
      </w:divBdr>
    </w:div>
    <w:div w:id="490634178">
      <w:bodyDiv w:val="1"/>
      <w:marLeft w:val="0"/>
      <w:marRight w:val="0"/>
      <w:marTop w:val="0"/>
      <w:marBottom w:val="0"/>
      <w:divBdr>
        <w:top w:val="none" w:sz="0" w:space="0" w:color="auto"/>
        <w:left w:val="none" w:sz="0" w:space="0" w:color="auto"/>
        <w:bottom w:val="none" w:sz="0" w:space="0" w:color="auto"/>
        <w:right w:val="none" w:sz="0" w:space="0" w:color="auto"/>
      </w:divBdr>
    </w:div>
    <w:div w:id="492919054">
      <w:bodyDiv w:val="1"/>
      <w:marLeft w:val="0"/>
      <w:marRight w:val="0"/>
      <w:marTop w:val="0"/>
      <w:marBottom w:val="0"/>
      <w:divBdr>
        <w:top w:val="none" w:sz="0" w:space="0" w:color="auto"/>
        <w:left w:val="none" w:sz="0" w:space="0" w:color="auto"/>
        <w:bottom w:val="none" w:sz="0" w:space="0" w:color="auto"/>
        <w:right w:val="none" w:sz="0" w:space="0" w:color="auto"/>
      </w:divBdr>
    </w:div>
    <w:div w:id="493225000">
      <w:bodyDiv w:val="1"/>
      <w:marLeft w:val="0"/>
      <w:marRight w:val="0"/>
      <w:marTop w:val="0"/>
      <w:marBottom w:val="0"/>
      <w:divBdr>
        <w:top w:val="none" w:sz="0" w:space="0" w:color="auto"/>
        <w:left w:val="none" w:sz="0" w:space="0" w:color="auto"/>
        <w:bottom w:val="none" w:sz="0" w:space="0" w:color="auto"/>
        <w:right w:val="none" w:sz="0" w:space="0" w:color="auto"/>
      </w:divBdr>
    </w:div>
    <w:div w:id="495924059">
      <w:bodyDiv w:val="1"/>
      <w:marLeft w:val="0"/>
      <w:marRight w:val="0"/>
      <w:marTop w:val="0"/>
      <w:marBottom w:val="0"/>
      <w:divBdr>
        <w:top w:val="none" w:sz="0" w:space="0" w:color="auto"/>
        <w:left w:val="none" w:sz="0" w:space="0" w:color="auto"/>
        <w:bottom w:val="none" w:sz="0" w:space="0" w:color="auto"/>
        <w:right w:val="none" w:sz="0" w:space="0" w:color="auto"/>
      </w:divBdr>
    </w:div>
    <w:div w:id="499850235">
      <w:bodyDiv w:val="1"/>
      <w:marLeft w:val="0"/>
      <w:marRight w:val="0"/>
      <w:marTop w:val="0"/>
      <w:marBottom w:val="0"/>
      <w:divBdr>
        <w:top w:val="none" w:sz="0" w:space="0" w:color="auto"/>
        <w:left w:val="none" w:sz="0" w:space="0" w:color="auto"/>
        <w:bottom w:val="none" w:sz="0" w:space="0" w:color="auto"/>
        <w:right w:val="none" w:sz="0" w:space="0" w:color="auto"/>
      </w:divBdr>
    </w:div>
    <w:div w:id="500706513">
      <w:bodyDiv w:val="1"/>
      <w:marLeft w:val="0"/>
      <w:marRight w:val="0"/>
      <w:marTop w:val="0"/>
      <w:marBottom w:val="0"/>
      <w:divBdr>
        <w:top w:val="none" w:sz="0" w:space="0" w:color="auto"/>
        <w:left w:val="none" w:sz="0" w:space="0" w:color="auto"/>
        <w:bottom w:val="none" w:sz="0" w:space="0" w:color="auto"/>
        <w:right w:val="none" w:sz="0" w:space="0" w:color="auto"/>
      </w:divBdr>
    </w:div>
    <w:div w:id="504169287">
      <w:bodyDiv w:val="1"/>
      <w:marLeft w:val="0"/>
      <w:marRight w:val="0"/>
      <w:marTop w:val="0"/>
      <w:marBottom w:val="0"/>
      <w:divBdr>
        <w:top w:val="none" w:sz="0" w:space="0" w:color="auto"/>
        <w:left w:val="none" w:sz="0" w:space="0" w:color="auto"/>
        <w:bottom w:val="none" w:sz="0" w:space="0" w:color="auto"/>
        <w:right w:val="none" w:sz="0" w:space="0" w:color="auto"/>
      </w:divBdr>
    </w:div>
    <w:div w:id="507719852">
      <w:bodyDiv w:val="1"/>
      <w:marLeft w:val="0"/>
      <w:marRight w:val="0"/>
      <w:marTop w:val="0"/>
      <w:marBottom w:val="0"/>
      <w:divBdr>
        <w:top w:val="none" w:sz="0" w:space="0" w:color="auto"/>
        <w:left w:val="none" w:sz="0" w:space="0" w:color="auto"/>
        <w:bottom w:val="none" w:sz="0" w:space="0" w:color="auto"/>
        <w:right w:val="none" w:sz="0" w:space="0" w:color="auto"/>
      </w:divBdr>
    </w:div>
    <w:div w:id="507906487">
      <w:bodyDiv w:val="1"/>
      <w:marLeft w:val="0"/>
      <w:marRight w:val="0"/>
      <w:marTop w:val="0"/>
      <w:marBottom w:val="0"/>
      <w:divBdr>
        <w:top w:val="none" w:sz="0" w:space="0" w:color="auto"/>
        <w:left w:val="none" w:sz="0" w:space="0" w:color="auto"/>
        <w:bottom w:val="none" w:sz="0" w:space="0" w:color="auto"/>
        <w:right w:val="none" w:sz="0" w:space="0" w:color="auto"/>
      </w:divBdr>
    </w:div>
    <w:div w:id="509180983">
      <w:bodyDiv w:val="1"/>
      <w:marLeft w:val="0"/>
      <w:marRight w:val="0"/>
      <w:marTop w:val="0"/>
      <w:marBottom w:val="0"/>
      <w:divBdr>
        <w:top w:val="none" w:sz="0" w:space="0" w:color="auto"/>
        <w:left w:val="none" w:sz="0" w:space="0" w:color="auto"/>
        <w:bottom w:val="none" w:sz="0" w:space="0" w:color="auto"/>
        <w:right w:val="none" w:sz="0" w:space="0" w:color="auto"/>
      </w:divBdr>
    </w:div>
    <w:div w:id="511190318">
      <w:bodyDiv w:val="1"/>
      <w:marLeft w:val="0"/>
      <w:marRight w:val="0"/>
      <w:marTop w:val="0"/>
      <w:marBottom w:val="0"/>
      <w:divBdr>
        <w:top w:val="none" w:sz="0" w:space="0" w:color="auto"/>
        <w:left w:val="none" w:sz="0" w:space="0" w:color="auto"/>
        <w:bottom w:val="none" w:sz="0" w:space="0" w:color="auto"/>
        <w:right w:val="none" w:sz="0" w:space="0" w:color="auto"/>
      </w:divBdr>
    </w:div>
    <w:div w:id="515190865">
      <w:bodyDiv w:val="1"/>
      <w:marLeft w:val="0"/>
      <w:marRight w:val="0"/>
      <w:marTop w:val="0"/>
      <w:marBottom w:val="0"/>
      <w:divBdr>
        <w:top w:val="none" w:sz="0" w:space="0" w:color="auto"/>
        <w:left w:val="none" w:sz="0" w:space="0" w:color="auto"/>
        <w:bottom w:val="none" w:sz="0" w:space="0" w:color="auto"/>
        <w:right w:val="none" w:sz="0" w:space="0" w:color="auto"/>
      </w:divBdr>
    </w:div>
    <w:div w:id="515192498">
      <w:bodyDiv w:val="1"/>
      <w:marLeft w:val="0"/>
      <w:marRight w:val="0"/>
      <w:marTop w:val="0"/>
      <w:marBottom w:val="0"/>
      <w:divBdr>
        <w:top w:val="none" w:sz="0" w:space="0" w:color="auto"/>
        <w:left w:val="none" w:sz="0" w:space="0" w:color="auto"/>
        <w:bottom w:val="none" w:sz="0" w:space="0" w:color="auto"/>
        <w:right w:val="none" w:sz="0" w:space="0" w:color="auto"/>
      </w:divBdr>
    </w:div>
    <w:div w:id="523712208">
      <w:bodyDiv w:val="1"/>
      <w:marLeft w:val="0"/>
      <w:marRight w:val="0"/>
      <w:marTop w:val="0"/>
      <w:marBottom w:val="0"/>
      <w:divBdr>
        <w:top w:val="none" w:sz="0" w:space="0" w:color="auto"/>
        <w:left w:val="none" w:sz="0" w:space="0" w:color="auto"/>
        <w:bottom w:val="none" w:sz="0" w:space="0" w:color="auto"/>
        <w:right w:val="none" w:sz="0" w:space="0" w:color="auto"/>
      </w:divBdr>
    </w:div>
    <w:div w:id="531651623">
      <w:bodyDiv w:val="1"/>
      <w:marLeft w:val="0"/>
      <w:marRight w:val="0"/>
      <w:marTop w:val="0"/>
      <w:marBottom w:val="0"/>
      <w:divBdr>
        <w:top w:val="none" w:sz="0" w:space="0" w:color="auto"/>
        <w:left w:val="none" w:sz="0" w:space="0" w:color="auto"/>
        <w:bottom w:val="none" w:sz="0" w:space="0" w:color="auto"/>
        <w:right w:val="none" w:sz="0" w:space="0" w:color="auto"/>
      </w:divBdr>
    </w:div>
    <w:div w:id="532690814">
      <w:bodyDiv w:val="1"/>
      <w:marLeft w:val="0"/>
      <w:marRight w:val="0"/>
      <w:marTop w:val="0"/>
      <w:marBottom w:val="0"/>
      <w:divBdr>
        <w:top w:val="none" w:sz="0" w:space="0" w:color="auto"/>
        <w:left w:val="none" w:sz="0" w:space="0" w:color="auto"/>
        <w:bottom w:val="none" w:sz="0" w:space="0" w:color="auto"/>
        <w:right w:val="none" w:sz="0" w:space="0" w:color="auto"/>
      </w:divBdr>
    </w:div>
    <w:div w:id="534273554">
      <w:bodyDiv w:val="1"/>
      <w:marLeft w:val="0"/>
      <w:marRight w:val="0"/>
      <w:marTop w:val="0"/>
      <w:marBottom w:val="0"/>
      <w:divBdr>
        <w:top w:val="none" w:sz="0" w:space="0" w:color="auto"/>
        <w:left w:val="none" w:sz="0" w:space="0" w:color="auto"/>
        <w:bottom w:val="none" w:sz="0" w:space="0" w:color="auto"/>
        <w:right w:val="none" w:sz="0" w:space="0" w:color="auto"/>
      </w:divBdr>
    </w:div>
    <w:div w:id="536242908">
      <w:bodyDiv w:val="1"/>
      <w:marLeft w:val="0"/>
      <w:marRight w:val="0"/>
      <w:marTop w:val="0"/>
      <w:marBottom w:val="0"/>
      <w:divBdr>
        <w:top w:val="none" w:sz="0" w:space="0" w:color="auto"/>
        <w:left w:val="none" w:sz="0" w:space="0" w:color="auto"/>
        <w:bottom w:val="none" w:sz="0" w:space="0" w:color="auto"/>
        <w:right w:val="none" w:sz="0" w:space="0" w:color="auto"/>
      </w:divBdr>
    </w:div>
    <w:div w:id="536506854">
      <w:bodyDiv w:val="1"/>
      <w:marLeft w:val="0"/>
      <w:marRight w:val="0"/>
      <w:marTop w:val="0"/>
      <w:marBottom w:val="0"/>
      <w:divBdr>
        <w:top w:val="none" w:sz="0" w:space="0" w:color="auto"/>
        <w:left w:val="none" w:sz="0" w:space="0" w:color="auto"/>
        <w:bottom w:val="none" w:sz="0" w:space="0" w:color="auto"/>
        <w:right w:val="none" w:sz="0" w:space="0" w:color="auto"/>
      </w:divBdr>
    </w:div>
    <w:div w:id="538661070">
      <w:bodyDiv w:val="1"/>
      <w:marLeft w:val="0"/>
      <w:marRight w:val="0"/>
      <w:marTop w:val="0"/>
      <w:marBottom w:val="0"/>
      <w:divBdr>
        <w:top w:val="none" w:sz="0" w:space="0" w:color="auto"/>
        <w:left w:val="none" w:sz="0" w:space="0" w:color="auto"/>
        <w:bottom w:val="none" w:sz="0" w:space="0" w:color="auto"/>
        <w:right w:val="none" w:sz="0" w:space="0" w:color="auto"/>
      </w:divBdr>
    </w:div>
    <w:div w:id="540363272">
      <w:bodyDiv w:val="1"/>
      <w:marLeft w:val="0"/>
      <w:marRight w:val="0"/>
      <w:marTop w:val="0"/>
      <w:marBottom w:val="0"/>
      <w:divBdr>
        <w:top w:val="none" w:sz="0" w:space="0" w:color="auto"/>
        <w:left w:val="none" w:sz="0" w:space="0" w:color="auto"/>
        <w:bottom w:val="none" w:sz="0" w:space="0" w:color="auto"/>
        <w:right w:val="none" w:sz="0" w:space="0" w:color="auto"/>
      </w:divBdr>
    </w:div>
    <w:div w:id="541093959">
      <w:bodyDiv w:val="1"/>
      <w:marLeft w:val="0"/>
      <w:marRight w:val="0"/>
      <w:marTop w:val="0"/>
      <w:marBottom w:val="0"/>
      <w:divBdr>
        <w:top w:val="none" w:sz="0" w:space="0" w:color="auto"/>
        <w:left w:val="none" w:sz="0" w:space="0" w:color="auto"/>
        <w:bottom w:val="none" w:sz="0" w:space="0" w:color="auto"/>
        <w:right w:val="none" w:sz="0" w:space="0" w:color="auto"/>
      </w:divBdr>
    </w:div>
    <w:div w:id="542210112">
      <w:bodyDiv w:val="1"/>
      <w:marLeft w:val="0"/>
      <w:marRight w:val="0"/>
      <w:marTop w:val="0"/>
      <w:marBottom w:val="0"/>
      <w:divBdr>
        <w:top w:val="none" w:sz="0" w:space="0" w:color="auto"/>
        <w:left w:val="none" w:sz="0" w:space="0" w:color="auto"/>
        <w:bottom w:val="none" w:sz="0" w:space="0" w:color="auto"/>
        <w:right w:val="none" w:sz="0" w:space="0" w:color="auto"/>
      </w:divBdr>
    </w:div>
    <w:div w:id="542980829">
      <w:bodyDiv w:val="1"/>
      <w:marLeft w:val="0"/>
      <w:marRight w:val="0"/>
      <w:marTop w:val="0"/>
      <w:marBottom w:val="0"/>
      <w:divBdr>
        <w:top w:val="none" w:sz="0" w:space="0" w:color="auto"/>
        <w:left w:val="none" w:sz="0" w:space="0" w:color="auto"/>
        <w:bottom w:val="none" w:sz="0" w:space="0" w:color="auto"/>
        <w:right w:val="none" w:sz="0" w:space="0" w:color="auto"/>
      </w:divBdr>
    </w:div>
    <w:div w:id="543710013">
      <w:bodyDiv w:val="1"/>
      <w:marLeft w:val="0"/>
      <w:marRight w:val="0"/>
      <w:marTop w:val="0"/>
      <w:marBottom w:val="0"/>
      <w:divBdr>
        <w:top w:val="none" w:sz="0" w:space="0" w:color="auto"/>
        <w:left w:val="none" w:sz="0" w:space="0" w:color="auto"/>
        <w:bottom w:val="none" w:sz="0" w:space="0" w:color="auto"/>
        <w:right w:val="none" w:sz="0" w:space="0" w:color="auto"/>
      </w:divBdr>
    </w:div>
    <w:div w:id="543908790">
      <w:bodyDiv w:val="1"/>
      <w:marLeft w:val="0"/>
      <w:marRight w:val="0"/>
      <w:marTop w:val="0"/>
      <w:marBottom w:val="0"/>
      <w:divBdr>
        <w:top w:val="none" w:sz="0" w:space="0" w:color="auto"/>
        <w:left w:val="none" w:sz="0" w:space="0" w:color="auto"/>
        <w:bottom w:val="none" w:sz="0" w:space="0" w:color="auto"/>
        <w:right w:val="none" w:sz="0" w:space="0" w:color="auto"/>
      </w:divBdr>
    </w:div>
    <w:div w:id="545871397">
      <w:bodyDiv w:val="1"/>
      <w:marLeft w:val="0"/>
      <w:marRight w:val="0"/>
      <w:marTop w:val="0"/>
      <w:marBottom w:val="0"/>
      <w:divBdr>
        <w:top w:val="none" w:sz="0" w:space="0" w:color="auto"/>
        <w:left w:val="none" w:sz="0" w:space="0" w:color="auto"/>
        <w:bottom w:val="none" w:sz="0" w:space="0" w:color="auto"/>
        <w:right w:val="none" w:sz="0" w:space="0" w:color="auto"/>
      </w:divBdr>
    </w:div>
    <w:div w:id="547835104">
      <w:bodyDiv w:val="1"/>
      <w:marLeft w:val="0"/>
      <w:marRight w:val="0"/>
      <w:marTop w:val="0"/>
      <w:marBottom w:val="0"/>
      <w:divBdr>
        <w:top w:val="none" w:sz="0" w:space="0" w:color="auto"/>
        <w:left w:val="none" w:sz="0" w:space="0" w:color="auto"/>
        <w:bottom w:val="none" w:sz="0" w:space="0" w:color="auto"/>
        <w:right w:val="none" w:sz="0" w:space="0" w:color="auto"/>
      </w:divBdr>
    </w:div>
    <w:div w:id="549808687">
      <w:bodyDiv w:val="1"/>
      <w:marLeft w:val="0"/>
      <w:marRight w:val="0"/>
      <w:marTop w:val="0"/>
      <w:marBottom w:val="0"/>
      <w:divBdr>
        <w:top w:val="none" w:sz="0" w:space="0" w:color="auto"/>
        <w:left w:val="none" w:sz="0" w:space="0" w:color="auto"/>
        <w:bottom w:val="none" w:sz="0" w:space="0" w:color="auto"/>
        <w:right w:val="none" w:sz="0" w:space="0" w:color="auto"/>
      </w:divBdr>
    </w:div>
    <w:div w:id="551505578">
      <w:bodyDiv w:val="1"/>
      <w:marLeft w:val="0"/>
      <w:marRight w:val="0"/>
      <w:marTop w:val="0"/>
      <w:marBottom w:val="0"/>
      <w:divBdr>
        <w:top w:val="none" w:sz="0" w:space="0" w:color="auto"/>
        <w:left w:val="none" w:sz="0" w:space="0" w:color="auto"/>
        <w:bottom w:val="none" w:sz="0" w:space="0" w:color="auto"/>
        <w:right w:val="none" w:sz="0" w:space="0" w:color="auto"/>
      </w:divBdr>
    </w:div>
    <w:div w:id="554924788">
      <w:bodyDiv w:val="1"/>
      <w:marLeft w:val="0"/>
      <w:marRight w:val="0"/>
      <w:marTop w:val="0"/>
      <w:marBottom w:val="0"/>
      <w:divBdr>
        <w:top w:val="none" w:sz="0" w:space="0" w:color="auto"/>
        <w:left w:val="none" w:sz="0" w:space="0" w:color="auto"/>
        <w:bottom w:val="none" w:sz="0" w:space="0" w:color="auto"/>
        <w:right w:val="none" w:sz="0" w:space="0" w:color="auto"/>
      </w:divBdr>
    </w:div>
    <w:div w:id="558369413">
      <w:bodyDiv w:val="1"/>
      <w:marLeft w:val="0"/>
      <w:marRight w:val="0"/>
      <w:marTop w:val="0"/>
      <w:marBottom w:val="0"/>
      <w:divBdr>
        <w:top w:val="none" w:sz="0" w:space="0" w:color="auto"/>
        <w:left w:val="none" w:sz="0" w:space="0" w:color="auto"/>
        <w:bottom w:val="none" w:sz="0" w:space="0" w:color="auto"/>
        <w:right w:val="none" w:sz="0" w:space="0" w:color="auto"/>
      </w:divBdr>
    </w:div>
    <w:div w:id="559051797">
      <w:bodyDiv w:val="1"/>
      <w:marLeft w:val="0"/>
      <w:marRight w:val="0"/>
      <w:marTop w:val="0"/>
      <w:marBottom w:val="0"/>
      <w:divBdr>
        <w:top w:val="none" w:sz="0" w:space="0" w:color="auto"/>
        <w:left w:val="none" w:sz="0" w:space="0" w:color="auto"/>
        <w:bottom w:val="none" w:sz="0" w:space="0" w:color="auto"/>
        <w:right w:val="none" w:sz="0" w:space="0" w:color="auto"/>
      </w:divBdr>
    </w:div>
    <w:div w:id="560412619">
      <w:bodyDiv w:val="1"/>
      <w:marLeft w:val="0"/>
      <w:marRight w:val="0"/>
      <w:marTop w:val="0"/>
      <w:marBottom w:val="0"/>
      <w:divBdr>
        <w:top w:val="none" w:sz="0" w:space="0" w:color="auto"/>
        <w:left w:val="none" w:sz="0" w:space="0" w:color="auto"/>
        <w:bottom w:val="none" w:sz="0" w:space="0" w:color="auto"/>
        <w:right w:val="none" w:sz="0" w:space="0" w:color="auto"/>
      </w:divBdr>
    </w:div>
    <w:div w:id="568660282">
      <w:bodyDiv w:val="1"/>
      <w:marLeft w:val="0"/>
      <w:marRight w:val="0"/>
      <w:marTop w:val="0"/>
      <w:marBottom w:val="0"/>
      <w:divBdr>
        <w:top w:val="none" w:sz="0" w:space="0" w:color="auto"/>
        <w:left w:val="none" w:sz="0" w:space="0" w:color="auto"/>
        <w:bottom w:val="none" w:sz="0" w:space="0" w:color="auto"/>
        <w:right w:val="none" w:sz="0" w:space="0" w:color="auto"/>
      </w:divBdr>
    </w:div>
    <w:div w:id="571047201">
      <w:bodyDiv w:val="1"/>
      <w:marLeft w:val="0"/>
      <w:marRight w:val="0"/>
      <w:marTop w:val="0"/>
      <w:marBottom w:val="0"/>
      <w:divBdr>
        <w:top w:val="none" w:sz="0" w:space="0" w:color="auto"/>
        <w:left w:val="none" w:sz="0" w:space="0" w:color="auto"/>
        <w:bottom w:val="none" w:sz="0" w:space="0" w:color="auto"/>
        <w:right w:val="none" w:sz="0" w:space="0" w:color="auto"/>
      </w:divBdr>
    </w:div>
    <w:div w:id="572356300">
      <w:bodyDiv w:val="1"/>
      <w:marLeft w:val="0"/>
      <w:marRight w:val="0"/>
      <w:marTop w:val="0"/>
      <w:marBottom w:val="0"/>
      <w:divBdr>
        <w:top w:val="none" w:sz="0" w:space="0" w:color="auto"/>
        <w:left w:val="none" w:sz="0" w:space="0" w:color="auto"/>
        <w:bottom w:val="none" w:sz="0" w:space="0" w:color="auto"/>
        <w:right w:val="none" w:sz="0" w:space="0" w:color="auto"/>
      </w:divBdr>
    </w:div>
    <w:div w:id="575937318">
      <w:bodyDiv w:val="1"/>
      <w:marLeft w:val="0"/>
      <w:marRight w:val="0"/>
      <w:marTop w:val="0"/>
      <w:marBottom w:val="0"/>
      <w:divBdr>
        <w:top w:val="none" w:sz="0" w:space="0" w:color="auto"/>
        <w:left w:val="none" w:sz="0" w:space="0" w:color="auto"/>
        <w:bottom w:val="none" w:sz="0" w:space="0" w:color="auto"/>
        <w:right w:val="none" w:sz="0" w:space="0" w:color="auto"/>
      </w:divBdr>
    </w:div>
    <w:div w:id="579288212">
      <w:bodyDiv w:val="1"/>
      <w:marLeft w:val="0"/>
      <w:marRight w:val="0"/>
      <w:marTop w:val="0"/>
      <w:marBottom w:val="0"/>
      <w:divBdr>
        <w:top w:val="none" w:sz="0" w:space="0" w:color="auto"/>
        <w:left w:val="none" w:sz="0" w:space="0" w:color="auto"/>
        <w:bottom w:val="none" w:sz="0" w:space="0" w:color="auto"/>
        <w:right w:val="none" w:sz="0" w:space="0" w:color="auto"/>
      </w:divBdr>
    </w:div>
    <w:div w:id="581329291">
      <w:bodyDiv w:val="1"/>
      <w:marLeft w:val="0"/>
      <w:marRight w:val="0"/>
      <w:marTop w:val="0"/>
      <w:marBottom w:val="0"/>
      <w:divBdr>
        <w:top w:val="none" w:sz="0" w:space="0" w:color="auto"/>
        <w:left w:val="none" w:sz="0" w:space="0" w:color="auto"/>
        <w:bottom w:val="none" w:sz="0" w:space="0" w:color="auto"/>
        <w:right w:val="none" w:sz="0" w:space="0" w:color="auto"/>
      </w:divBdr>
    </w:div>
    <w:div w:id="583874996">
      <w:bodyDiv w:val="1"/>
      <w:marLeft w:val="0"/>
      <w:marRight w:val="0"/>
      <w:marTop w:val="0"/>
      <w:marBottom w:val="0"/>
      <w:divBdr>
        <w:top w:val="none" w:sz="0" w:space="0" w:color="auto"/>
        <w:left w:val="none" w:sz="0" w:space="0" w:color="auto"/>
        <w:bottom w:val="none" w:sz="0" w:space="0" w:color="auto"/>
        <w:right w:val="none" w:sz="0" w:space="0" w:color="auto"/>
      </w:divBdr>
    </w:div>
    <w:div w:id="585117613">
      <w:bodyDiv w:val="1"/>
      <w:marLeft w:val="0"/>
      <w:marRight w:val="0"/>
      <w:marTop w:val="0"/>
      <w:marBottom w:val="0"/>
      <w:divBdr>
        <w:top w:val="none" w:sz="0" w:space="0" w:color="auto"/>
        <w:left w:val="none" w:sz="0" w:space="0" w:color="auto"/>
        <w:bottom w:val="none" w:sz="0" w:space="0" w:color="auto"/>
        <w:right w:val="none" w:sz="0" w:space="0" w:color="auto"/>
      </w:divBdr>
    </w:div>
    <w:div w:id="587270479">
      <w:bodyDiv w:val="1"/>
      <w:marLeft w:val="0"/>
      <w:marRight w:val="0"/>
      <w:marTop w:val="0"/>
      <w:marBottom w:val="0"/>
      <w:divBdr>
        <w:top w:val="none" w:sz="0" w:space="0" w:color="auto"/>
        <w:left w:val="none" w:sz="0" w:space="0" w:color="auto"/>
        <w:bottom w:val="none" w:sz="0" w:space="0" w:color="auto"/>
        <w:right w:val="none" w:sz="0" w:space="0" w:color="auto"/>
      </w:divBdr>
    </w:div>
    <w:div w:id="589579231">
      <w:bodyDiv w:val="1"/>
      <w:marLeft w:val="0"/>
      <w:marRight w:val="0"/>
      <w:marTop w:val="0"/>
      <w:marBottom w:val="0"/>
      <w:divBdr>
        <w:top w:val="none" w:sz="0" w:space="0" w:color="auto"/>
        <w:left w:val="none" w:sz="0" w:space="0" w:color="auto"/>
        <w:bottom w:val="none" w:sz="0" w:space="0" w:color="auto"/>
        <w:right w:val="none" w:sz="0" w:space="0" w:color="auto"/>
      </w:divBdr>
    </w:div>
    <w:div w:id="590625915">
      <w:bodyDiv w:val="1"/>
      <w:marLeft w:val="0"/>
      <w:marRight w:val="0"/>
      <w:marTop w:val="0"/>
      <w:marBottom w:val="0"/>
      <w:divBdr>
        <w:top w:val="none" w:sz="0" w:space="0" w:color="auto"/>
        <w:left w:val="none" w:sz="0" w:space="0" w:color="auto"/>
        <w:bottom w:val="none" w:sz="0" w:space="0" w:color="auto"/>
        <w:right w:val="none" w:sz="0" w:space="0" w:color="auto"/>
      </w:divBdr>
    </w:div>
    <w:div w:id="591090943">
      <w:bodyDiv w:val="1"/>
      <w:marLeft w:val="0"/>
      <w:marRight w:val="0"/>
      <w:marTop w:val="0"/>
      <w:marBottom w:val="0"/>
      <w:divBdr>
        <w:top w:val="none" w:sz="0" w:space="0" w:color="auto"/>
        <w:left w:val="none" w:sz="0" w:space="0" w:color="auto"/>
        <w:bottom w:val="none" w:sz="0" w:space="0" w:color="auto"/>
        <w:right w:val="none" w:sz="0" w:space="0" w:color="auto"/>
      </w:divBdr>
    </w:div>
    <w:div w:id="592589343">
      <w:bodyDiv w:val="1"/>
      <w:marLeft w:val="0"/>
      <w:marRight w:val="0"/>
      <w:marTop w:val="0"/>
      <w:marBottom w:val="0"/>
      <w:divBdr>
        <w:top w:val="none" w:sz="0" w:space="0" w:color="auto"/>
        <w:left w:val="none" w:sz="0" w:space="0" w:color="auto"/>
        <w:bottom w:val="none" w:sz="0" w:space="0" w:color="auto"/>
        <w:right w:val="none" w:sz="0" w:space="0" w:color="auto"/>
      </w:divBdr>
    </w:div>
    <w:div w:id="593633752">
      <w:bodyDiv w:val="1"/>
      <w:marLeft w:val="0"/>
      <w:marRight w:val="0"/>
      <w:marTop w:val="0"/>
      <w:marBottom w:val="0"/>
      <w:divBdr>
        <w:top w:val="none" w:sz="0" w:space="0" w:color="auto"/>
        <w:left w:val="none" w:sz="0" w:space="0" w:color="auto"/>
        <w:bottom w:val="none" w:sz="0" w:space="0" w:color="auto"/>
        <w:right w:val="none" w:sz="0" w:space="0" w:color="auto"/>
      </w:divBdr>
    </w:div>
    <w:div w:id="596065039">
      <w:bodyDiv w:val="1"/>
      <w:marLeft w:val="0"/>
      <w:marRight w:val="0"/>
      <w:marTop w:val="0"/>
      <w:marBottom w:val="0"/>
      <w:divBdr>
        <w:top w:val="none" w:sz="0" w:space="0" w:color="auto"/>
        <w:left w:val="none" w:sz="0" w:space="0" w:color="auto"/>
        <w:bottom w:val="none" w:sz="0" w:space="0" w:color="auto"/>
        <w:right w:val="none" w:sz="0" w:space="0" w:color="auto"/>
      </w:divBdr>
    </w:div>
    <w:div w:id="597905228">
      <w:bodyDiv w:val="1"/>
      <w:marLeft w:val="0"/>
      <w:marRight w:val="0"/>
      <w:marTop w:val="0"/>
      <w:marBottom w:val="0"/>
      <w:divBdr>
        <w:top w:val="none" w:sz="0" w:space="0" w:color="auto"/>
        <w:left w:val="none" w:sz="0" w:space="0" w:color="auto"/>
        <w:bottom w:val="none" w:sz="0" w:space="0" w:color="auto"/>
        <w:right w:val="none" w:sz="0" w:space="0" w:color="auto"/>
      </w:divBdr>
    </w:div>
    <w:div w:id="598414404">
      <w:bodyDiv w:val="1"/>
      <w:marLeft w:val="0"/>
      <w:marRight w:val="0"/>
      <w:marTop w:val="0"/>
      <w:marBottom w:val="0"/>
      <w:divBdr>
        <w:top w:val="none" w:sz="0" w:space="0" w:color="auto"/>
        <w:left w:val="none" w:sz="0" w:space="0" w:color="auto"/>
        <w:bottom w:val="none" w:sz="0" w:space="0" w:color="auto"/>
        <w:right w:val="none" w:sz="0" w:space="0" w:color="auto"/>
      </w:divBdr>
    </w:div>
    <w:div w:id="599721570">
      <w:bodyDiv w:val="1"/>
      <w:marLeft w:val="0"/>
      <w:marRight w:val="0"/>
      <w:marTop w:val="0"/>
      <w:marBottom w:val="0"/>
      <w:divBdr>
        <w:top w:val="none" w:sz="0" w:space="0" w:color="auto"/>
        <w:left w:val="none" w:sz="0" w:space="0" w:color="auto"/>
        <w:bottom w:val="none" w:sz="0" w:space="0" w:color="auto"/>
        <w:right w:val="none" w:sz="0" w:space="0" w:color="auto"/>
      </w:divBdr>
    </w:div>
    <w:div w:id="604338731">
      <w:bodyDiv w:val="1"/>
      <w:marLeft w:val="0"/>
      <w:marRight w:val="0"/>
      <w:marTop w:val="0"/>
      <w:marBottom w:val="0"/>
      <w:divBdr>
        <w:top w:val="none" w:sz="0" w:space="0" w:color="auto"/>
        <w:left w:val="none" w:sz="0" w:space="0" w:color="auto"/>
        <w:bottom w:val="none" w:sz="0" w:space="0" w:color="auto"/>
        <w:right w:val="none" w:sz="0" w:space="0" w:color="auto"/>
      </w:divBdr>
    </w:div>
    <w:div w:id="604387901">
      <w:bodyDiv w:val="1"/>
      <w:marLeft w:val="0"/>
      <w:marRight w:val="0"/>
      <w:marTop w:val="0"/>
      <w:marBottom w:val="0"/>
      <w:divBdr>
        <w:top w:val="none" w:sz="0" w:space="0" w:color="auto"/>
        <w:left w:val="none" w:sz="0" w:space="0" w:color="auto"/>
        <w:bottom w:val="none" w:sz="0" w:space="0" w:color="auto"/>
        <w:right w:val="none" w:sz="0" w:space="0" w:color="auto"/>
      </w:divBdr>
    </w:div>
    <w:div w:id="608321491">
      <w:bodyDiv w:val="1"/>
      <w:marLeft w:val="0"/>
      <w:marRight w:val="0"/>
      <w:marTop w:val="0"/>
      <w:marBottom w:val="0"/>
      <w:divBdr>
        <w:top w:val="none" w:sz="0" w:space="0" w:color="auto"/>
        <w:left w:val="none" w:sz="0" w:space="0" w:color="auto"/>
        <w:bottom w:val="none" w:sz="0" w:space="0" w:color="auto"/>
        <w:right w:val="none" w:sz="0" w:space="0" w:color="auto"/>
      </w:divBdr>
    </w:div>
    <w:div w:id="611203690">
      <w:bodyDiv w:val="1"/>
      <w:marLeft w:val="0"/>
      <w:marRight w:val="0"/>
      <w:marTop w:val="0"/>
      <w:marBottom w:val="0"/>
      <w:divBdr>
        <w:top w:val="none" w:sz="0" w:space="0" w:color="auto"/>
        <w:left w:val="none" w:sz="0" w:space="0" w:color="auto"/>
        <w:bottom w:val="none" w:sz="0" w:space="0" w:color="auto"/>
        <w:right w:val="none" w:sz="0" w:space="0" w:color="auto"/>
      </w:divBdr>
    </w:div>
    <w:div w:id="614287706">
      <w:bodyDiv w:val="1"/>
      <w:marLeft w:val="0"/>
      <w:marRight w:val="0"/>
      <w:marTop w:val="0"/>
      <w:marBottom w:val="0"/>
      <w:divBdr>
        <w:top w:val="none" w:sz="0" w:space="0" w:color="auto"/>
        <w:left w:val="none" w:sz="0" w:space="0" w:color="auto"/>
        <w:bottom w:val="none" w:sz="0" w:space="0" w:color="auto"/>
        <w:right w:val="none" w:sz="0" w:space="0" w:color="auto"/>
      </w:divBdr>
    </w:div>
    <w:div w:id="614992831">
      <w:bodyDiv w:val="1"/>
      <w:marLeft w:val="0"/>
      <w:marRight w:val="0"/>
      <w:marTop w:val="0"/>
      <w:marBottom w:val="0"/>
      <w:divBdr>
        <w:top w:val="none" w:sz="0" w:space="0" w:color="auto"/>
        <w:left w:val="none" w:sz="0" w:space="0" w:color="auto"/>
        <w:bottom w:val="none" w:sz="0" w:space="0" w:color="auto"/>
        <w:right w:val="none" w:sz="0" w:space="0" w:color="auto"/>
      </w:divBdr>
    </w:div>
    <w:div w:id="615210348">
      <w:bodyDiv w:val="1"/>
      <w:marLeft w:val="0"/>
      <w:marRight w:val="0"/>
      <w:marTop w:val="0"/>
      <w:marBottom w:val="0"/>
      <w:divBdr>
        <w:top w:val="none" w:sz="0" w:space="0" w:color="auto"/>
        <w:left w:val="none" w:sz="0" w:space="0" w:color="auto"/>
        <w:bottom w:val="none" w:sz="0" w:space="0" w:color="auto"/>
        <w:right w:val="none" w:sz="0" w:space="0" w:color="auto"/>
      </w:divBdr>
    </w:div>
    <w:div w:id="619265187">
      <w:bodyDiv w:val="1"/>
      <w:marLeft w:val="0"/>
      <w:marRight w:val="0"/>
      <w:marTop w:val="0"/>
      <w:marBottom w:val="0"/>
      <w:divBdr>
        <w:top w:val="none" w:sz="0" w:space="0" w:color="auto"/>
        <w:left w:val="none" w:sz="0" w:space="0" w:color="auto"/>
        <w:bottom w:val="none" w:sz="0" w:space="0" w:color="auto"/>
        <w:right w:val="none" w:sz="0" w:space="0" w:color="auto"/>
      </w:divBdr>
    </w:div>
    <w:div w:id="619994457">
      <w:bodyDiv w:val="1"/>
      <w:marLeft w:val="0"/>
      <w:marRight w:val="0"/>
      <w:marTop w:val="0"/>
      <w:marBottom w:val="0"/>
      <w:divBdr>
        <w:top w:val="none" w:sz="0" w:space="0" w:color="auto"/>
        <w:left w:val="none" w:sz="0" w:space="0" w:color="auto"/>
        <w:bottom w:val="none" w:sz="0" w:space="0" w:color="auto"/>
        <w:right w:val="none" w:sz="0" w:space="0" w:color="auto"/>
      </w:divBdr>
    </w:div>
    <w:div w:id="622228695">
      <w:bodyDiv w:val="1"/>
      <w:marLeft w:val="0"/>
      <w:marRight w:val="0"/>
      <w:marTop w:val="0"/>
      <w:marBottom w:val="0"/>
      <w:divBdr>
        <w:top w:val="none" w:sz="0" w:space="0" w:color="auto"/>
        <w:left w:val="none" w:sz="0" w:space="0" w:color="auto"/>
        <w:bottom w:val="none" w:sz="0" w:space="0" w:color="auto"/>
        <w:right w:val="none" w:sz="0" w:space="0" w:color="auto"/>
      </w:divBdr>
    </w:div>
    <w:div w:id="623731717">
      <w:bodyDiv w:val="1"/>
      <w:marLeft w:val="0"/>
      <w:marRight w:val="0"/>
      <w:marTop w:val="0"/>
      <w:marBottom w:val="0"/>
      <w:divBdr>
        <w:top w:val="none" w:sz="0" w:space="0" w:color="auto"/>
        <w:left w:val="none" w:sz="0" w:space="0" w:color="auto"/>
        <w:bottom w:val="none" w:sz="0" w:space="0" w:color="auto"/>
        <w:right w:val="none" w:sz="0" w:space="0" w:color="auto"/>
      </w:divBdr>
    </w:div>
    <w:div w:id="625165631">
      <w:bodyDiv w:val="1"/>
      <w:marLeft w:val="0"/>
      <w:marRight w:val="0"/>
      <w:marTop w:val="0"/>
      <w:marBottom w:val="0"/>
      <w:divBdr>
        <w:top w:val="none" w:sz="0" w:space="0" w:color="auto"/>
        <w:left w:val="none" w:sz="0" w:space="0" w:color="auto"/>
        <w:bottom w:val="none" w:sz="0" w:space="0" w:color="auto"/>
        <w:right w:val="none" w:sz="0" w:space="0" w:color="auto"/>
      </w:divBdr>
    </w:div>
    <w:div w:id="626590904">
      <w:bodyDiv w:val="1"/>
      <w:marLeft w:val="0"/>
      <w:marRight w:val="0"/>
      <w:marTop w:val="0"/>
      <w:marBottom w:val="0"/>
      <w:divBdr>
        <w:top w:val="none" w:sz="0" w:space="0" w:color="auto"/>
        <w:left w:val="none" w:sz="0" w:space="0" w:color="auto"/>
        <w:bottom w:val="none" w:sz="0" w:space="0" w:color="auto"/>
        <w:right w:val="none" w:sz="0" w:space="0" w:color="auto"/>
      </w:divBdr>
    </w:div>
    <w:div w:id="627516091">
      <w:bodyDiv w:val="1"/>
      <w:marLeft w:val="0"/>
      <w:marRight w:val="0"/>
      <w:marTop w:val="0"/>
      <w:marBottom w:val="0"/>
      <w:divBdr>
        <w:top w:val="none" w:sz="0" w:space="0" w:color="auto"/>
        <w:left w:val="none" w:sz="0" w:space="0" w:color="auto"/>
        <w:bottom w:val="none" w:sz="0" w:space="0" w:color="auto"/>
        <w:right w:val="none" w:sz="0" w:space="0" w:color="auto"/>
      </w:divBdr>
    </w:div>
    <w:div w:id="627856607">
      <w:bodyDiv w:val="1"/>
      <w:marLeft w:val="0"/>
      <w:marRight w:val="0"/>
      <w:marTop w:val="0"/>
      <w:marBottom w:val="0"/>
      <w:divBdr>
        <w:top w:val="none" w:sz="0" w:space="0" w:color="auto"/>
        <w:left w:val="none" w:sz="0" w:space="0" w:color="auto"/>
        <w:bottom w:val="none" w:sz="0" w:space="0" w:color="auto"/>
        <w:right w:val="none" w:sz="0" w:space="0" w:color="auto"/>
      </w:divBdr>
    </w:div>
    <w:div w:id="631981072">
      <w:bodyDiv w:val="1"/>
      <w:marLeft w:val="0"/>
      <w:marRight w:val="0"/>
      <w:marTop w:val="0"/>
      <w:marBottom w:val="0"/>
      <w:divBdr>
        <w:top w:val="none" w:sz="0" w:space="0" w:color="auto"/>
        <w:left w:val="none" w:sz="0" w:space="0" w:color="auto"/>
        <w:bottom w:val="none" w:sz="0" w:space="0" w:color="auto"/>
        <w:right w:val="none" w:sz="0" w:space="0" w:color="auto"/>
      </w:divBdr>
    </w:div>
    <w:div w:id="634682378">
      <w:bodyDiv w:val="1"/>
      <w:marLeft w:val="0"/>
      <w:marRight w:val="0"/>
      <w:marTop w:val="0"/>
      <w:marBottom w:val="0"/>
      <w:divBdr>
        <w:top w:val="none" w:sz="0" w:space="0" w:color="auto"/>
        <w:left w:val="none" w:sz="0" w:space="0" w:color="auto"/>
        <w:bottom w:val="none" w:sz="0" w:space="0" w:color="auto"/>
        <w:right w:val="none" w:sz="0" w:space="0" w:color="auto"/>
      </w:divBdr>
    </w:div>
    <w:div w:id="635646458">
      <w:bodyDiv w:val="1"/>
      <w:marLeft w:val="0"/>
      <w:marRight w:val="0"/>
      <w:marTop w:val="0"/>
      <w:marBottom w:val="0"/>
      <w:divBdr>
        <w:top w:val="none" w:sz="0" w:space="0" w:color="auto"/>
        <w:left w:val="none" w:sz="0" w:space="0" w:color="auto"/>
        <w:bottom w:val="none" w:sz="0" w:space="0" w:color="auto"/>
        <w:right w:val="none" w:sz="0" w:space="0" w:color="auto"/>
      </w:divBdr>
    </w:div>
    <w:div w:id="636684578">
      <w:bodyDiv w:val="1"/>
      <w:marLeft w:val="0"/>
      <w:marRight w:val="0"/>
      <w:marTop w:val="0"/>
      <w:marBottom w:val="0"/>
      <w:divBdr>
        <w:top w:val="none" w:sz="0" w:space="0" w:color="auto"/>
        <w:left w:val="none" w:sz="0" w:space="0" w:color="auto"/>
        <w:bottom w:val="none" w:sz="0" w:space="0" w:color="auto"/>
        <w:right w:val="none" w:sz="0" w:space="0" w:color="auto"/>
      </w:divBdr>
    </w:div>
    <w:div w:id="637688915">
      <w:bodyDiv w:val="1"/>
      <w:marLeft w:val="0"/>
      <w:marRight w:val="0"/>
      <w:marTop w:val="0"/>
      <w:marBottom w:val="0"/>
      <w:divBdr>
        <w:top w:val="none" w:sz="0" w:space="0" w:color="auto"/>
        <w:left w:val="none" w:sz="0" w:space="0" w:color="auto"/>
        <w:bottom w:val="none" w:sz="0" w:space="0" w:color="auto"/>
        <w:right w:val="none" w:sz="0" w:space="0" w:color="auto"/>
      </w:divBdr>
    </w:div>
    <w:div w:id="638457108">
      <w:bodyDiv w:val="1"/>
      <w:marLeft w:val="0"/>
      <w:marRight w:val="0"/>
      <w:marTop w:val="0"/>
      <w:marBottom w:val="0"/>
      <w:divBdr>
        <w:top w:val="none" w:sz="0" w:space="0" w:color="auto"/>
        <w:left w:val="none" w:sz="0" w:space="0" w:color="auto"/>
        <w:bottom w:val="none" w:sz="0" w:space="0" w:color="auto"/>
        <w:right w:val="none" w:sz="0" w:space="0" w:color="auto"/>
      </w:divBdr>
    </w:div>
    <w:div w:id="640766285">
      <w:bodyDiv w:val="1"/>
      <w:marLeft w:val="0"/>
      <w:marRight w:val="0"/>
      <w:marTop w:val="0"/>
      <w:marBottom w:val="0"/>
      <w:divBdr>
        <w:top w:val="none" w:sz="0" w:space="0" w:color="auto"/>
        <w:left w:val="none" w:sz="0" w:space="0" w:color="auto"/>
        <w:bottom w:val="none" w:sz="0" w:space="0" w:color="auto"/>
        <w:right w:val="none" w:sz="0" w:space="0" w:color="auto"/>
      </w:divBdr>
    </w:div>
    <w:div w:id="645864429">
      <w:bodyDiv w:val="1"/>
      <w:marLeft w:val="0"/>
      <w:marRight w:val="0"/>
      <w:marTop w:val="0"/>
      <w:marBottom w:val="0"/>
      <w:divBdr>
        <w:top w:val="none" w:sz="0" w:space="0" w:color="auto"/>
        <w:left w:val="none" w:sz="0" w:space="0" w:color="auto"/>
        <w:bottom w:val="none" w:sz="0" w:space="0" w:color="auto"/>
        <w:right w:val="none" w:sz="0" w:space="0" w:color="auto"/>
      </w:divBdr>
    </w:div>
    <w:div w:id="645865898">
      <w:bodyDiv w:val="1"/>
      <w:marLeft w:val="0"/>
      <w:marRight w:val="0"/>
      <w:marTop w:val="0"/>
      <w:marBottom w:val="0"/>
      <w:divBdr>
        <w:top w:val="none" w:sz="0" w:space="0" w:color="auto"/>
        <w:left w:val="none" w:sz="0" w:space="0" w:color="auto"/>
        <w:bottom w:val="none" w:sz="0" w:space="0" w:color="auto"/>
        <w:right w:val="none" w:sz="0" w:space="0" w:color="auto"/>
      </w:divBdr>
    </w:div>
    <w:div w:id="646322871">
      <w:bodyDiv w:val="1"/>
      <w:marLeft w:val="0"/>
      <w:marRight w:val="0"/>
      <w:marTop w:val="0"/>
      <w:marBottom w:val="0"/>
      <w:divBdr>
        <w:top w:val="none" w:sz="0" w:space="0" w:color="auto"/>
        <w:left w:val="none" w:sz="0" w:space="0" w:color="auto"/>
        <w:bottom w:val="none" w:sz="0" w:space="0" w:color="auto"/>
        <w:right w:val="none" w:sz="0" w:space="0" w:color="auto"/>
      </w:divBdr>
    </w:div>
    <w:div w:id="648634953">
      <w:bodyDiv w:val="1"/>
      <w:marLeft w:val="0"/>
      <w:marRight w:val="0"/>
      <w:marTop w:val="0"/>
      <w:marBottom w:val="0"/>
      <w:divBdr>
        <w:top w:val="none" w:sz="0" w:space="0" w:color="auto"/>
        <w:left w:val="none" w:sz="0" w:space="0" w:color="auto"/>
        <w:bottom w:val="none" w:sz="0" w:space="0" w:color="auto"/>
        <w:right w:val="none" w:sz="0" w:space="0" w:color="auto"/>
      </w:divBdr>
    </w:div>
    <w:div w:id="655838034">
      <w:bodyDiv w:val="1"/>
      <w:marLeft w:val="0"/>
      <w:marRight w:val="0"/>
      <w:marTop w:val="0"/>
      <w:marBottom w:val="0"/>
      <w:divBdr>
        <w:top w:val="none" w:sz="0" w:space="0" w:color="auto"/>
        <w:left w:val="none" w:sz="0" w:space="0" w:color="auto"/>
        <w:bottom w:val="none" w:sz="0" w:space="0" w:color="auto"/>
        <w:right w:val="none" w:sz="0" w:space="0" w:color="auto"/>
      </w:divBdr>
    </w:div>
    <w:div w:id="660356102">
      <w:bodyDiv w:val="1"/>
      <w:marLeft w:val="0"/>
      <w:marRight w:val="0"/>
      <w:marTop w:val="0"/>
      <w:marBottom w:val="0"/>
      <w:divBdr>
        <w:top w:val="none" w:sz="0" w:space="0" w:color="auto"/>
        <w:left w:val="none" w:sz="0" w:space="0" w:color="auto"/>
        <w:bottom w:val="none" w:sz="0" w:space="0" w:color="auto"/>
        <w:right w:val="none" w:sz="0" w:space="0" w:color="auto"/>
      </w:divBdr>
    </w:div>
    <w:div w:id="660432273">
      <w:bodyDiv w:val="1"/>
      <w:marLeft w:val="0"/>
      <w:marRight w:val="0"/>
      <w:marTop w:val="0"/>
      <w:marBottom w:val="0"/>
      <w:divBdr>
        <w:top w:val="none" w:sz="0" w:space="0" w:color="auto"/>
        <w:left w:val="none" w:sz="0" w:space="0" w:color="auto"/>
        <w:bottom w:val="none" w:sz="0" w:space="0" w:color="auto"/>
        <w:right w:val="none" w:sz="0" w:space="0" w:color="auto"/>
      </w:divBdr>
    </w:div>
    <w:div w:id="662859475">
      <w:bodyDiv w:val="1"/>
      <w:marLeft w:val="0"/>
      <w:marRight w:val="0"/>
      <w:marTop w:val="0"/>
      <w:marBottom w:val="0"/>
      <w:divBdr>
        <w:top w:val="none" w:sz="0" w:space="0" w:color="auto"/>
        <w:left w:val="none" w:sz="0" w:space="0" w:color="auto"/>
        <w:bottom w:val="none" w:sz="0" w:space="0" w:color="auto"/>
        <w:right w:val="none" w:sz="0" w:space="0" w:color="auto"/>
      </w:divBdr>
    </w:div>
    <w:div w:id="662976556">
      <w:bodyDiv w:val="1"/>
      <w:marLeft w:val="0"/>
      <w:marRight w:val="0"/>
      <w:marTop w:val="0"/>
      <w:marBottom w:val="0"/>
      <w:divBdr>
        <w:top w:val="none" w:sz="0" w:space="0" w:color="auto"/>
        <w:left w:val="none" w:sz="0" w:space="0" w:color="auto"/>
        <w:bottom w:val="none" w:sz="0" w:space="0" w:color="auto"/>
        <w:right w:val="none" w:sz="0" w:space="0" w:color="auto"/>
      </w:divBdr>
    </w:div>
    <w:div w:id="664673454">
      <w:bodyDiv w:val="1"/>
      <w:marLeft w:val="0"/>
      <w:marRight w:val="0"/>
      <w:marTop w:val="0"/>
      <w:marBottom w:val="0"/>
      <w:divBdr>
        <w:top w:val="none" w:sz="0" w:space="0" w:color="auto"/>
        <w:left w:val="none" w:sz="0" w:space="0" w:color="auto"/>
        <w:bottom w:val="none" w:sz="0" w:space="0" w:color="auto"/>
        <w:right w:val="none" w:sz="0" w:space="0" w:color="auto"/>
      </w:divBdr>
    </w:div>
    <w:div w:id="664943997">
      <w:bodyDiv w:val="1"/>
      <w:marLeft w:val="0"/>
      <w:marRight w:val="0"/>
      <w:marTop w:val="0"/>
      <w:marBottom w:val="0"/>
      <w:divBdr>
        <w:top w:val="none" w:sz="0" w:space="0" w:color="auto"/>
        <w:left w:val="none" w:sz="0" w:space="0" w:color="auto"/>
        <w:bottom w:val="none" w:sz="0" w:space="0" w:color="auto"/>
        <w:right w:val="none" w:sz="0" w:space="0" w:color="auto"/>
      </w:divBdr>
    </w:div>
    <w:div w:id="666976271">
      <w:bodyDiv w:val="1"/>
      <w:marLeft w:val="0"/>
      <w:marRight w:val="0"/>
      <w:marTop w:val="0"/>
      <w:marBottom w:val="0"/>
      <w:divBdr>
        <w:top w:val="none" w:sz="0" w:space="0" w:color="auto"/>
        <w:left w:val="none" w:sz="0" w:space="0" w:color="auto"/>
        <w:bottom w:val="none" w:sz="0" w:space="0" w:color="auto"/>
        <w:right w:val="none" w:sz="0" w:space="0" w:color="auto"/>
      </w:divBdr>
    </w:div>
    <w:div w:id="667296192">
      <w:bodyDiv w:val="1"/>
      <w:marLeft w:val="0"/>
      <w:marRight w:val="0"/>
      <w:marTop w:val="0"/>
      <w:marBottom w:val="0"/>
      <w:divBdr>
        <w:top w:val="none" w:sz="0" w:space="0" w:color="auto"/>
        <w:left w:val="none" w:sz="0" w:space="0" w:color="auto"/>
        <w:bottom w:val="none" w:sz="0" w:space="0" w:color="auto"/>
        <w:right w:val="none" w:sz="0" w:space="0" w:color="auto"/>
      </w:divBdr>
    </w:div>
    <w:div w:id="671950381">
      <w:bodyDiv w:val="1"/>
      <w:marLeft w:val="0"/>
      <w:marRight w:val="0"/>
      <w:marTop w:val="0"/>
      <w:marBottom w:val="0"/>
      <w:divBdr>
        <w:top w:val="none" w:sz="0" w:space="0" w:color="auto"/>
        <w:left w:val="none" w:sz="0" w:space="0" w:color="auto"/>
        <w:bottom w:val="none" w:sz="0" w:space="0" w:color="auto"/>
        <w:right w:val="none" w:sz="0" w:space="0" w:color="auto"/>
      </w:divBdr>
    </w:div>
    <w:div w:id="687682822">
      <w:bodyDiv w:val="1"/>
      <w:marLeft w:val="0"/>
      <w:marRight w:val="0"/>
      <w:marTop w:val="0"/>
      <w:marBottom w:val="0"/>
      <w:divBdr>
        <w:top w:val="none" w:sz="0" w:space="0" w:color="auto"/>
        <w:left w:val="none" w:sz="0" w:space="0" w:color="auto"/>
        <w:bottom w:val="none" w:sz="0" w:space="0" w:color="auto"/>
        <w:right w:val="none" w:sz="0" w:space="0" w:color="auto"/>
      </w:divBdr>
    </w:div>
    <w:div w:id="688876881">
      <w:bodyDiv w:val="1"/>
      <w:marLeft w:val="0"/>
      <w:marRight w:val="0"/>
      <w:marTop w:val="0"/>
      <w:marBottom w:val="0"/>
      <w:divBdr>
        <w:top w:val="none" w:sz="0" w:space="0" w:color="auto"/>
        <w:left w:val="none" w:sz="0" w:space="0" w:color="auto"/>
        <w:bottom w:val="none" w:sz="0" w:space="0" w:color="auto"/>
        <w:right w:val="none" w:sz="0" w:space="0" w:color="auto"/>
      </w:divBdr>
    </w:div>
    <w:div w:id="689721088">
      <w:bodyDiv w:val="1"/>
      <w:marLeft w:val="0"/>
      <w:marRight w:val="0"/>
      <w:marTop w:val="0"/>
      <w:marBottom w:val="0"/>
      <w:divBdr>
        <w:top w:val="none" w:sz="0" w:space="0" w:color="auto"/>
        <w:left w:val="none" w:sz="0" w:space="0" w:color="auto"/>
        <w:bottom w:val="none" w:sz="0" w:space="0" w:color="auto"/>
        <w:right w:val="none" w:sz="0" w:space="0" w:color="auto"/>
      </w:divBdr>
    </w:div>
    <w:div w:id="692850969">
      <w:bodyDiv w:val="1"/>
      <w:marLeft w:val="0"/>
      <w:marRight w:val="0"/>
      <w:marTop w:val="0"/>
      <w:marBottom w:val="0"/>
      <w:divBdr>
        <w:top w:val="none" w:sz="0" w:space="0" w:color="auto"/>
        <w:left w:val="none" w:sz="0" w:space="0" w:color="auto"/>
        <w:bottom w:val="none" w:sz="0" w:space="0" w:color="auto"/>
        <w:right w:val="none" w:sz="0" w:space="0" w:color="auto"/>
      </w:divBdr>
    </w:div>
    <w:div w:id="693456800">
      <w:bodyDiv w:val="1"/>
      <w:marLeft w:val="0"/>
      <w:marRight w:val="0"/>
      <w:marTop w:val="0"/>
      <w:marBottom w:val="0"/>
      <w:divBdr>
        <w:top w:val="none" w:sz="0" w:space="0" w:color="auto"/>
        <w:left w:val="none" w:sz="0" w:space="0" w:color="auto"/>
        <w:bottom w:val="none" w:sz="0" w:space="0" w:color="auto"/>
        <w:right w:val="none" w:sz="0" w:space="0" w:color="auto"/>
      </w:divBdr>
    </w:div>
    <w:div w:id="695278990">
      <w:bodyDiv w:val="1"/>
      <w:marLeft w:val="0"/>
      <w:marRight w:val="0"/>
      <w:marTop w:val="0"/>
      <w:marBottom w:val="0"/>
      <w:divBdr>
        <w:top w:val="none" w:sz="0" w:space="0" w:color="auto"/>
        <w:left w:val="none" w:sz="0" w:space="0" w:color="auto"/>
        <w:bottom w:val="none" w:sz="0" w:space="0" w:color="auto"/>
        <w:right w:val="none" w:sz="0" w:space="0" w:color="auto"/>
      </w:divBdr>
    </w:div>
    <w:div w:id="705640128">
      <w:bodyDiv w:val="1"/>
      <w:marLeft w:val="0"/>
      <w:marRight w:val="0"/>
      <w:marTop w:val="0"/>
      <w:marBottom w:val="0"/>
      <w:divBdr>
        <w:top w:val="none" w:sz="0" w:space="0" w:color="auto"/>
        <w:left w:val="none" w:sz="0" w:space="0" w:color="auto"/>
        <w:bottom w:val="none" w:sz="0" w:space="0" w:color="auto"/>
        <w:right w:val="none" w:sz="0" w:space="0" w:color="auto"/>
      </w:divBdr>
    </w:div>
    <w:div w:id="707992606">
      <w:bodyDiv w:val="1"/>
      <w:marLeft w:val="0"/>
      <w:marRight w:val="0"/>
      <w:marTop w:val="0"/>
      <w:marBottom w:val="0"/>
      <w:divBdr>
        <w:top w:val="none" w:sz="0" w:space="0" w:color="auto"/>
        <w:left w:val="none" w:sz="0" w:space="0" w:color="auto"/>
        <w:bottom w:val="none" w:sz="0" w:space="0" w:color="auto"/>
        <w:right w:val="none" w:sz="0" w:space="0" w:color="auto"/>
      </w:divBdr>
    </w:div>
    <w:div w:id="716392459">
      <w:bodyDiv w:val="1"/>
      <w:marLeft w:val="0"/>
      <w:marRight w:val="0"/>
      <w:marTop w:val="0"/>
      <w:marBottom w:val="0"/>
      <w:divBdr>
        <w:top w:val="none" w:sz="0" w:space="0" w:color="auto"/>
        <w:left w:val="none" w:sz="0" w:space="0" w:color="auto"/>
        <w:bottom w:val="none" w:sz="0" w:space="0" w:color="auto"/>
        <w:right w:val="none" w:sz="0" w:space="0" w:color="auto"/>
      </w:divBdr>
    </w:div>
    <w:div w:id="717513895">
      <w:bodyDiv w:val="1"/>
      <w:marLeft w:val="0"/>
      <w:marRight w:val="0"/>
      <w:marTop w:val="0"/>
      <w:marBottom w:val="0"/>
      <w:divBdr>
        <w:top w:val="none" w:sz="0" w:space="0" w:color="auto"/>
        <w:left w:val="none" w:sz="0" w:space="0" w:color="auto"/>
        <w:bottom w:val="none" w:sz="0" w:space="0" w:color="auto"/>
        <w:right w:val="none" w:sz="0" w:space="0" w:color="auto"/>
      </w:divBdr>
    </w:div>
    <w:div w:id="718937420">
      <w:bodyDiv w:val="1"/>
      <w:marLeft w:val="0"/>
      <w:marRight w:val="0"/>
      <w:marTop w:val="0"/>
      <w:marBottom w:val="0"/>
      <w:divBdr>
        <w:top w:val="none" w:sz="0" w:space="0" w:color="auto"/>
        <w:left w:val="none" w:sz="0" w:space="0" w:color="auto"/>
        <w:bottom w:val="none" w:sz="0" w:space="0" w:color="auto"/>
        <w:right w:val="none" w:sz="0" w:space="0" w:color="auto"/>
      </w:divBdr>
    </w:div>
    <w:div w:id="719089849">
      <w:bodyDiv w:val="1"/>
      <w:marLeft w:val="0"/>
      <w:marRight w:val="0"/>
      <w:marTop w:val="0"/>
      <w:marBottom w:val="0"/>
      <w:divBdr>
        <w:top w:val="none" w:sz="0" w:space="0" w:color="auto"/>
        <w:left w:val="none" w:sz="0" w:space="0" w:color="auto"/>
        <w:bottom w:val="none" w:sz="0" w:space="0" w:color="auto"/>
        <w:right w:val="none" w:sz="0" w:space="0" w:color="auto"/>
      </w:divBdr>
    </w:div>
    <w:div w:id="722757560">
      <w:bodyDiv w:val="1"/>
      <w:marLeft w:val="0"/>
      <w:marRight w:val="0"/>
      <w:marTop w:val="0"/>
      <w:marBottom w:val="0"/>
      <w:divBdr>
        <w:top w:val="none" w:sz="0" w:space="0" w:color="auto"/>
        <w:left w:val="none" w:sz="0" w:space="0" w:color="auto"/>
        <w:bottom w:val="none" w:sz="0" w:space="0" w:color="auto"/>
        <w:right w:val="none" w:sz="0" w:space="0" w:color="auto"/>
      </w:divBdr>
    </w:div>
    <w:div w:id="723211403">
      <w:bodyDiv w:val="1"/>
      <w:marLeft w:val="0"/>
      <w:marRight w:val="0"/>
      <w:marTop w:val="0"/>
      <w:marBottom w:val="0"/>
      <w:divBdr>
        <w:top w:val="none" w:sz="0" w:space="0" w:color="auto"/>
        <w:left w:val="none" w:sz="0" w:space="0" w:color="auto"/>
        <w:bottom w:val="none" w:sz="0" w:space="0" w:color="auto"/>
        <w:right w:val="none" w:sz="0" w:space="0" w:color="auto"/>
      </w:divBdr>
    </w:div>
    <w:div w:id="726034841">
      <w:bodyDiv w:val="1"/>
      <w:marLeft w:val="0"/>
      <w:marRight w:val="0"/>
      <w:marTop w:val="0"/>
      <w:marBottom w:val="0"/>
      <w:divBdr>
        <w:top w:val="none" w:sz="0" w:space="0" w:color="auto"/>
        <w:left w:val="none" w:sz="0" w:space="0" w:color="auto"/>
        <w:bottom w:val="none" w:sz="0" w:space="0" w:color="auto"/>
        <w:right w:val="none" w:sz="0" w:space="0" w:color="auto"/>
      </w:divBdr>
    </w:div>
    <w:div w:id="728192756">
      <w:bodyDiv w:val="1"/>
      <w:marLeft w:val="0"/>
      <w:marRight w:val="0"/>
      <w:marTop w:val="0"/>
      <w:marBottom w:val="0"/>
      <w:divBdr>
        <w:top w:val="none" w:sz="0" w:space="0" w:color="auto"/>
        <w:left w:val="none" w:sz="0" w:space="0" w:color="auto"/>
        <w:bottom w:val="none" w:sz="0" w:space="0" w:color="auto"/>
        <w:right w:val="none" w:sz="0" w:space="0" w:color="auto"/>
      </w:divBdr>
    </w:div>
    <w:div w:id="729307680">
      <w:bodyDiv w:val="1"/>
      <w:marLeft w:val="0"/>
      <w:marRight w:val="0"/>
      <w:marTop w:val="0"/>
      <w:marBottom w:val="0"/>
      <w:divBdr>
        <w:top w:val="none" w:sz="0" w:space="0" w:color="auto"/>
        <w:left w:val="none" w:sz="0" w:space="0" w:color="auto"/>
        <w:bottom w:val="none" w:sz="0" w:space="0" w:color="auto"/>
        <w:right w:val="none" w:sz="0" w:space="0" w:color="auto"/>
      </w:divBdr>
    </w:div>
    <w:div w:id="732004272">
      <w:bodyDiv w:val="1"/>
      <w:marLeft w:val="0"/>
      <w:marRight w:val="0"/>
      <w:marTop w:val="0"/>
      <w:marBottom w:val="0"/>
      <w:divBdr>
        <w:top w:val="none" w:sz="0" w:space="0" w:color="auto"/>
        <w:left w:val="none" w:sz="0" w:space="0" w:color="auto"/>
        <w:bottom w:val="none" w:sz="0" w:space="0" w:color="auto"/>
        <w:right w:val="none" w:sz="0" w:space="0" w:color="auto"/>
      </w:divBdr>
    </w:div>
    <w:div w:id="732627568">
      <w:bodyDiv w:val="1"/>
      <w:marLeft w:val="0"/>
      <w:marRight w:val="0"/>
      <w:marTop w:val="0"/>
      <w:marBottom w:val="0"/>
      <w:divBdr>
        <w:top w:val="none" w:sz="0" w:space="0" w:color="auto"/>
        <w:left w:val="none" w:sz="0" w:space="0" w:color="auto"/>
        <w:bottom w:val="none" w:sz="0" w:space="0" w:color="auto"/>
        <w:right w:val="none" w:sz="0" w:space="0" w:color="auto"/>
      </w:divBdr>
    </w:div>
    <w:div w:id="741676808">
      <w:bodyDiv w:val="1"/>
      <w:marLeft w:val="0"/>
      <w:marRight w:val="0"/>
      <w:marTop w:val="0"/>
      <w:marBottom w:val="0"/>
      <w:divBdr>
        <w:top w:val="none" w:sz="0" w:space="0" w:color="auto"/>
        <w:left w:val="none" w:sz="0" w:space="0" w:color="auto"/>
        <w:bottom w:val="none" w:sz="0" w:space="0" w:color="auto"/>
        <w:right w:val="none" w:sz="0" w:space="0" w:color="auto"/>
      </w:divBdr>
    </w:div>
    <w:div w:id="741832863">
      <w:bodyDiv w:val="1"/>
      <w:marLeft w:val="0"/>
      <w:marRight w:val="0"/>
      <w:marTop w:val="0"/>
      <w:marBottom w:val="0"/>
      <w:divBdr>
        <w:top w:val="none" w:sz="0" w:space="0" w:color="auto"/>
        <w:left w:val="none" w:sz="0" w:space="0" w:color="auto"/>
        <w:bottom w:val="none" w:sz="0" w:space="0" w:color="auto"/>
        <w:right w:val="none" w:sz="0" w:space="0" w:color="auto"/>
      </w:divBdr>
    </w:div>
    <w:div w:id="742677254">
      <w:bodyDiv w:val="1"/>
      <w:marLeft w:val="0"/>
      <w:marRight w:val="0"/>
      <w:marTop w:val="0"/>
      <w:marBottom w:val="0"/>
      <w:divBdr>
        <w:top w:val="none" w:sz="0" w:space="0" w:color="auto"/>
        <w:left w:val="none" w:sz="0" w:space="0" w:color="auto"/>
        <w:bottom w:val="none" w:sz="0" w:space="0" w:color="auto"/>
        <w:right w:val="none" w:sz="0" w:space="0" w:color="auto"/>
      </w:divBdr>
    </w:div>
    <w:div w:id="744954348">
      <w:bodyDiv w:val="1"/>
      <w:marLeft w:val="0"/>
      <w:marRight w:val="0"/>
      <w:marTop w:val="0"/>
      <w:marBottom w:val="0"/>
      <w:divBdr>
        <w:top w:val="none" w:sz="0" w:space="0" w:color="auto"/>
        <w:left w:val="none" w:sz="0" w:space="0" w:color="auto"/>
        <w:bottom w:val="none" w:sz="0" w:space="0" w:color="auto"/>
        <w:right w:val="none" w:sz="0" w:space="0" w:color="auto"/>
      </w:divBdr>
    </w:div>
    <w:div w:id="748305600">
      <w:bodyDiv w:val="1"/>
      <w:marLeft w:val="0"/>
      <w:marRight w:val="0"/>
      <w:marTop w:val="0"/>
      <w:marBottom w:val="0"/>
      <w:divBdr>
        <w:top w:val="none" w:sz="0" w:space="0" w:color="auto"/>
        <w:left w:val="none" w:sz="0" w:space="0" w:color="auto"/>
        <w:bottom w:val="none" w:sz="0" w:space="0" w:color="auto"/>
        <w:right w:val="none" w:sz="0" w:space="0" w:color="auto"/>
      </w:divBdr>
    </w:div>
    <w:div w:id="750546388">
      <w:bodyDiv w:val="1"/>
      <w:marLeft w:val="0"/>
      <w:marRight w:val="0"/>
      <w:marTop w:val="0"/>
      <w:marBottom w:val="0"/>
      <w:divBdr>
        <w:top w:val="none" w:sz="0" w:space="0" w:color="auto"/>
        <w:left w:val="none" w:sz="0" w:space="0" w:color="auto"/>
        <w:bottom w:val="none" w:sz="0" w:space="0" w:color="auto"/>
        <w:right w:val="none" w:sz="0" w:space="0" w:color="auto"/>
      </w:divBdr>
    </w:div>
    <w:div w:id="751126152">
      <w:bodyDiv w:val="1"/>
      <w:marLeft w:val="0"/>
      <w:marRight w:val="0"/>
      <w:marTop w:val="0"/>
      <w:marBottom w:val="0"/>
      <w:divBdr>
        <w:top w:val="none" w:sz="0" w:space="0" w:color="auto"/>
        <w:left w:val="none" w:sz="0" w:space="0" w:color="auto"/>
        <w:bottom w:val="none" w:sz="0" w:space="0" w:color="auto"/>
        <w:right w:val="none" w:sz="0" w:space="0" w:color="auto"/>
      </w:divBdr>
    </w:div>
    <w:div w:id="753821518">
      <w:bodyDiv w:val="1"/>
      <w:marLeft w:val="0"/>
      <w:marRight w:val="0"/>
      <w:marTop w:val="0"/>
      <w:marBottom w:val="0"/>
      <w:divBdr>
        <w:top w:val="none" w:sz="0" w:space="0" w:color="auto"/>
        <w:left w:val="none" w:sz="0" w:space="0" w:color="auto"/>
        <w:bottom w:val="none" w:sz="0" w:space="0" w:color="auto"/>
        <w:right w:val="none" w:sz="0" w:space="0" w:color="auto"/>
      </w:divBdr>
    </w:div>
    <w:div w:id="754326217">
      <w:bodyDiv w:val="1"/>
      <w:marLeft w:val="0"/>
      <w:marRight w:val="0"/>
      <w:marTop w:val="0"/>
      <w:marBottom w:val="0"/>
      <w:divBdr>
        <w:top w:val="none" w:sz="0" w:space="0" w:color="auto"/>
        <w:left w:val="none" w:sz="0" w:space="0" w:color="auto"/>
        <w:bottom w:val="none" w:sz="0" w:space="0" w:color="auto"/>
        <w:right w:val="none" w:sz="0" w:space="0" w:color="auto"/>
      </w:divBdr>
    </w:div>
    <w:div w:id="756443842">
      <w:bodyDiv w:val="1"/>
      <w:marLeft w:val="0"/>
      <w:marRight w:val="0"/>
      <w:marTop w:val="0"/>
      <w:marBottom w:val="0"/>
      <w:divBdr>
        <w:top w:val="none" w:sz="0" w:space="0" w:color="auto"/>
        <w:left w:val="none" w:sz="0" w:space="0" w:color="auto"/>
        <w:bottom w:val="none" w:sz="0" w:space="0" w:color="auto"/>
        <w:right w:val="none" w:sz="0" w:space="0" w:color="auto"/>
      </w:divBdr>
    </w:div>
    <w:div w:id="762724748">
      <w:bodyDiv w:val="1"/>
      <w:marLeft w:val="0"/>
      <w:marRight w:val="0"/>
      <w:marTop w:val="0"/>
      <w:marBottom w:val="0"/>
      <w:divBdr>
        <w:top w:val="none" w:sz="0" w:space="0" w:color="auto"/>
        <w:left w:val="none" w:sz="0" w:space="0" w:color="auto"/>
        <w:bottom w:val="none" w:sz="0" w:space="0" w:color="auto"/>
        <w:right w:val="none" w:sz="0" w:space="0" w:color="auto"/>
      </w:divBdr>
    </w:div>
    <w:div w:id="764114111">
      <w:bodyDiv w:val="1"/>
      <w:marLeft w:val="0"/>
      <w:marRight w:val="0"/>
      <w:marTop w:val="0"/>
      <w:marBottom w:val="0"/>
      <w:divBdr>
        <w:top w:val="none" w:sz="0" w:space="0" w:color="auto"/>
        <w:left w:val="none" w:sz="0" w:space="0" w:color="auto"/>
        <w:bottom w:val="none" w:sz="0" w:space="0" w:color="auto"/>
        <w:right w:val="none" w:sz="0" w:space="0" w:color="auto"/>
      </w:divBdr>
    </w:div>
    <w:div w:id="765073908">
      <w:bodyDiv w:val="1"/>
      <w:marLeft w:val="0"/>
      <w:marRight w:val="0"/>
      <w:marTop w:val="0"/>
      <w:marBottom w:val="0"/>
      <w:divBdr>
        <w:top w:val="none" w:sz="0" w:space="0" w:color="auto"/>
        <w:left w:val="none" w:sz="0" w:space="0" w:color="auto"/>
        <w:bottom w:val="none" w:sz="0" w:space="0" w:color="auto"/>
        <w:right w:val="none" w:sz="0" w:space="0" w:color="auto"/>
      </w:divBdr>
    </w:div>
    <w:div w:id="767626709">
      <w:bodyDiv w:val="1"/>
      <w:marLeft w:val="0"/>
      <w:marRight w:val="0"/>
      <w:marTop w:val="0"/>
      <w:marBottom w:val="0"/>
      <w:divBdr>
        <w:top w:val="none" w:sz="0" w:space="0" w:color="auto"/>
        <w:left w:val="none" w:sz="0" w:space="0" w:color="auto"/>
        <w:bottom w:val="none" w:sz="0" w:space="0" w:color="auto"/>
        <w:right w:val="none" w:sz="0" w:space="0" w:color="auto"/>
      </w:divBdr>
    </w:div>
    <w:div w:id="772818679">
      <w:bodyDiv w:val="1"/>
      <w:marLeft w:val="0"/>
      <w:marRight w:val="0"/>
      <w:marTop w:val="0"/>
      <w:marBottom w:val="0"/>
      <w:divBdr>
        <w:top w:val="none" w:sz="0" w:space="0" w:color="auto"/>
        <w:left w:val="none" w:sz="0" w:space="0" w:color="auto"/>
        <w:bottom w:val="none" w:sz="0" w:space="0" w:color="auto"/>
        <w:right w:val="none" w:sz="0" w:space="0" w:color="auto"/>
      </w:divBdr>
    </w:div>
    <w:div w:id="773018414">
      <w:bodyDiv w:val="1"/>
      <w:marLeft w:val="0"/>
      <w:marRight w:val="0"/>
      <w:marTop w:val="0"/>
      <w:marBottom w:val="0"/>
      <w:divBdr>
        <w:top w:val="none" w:sz="0" w:space="0" w:color="auto"/>
        <w:left w:val="none" w:sz="0" w:space="0" w:color="auto"/>
        <w:bottom w:val="none" w:sz="0" w:space="0" w:color="auto"/>
        <w:right w:val="none" w:sz="0" w:space="0" w:color="auto"/>
      </w:divBdr>
    </w:div>
    <w:div w:id="778183850">
      <w:bodyDiv w:val="1"/>
      <w:marLeft w:val="0"/>
      <w:marRight w:val="0"/>
      <w:marTop w:val="0"/>
      <w:marBottom w:val="0"/>
      <w:divBdr>
        <w:top w:val="none" w:sz="0" w:space="0" w:color="auto"/>
        <w:left w:val="none" w:sz="0" w:space="0" w:color="auto"/>
        <w:bottom w:val="none" w:sz="0" w:space="0" w:color="auto"/>
        <w:right w:val="none" w:sz="0" w:space="0" w:color="auto"/>
      </w:divBdr>
    </w:div>
    <w:div w:id="779879513">
      <w:bodyDiv w:val="1"/>
      <w:marLeft w:val="0"/>
      <w:marRight w:val="0"/>
      <w:marTop w:val="0"/>
      <w:marBottom w:val="0"/>
      <w:divBdr>
        <w:top w:val="none" w:sz="0" w:space="0" w:color="auto"/>
        <w:left w:val="none" w:sz="0" w:space="0" w:color="auto"/>
        <w:bottom w:val="none" w:sz="0" w:space="0" w:color="auto"/>
        <w:right w:val="none" w:sz="0" w:space="0" w:color="auto"/>
      </w:divBdr>
    </w:div>
    <w:div w:id="784424668">
      <w:bodyDiv w:val="1"/>
      <w:marLeft w:val="0"/>
      <w:marRight w:val="0"/>
      <w:marTop w:val="0"/>
      <w:marBottom w:val="0"/>
      <w:divBdr>
        <w:top w:val="none" w:sz="0" w:space="0" w:color="auto"/>
        <w:left w:val="none" w:sz="0" w:space="0" w:color="auto"/>
        <w:bottom w:val="none" w:sz="0" w:space="0" w:color="auto"/>
        <w:right w:val="none" w:sz="0" w:space="0" w:color="auto"/>
      </w:divBdr>
    </w:div>
    <w:div w:id="785544656">
      <w:bodyDiv w:val="1"/>
      <w:marLeft w:val="0"/>
      <w:marRight w:val="0"/>
      <w:marTop w:val="0"/>
      <w:marBottom w:val="0"/>
      <w:divBdr>
        <w:top w:val="none" w:sz="0" w:space="0" w:color="auto"/>
        <w:left w:val="none" w:sz="0" w:space="0" w:color="auto"/>
        <w:bottom w:val="none" w:sz="0" w:space="0" w:color="auto"/>
        <w:right w:val="none" w:sz="0" w:space="0" w:color="auto"/>
      </w:divBdr>
    </w:div>
    <w:div w:id="787237338">
      <w:bodyDiv w:val="1"/>
      <w:marLeft w:val="0"/>
      <w:marRight w:val="0"/>
      <w:marTop w:val="0"/>
      <w:marBottom w:val="0"/>
      <w:divBdr>
        <w:top w:val="none" w:sz="0" w:space="0" w:color="auto"/>
        <w:left w:val="none" w:sz="0" w:space="0" w:color="auto"/>
        <w:bottom w:val="none" w:sz="0" w:space="0" w:color="auto"/>
        <w:right w:val="none" w:sz="0" w:space="0" w:color="auto"/>
      </w:divBdr>
    </w:div>
    <w:div w:id="793715470">
      <w:bodyDiv w:val="1"/>
      <w:marLeft w:val="0"/>
      <w:marRight w:val="0"/>
      <w:marTop w:val="0"/>
      <w:marBottom w:val="0"/>
      <w:divBdr>
        <w:top w:val="none" w:sz="0" w:space="0" w:color="auto"/>
        <w:left w:val="none" w:sz="0" w:space="0" w:color="auto"/>
        <w:bottom w:val="none" w:sz="0" w:space="0" w:color="auto"/>
        <w:right w:val="none" w:sz="0" w:space="0" w:color="auto"/>
      </w:divBdr>
    </w:div>
    <w:div w:id="795607251">
      <w:bodyDiv w:val="1"/>
      <w:marLeft w:val="0"/>
      <w:marRight w:val="0"/>
      <w:marTop w:val="0"/>
      <w:marBottom w:val="0"/>
      <w:divBdr>
        <w:top w:val="none" w:sz="0" w:space="0" w:color="auto"/>
        <w:left w:val="none" w:sz="0" w:space="0" w:color="auto"/>
        <w:bottom w:val="none" w:sz="0" w:space="0" w:color="auto"/>
        <w:right w:val="none" w:sz="0" w:space="0" w:color="auto"/>
      </w:divBdr>
    </w:div>
    <w:div w:id="797530834">
      <w:bodyDiv w:val="1"/>
      <w:marLeft w:val="0"/>
      <w:marRight w:val="0"/>
      <w:marTop w:val="0"/>
      <w:marBottom w:val="0"/>
      <w:divBdr>
        <w:top w:val="none" w:sz="0" w:space="0" w:color="auto"/>
        <w:left w:val="none" w:sz="0" w:space="0" w:color="auto"/>
        <w:bottom w:val="none" w:sz="0" w:space="0" w:color="auto"/>
        <w:right w:val="none" w:sz="0" w:space="0" w:color="auto"/>
      </w:divBdr>
    </w:div>
    <w:div w:id="802423512">
      <w:bodyDiv w:val="1"/>
      <w:marLeft w:val="0"/>
      <w:marRight w:val="0"/>
      <w:marTop w:val="0"/>
      <w:marBottom w:val="0"/>
      <w:divBdr>
        <w:top w:val="none" w:sz="0" w:space="0" w:color="auto"/>
        <w:left w:val="none" w:sz="0" w:space="0" w:color="auto"/>
        <w:bottom w:val="none" w:sz="0" w:space="0" w:color="auto"/>
        <w:right w:val="none" w:sz="0" w:space="0" w:color="auto"/>
      </w:divBdr>
    </w:div>
    <w:div w:id="804129120">
      <w:bodyDiv w:val="1"/>
      <w:marLeft w:val="0"/>
      <w:marRight w:val="0"/>
      <w:marTop w:val="0"/>
      <w:marBottom w:val="0"/>
      <w:divBdr>
        <w:top w:val="none" w:sz="0" w:space="0" w:color="auto"/>
        <w:left w:val="none" w:sz="0" w:space="0" w:color="auto"/>
        <w:bottom w:val="none" w:sz="0" w:space="0" w:color="auto"/>
        <w:right w:val="none" w:sz="0" w:space="0" w:color="auto"/>
      </w:divBdr>
    </w:div>
    <w:div w:id="804204513">
      <w:bodyDiv w:val="1"/>
      <w:marLeft w:val="0"/>
      <w:marRight w:val="0"/>
      <w:marTop w:val="0"/>
      <w:marBottom w:val="0"/>
      <w:divBdr>
        <w:top w:val="none" w:sz="0" w:space="0" w:color="auto"/>
        <w:left w:val="none" w:sz="0" w:space="0" w:color="auto"/>
        <w:bottom w:val="none" w:sz="0" w:space="0" w:color="auto"/>
        <w:right w:val="none" w:sz="0" w:space="0" w:color="auto"/>
      </w:divBdr>
    </w:div>
    <w:div w:id="808936657">
      <w:bodyDiv w:val="1"/>
      <w:marLeft w:val="0"/>
      <w:marRight w:val="0"/>
      <w:marTop w:val="0"/>
      <w:marBottom w:val="0"/>
      <w:divBdr>
        <w:top w:val="none" w:sz="0" w:space="0" w:color="auto"/>
        <w:left w:val="none" w:sz="0" w:space="0" w:color="auto"/>
        <w:bottom w:val="none" w:sz="0" w:space="0" w:color="auto"/>
        <w:right w:val="none" w:sz="0" w:space="0" w:color="auto"/>
      </w:divBdr>
    </w:div>
    <w:div w:id="808936733">
      <w:bodyDiv w:val="1"/>
      <w:marLeft w:val="0"/>
      <w:marRight w:val="0"/>
      <w:marTop w:val="0"/>
      <w:marBottom w:val="0"/>
      <w:divBdr>
        <w:top w:val="none" w:sz="0" w:space="0" w:color="auto"/>
        <w:left w:val="none" w:sz="0" w:space="0" w:color="auto"/>
        <w:bottom w:val="none" w:sz="0" w:space="0" w:color="auto"/>
        <w:right w:val="none" w:sz="0" w:space="0" w:color="auto"/>
      </w:divBdr>
    </w:div>
    <w:div w:id="809978944">
      <w:bodyDiv w:val="1"/>
      <w:marLeft w:val="0"/>
      <w:marRight w:val="0"/>
      <w:marTop w:val="0"/>
      <w:marBottom w:val="0"/>
      <w:divBdr>
        <w:top w:val="none" w:sz="0" w:space="0" w:color="auto"/>
        <w:left w:val="none" w:sz="0" w:space="0" w:color="auto"/>
        <w:bottom w:val="none" w:sz="0" w:space="0" w:color="auto"/>
        <w:right w:val="none" w:sz="0" w:space="0" w:color="auto"/>
      </w:divBdr>
    </w:div>
    <w:div w:id="812991774">
      <w:bodyDiv w:val="1"/>
      <w:marLeft w:val="0"/>
      <w:marRight w:val="0"/>
      <w:marTop w:val="0"/>
      <w:marBottom w:val="0"/>
      <w:divBdr>
        <w:top w:val="none" w:sz="0" w:space="0" w:color="auto"/>
        <w:left w:val="none" w:sz="0" w:space="0" w:color="auto"/>
        <w:bottom w:val="none" w:sz="0" w:space="0" w:color="auto"/>
        <w:right w:val="none" w:sz="0" w:space="0" w:color="auto"/>
      </w:divBdr>
    </w:div>
    <w:div w:id="815534578">
      <w:bodyDiv w:val="1"/>
      <w:marLeft w:val="0"/>
      <w:marRight w:val="0"/>
      <w:marTop w:val="0"/>
      <w:marBottom w:val="0"/>
      <w:divBdr>
        <w:top w:val="none" w:sz="0" w:space="0" w:color="auto"/>
        <w:left w:val="none" w:sz="0" w:space="0" w:color="auto"/>
        <w:bottom w:val="none" w:sz="0" w:space="0" w:color="auto"/>
        <w:right w:val="none" w:sz="0" w:space="0" w:color="auto"/>
      </w:divBdr>
    </w:div>
    <w:div w:id="816457493">
      <w:bodyDiv w:val="1"/>
      <w:marLeft w:val="0"/>
      <w:marRight w:val="0"/>
      <w:marTop w:val="0"/>
      <w:marBottom w:val="0"/>
      <w:divBdr>
        <w:top w:val="none" w:sz="0" w:space="0" w:color="auto"/>
        <w:left w:val="none" w:sz="0" w:space="0" w:color="auto"/>
        <w:bottom w:val="none" w:sz="0" w:space="0" w:color="auto"/>
        <w:right w:val="none" w:sz="0" w:space="0" w:color="auto"/>
      </w:divBdr>
    </w:div>
    <w:div w:id="820080045">
      <w:bodyDiv w:val="1"/>
      <w:marLeft w:val="0"/>
      <w:marRight w:val="0"/>
      <w:marTop w:val="0"/>
      <w:marBottom w:val="0"/>
      <w:divBdr>
        <w:top w:val="none" w:sz="0" w:space="0" w:color="auto"/>
        <w:left w:val="none" w:sz="0" w:space="0" w:color="auto"/>
        <w:bottom w:val="none" w:sz="0" w:space="0" w:color="auto"/>
        <w:right w:val="none" w:sz="0" w:space="0" w:color="auto"/>
      </w:divBdr>
    </w:div>
    <w:div w:id="820926131">
      <w:bodyDiv w:val="1"/>
      <w:marLeft w:val="0"/>
      <w:marRight w:val="0"/>
      <w:marTop w:val="0"/>
      <w:marBottom w:val="0"/>
      <w:divBdr>
        <w:top w:val="none" w:sz="0" w:space="0" w:color="auto"/>
        <w:left w:val="none" w:sz="0" w:space="0" w:color="auto"/>
        <w:bottom w:val="none" w:sz="0" w:space="0" w:color="auto"/>
        <w:right w:val="none" w:sz="0" w:space="0" w:color="auto"/>
      </w:divBdr>
    </w:div>
    <w:div w:id="821314944">
      <w:bodyDiv w:val="1"/>
      <w:marLeft w:val="0"/>
      <w:marRight w:val="0"/>
      <w:marTop w:val="0"/>
      <w:marBottom w:val="0"/>
      <w:divBdr>
        <w:top w:val="none" w:sz="0" w:space="0" w:color="auto"/>
        <w:left w:val="none" w:sz="0" w:space="0" w:color="auto"/>
        <w:bottom w:val="none" w:sz="0" w:space="0" w:color="auto"/>
        <w:right w:val="none" w:sz="0" w:space="0" w:color="auto"/>
      </w:divBdr>
    </w:div>
    <w:div w:id="822157036">
      <w:bodyDiv w:val="1"/>
      <w:marLeft w:val="0"/>
      <w:marRight w:val="0"/>
      <w:marTop w:val="0"/>
      <w:marBottom w:val="0"/>
      <w:divBdr>
        <w:top w:val="none" w:sz="0" w:space="0" w:color="auto"/>
        <w:left w:val="none" w:sz="0" w:space="0" w:color="auto"/>
        <w:bottom w:val="none" w:sz="0" w:space="0" w:color="auto"/>
        <w:right w:val="none" w:sz="0" w:space="0" w:color="auto"/>
      </w:divBdr>
    </w:div>
    <w:div w:id="824858884">
      <w:bodyDiv w:val="1"/>
      <w:marLeft w:val="0"/>
      <w:marRight w:val="0"/>
      <w:marTop w:val="0"/>
      <w:marBottom w:val="0"/>
      <w:divBdr>
        <w:top w:val="none" w:sz="0" w:space="0" w:color="auto"/>
        <w:left w:val="none" w:sz="0" w:space="0" w:color="auto"/>
        <w:bottom w:val="none" w:sz="0" w:space="0" w:color="auto"/>
        <w:right w:val="none" w:sz="0" w:space="0" w:color="auto"/>
      </w:divBdr>
    </w:div>
    <w:div w:id="825585833">
      <w:bodyDiv w:val="1"/>
      <w:marLeft w:val="0"/>
      <w:marRight w:val="0"/>
      <w:marTop w:val="0"/>
      <w:marBottom w:val="0"/>
      <w:divBdr>
        <w:top w:val="none" w:sz="0" w:space="0" w:color="auto"/>
        <w:left w:val="none" w:sz="0" w:space="0" w:color="auto"/>
        <w:bottom w:val="none" w:sz="0" w:space="0" w:color="auto"/>
        <w:right w:val="none" w:sz="0" w:space="0" w:color="auto"/>
      </w:divBdr>
    </w:div>
    <w:div w:id="825632244">
      <w:bodyDiv w:val="1"/>
      <w:marLeft w:val="0"/>
      <w:marRight w:val="0"/>
      <w:marTop w:val="0"/>
      <w:marBottom w:val="0"/>
      <w:divBdr>
        <w:top w:val="none" w:sz="0" w:space="0" w:color="auto"/>
        <w:left w:val="none" w:sz="0" w:space="0" w:color="auto"/>
        <w:bottom w:val="none" w:sz="0" w:space="0" w:color="auto"/>
        <w:right w:val="none" w:sz="0" w:space="0" w:color="auto"/>
      </w:divBdr>
    </w:div>
    <w:div w:id="826366502">
      <w:bodyDiv w:val="1"/>
      <w:marLeft w:val="0"/>
      <w:marRight w:val="0"/>
      <w:marTop w:val="0"/>
      <w:marBottom w:val="0"/>
      <w:divBdr>
        <w:top w:val="none" w:sz="0" w:space="0" w:color="auto"/>
        <w:left w:val="none" w:sz="0" w:space="0" w:color="auto"/>
        <w:bottom w:val="none" w:sz="0" w:space="0" w:color="auto"/>
        <w:right w:val="none" w:sz="0" w:space="0" w:color="auto"/>
      </w:divBdr>
    </w:div>
    <w:div w:id="827214303">
      <w:bodyDiv w:val="1"/>
      <w:marLeft w:val="0"/>
      <w:marRight w:val="0"/>
      <w:marTop w:val="0"/>
      <w:marBottom w:val="0"/>
      <w:divBdr>
        <w:top w:val="none" w:sz="0" w:space="0" w:color="auto"/>
        <w:left w:val="none" w:sz="0" w:space="0" w:color="auto"/>
        <w:bottom w:val="none" w:sz="0" w:space="0" w:color="auto"/>
        <w:right w:val="none" w:sz="0" w:space="0" w:color="auto"/>
      </w:divBdr>
    </w:div>
    <w:div w:id="830292520">
      <w:bodyDiv w:val="1"/>
      <w:marLeft w:val="0"/>
      <w:marRight w:val="0"/>
      <w:marTop w:val="0"/>
      <w:marBottom w:val="0"/>
      <w:divBdr>
        <w:top w:val="none" w:sz="0" w:space="0" w:color="auto"/>
        <w:left w:val="none" w:sz="0" w:space="0" w:color="auto"/>
        <w:bottom w:val="none" w:sz="0" w:space="0" w:color="auto"/>
        <w:right w:val="none" w:sz="0" w:space="0" w:color="auto"/>
      </w:divBdr>
    </w:div>
    <w:div w:id="839002099">
      <w:bodyDiv w:val="1"/>
      <w:marLeft w:val="0"/>
      <w:marRight w:val="0"/>
      <w:marTop w:val="0"/>
      <w:marBottom w:val="0"/>
      <w:divBdr>
        <w:top w:val="none" w:sz="0" w:space="0" w:color="auto"/>
        <w:left w:val="none" w:sz="0" w:space="0" w:color="auto"/>
        <w:bottom w:val="none" w:sz="0" w:space="0" w:color="auto"/>
        <w:right w:val="none" w:sz="0" w:space="0" w:color="auto"/>
      </w:divBdr>
    </w:div>
    <w:div w:id="839273721">
      <w:bodyDiv w:val="1"/>
      <w:marLeft w:val="0"/>
      <w:marRight w:val="0"/>
      <w:marTop w:val="0"/>
      <w:marBottom w:val="0"/>
      <w:divBdr>
        <w:top w:val="none" w:sz="0" w:space="0" w:color="auto"/>
        <w:left w:val="none" w:sz="0" w:space="0" w:color="auto"/>
        <w:bottom w:val="none" w:sz="0" w:space="0" w:color="auto"/>
        <w:right w:val="none" w:sz="0" w:space="0" w:color="auto"/>
      </w:divBdr>
    </w:div>
    <w:div w:id="840315934">
      <w:bodyDiv w:val="1"/>
      <w:marLeft w:val="0"/>
      <w:marRight w:val="0"/>
      <w:marTop w:val="0"/>
      <w:marBottom w:val="0"/>
      <w:divBdr>
        <w:top w:val="none" w:sz="0" w:space="0" w:color="auto"/>
        <w:left w:val="none" w:sz="0" w:space="0" w:color="auto"/>
        <w:bottom w:val="none" w:sz="0" w:space="0" w:color="auto"/>
        <w:right w:val="none" w:sz="0" w:space="0" w:color="auto"/>
      </w:divBdr>
    </w:div>
    <w:div w:id="840317633">
      <w:bodyDiv w:val="1"/>
      <w:marLeft w:val="0"/>
      <w:marRight w:val="0"/>
      <w:marTop w:val="0"/>
      <w:marBottom w:val="0"/>
      <w:divBdr>
        <w:top w:val="none" w:sz="0" w:space="0" w:color="auto"/>
        <w:left w:val="none" w:sz="0" w:space="0" w:color="auto"/>
        <w:bottom w:val="none" w:sz="0" w:space="0" w:color="auto"/>
        <w:right w:val="none" w:sz="0" w:space="0" w:color="auto"/>
      </w:divBdr>
    </w:div>
    <w:div w:id="842284394">
      <w:bodyDiv w:val="1"/>
      <w:marLeft w:val="0"/>
      <w:marRight w:val="0"/>
      <w:marTop w:val="0"/>
      <w:marBottom w:val="0"/>
      <w:divBdr>
        <w:top w:val="none" w:sz="0" w:space="0" w:color="auto"/>
        <w:left w:val="none" w:sz="0" w:space="0" w:color="auto"/>
        <w:bottom w:val="none" w:sz="0" w:space="0" w:color="auto"/>
        <w:right w:val="none" w:sz="0" w:space="0" w:color="auto"/>
      </w:divBdr>
    </w:div>
    <w:div w:id="842545451">
      <w:bodyDiv w:val="1"/>
      <w:marLeft w:val="0"/>
      <w:marRight w:val="0"/>
      <w:marTop w:val="0"/>
      <w:marBottom w:val="0"/>
      <w:divBdr>
        <w:top w:val="none" w:sz="0" w:space="0" w:color="auto"/>
        <w:left w:val="none" w:sz="0" w:space="0" w:color="auto"/>
        <w:bottom w:val="none" w:sz="0" w:space="0" w:color="auto"/>
        <w:right w:val="none" w:sz="0" w:space="0" w:color="auto"/>
      </w:divBdr>
    </w:div>
    <w:div w:id="843083014">
      <w:bodyDiv w:val="1"/>
      <w:marLeft w:val="0"/>
      <w:marRight w:val="0"/>
      <w:marTop w:val="0"/>
      <w:marBottom w:val="0"/>
      <w:divBdr>
        <w:top w:val="none" w:sz="0" w:space="0" w:color="auto"/>
        <w:left w:val="none" w:sz="0" w:space="0" w:color="auto"/>
        <w:bottom w:val="none" w:sz="0" w:space="0" w:color="auto"/>
        <w:right w:val="none" w:sz="0" w:space="0" w:color="auto"/>
      </w:divBdr>
    </w:div>
    <w:div w:id="844710739">
      <w:bodyDiv w:val="1"/>
      <w:marLeft w:val="0"/>
      <w:marRight w:val="0"/>
      <w:marTop w:val="0"/>
      <w:marBottom w:val="0"/>
      <w:divBdr>
        <w:top w:val="none" w:sz="0" w:space="0" w:color="auto"/>
        <w:left w:val="none" w:sz="0" w:space="0" w:color="auto"/>
        <w:bottom w:val="none" w:sz="0" w:space="0" w:color="auto"/>
        <w:right w:val="none" w:sz="0" w:space="0" w:color="auto"/>
      </w:divBdr>
    </w:div>
    <w:div w:id="846406068">
      <w:bodyDiv w:val="1"/>
      <w:marLeft w:val="0"/>
      <w:marRight w:val="0"/>
      <w:marTop w:val="0"/>
      <w:marBottom w:val="0"/>
      <w:divBdr>
        <w:top w:val="none" w:sz="0" w:space="0" w:color="auto"/>
        <w:left w:val="none" w:sz="0" w:space="0" w:color="auto"/>
        <w:bottom w:val="none" w:sz="0" w:space="0" w:color="auto"/>
        <w:right w:val="none" w:sz="0" w:space="0" w:color="auto"/>
      </w:divBdr>
    </w:div>
    <w:div w:id="850333855">
      <w:bodyDiv w:val="1"/>
      <w:marLeft w:val="0"/>
      <w:marRight w:val="0"/>
      <w:marTop w:val="0"/>
      <w:marBottom w:val="0"/>
      <w:divBdr>
        <w:top w:val="none" w:sz="0" w:space="0" w:color="auto"/>
        <w:left w:val="none" w:sz="0" w:space="0" w:color="auto"/>
        <w:bottom w:val="none" w:sz="0" w:space="0" w:color="auto"/>
        <w:right w:val="none" w:sz="0" w:space="0" w:color="auto"/>
      </w:divBdr>
    </w:div>
    <w:div w:id="851451530">
      <w:bodyDiv w:val="1"/>
      <w:marLeft w:val="0"/>
      <w:marRight w:val="0"/>
      <w:marTop w:val="0"/>
      <w:marBottom w:val="0"/>
      <w:divBdr>
        <w:top w:val="none" w:sz="0" w:space="0" w:color="auto"/>
        <w:left w:val="none" w:sz="0" w:space="0" w:color="auto"/>
        <w:bottom w:val="none" w:sz="0" w:space="0" w:color="auto"/>
        <w:right w:val="none" w:sz="0" w:space="0" w:color="auto"/>
      </w:divBdr>
    </w:div>
    <w:div w:id="851453200">
      <w:bodyDiv w:val="1"/>
      <w:marLeft w:val="0"/>
      <w:marRight w:val="0"/>
      <w:marTop w:val="0"/>
      <w:marBottom w:val="0"/>
      <w:divBdr>
        <w:top w:val="none" w:sz="0" w:space="0" w:color="auto"/>
        <w:left w:val="none" w:sz="0" w:space="0" w:color="auto"/>
        <w:bottom w:val="none" w:sz="0" w:space="0" w:color="auto"/>
        <w:right w:val="none" w:sz="0" w:space="0" w:color="auto"/>
      </w:divBdr>
    </w:div>
    <w:div w:id="856502102">
      <w:bodyDiv w:val="1"/>
      <w:marLeft w:val="0"/>
      <w:marRight w:val="0"/>
      <w:marTop w:val="0"/>
      <w:marBottom w:val="0"/>
      <w:divBdr>
        <w:top w:val="none" w:sz="0" w:space="0" w:color="auto"/>
        <w:left w:val="none" w:sz="0" w:space="0" w:color="auto"/>
        <w:bottom w:val="none" w:sz="0" w:space="0" w:color="auto"/>
        <w:right w:val="none" w:sz="0" w:space="0" w:color="auto"/>
      </w:divBdr>
    </w:div>
    <w:div w:id="861284796">
      <w:bodyDiv w:val="1"/>
      <w:marLeft w:val="0"/>
      <w:marRight w:val="0"/>
      <w:marTop w:val="0"/>
      <w:marBottom w:val="0"/>
      <w:divBdr>
        <w:top w:val="none" w:sz="0" w:space="0" w:color="auto"/>
        <w:left w:val="none" w:sz="0" w:space="0" w:color="auto"/>
        <w:bottom w:val="none" w:sz="0" w:space="0" w:color="auto"/>
        <w:right w:val="none" w:sz="0" w:space="0" w:color="auto"/>
      </w:divBdr>
    </w:div>
    <w:div w:id="861943039">
      <w:bodyDiv w:val="1"/>
      <w:marLeft w:val="0"/>
      <w:marRight w:val="0"/>
      <w:marTop w:val="0"/>
      <w:marBottom w:val="0"/>
      <w:divBdr>
        <w:top w:val="none" w:sz="0" w:space="0" w:color="auto"/>
        <w:left w:val="none" w:sz="0" w:space="0" w:color="auto"/>
        <w:bottom w:val="none" w:sz="0" w:space="0" w:color="auto"/>
        <w:right w:val="none" w:sz="0" w:space="0" w:color="auto"/>
      </w:divBdr>
    </w:div>
    <w:div w:id="865095483">
      <w:bodyDiv w:val="1"/>
      <w:marLeft w:val="0"/>
      <w:marRight w:val="0"/>
      <w:marTop w:val="0"/>
      <w:marBottom w:val="0"/>
      <w:divBdr>
        <w:top w:val="none" w:sz="0" w:space="0" w:color="auto"/>
        <w:left w:val="none" w:sz="0" w:space="0" w:color="auto"/>
        <w:bottom w:val="none" w:sz="0" w:space="0" w:color="auto"/>
        <w:right w:val="none" w:sz="0" w:space="0" w:color="auto"/>
      </w:divBdr>
    </w:div>
    <w:div w:id="870219648">
      <w:bodyDiv w:val="1"/>
      <w:marLeft w:val="0"/>
      <w:marRight w:val="0"/>
      <w:marTop w:val="0"/>
      <w:marBottom w:val="0"/>
      <w:divBdr>
        <w:top w:val="none" w:sz="0" w:space="0" w:color="auto"/>
        <w:left w:val="none" w:sz="0" w:space="0" w:color="auto"/>
        <w:bottom w:val="none" w:sz="0" w:space="0" w:color="auto"/>
        <w:right w:val="none" w:sz="0" w:space="0" w:color="auto"/>
      </w:divBdr>
    </w:div>
    <w:div w:id="871769711">
      <w:bodyDiv w:val="1"/>
      <w:marLeft w:val="0"/>
      <w:marRight w:val="0"/>
      <w:marTop w:val="0"/>
      <w:marBottom w:val="0"/>
      <w:divBdr>
        <w:top w:val="none" w:sz="0" w:space="0" w:color="auto"/>
        <w:left w:val="none" w:sz="0" w:space="0" w:color="auto"/>
        <w:bottom w:val="none" w:sz="0" w:space="0" w:color="auto"/>
        <w:right w:val="none" w:sz="0" w:space="0" w:color="auto"/>
      </w:divBdr>
    </w:div>
    <w:div w:id="874736261">
      <w:bodyDiv w:val="1"/>
      <w:marLeft w:val="0"/>
      <w:marRight w:val="0"/>
      <w:marTop w:val="0"/>
      <w:marBottom w:val="0"/>
      <w:divBdr>
        <w:top w:val="none" w:sz="0" w:space="0" w:color="auto"/>
        <w:left w:val="none" w:sz="0" w:space="0" w:color="auto"/>
        <w:bottom w:val="none" w:sz="0" w:space="0" w:color="auto"/>
        <w:right w:val="none" w:sz="0" w:space="0" w:color="auto"/>
      </w:divBdr>
    </w:div>
    <w:div w:id="882789900">
      <w:bodyDiv w:val="1"/>
      <w:marLeft w:val="0"/>
      <w:marRight w:val="0"/>
      <w:marTop w:val="0"/>
      <w:marBottom w:val="0"/>
      <w:divBdr>
        <w:top w:val="none" w:sz="0" w:space="0" w:color="auto"/>
        <w:left w:val="none" w:sz="0" w:space="0" w:color="auto"/>
        <w:bottom w:val="none" w:sz="0" w:space="0" w:color="auto"/>
        <w:right w:val="none" w:sz="0" w:space="0" w:color="auto"/>
      </w:divBdr>
    </w:div>
    <w:div w:id="889804789">
      <w:bodyDiv w:val="1"/>
      <w:marLeft w:val="0"/>
      <w:marRight w:val="0"/>
      <w:marTop w:val="0"/>
      <w:marBottom w:val="0"/>
      <w:divBdr>
        <w:top w:val="none" w:sz="0" w:space="0" w:color="auto"/>
        <w:left w:val="none" w:sz="0" w:space="0" w:color="auto"/>
        <w:bottom w:val="none" w:sz="0" w:space="0" w:color="auto"/>
        <w:right w:val="none" w:sz="0" w:space="0" w:color="auto"/>
      </w:divBdr>
    </w:div>
    <w:div w:id="893665590">
      <w:bodyDiv w:val="1"/>
      <w:marLeft w:val="0"/>
      <w:marRight w:val="0"/>
      <w:marTop w:val="0"/>
      <w:marBottom w:val="0"/>
      <w:divBdr>
        <w:top w:val="none" w:sz="0" w:space="0" w:color="auto"/>
        <w:left w:val="none" w:sz="0" w:space="0" w:color="auto"/>
        <w:bottom w:val="none" w:sz="0" w:space="0" w:color="auto"/>
        <w:right w:val="none" w:sz="0" w:space="0" w:color="auto"/>
      </w:divBdr>
    </w:div>
    <w:div w:id="894661393">
      <w:bodyDiv w:val="1"/>
      <w:marLeft w:val="0"/>
      <w:marRight w:val="0"/>
      <w:marTop w:val="0"/>
      <w:marBottom w:val="0"/>
      <w:divBdr>
        <w:top w:val="none" w:sz="0" w:space="0" w:color="auto"/>
        <w:left w:val="none" w:sz="0" w:space="0" w:color="auto"/>
        <w:bottom w:val="none" w:sz="0" w:space="0" w:color="auto"/>
        <w:right w:val="none" w:sz="0" w:space="0" w:color="auto"/>
      </w:divBdr>
    </w:div>
    <w:div w:id="896745542">
      <w:bodyDiv w:val="1"/>
      <w:marLeft w:val="0"/>
      <w:marRight w:val="0"/>
      <w:marTop w:val="0"/>
      <w:marBottom w:val="0"/>
      <w:divBdr>
        <w:top w:val="none" w:sz="0" w:space="0" w:color="auto"/>
        <w:left w:val="none" w:sz="0" w:space="0" w:color="auto"/>
        <w:bottom w:val="none" w:sz="0" w:space="0" w:color="auto"/>
        <w:right w:val="none" w:sz="0" w:space="0" w:color="auto"/>
      </w:divBdr>
    </w:div>
    <w:div w:id="899756165">
      <w:bodyDiv w:val="1"/>
      <w:marLeft w:val="0"/>
      <w:marRight w:val="0"/>
      <w:marTop w:val="0"/>
      <w:marBottom w:val="0"/>
      <w:divBdr>
        <w:top w:val="none" w:sz="0" w:space="0" w:color="auto"/>
        <w:left w:val="none" w:sz="0" w:space="0" w:color="auto"/>
        <w:bottom w:val="none" w:sz="0" w:space="0" w:color="auto"/>
        <w:right w:val="none" w:sz="0" w:space="0" w:color="auto"/>
      </w:divBdr>
    </w:div>
    <w:div w:id="900093153">
      <w:bodyDiv w:val="1"/>
      <w:marLeft w:val="0"/>
      <w:marRight w:val="0"/>
      <w:marTop w:val="0"/>
      <w:marBottom w:val="0"/>
      <w:divBdr>
        <w:top w:val="none" w:sz="0" w:space="0" w:color="auto"/>
        <w:left w:val="none" w:sz="0" w:space="0" w:color="auto"/>
        <w:bottom w:val="none" w:sz="0" w:space="0" w:color="auto"/>
        <w:right w:val="none" w:sz="0" w:space="0" w:color="auto"/>
      </w:divBdr>
    </w:div>
    <w:div w:id="908921208">
      <w:bodyDiv w:val="1"/>
      <w:marLeft w:val="0"/>
      <w:marRight w:val="0"/>
      <w:marTop w:val="0"/>
      <w:marBottom w:val="0"/>
      <w:divBdr>
        <w:top w:val="none" w:sz="0" w:space="0" w:color="auto"/>
        <w:left w:val="none" w:sz="0" w:space="0" w:color="auto"/>
        <w:bottom w:val="none" w:sz="0" w:space="0" w:color="auto"/>
        <w:right w:val="none" w:sz="0" w:space="0" w:color="auto"/>
      </w:divBdr>
    </w:div>
    <w:div w:id="910165122">
      <w:bodyDiv w:val="1"/>
      <w:marLeft w:val="0"/>
      <w:marRight w:val="0"/>
      <w:marTop w:val="0"/>
      <w:marBottom w:val="0"/>
      <w:divBdr>
        <w:top w:val="none" w:sz="0" w:space="0" w:color="auto"/>
        <w:left w:val="none" w:sz="0" w:space="0" w:color="auto"/>
        <w:bottom w:val="none" w:sz="0" w:space="0" w:color="auto"/>
        <w:right w:val="none" w:sz="0" w:space="0" w:color="auto"/>
      </w:divBdr>
    </w:div>
    <w:div w:id="911233462">
      <w:bodyDiv w:val="1"/>
      <w:marLeft w:val="0"/>
      <w:marRight w:val="0"/>
      <w:marTop w:val="0"/>
      <w:marBottom w:val="0"/>
      <w:divBdr>
        <w:top w:val="none" w:sz="0" w:space="0" w:color="auto"/>
        <w:left w:val="none" w:sz="0" w:space="0" w:color="auto"/>
        <w:bottom w:val="none" w:sz="0" w:space="0" w:color="auto"/>
        <w:right w:val="none" w:sz="0" w:space="0" w:color="auto"/>
      </w:divBdr>
    </w:div>
    <w:div w:id="912590789">
      <w:bodyDiv w:val="1"/>
      <w:marLeft w:val="0"/>
      <w:marRight w:val="0"/>
      <w:marTop w:val="0"/>
      <w:marBottom w:val="0"/>
      <w:divBdr>
        <w:top w:val="none" w:sz="0" w:space="0" w:color="auto"/>
        <w:left w:val="none" w:sz="0" w:space="0" w:color="auto"/>
        <w:bottom w:val="none" w:sz="0" w:space="0" w:color="auto"/>
        <w:right w:val="none" w:sz="0" w:space="0" w:color="auto"/>
      </w:divBdr>
    </w:div>
    <w:div w:id="917255497">
      <w:bodyDiv w:val="1"/>
      <w:marLeft w:val="0"/>
      <w:marRight w:val="0"/>
      <w:marTop w:val="0"/>
      <w:marBottom w:val="0"/>
      <w:divBdr>
        <w:top w:val="none" w:sz="0" w:space="0" w:color="auto"/>
        <w:left w:val="none" w:sz="0" w:space="0" w:color="auto"/>
        <w:bottom w:val="none" w:sz="0" w:space="0" w:color="auto"/>
        <w:right w:val="none" w:sz="0" w:space="0" w:color="auto"/>
      </w:divBdr>
    </w:div>
    <w:div w:id="919827233">
      <w:bodyDiv w:val="1"/>
      <w:marLeft w:val="0"/>
      <w:marRight w:val="0"/>
      <w:marTop w:val="0"/>
      <w:marBottom w:val="0"/>
      <w:divBdr>
        <w:top w:val="none" w:sz="0" w:space="0" w:color="auto"/>
        <w:left w:val="none" w:sz="0" w:space="0" w:color="auto"/>
        <w:bottom w:val="none" w:sz="0" w:space="0" w:color="auto"/>
        <w:right w:val="none" w:sz="0" w:space="0" w:color="auto"/>
      </w:divBdr>
    </w:div>
    <w:div w:id="923222142">
      <w:bodyDiv w:val="1"/>
      <w:marLeft w:val="0"/>
      <w:marRight w:val="0"/>
      <w:marTop w:val="0"/>
      <w:marBottom w:val="0"/>
      <w:divBdr>
        <w:top w:val="none" w:sz="0" w:space="0" w:color="auto"/>
        <w:left w:val="none" w:sz="0" w:space="0" w:color="auto"/>
        <w:bottom w:val="none" w:sz="0" w:space="0" w:color="auto"/>
        <w:right w:val="none" w:sz="0" w:space="0" w:color="auto"/>
      </w:divBdr>
    </w:div>
    <w:div w:id="924262881">
      <w:bodyDiv w:val="1"/>
      <w:marLeft w:val="0"/>
      <w:marRight w:val="0"/>
      <w:marTop w:val="0"/>
      <w:marBottom w:val="0"/>
      <w:divBdr>
        <w:top w:val="none" w:sz="0" w:space="0" w:color="auto"/>
        <w:left w:val="none" w:sz="0" w:space="0" w:color="auto"/>
        <w:bottom w:val="none" w:sz="0" w:space="0" w:color="auto"/>
        <w:right w:val="none" w:sz="0" w:space="0" w:color="auto"/>
      </w:divBdr>
    </w:div>
    <w:div w:id="925772019">
      <w:bodyDiv w:val="1"/>
      <w:marLeft w:val="0"/>
      <w:marRight w:val="0"/>
      <w:marTop w:val="0"/>
      <w:marBottom w:val="0"/>
      <w:divBdr>
        <w:top w:val="none" w:sz="0" w:space="0" w:color="auto"/>
        <w:left w:val="none" w:sz="0" w:space="0" w:color="auto"/>
        <w:bottom w:val="none" w:sz="0" w:space="0" w:color="auto"/>
        <w:right w:val="none" w:sz="0" w:space="0" w:color="auto"/>
      </w:divBdr>
    </w:div>
    <w:div w:id="927927284">
      <w:bodyDiv w:val="1"/>
      <w:marLeft w:val="0"/>
      <w:marRight w:val="0"/>
      <w:marTop w:val="0"/>
      <w:marBottom w:val="0"/>
      <w:divBdr>
        <w:top w:val="none" w:sz="0" w:space="0" w:color="auto"/>
        <w:left w:val="none" w:sz="0" w:space="0" w:color="auto"/>
        <w:bottom w:val="none" w:sz="0" w:space="0" w:color="auto"/>
        <w:right w:val="none" w:sz="0" w:space="0" w:color="auto"/>
      </w:divBdr>
    </w:div>
    <w:div w:id="932013204">
      <w:bodyDiv w:val="1"/>
      <w:marLeft w:val="0"/>
      <w:marRight w:val="0"/>
      <w:marTop w:val="0"/>
      <w:marBottom w:val="0"/>
      <w:divBdr>
        <w:top w:val="none" w:sz="0" w:space="0" w:color="auto"/>
        <w:left w:val="none" w:sz="0" w:space="0" w:color="auto"/>
        <w:bottom w:val="none" w:sz="0" w:space="0" w:color="auto"/>
        <w:right w:val="none" w:sz="0" w:space="0" w:color="auto"/>
      </w:divBdr>
    </w:div>
    <w:div w:id="932518192">
      <w:bodyDiv w:val="1"/>
      <w:marLeft w:val="0"/>
      <w:marRight w:val="0"/>
      <w:marTop w:val="0"/>
      <w:marBottom w:val="0"/>
      <w:divBdr>
        <w:top w:val="none" w:sz="0" w:space="0" w:color="auto"/>
        <w:left w:val="none" w:sz="0" w:space="0" w:color="auto"/>
        <w:bottom w:val="none" w:sz="0" w:space="0" w:color="auto"/>
        <w:right w:val="none" w:sz="0" w:space="0" w:color="auto"/>
      </w:divBdr>
    </w:div>
    <w:div w:id="936904928">
      <w:bodyDiv w:val="1"/>
      <w:marLeft w:val="0"/>
      <w:marRight w:val="0"/>
      <w:marTop w:val="0"/>
      <w:marBottom w:val="0"/>
      <w:divBdr>
        <w:top w:val="none" w:sz="0" w:space="0" w:color="auto"/>
        <w:left w:val="none" w:sz="0" w:space="0" w:color="auto"/>
        <w:bottom w:val="none" w:sz="0" w:space="0" w:color="auto"/>
        <w:right w:val="none" w:sz="0" w:space="0" w:color="auto"/>
      </w:divBdr>
    </w:div>
    <w:div w:id="939096552">
      <w:bodyDiv w:val="1"/>
      <w:marLeft w:val="0"/>
      <w:marRight w:val="0"/>
      <w:marTop w:val="0"/>
      <w:marBottom w:val="0"/>
      <w:divBdr>
        <w:top w:val="none" w:sz="0" w:space="0" w:color="auto"/>
        <w:left w:val="none" w:sz="0" w:space="0" w:color="auto"/>
        <w:bottom w:val="none" w:sz="0" w:space="0" w:color="auto"/>
        <w:right w:val="none" w:sz="0" w:space="0" w:color="auto"/>
      </w:divBdr>
    </w:div>
    <w:div w:id="939489851">
      <w:bodyDiv w:val="1"/>
      <w:marLeft w:val="0"/>
      <w:marRight w:val="0"/>
      <w:marTop w:val="0"/>
      <w:marBottom w:val="0"/>
      <w:divBdr>
        <w:top w:val="none" w:sz="0" w:space="0" w:color="auto"/>
        <w:left w:val="none" w:sz="0" w:space="0" w:color="auto"/>
        <w:bottom w:val="none" w:sz="0" w:space="0" w:color="auto"/>
        <w:right w:val="none" w:sz="0" w:space="0" w:color="auto"/>
      </w:divBdr>
    </w:div>
    <w:div w:id="939685109">
      <w:bodyDiv w:val="1"/>
      <w:marLeft w:val="0"/>
      <w:marRight w:val="0"/>
      <w:marTop w:val="0"/>
      <w:marBottom w:val="0"/>
      <w:divBdr>
        <w:top w:val="none" w:sz="0" w:space="0" w:color="auto"/>
        <w:left w:val="none" w:sz="0" w:space="0" w:color="auto"/>
        <w:bottom w:val="none" w:sz="0" w:space="0" w:color="auto"/>
        <w:right w:val="none" w:sz="0" w:space="0" w:color="auto"/>
      </w:divBdr>
    </w:div>
    <w:div w:id="939948074">
      <w:bodyDiv w:val="1"/>
      <w:marLeft w:val="0"/>
      <w:marRight w:val="0"/>
      <w:marTop w:val="0"/>
      <w:marBottom w:val="0"/>
      <w:divBdr>
        <w:top w:val="none" w:sz="0" w:space="0" w:color="auto"/>
        <w:left w:val="none" w:sz="0" w:space="0" w:color="auto"/>
        <w:bottom w:val="none" w:sz="0" w:space="0" w:color="auto"/>
        <w:right w:val="none" w:sz="0" w:space="0" w:color="auto"/>
      </w:divBdr>
    </w:div>
    <w:div w:id="941258658">
      <w:bodyDiv w:val="1"/>
      <w:marLeft w:val="0"/>
      <w:marRight w:val="0"/>
      <w:marTop w:val="0"/>
      <w:marBottom w:val="0"/>
      <w:divBdr>
        <w:top w:val="none" w:sz="0" w:space="0" w:color="auto"/>
        <w:left w:val="none" w:sz="0" w:space="0" w:color="auto"/>
        <w:bottom w:val="none" w:sz="0" w:space="0" w:color="auto"/>
        <w:right w:val="none" w:sz="0" w:space="0" w:color="auto"/>
      </w:divBdr>
    </w:div>
    <w:div w:id="941499302">
      <w:bodyDiv w:val="1"/>
      <w:marLeft w:val="0"/>
      <w:marRight w:val="0"/>
      <w:marTop w:val="0"/>
      <w:marBottom w:val="0"/>
      <w:divBdr>
        <w:top w:val="none" w:sz="0" w:space="0" w:color="auto"/>
        <w:left w:val="none" w:sz="0" w:space="0" w:color="auto"/>
        <w:bottom w:val="none" w:sz="0" w:space="0" w:color="auto"/>
        <w:right w:val="none" w:sz="0" w:space="0" w:color="auto"/>
      </w:divBdr>
    </w:div>
    <w:div w:id="943267531">
      <w:bodyDiv w:val="1"/>
      <w:marLeft w:val="0"/>
      <w:marRight w:val="0"/>
      <w:marTop w:val="0"/>
      <w:marBottom w:val="0"/>
      <w:divBdr>
        <w:top w:val="none" w:sz="0" w:space="0" w:color="auto"/>
        <w:left w:val="none" w:sz="0" w:space="0" w:color="auto"/>
        <w:bottom w:val="none" w:sz="0" w:space="0" w:color="auto"/>
        <w:right w:val="none" w:sz="0" w:space="0" w:color="auto"/>
      </w:divBdr>
    </w:div>
    <w:div w:id="944924690">
      <w:bodyDiv w:val="1"/>
      <w:marLeft w:val="0"/>
      <w:marRight w:val="0"/>
      <w:marTop w:val="0"/>
      <w:marBottom w:val="0"/>
      <w:divBdr>
        <w:top w:val="none" w:sz="0" w:space="0" w:color="auto"/>
        <w:left w:val="none" w:sz="0" w:space="0" w:color="auto"/>
        <w:bottom w:val="none" w:sz="0" w:space="0" w:color="auto"/>
        <w:right w:val="none" w:sz="0" w:space="0" w:color="auto"/>
      </w:divBdr>
    </w:div>
    <w:div w:id="951132808">
      <w:bodyDiv w:val="1"/>
      <w:marLeft w:val="0"/>
      <w:marRight w:val="0"/>
      <w:marTop w:val="0"/>
      <w:marBottom w:val="0"/>
      <w:divBdr>
        <w:top w:val="none" w:sz="0" w:space="0" w:color="auto"/>
        <w:left w:val="none" w:sz="0" w:space="0" w:color="auto"/>
        <w:bottom w:val="none" w:sz="0" w:space="0" w:color="auto"/>
        <w:right w:val="none" w:sz="0" w:space="0" w:color="auto"/>
      </w:divBdr>
    </w:div>
    <w:div w:id="953173223">
      <w:bodyDiv w:val="1"/>
      <w:marLeft w:val="0"/>
      <w:marRight w:val="0"/>
      <w:marTop w:val="0"/>
      <w:marBottom w:val="0"/>
      <w:divBdr>
        <w:top w:val="none" w:sz="0" w:space="0" w:color="auto"/>
        <w:left w:val="none" w:sz="0" w:space="0" w:color="auto"/>
        <w:bottom w:val="none" w:sz="0" w:space="0" w:color="auto"/>
        <w:right w:val="none" w:sz="0" w:space="0" w:color="auto"/>
      </w:divBdr>
    </w:div>
    <w:div w:id="954824604">
      <w:bodyDiv w:val="1"/>
      <w:marLeft w:val="0"/>
      <w:marRight w:val="0"/>
      <w:marTop w:val="0"/>
      <w:marBottom w:val="0"/>
      <w:divBdr>
        <w:top w:val="none" w:sz="0" w:space="0" w:color="auto"/>
        <w:left w:val="none" w:sz="0" w:space="0" w:color="auto"/>
        <w:bottom w:val="none" w:sz="0" w:space="0" w:color="auto"/>
        <w:right w:val="none" w:sz="0" w:space="0" w:color="auto"/>
      </w:divBdr>
    </w:div>
    <w:div w:id="957250990">
      <w:bodyDiv w:val="1"/>
      <w:marLeft w:val="0"/>
      <w:marRight w:val="0"/>
      <w:marTop w:val="0"/>
      <w:marBottom w:val="0"/>
      <w:divBdr>
        <w:top w:val="none" w:sz="0" w:space="0" w:color="auto"/>
        <w:left w:val="none" w:sz="0" w:space="0" w:color="auto"/>
        <w:bottom w:val="none" w:sz="0" w:space="0" w:color="auto"/>
        <w:right w:val="none" w:sz="0" w:space="0" w:color="auto"/>
      </w:divBdr>
    </w:div>
    <w:div w:id="959413946">
      <w:bodyDiv w:val="1"/>
      <w:marLeft w:val="0"/>
      <w:marRight w:val="0"/>
      <w:marTop w:val="0"/>
      <w:marBottom w:val="0"/>
      <w:divBdr>
        <w:top w:val="none" w:sz="0" w:space="0" w:color="auto"/>
        <w:left w:val="none" w:sz="0" w:space="0" w:color="auto"/>
        <w:bottom w:val="none" w:sz="0" w:space="0" w:color="auto"/>
        <w:right w:val="none" w:sz="0" w:space="0" w:color="auto"/>
      </w:divBdr>
    </w:div>
    <w:div w:id="959530067">
      <w:bodyDiv w:val="1"/>
      <w:marLeft w:val="0"/>
      <w:marRight w:val="0"/>
      <w:marTop w:val="0"/>
      <w:marBottom w:val="0"/>
      <w:divBdr>
        <w:top w:val="none" w:sz="0" w:space="0" w:color="auto"/>
        <w:left w:val="none" w:sz="0" w:space="0" w:color="auto"/>
        <w:bottom w:val="none" w:sz="0" w:space="0" w:color="auto"/>
        <w:right w:val="none" w:sz="0" w:space="0" w:color="auto"/>
      </w:divBdr>
    </w:div>
    <w:div w:id="962078836">
      <w:bodyDiv w:val="1"/>
      <w:marLeft w:val="0"/>
      <w:marRight w:val="0"/>
      <w:marTop w:val="0"/>
      <w:marBottom w:val="0"/>
      <w:divBdr>
        <w:top w:val="none" w:sz="0" w:space="0" w:color="auto"/>
        <w:left w:val="none" w:sz="0" w:space="0" w:color="auto"/>
        <w:bottom w:val="none" w:sz="0" w:space="0" w:color="auto"/>
        <w:right w:val="none" w:sz="0" w:space="0" w:color="auto"/>
      </w:divBdr>
    </w:div>
    <w:div w:id="963124069">
      <w:bodyDiv w:val="1"/>
      <w:marLeft w:val="0"/>
      <w:marRight w:val="0"/>
      <w:marTop w:val="0"/>
      <w:marBottom w:val="0"/>
      <w:divBdr>
        <w:top w:val="none" w:sz="0" w:space="0" w:color="auto"/>
        <w:left w:val="none" w:sz="0" w:space="0" w:color="auto"/>
        <w:bottom w:val="none" w:sz="0" w:space="0" w:color="auto"/>
        <w:right w:val="none" w:sz="0" w:space="0" w:color="auto"/>
      </w:divBdr>
    </w:div>
    <w:div w:id="963199568">
      <w:bodyDiv w:val="1"/>
      <w:marLeft w:val="0"/>
      <w:marRight w:val="0"/>
      <w:marTop w:val="0"/>
      <w:marBottom w:val="0"/>
      <w:divBdr>
        <w:top w:val="none" w:sz="0" w:space="0" w:color="auto"/>
        <w:left w:val="none" w:sz="0" w:space="0" w:color="auto"/>
        <w:bottom w:val="none" w:sz="0" w:space="0" w:color="auto"/>
        <w:right w:val="none" w:sz="0" w:space="0" w:color="auto"/>
      </w:divBdr>
    </w:div>
    <w:div w:id="966469296">
      <w:bodyDiv w:val="1"/>
      <w:marLeft w:val="0"/>
      <w:marRight w:val="0"/>
      <w:marTop w:val="0"/>
      <w:marBottom w:val="0"/>
      <w:divBdr>
        <w:top w:val="none" w:sz="0" w:space="0" w:color="auto"/>
        <w:left w:val="none" w:sz="0" w:space="0" w:color="auto"/>
        <w:bottom w:val="none" w:sz="0" w:space="0" w:color="auto"/>
        <w:right w:val="none" w:sz="0" w:space="0" w:color="auto"/>
      </w:divBdr>
    </w:div>
    <w:div w:id="971250708">
      <w:bodyDiv w:val="1"/>
      <w:marLeft w:val="0"/>
      <w:marRight w:val="0"/>
      <w:marTop w:val="0"/>
      <w:marBottom w:val="0"/>
      <w:divBdr>
        <w:top w:val="none" w:sz="0" w:space="0" w:color="auto"/>
        <w:left w:val="none" w:sz="0" w:space="0" w:color="auto"/>
        <w:bottom w:val="none" w:sz="0" w:space="0" w:color="auto"/>
        <w:right w:val="none" w:sz="0" w:space="0" w:color="auto"/>
      </w:divBdr>
    </w:div>
    <w:div w:id="975572460">
      <w:bodyDiv w:val="1"/>
      <w:marLeft w:val="0"/>
      <w:marRight w:val="0"/>
      <w:marTop w:val="0"/>
      <w:marBottom w:val="0"/>
      <w:divBdr>
        <w:top w:val="none" w:sz="0" w:space="0" w:color="auto"/>
        <w:left w:val="none" w:sz="0" w:space="0" w:color="auto"/>
        <w:bottom w:val="none" w:sz="0" w:space="0" w:color="auto"/>
        <w:right w:val="none" w:sz="0" w:space="0" w:color="auto"/>
      </w:divBdr>
    </w:div>
    <w:div w:id="981690231">
      <w:bodyDiv w:val="1"/>
      <w:marLeft w:val="0"/>
      <w:marRight w:val="0"/>
      <w:marTop w:val="0"/>
      <w:marBottom w:val="0"/>
      <w:divBdr>
        <w:top w:val="none" w:sz="0" w:space="0" w:color="auto"/>
        <w:left w:val="none" w:sz="0" w:space="0" w:color="auto"/>
        <w:bottom w:val="none" w:sz="0" w:space="0" w:color="auto"/>
        <w:right w:val="none" w:sz="0" w:space="0" w:color="auto"/>
      </w:divBdr>
    </w:div>
    <w:div w:id="983004252">
      <w:bodyDiv w:val="1"/>
      <w:marLeft w:val="0"/>
      <w:marRight w:val="0"/>
      <w:marTop w:val="0"/>
      <w:marBottom w:val="0"/>
      <w:divBdr>
        <w:top w:val="none" w:sz="0" w:space="0" w:color="auto"/>
        <w:left w:val="none" w:sz="0" w:space="0" w:color="auto"/>
        <w:bottom w:val="none" w:sz="0" w:space="0" w:color="auto"/>
        <w:right w:val="none" w:sz="0" w:space="0" w:color="auto"/>
      </w:divBdr>
    </w:div>
    <w:div w:id="983238857">
      <w:bodyDiv w:val="1"/>
      <w:marLeft w:val="0"/>
      <w:marRight w:val="0"/>
      <w:marTop w:val="0"/>
      <w:marBottom w:val="0"/>
      <w:divBdr>
        <w:top w:val="none" w:sz="0" w:space="0" w:color="auto"/>
        <w:left w:val="none" w:sz="0" w:space="0" w:color="auto"/>
        <w:bottom w:val="none" w:sz="0" w:space="0" w:color="auto"/>
        <w:right w:val="none" w:sz="0" w:space="0" w:color="auto"/>
      </w:divBdr>
    </w:div>
    <w:div w:id="985284141">
      <w:bodyDiv w:val="1"/>
      <w:marLeft w:val="0"/>
      <w:marRight w:val="0"/>
      <w:marTop w:val="0"/>
      <w:marBottom w:val="0"/>
      <w:divBdr>
        <w:top w:val="none" w:sz="0" w:space="0" w:color="auto"/>
        <w:left w:val="none" w:sz="0" w:space="0" w:color="auto"/>
        <w:bottom w:val="none" w:sz="0" w:space="0" w:color="auto"/>
        <w:right w:val="none" w:sz="0" w:space="0" w:color="auto"/>
      </w:divBdr>
    </w:div>
    <w:div w:id="986055505">
      <w:bodyDiv w:val="1"/>
      <w:marLeft w:val="0"/>
      <w:marRight w:val="0"/>
      <w:marTop w:val="0"/>
      <w:marBottom w:val="0"/>
      <w:divBdr>
        <w:top w:val="none" w:sz="0" w:space="0" w:color="auto"/>
        <w:left w:val="none" w:sz="0" w:space="0" w:color="auto"/>
        <w:bottom w:val="none" w:sz="0" w:space="0" w:color="auto"/>
        <w:right w:val="none" w:sz="0" w:space="0" w:color="auto"/>
      </w:divBdr>
    </w:div>
    <w:div w:id="992833929">
      <w:bodyDiv w:val="1"/>
      <w:marLeft w:val="0"/>
      <w:marRight w:val="0"/>
      <w:marTop w:val="0"/>
      <w:marBottom w:val="0"/>
      <w:divBdr>
        <w:top w:val="none" w:sz="0" w:space="0" w:color="auto"/>
        <w:left w:val="none" w:sz="0" w:space="0" w:color="auto"/>
        <w:bottom w:val="none" w:sz="0" w:space="0" w:color="auto"/>
        <w:right w:val="none" w:sz="0" w:space="0" w:color="auto"/>
      </w:divBdr>
    </w:div>
    <w:div w:id="993221775">
      <w:bodyDiv w:val="1"/>
      <w:marLeft w:val="0"/>
      <w:marRight w:val="0"/>
      <w:marTop w:val="0"/>
      <w:marBottom w:val="0"/>
      <w:divBdr>
        <w:top w:val="none" w:sz="0" w:space="0" w:color="auto"/>
        <w:left w:val="none" w:sz="0" w:space="0" w:color="auto"/>
        <w:bottom w:val="none" w:sz="0" w:space="0" w:color="auto"/>
        <w:right w:val="none" w:sz="0" w:space="0" w:color="auto"/>
      </w:divBdr>
    </w:div>
    <w:div w:id="993680318">
      <w:bodyDiv w:val="1"/>
      <w:marLeft w:val="0"/>
      <w:marRight w:val="0"/>
      <w:marTop w:val="0"/>
      <w:marBottom w:val="0"/>
      <w:divBdr>
        <w:top w:val="none" w:sz="0" w:space="0" w:color="auto"/>
        <w:left w:val="none" w:sz="0" w:space="0" w:color="auto"/>
        <w:bottom w:val="none" w:sz="0" w:space="0" w:color="auto"/>
        <w:right w:val="none" w:sz="0" w:space="0" w:color="auto"/>
      </w:divBdr>
    </w:div>
    <w:div w:id="994721659">
      <w:bodyDiv w:val="1"/>
      <w:marLeft w:val="0"/>
      <w:marRight w:val="0"/>
      <w:marTop w:val="0"/>
      <w:marBottom w:val="0"/>
      <w:divBdr>
        <w:top w:val="none" w:sz="0" w:space="0" w:color="auto"/>
        <w:left w:val="none" w:sz="0" w:space="0" w:color="auto"/>
        <w:bottom w:val="none" w:sz="0" w:space="0" w:color="auto"/>
        <w:right w:val="none" w:sz="0" w:space="0" w:color="auto"/>
      </w:divBdr>
    </w:div>
    <w:div w:id="995038511">
      <w:bodyDiv w:val="1"/>
      <w:marLeft w:val="0"/>
      <w:marRight w:val="0"/>
      <w:marTop w:val="0"/>
      <w:marBottom w:val="0"/>
      <w:divBdr>
        <w:top w:val="none" w:sz="0" w:space="0" w:color="auto"/>
        <w:left w:val="none" w:sz="0" w:space="0" w:color="auto"/>
        <w:bottom w:val="none" w:sz="0" w:space="0" w:color="auto"/>
        <w:right w:val="none" w:sz="0" w:space="0" w:color="auto"/>
      </w:divBdr>
    </w:div>
    <w:div w:id="996807734">
      <w:bodyDiv w:val="1"/>
      <w:marLeft w:val="0"/>
      <w:marRight w:val="0"/>
      <w:marTop w:val="0"/>
      <w:marBottom w:val="0"/>
      <w:divBdr>
        <w:top w:val="none" w:sz="0" w:space="0" w:color="auto"/>
        <w:left w:val="none" w:sz="0" w:space="0" w:color="auto"/>
        <w:bottom w:val="none" w:sz="0" w:space="0" w:color="auto"/>
        <w:right w:val="none" w:sz="0" w:space="0" w:color="auto"/>
      </w:divBdr>
    </w:div>
    <w:div w:id="996880838">
      <w:bodyDiv w:val="1"/>
      <w:marLeft w:val="0"/>
      <w:marRight w:val="0"/>
      <w:marTop w:val="0"/>
      <w:marBottom w:val="0"/>
      <w:divBdr>
        <w:top w:val="none" w:sz="0" w:space="0" w:color="auto"/>
        <w:left w:val="none" w:sz="0" w:space="0" w:color="auto"/>
        <w:bottom w:val="none" w:sz="0" w:space="0" w:color="auto"/>
        <w:right w:val="none" w:sz="0" w:space="0" w:color="auto"/>
      </w:divBdr>
    </w:div>
    <w:div w:id="997222930">
      <w:bodyDiv w:val="1"/>
      <w:marLeft w:val="0"/>
      <w:marRight w:val="0"/>
      <w:marTop w:val="0"/>
      <w:marBottom w:val="0"/>
      <w:divBdr>
        <w:top w:val="none" w:sz="0" w:space="0" w:color="auto"/>
        <w:left w:val="none" w:sz="0" w:space="0" w:color="auto"/>
        <w:bottom w:val="none" w:sz="0" w:space="0" w:color="auto"/>
        <w:right w:val="none" w:sz="0" w:space="0" w:color="auto"/>
      </w:divBdr>
    </w:div>
    <w:div w:id="999235307">
      <w:bodyDiv w:val="1"/>
      <w:marLeft w:val="0"/>
      <w:marRight w:val="0"/>
      <w:marTop w:val="0"/>
      <w:marBottom w:val="0"/>
      <w:divBdr>
        <w:top w:val="none" w:sz="0" w:space="0" w:color="auto"/>
        <w:left w:val="none" w:sz="0" w:space="0" w:color="auto"/>
        <w:bottom w:val="none" w:sz="0" w:space="0" w:color="auto"/>
        <w:right w:val="none" w:sz="0" w:space="0" w:color="auto"/>
      </w:divBdr>
    </w:div>
    <w:div w:id="1001271126">
      <w:bodyDiv w:val="1"/>
      <w:marLeft w:val="0"/>
      <w:marRight w:val="0"/>
      <w:marTop w:val="0"/>
      <w:marBottom w:val="0"/>
      <w:divBdr>
        <w:top w:val="none" w:sz="0" w:space="0" w:color="auto"/>
        <w:left w:val="none" w:sz="0" w:space="0" w:color="auto"/>
        <w:bottom w:val="none" w:sz="0" w:space="0" w:color="auto"/>
        <w:right w:val="none" w:sz="0" w:space="0" w:color="auto"/>
      </w:divBdr>
    </w:div>
    <w:div w:id="1005985480">
      <w:bodyDiv w:val="1"/>
      <w:marLeft w:val="0"/>
      <w:marRight w:val="0"/>
      <w:marTop w:val="0"/>
      <w:marBottom w:val="0"/>
      <w:divBdr>
        <w:top w:val="none" w:sz="0" w:space="0" w:color="auto"/>
        <w:left w:val="none" w:sz="0" w:space="0" w:color="auto"/>
        <w:bottom w:val="none" w:sz="0" w:space="0" w:color="auto"/>
        <w:right w:val="none" w:sz="0" w:space="0" w:color="auto"/>
      </w:divBdr>
    </w:div>
    <w:div w:id="1010837400">
      <w:bodyDiv w:val="1"/>
      <w:marLeft w:val="0"/>
      <w:marRight w:val="0"/>
      <w:marTop w:val="0"/>
      <w:marBottom w:val="0"/>
      <w:divBdr>
        <w:top w:val="none" w:sz="0" w:space="0" w:color="auto"/>
        <w:left w:val="none" w:sz="0" w:space="0" w:color="auto"/>
        <w:bottom w:val="none" w:sz="0" w:space="0" w:color="auto"/>
        <w:right w:val="none" w:sz="0" w:space="0" w:color="auto"/>
      </w:divBdr>
    </w:div>
    <w:div w:id="1012729090">
      <w:bodyDiv w:val="1"/>
      <w:marLeft w:val="0"/>
      <w:marRight w:val="0"/>
      <w:marTop w:val="0"/>
      <w:marBottom w:val="0"/>
      <w:divBdr>
        <w:top w:val="none" w:sz="0" w:space="0" w:color="auto"/>
        <w:left w:val="none" w:sz="0" w:space="0" w:color="auto"/>
        <w:bottom w:val="none" w:sz="0" w:space="0" w:color="auto"/>
        <w:right w:val="none" w:sz="0" w:space="0" w:color="auto"/>
      </w:divBdr>
    </w:div>
    <w:div w:id="1013343038">
      <w:bodyDiv w:val="1"/>
      <w:marLeft w:val="0"/>
      <w:marRight w:val="0"/>
      <w:marTop w:val="0"/>
      <w:marBottom w:val="0"/>
      <w:divBdr>
        <w:top w:val="none" w:sz="0" w:space="0" w:color="auto"/>
        <w:left w:val="none" w:sz="0" w:space="0" w:color="auto"/>
        <w:bottom w:val="none" w:sz="0" w:space="0" w:color="auto"/>
        <w:right w:val="none" w:sz="0" w:space="0" w:color="auto"/>
      </w:divBdr>
    </w:div>
    <w:div w:id="1029448308">
      <w:bodyDiv w:val="1"/>
      <w:marLeft w:val="0"/>
      <w:marRight w:val="0"/>
      <w:marTop w:val="0"/>
      <w:marBottom w:val="0"/>
      <w:divBdr>
        <w:top w:val="none" w:sz="0" w:space="0" w:color="auto"/>
        <w:left w:val="none" w:sz="0" w:space="0" w:color="auto"/>
        <w:bottom w:val="none" w:sz="0" w:space="0" w:color="auto"/>
        <w:right w:val="none" w:sz="0" w:space="0" w:color="auto"/>
      </w:divBdr>
    </w:div>
    <w:div w:id="1029524338">
      <w:bodyDiv w:val="1"/>
      <w:marLeft w:val="0"/>
      <w:marRight w:val="0"/>
      <w:marTop w:val="0"/>
      <w:marBottom w:val="0"/>
      <w:divBdr>
        <w:top w:val="none" w:sz="0" w:space="0" w:color="auto"/>
        <w:left w:val="none" w:sz="0" w:space="0" w:color="auto"/>
        <w:bottom w:val="none" w:sz="0" w:space="0" w:color="auto"/>
        <w:right w:val="none" w:sz="0" w:space="0" w:color="auto"/>
      </w:divBdr>
    </w:div>
    <w:div w:id="1033383370">
      <w:bodyDiv w:val="1"/>
      <w:marLeft w:val="0"/>
      <w:marRight w:val="0"/>
      <w:marTop w:val="0"/>
      <w:marBottom w:val="0"/>
      <w:divBdr>
        <w:top w:val="none" w:sz="0" w:space="0" w:color="auto"/>
        <w:left w:val="none" w:sz="0" w:space="0" w:color="auto"/>
        <w:bottom w:val="none" w:sz="0" w:space="0" w:color="auto"/>
        <w:right w:val="none" w:sz="0" w:space="0" w:color="auto"/>
      </w:divBdr>
    </w:div>
    <w:div w:id="1033504932">
      <w:bodyDiv w:val="1"/>
      <w:marLeft w:val="0"/>
      <w:marRight w:val="0"/>
      <w:marTop w:val="0"/>
      <w:marBottom w:val="0"/>
      <w:divBdr>
        <w:top w:val="none" w:sz="0" w:space="0" w:color="auto"/>
        <w:left w:val="none" w:sz="0" w:space="0" w:color="auto"/>
        <w:bottom w:val="none" w:sz="0" w:space="0" w:color="auto"/>
        <w:right w:val="none" w:sz="0" w:space="0" w:color="auto"/>
      </w:divBdr>
    </w:div>
    <w:div w:id="1039936567">
      <w:bodyDiv w:val="1"/>
      <w:marLeft w:val="0"/>
      <w:marRight w:val="0"/>
      <w:marTop w:val="0"/>
      <w:marBottom w:val="0"/>
      <w:divBdr>
        <w:top w:val="none" w:sz="0" w:space="0" w:color="auto"/>
        <w:left w:val="none" w:sz="0" w:space="0" w:color="auto"/>
        <w:bottom w:val="none" w:sz="0" w:space="0" w:color="auto"/>
        <w:right w:val="none" w:sz="0" w:space="0" w:color="auto"/>
      </w:divBdr>
    </w:div>
    <w:div w:id="1043208609">
      <w:bodyDiv w:val="1"/>
      <w:marLeft w:val="0"/>
      <w:marRight w:val="0"/>
      <w:marTop w:val="0"/>
      <w:marBottom w:val="0"/>
      <w:divBdr>
        <w:top w:val="none" w:sz="0" w:space="0" w:color="auto"/>
        <w:left w:val="none" w:sz="0" w:space="0" w:color="auto"/>
        <w:bottom w:val="none" w:sz="0" w:space="0" w:color="auto"/>
        <w:right w:val="none" w:sz="0" w:space="0" w:color="auto"/>
      </w:divBdr>
    </w:div>
    <w:div w:id="1045371672">
      <w:bodyDiv w:val="1"/>
      <w:marLeft w:val="0"/>
      <w:marRight w:val="0"/>
      <w:marTop w:val="0"/>
      <w:marBottom w:val="0"/>
      <w:divBdr>
        <w:top w:val="none" w:sz="0" w:space="0" w:color="auto"/>
        <w:left w:val="none" w:sz="0" w:space="0" w:color="auto"/>
        <w:bottom w:val="none" w:sz="0" w:space="0" w:color="auto"/>
        <w:right w:val="none" w:sz="0" w:space="0" w:color="auto"/>
      </w:divBdr>
    </w:div>
    <w:div w:id="1049915536">
      <w:bodyDiv w:val="1"/>
      <w:marLeft w:val="0"/>
      <w:marRight w:val="0"/>
      <w:marTop w:val="0"/>
      <w:marBottom w:val="0"/>
      <w:divBdr>
        <w:top w:val="none" w:sz="0" w:space="0" w:color="auto"/>
        <w:left w:val="none" w:sz="0" w:space="0" w:color="auto"/>
        <w:bottom w:val="none" w:sz="0" w:space="0" w:color="auto"/>
        <w:right w:val="none" w:sz="0" w:space="0" w:color="auto"/>
      </w:divBdr>
    </w:div>
    <w:div w:id="1050686448">
      <w:bodyDiv w:val="1"/>
      <w:marLeft w:val="0"/>
      <w:marRight w:val="0"/>
      <w:marTop w:val="0"/>
      <w:marBottom w:val="0"/>
      <w:divBdr>
        <w:top w:val="none" w:sz="0" w:space="0" w:color="auto"/>
        <w:left w:val="none" w:sz="0" w:space="0" w:color="auto"/>
        <w:bottom w:val="none" w:sz="0" w:space="0" w:color="auto"/>
        <w:right w:val="none" w:sz="0" w:space="0" w:color="auto"/>
      </w:divBdr>
    </w:div>
    <w:div w:id="1059783770">
      <w:bodyDiv w:val="1"/>
      <w:marLeft w:val="0"/>
      <w:marRight w:val="0"/>
      <w:marTop w:val="0"/>
      <w:marBottom w:val="0"/>
      <w:divBdr>
        <w:top w:val="none" w:sz="0" w:space="0" w:color="auto"/>
        <w:left w:val="none" w:sz="0" w:space="0" w:color="auto"/>
        <w:bottom w:val="none" w:sz="0" w:space="0" w:color="auto"/>
        <w:right w:val="none" w:sz="0" w:space="0" w:color="auto"/>
      </w:divBdr>
    </w:div>
    <w:div w:id="1061753830">
      <w:bodyDiv w:val="1"/>
      <w:marLeft w:val="0"/>
      <w:marRight w:val="0"/>
      <w:marTop w:val="0"/>
      <w:marBottom w:val="0"/>
      <w:divBdr>
        <w:top w:val="none" w:sz="0" w:space="0" w:color="auto"/>
        <w:left w:val="none" w:sz="0" w:space="0" w:color="auto"/>
        <w:bottom w:val="none" w:sz="0" w:space="0" w:color="auto"/>
        <w:right w:val="none" w:sz="0" w:space="0" w:color="auto"/>
      </w:divBdr>
    </w:div>
    <w:div w:id="1063649313">
      <w:bodyDiv w:val="1"/>
      <w:marLeft w:val="0"/>
      <w:marRight w:val="0"/>
      <w:marTop w:val="0"/>
      <w:marBottom w:val="0"/>
      <w:divBdr>
        <w:top w:val="none" w:sz="0" w:space="0" w:color="auto"/>
        <w:left w:val="none" w:sz="0" w:space="0" w:color="auto"/>
        <w:bottom w:val="none" w:sz="0" w:space="0" w:color="auto"/>
        <w:right w:val="none" w:sz="0" w:space="0" w:color="auto"/>
      </w:divBdr>
    </w:div>
    <w:div w:id="1065183136">
      <w:bodyDiv w:val="1"/>
      <w:marLeft w:val="0"/>
      <w:marRight w:val="0"/>
      <w:marTop w:val="0"/>
      <w:marBottom w:val="0"/>
      <w:divBdr>
        <w:top w:val="none" w:sz="0" w:space="0" w:color="auto"/>
        <w:left w:val="none" w:sz="0" w:space="0" w:color="auto"/>
        <w:bottom w:val="none" w:sz="0" w:space="0" w:color="auto"/>
        <w:right w:val="none" w:sz="0" w:space="0" w:color="auto"/>
      </w:divBdr>
    </w:div>
    <w:div w:id="1065296003">
      <w:bodyDiv w:val="1"/>
      <w:marLeft w:val="0"/>
      <w:marRight w:val="0"/>
      <w:marTop w:val="0"/>
      <w:marBottom w:val="0"/>
      <w:divBdr>
        <w:top w:val="none" w:sz="0" w:space="0" w:color="auto"/>
        <w:left w:val="none" w:sz="0" w:space="0" w:color="auto"/>
        <w:bottom w:val="none" w:sz="0" w:space="0" w:color="auto"/>
        <w:right w:val="none" w:sz="0" w:space="0" w:color="auto"/>
      </w:divBdr>
    </w:div>
    <w:div w:id="1067386159">
      <w:bodyDiv w:val="1"/>
      <w:marLeft w:val="0"/>
      <w:marRight w:val="0"/>
      <w:marTop w:val="0"/>
      <w:marBottom w:val="0"/>
      <w:divBdr>
        <w:top w:val="none" w:sz="0" w:space="0" w:color="auto"/>
        <w:left w:val="none" w:sz="0" w:space="0" w:color="auto"/>
        <w:bottom w:val="none" w:sz="0" w:space="0" w:color="auto"/>
        <w:right w:val="none" w:sz="0" w:space="0" w:color="auto"/>
      </w:divBdr>
    </w:div>
    <w:div w:id="1069376682">
      <w:bodyDiv w:val="1"/>
      <w:marLeft w:val="0"/>
      <w:marRight w:val="0"/>
      <w:marTop w:val="0"/>
      <w:marBottom w:val="0"/>
      <w:divBdr>
        <w:top w:val="none" w:sz="0" w:space="0" w:color="auto"/>
        <w:left w:val="none" w:sz="0" w:space="0" w:color="auto"/>
        <w:bottom w:val="none" w:sz="0" w:space="0" w:color="auto"/>
        <w:right w:val="none" w:sz="0" w:space="0" w:color="auto"/>
      </w:divBdr>
    </w:div>
    <w:div w:id="1071384936">
      <w:bodyDiv w:val="1"/>
      <w:marLeft w:val="0"/>
      <w:marRight w:val="0"/>
      <w:marTop w:val="0"/>
      <w:marBottom w:val="0"/>
      <w:divBdr>
        <w:top w:val="none" w:sz="0" w:space="0" w:color="auto"/>
        <w:left w:val="none" w:sz="0" w:space="0" w:color="auto"/>
        <w:bottom w:val="none" w:sz="0" w:space="0" w:color="auto"/>
        <w:right w:val="none" w:sz="0" w:space="0" w:color="auto"/>
      </w:divBdr>
    </w:div>
    <w:div w:id="1072854213">
      <w:bodyDiv w:val="1"/>
      <w:marLeft w:val="0"/>
      <w:marRight w:val="0"/>
      <w:marTop w:val="0"/>
      <w:marBottom w:val="0"/>
      <w:divBdr>
        <w:top w:val="none" w:sz="0" w:space="0" w:color="auto"/>
        <w:left w:val="none" w:sz="0" w:space="0" w:color="auto"/>
        <w:bottom w:val="none" w:sz="0" w:space="0" w:color="auto"/>
        <w:right w:val="none" w:sz="0" w:space="0" w:color="auto"/>
      </w:divBdr>
    </w:div>
    <w:div w:id="1074669125">
      <w:bodyDiv w:val="1"/>
      <w:marLeft w:val="0"/>
      <w:marRight w:val="0"/>
      <w:marTop w:val="0"/>
      <w:marBottom w:val="0"/>
      <w:divBdr>
        <w:top w:val="none" w:sz="0" w:space="0" w:color="auto"/>
        <w:left w:val="none" w:sz="0" w:space="0" w:color="auto"/>
        <w:bottom w:val="none" w:sz="0" w:space="0" w:color="auto"/>
        <w:right w:val="none" w:sz="0" w:space="0" w:color="auto"/>
      </w:divBdr>
    </w:div>
    <w:div w:id="1076441369">
      <w:bodyDiv w:val="1"/>
      <w:marLeft w:val="0"/>
      <w:marRight w:val="0"/>
      <w:marTop w:val="0"/>
      <w:marBottom w:val="0"/>
      <w:divBdr>
        <w:top w:val="none" w:sz="0" w:space="0" w:color="auto"/>
        <w:left w:val="none" w:sz="0" w:space="0" w:color="auto"/>
        <w:bottom w:val="none" w:sz="0" w:space="0" w:color="auto"/>
        <w:right w:val="none" w:sz="0" w:space="0" w:color="auto"/>
      </w:divBdr>
    </w:div>
    <w:div w:id="1078594121">
      <w:bodyDiv w:val="1"/>
      <w:marLeft w:val="0"/>
      <w:marRight w:val="0"/>
      <w:marTop w:val="0"/>
      <w:marBottom w:val="0"/>
      <w:divBdr>
        <w:top w:val="none" w:sz="0" w:space="0" w:color="auto"/>
        <w:left w:val="none" w:sz="0" w:space="0" w:color="auto"/>
        <w:bottom w:val="none" w:sz="0" w:space="0" w:color="auto"/>
        <w:right w:val="none" w:sz="0" w:space="0" w:color="auto"/>
      </w:divBdr>
    </w:div>
    <w:div w:id="1082524531">
      <w:bodyDiv w:val="1"/>
      <w:marLeft w:val="0"/>
      <w:marRight w:val="0"/>
      <w:marTop w:val="0"/>
      <w:marBottom w:val="0"/>
      <w:divBdr>
        <w:top w:val="none" w:sz="0" w:space="0" w:color="auto"/>
        <w:left w:val="none" w:sz="0" w:space="0" w:color="auto"/>
        <w:bottom w:val="none" w:sz="0" w:space="0" w:color="auto"/>
        <w:right w:val="none" w:sz="0" w:space="0" w:color="auto"/>
      </w:divBdr>
    </w:div>
    <w:div w:id="1083721703">
      <w:bodyDiv w:val="1"/>
      <w:marLeft w:val="0"/>
      <w:marRight w:val="0"/>
      <w:marTop w:val="0"/>
      <w:marBottom w:val="0"/>
      <w:divBdr>
        <w:top w:val="none" w:sz="0" w:space="0" w:color="auto"/>
        <w:left w:val="none" w:sz="0" w:space="0" w:color="auto"/>
        <w:bottom w:val="none" w:sz="0" w:space="0" w:color="auto"/>
        <w:right w:val="none" w:sz="0" w:space="0" w:color="auto"/>
      </w:divBdr>
    </w:div>
    <w:div w:id="1084108305">
      <w:bodyDiv w:val="1"/>
      <w:marLeft w:val="0"/>
      <w:marRight w:val="0"/>
      <w:marTop w:val="0"/>
      <w:marBottom w:val="0"/>
      <w:divBdr>
        <w:top w:val="none" w:sz="0" w:space="0" w:color="auto"/>
        <w:left w:val="none" w:sz="0" w:space="0" w:color="auto"/>
        <w:bottom w:val="none" w:sz="0" w:space="0" w:color="auto"/>
        <w:right w:val="none" w:sz="0" w:space="0" w:color="auto"/>
      </w:divBdr>
    </w:div>
    <w:div w:id="1088695659">
      <w:bodyDiv w:val="1"/>
      <w:marLeft w:val="0"/>
      <w:marRight w:val="0"/>
      <w:marTop w:val="0"/>
      <w:marBottom w:val="0"/>
      <w:divBdr>
        <w:top w:val="none" w:sz="0" w:space="0" w:color="auto"/>
        <w:left w:val="none" w:sz="0" w:space="0" w:color="auto"/>
        <w:bottom w:val="none" w:sz="0" w:space="0" w:color="auto"/>
        <w:right w:val="none" w:sz="0" w:space="0" w:color="auto"/>
      </w:divBdr>
    </w:div>
    <w:div w:id="1089735091">
      <w:bodyDiv w:val="1"/>
      <w:marLeft w:val="0"/>
      <w:marRight w:val="0"/>
      <w:marTop w:val="0"/>
      <w:marBottom w:val="0"/>
      <w:divBdr>
        <w:top w:val="none" w:sz="0" w:space="0" w:color="auto"/>
        <w:left w:val="none" w:sz="0" w:space="0" w:color="auto"/>
        <w:bottom w:val="none" w:sz="0" w:space="0" w:color="auto"/>
        <w:right w:val="none" w:sz="0" w:space="0" w:color="auto"/>
      </w:divBdr>
    </w:div>
    <w:div w:id="1091119412">
      <w:bodyDiv w:val="1"/>
      <w:marLeft w:val="0"/>
      <w:marRight w:val="0"/>
      <w:marTop w:val="0"/>
      <w:marBottom w:val="0"/>
      <w:divBdr>
        <w:top w:val="none" w:sz="0" w:space="0" w:color="auto"/>
        <w:left w:val="none" w:sz="0" w:space="0" w:color="auto"/>
        <w:bottom w:val="none" w:sz="0" w:space="0" w:color="auto"/>
        <w:right w:val="none" w:sz="0" w:space="0" w:color="auto"/>
      </w:divBdr>
    </w:div>
    <w:div w:id="1093211694">
      <w:bodyDiv w:val="1"/>
      <w:marLeft w:val="0"/>
      <w:marRight w:val="0"/>
      <w:marTop w:val="0"/>
      <w:marBottom w:val="0"/>
      <w:divBdr>
        <w:top w:val="none" w:sz="0" w:space="0" w:color="auto"/>
        <w:left w:val="none" w:sz="0" w:space="0" w:color="auto"/>
        <w:bottom w:val="none" w:sz="0" w:space="0" w:color="auto"/>
        <w:right w:val="none" w:sz="0" w:space="0" w:color="auto"/>
      </w:divBdr>
    </w:div>
    <w:div w:id="1094400326">
      <w:bodyDiv w:val="1"/>
      <w:marLeft w:val="0"/>
      <w:marRight w:val="0"/>
      <w:marTop w:val="0"/>
      <w:marBottom w:val="0"/>
      <w:divBdr>
        <w:top w:val="none" w:sz="0" w:space="0" w:color="auto"/>
        <w:left w:val="none" w:sz="0" w:space="0" w:color="auto"/>
        <w:bottom w:val="none" w:sz="0" w:space="0" w:color="auto"/>
        <w:right w:val="none" w:sz="0" w:space="0" w:color="auto"/>
      </w:divBdr>
    </w:div>
    <w:div w:id="1097403113">
      <w:bodyDiv w:val="1"/>
      <w:marLeft w:val="0"/>
      <w:marRight w:val="0"/>
      <w:marTop w:val="0"/>
      <w:marBottom w:val="0"/>
      <w:divBdr>
        <w:top w:val="none" w:sz="0" w:space="0" w:color="auto"/>
        <w:left w:val="none" w:sz="0" w:space="0" w:color="auto"/>
        <w:bottom w:val="none" w:sz="0" w:space="0" w:color="auto"/>
        <w:right w:val="none" w:sz="0" w:space="0" w:color="auto"/>
      </w:divBdr>
    </w:div>
    <w:div w:id="1104224520">
      <w:bodyDiv w:val="1"/>
      <w:marLeft w:val="0"/>
      <w:marRight w:val="0"/>
      <w:marTop w:val="0"/>
      <w:marBottom w:val="0"/>
      <w:divBdr>
        <w:top w:val="none" w:sz="0" w:space="0" w:color="auto"/>
        <w:left w:val="none" w:sz="0" w:space="0" w:color="auto"/>
        <w:bottom w:val="none" w:sz="0" w:space="0" w:color="auto"/>
        <w:right w:val="none" w:sz="0" w:space="0" w:color="auto"/>
      </w:divBdr>
    </w:div>
    <w:div w:id="1104305161">
      <w:bodyDiv w:val="1"/>
      <w:marLeft w:val="0"/>
      <w:marRight w:val="0"/>
      <w:marTop w:val="0"/>
      <w:marBottom w:val="0"/>
      <w:divBdr>
        <w:top w:val="none" w:sz="0" w:space="0" w:color="auto"/>
        <w:left w:val="none" w:sz="0" w:space="0" w:color="auto"/>
        <w:bottom w:val="none" w:sz="0" w:space="0" w:color="auto"/>
        <w:right w:val="none" w:sz="0" w:space="0" w:color="auto"/>
      </w:divBdr>
    </w:div>
    <w:div w:id="1107893810">
      <w:bodyDiv w:val="1"/>
      <w:marLeft w:val="0"/>
      <w:marRight w:val="0"/>
      <w:marTop w:val="0"/>
      <w:marBottom w:val="0"/>
      <w:divBdr>
        <w:top w:val="none" w:sz="0" w:space="0" w:color="auto"/>
        <w:left w:val="none" w:sz="0" w:space="0" w:color="auto"/>
        <w:bottom w:val="none" w:sz="0" w:space="0" w:color="auto"/>
        <w:right w:val="none" w:sz="0" w:space="0" w:color="auto"/>
      </w:divBdr>
    </w:div>
    <w:div w:id="1110734450">
      <w:bodyDiv w:val="1"/>
      <w:marLeft w:val="0"/>
      <w:marRight w:val="0"/>
      <w:marTop w:val="0"/>
      <w:marBottom w:val="0"/>
      <w:divBdr>
        <w:top w:val="none" w:sz="0" w:space="0" w:color="auto"/>
        <w:left w:val="none" w:sz="0" w:space="0" w:color="auto"/>
        <w:bottom w:val="none" w:sz="0" w:space="0" w:color="auto"/>
        <w:right w:val="none" w:sz="0" w:space="0" w:color="auto"/>
      </w:divBdr>
    </w:div>
    <w:div w:id="1111323115">
      <w:bodyDiv w:val="1"/>
      <w:marLeft w:val="0"/>
      <w:marRight w:val="0"/>
      <w:marTop w:val="0"/>
      <w:marBottom w:val="0"/>
      <w:divBdr>
        <w:top w:val="none" w:sz="0" w:space="0" w:color="auto"/>
        <w:left w:val="none" w:sz="0" w:space="0" w:color="auto"/>
        <w:bottom w:val="none" w:sz="0" w:space="0" w:color="auto"/>
        <w:right w:val="none" w:sz="0" w:space="0" w:color="auto"/>
      </w:divBdr>
    </w:div>
    <w:div w:id="1113288116">
      <w:bodyDiv w:val="1"/>
      <w:marLeft w:val="0"/>
      <w:marRight w:val="0"/>
      <w:marTop w:val="0"/>
      <w:marBottom w:val="0"/>
      <w:divBdr>
        <w:top w:val="none" w:sz="0" w:space="0" w:color="auto"/>
        <w:left w:val="none" w:sz="0" w:space="0" w:color="auto"/>
        <w:bottom w:val="none" w:sz="0" w:space="0" w:color="auto"/>
        <w:right w:val="none" w:sz="0" w:space="0" w:color="auto"/>
      </w:divBdr>
    </w:div>
    <w:div w:id="1117260391">
      <w:bodyDiv w:val="1"/>
      <w:marLeft w:val="0"/>
      <w:marRight w:val="0"/>
      <w:marTop w:val="0"/>
      <w:marBottom w:val="0"/>
      <w:divBdr>
        <w:top w:val="none" w:sz="0" w:space="0" w:color="auto"/>
        <w:left w:val="none" w:sz="0" w:space="0" w:color="auto"/>
        <w:bottom w:val="none" w:sz="0" w:space="0" w:color="auto"/>
        <w:right w:val="none" w:sz="0" w:space="0" w:color="auto"/>
      </w:divBdr>
    </w:div>
    <w:div w:id="1118986990">
      <w:bodyDiv w:val="1"/>
      <w:marLeft w:val="0"/>
      <w:marRight w:val="0"/>
      <w:marTop w:val="0"/>
      <w:marBottom w:val="0"/>
      <w:divBdr>
        <w:top w:val="none" w:sz="0" w:space="0" w:color="auto"/>
        <w:left w:val="none" w:sz="0" w:space="0" w:color="auto"/>
        <w:bottom w:val="none" w:sz="0" w:space="0" w:color="auto"/>
        <w:right w:val="none" w:sz="0" w:space="0" w:color="auto"/>
      </w:divBdr>
    </w:div>
    <w:div w:id="1119033167">
      <w:bodyDiv w:val="1"/>
      <w:marLeft w:val="0"/>
      <w:marRight w:val="0"/>
      <w:marTop w:val="0"/>
      <w:marBottom w:val="0"/>
      <w:divBdr>
        <w:top w:val="none" w:sz="0" w:space="0" w:color="auto"/>
        <w:left w:val="none" w:sz="0" w:space="0" w:color="auto"/>
        <w:bottom w:val="none" w:sz="0" w:space="0" w:color="auto"/>
        <w:right w:val="none" w:sz="0" w:space="0" w:color="auto"/>
      </w:divBdr>
    </w:div>
    <w:div w:id="1119108634">
      <w:bodyDiv w:val="1"/>
      <w:marLeft w:val="0"/>
      <w:marRight w:val="0"/>
      <w:marTop w:val="0"/>
      <w:marBottom w:val="0"/>
      <w:divBdr>
        <w:top w:val="none" w:sz="0" w:space="0" w:color="auto"/>
        <w:left w:val="none" w:sz="0" w:space="0" w:color="auto"/>
        <w:bottom w:val="none" w:sz="0" w:space="0" w:color="auto"/>
        <w:right w:val="none" w:sz="0" w:space="0" w:color="auto"/>
      </w:divBdr>
    </w:div>
    <w:div w:id="1119838851">
      <w:bodyDiv w:val="1"/>
      <w:marLeft w:val="0"/>
      <w:marRight w:val="0"/>
      <w:marTop w:val="0"/>
      <w:marBottom w:val="0"/>
      <w:divBdr>
        <w:top w:val="none" w:sz="0" w:space="0" w:color="auto"/>
        <w:left w:val="none" w:sz="0" w:space="0" w:color="auto"/>
        <w:bottom w:val="none" w:sz="0" w:space="0" w:color="auto"/>
        <w:right w:val="none" w:sz="0" w:space="0" w:color="auto"/>
      </w:divBdr>
    </w:div>
    <w:div w:id="1123694787">
      <w:bodyDiv w:val="1"/>
      <w:marLeft w:val="0"/>
      <w:marRight w:val="0"/>
      <w:marTop w:val="0"/>
      <w:marBottom w:val="0"/>
      <w:divBdr>
        <w:top w:val="none" w:sz="0" w:space="0" w:color="auto"/>
        <w:left w:val="none" w:sz="0" w:space="0" w:color="auto"/>
        <w:bottom w:val="none" w:sz="0" w:space="0" w:color="auto"/>
        <w:right w:val="none" w:sz="0" w:space="0" w:color="auto"/>
      </w:divBdr>
    </w:div>
    <w:div w:id="1123963507">
      <w:bodyDiv w:val="1"/>
      <w:marLeft w:val="0"/>
      <w:marRight w:val="0"/>
      <w:marTop w:val="0"/>
      <w:marBottom w:val="0"/>
      <w:divBdr>
        <w:top w:val="none" w:sz="0" w:space="0" w:color="auto"/>
        <w:left w:val="none" w:sz="0" w:space="0" w:color="auto"/>
        <w:bottom w:val="none" w:sz="0" w:space="0" w:color="auto"/>
        <w:right w:val="none" w:sz="0" w:space="0" w:color="auto"/>
      </w:divBdr>
    </w:div>
    <w:div w:id="1125461806">
      <w:bodyDiv w:val="1"/>
      <w:marLeft w:val="0"/>
      <w:marRight w:val="0"/>
      <w:marTop w:val="0"/>
      <w:marBottom w:val="0"/>
      <w:divBdr>
        <w:top w:val="none" w:sz="0" w:space="0" w:color="auto"/>
        <w:left w:val="none" w:sz="0" w:space="0" w:color="auto"/>
        <w:bottom w:val="none" w:sz="0" w:space="0" w:color="auto"/>
        <w:right w:val="none" w:sz="0" w:space="0" w:color="auto"/>
      </w:divBdr>
    </w:div>
    <w:div w:id="1128276251">
      <w:bodyDiv w:val="1"/>
      <w:marLeft w:val="0"/>
      <w:marRight w:val="0"/>
      <w:marTop w:val="0"/>
      <w:marBottom w:val="0"/>
      <w:divBdr>
        <w:top w:val="none" w:sz="0" w:space="0" w:color="auto"/>
        <w:left w:val="none" w:sz="0" w:space="0" w:color="auto"/>
        <w:bottom w:val="none" w:sz="0" w:space="0" w:color="auto"/>
        <w:right w:val="none" w:sz="0" w:space="0" w:color="auto"/>
      </w:divBdr>
    </w:div>
    <w:div w:id="1128667356">
      <w:bodyDiv w:val="1"/>
      <w:marLeft w:val="0"/>
      <w:marRight w:val="0"/>
      <w:marTop w:val="0"/>
      <w:marBottom w:val="0"/>
      <w:divBdr>
        <w:top w:val="none" w:sz="0" w:space="0" w:color="auto"/>
        <w:left w:val="none" w:sz="0" w:space="0" w:color="auto"/>
        <w:bottom w:val="none" w:sz="0" w:space="0" w:color="auto"/>
        <w:right w:val="none" w:sz="0" w:space="0" w:color="auto"/>
      </w:divBdr>
    </w:div>
    <w:div w:id="1128818715">
      <w:bodyDiv w:val="1"/>
      <w:marLeft w:val="0"/>
      <w:marRight w:val="0"/>
      <w:marTop w:val="0"/>
      <w:marBottom w:val="0"/>
      <w:divBdr>
        <w:top w:val="none" w:sz="0" w:space="0" w:color="auto"/>
        <w:left w:val="none" w:sz="0" w:space="0" w:color="auto"/>
        <w:bottom w:val="none" w:sz="0" w:space="0" w:color="auto"/>
        <w:right w:val="none" w:sz="0" w:space="0" w:color="auto"/>
      </w:divBdr>
    </w:div>
    <w:div w:id="1130971975">
      <w:bodyDiv w:val="1"/>
      <w:marLeft w:val="0"/>
      <w:marRight w:val="0"/>
      <w:marTop w:val="0"/>
      <w:marBottom w:val="0"/>
      <w:divBdr>
        <w:top w:val="none" w:sz="0" w:space="0" w:color="auto"/>
        <w:left w:val="none" w:sz="0" w:space="0" w:color="auto"/>
        <w:bottom w:val="none" w:sz="0" w:space="0" w:color="auto"/>
        <w:right w:val="none" w:sz="0" w:space="0" w:color="auto"/>
      </w:divBdr>
    </w:div>
    <w:div w:id="1131553911">
      <w:bodyDiv w:val="1"/>
      <w:marLeft w:val="0"/>
      <w:marRight w:val="0"/>
      <w:marTop w:val="0"/>
      <w:marBottom w:val="0"/>
      <w:divBdr>
        <w:top w:val="none" w:sz="0" w:space="0" w:color="auto"/>
        <w:left w:val="none" w:sz="0" w:space="0" w:color="auto"/>
        <w:bottom w:val="none" w:sz="0" w:space="0" w:color="auto"/>
        <w:right w:val="none" w:sz="0" w:space="0" w:color="auto"/>
      </w:divBdr>
    </w:div>
    <w:div w:id="1137525457">
      <w:bodyDiv w:val="1"/>
      <w:marLeft w:val="0"/>
      <w:marRight w:val="0"/>
      <w:marTop w:val="0"/>
      <w:marBottom w:val="0"/>
      <w:divBdr>
        <w:top w:val="none" w:sz="0" w:space="0" w:color="auto"/>
        <w:left w:val="none" w:sz="0" w:space="0" w:color="auto"/>
        <w:bottom w:val="none" w:sz="0" w:space="0" w:color="auto"/>
        <w:right w:val="none" w:sz="0" w:space="0" w:color="auto"/>
      </w:divBdr>
    </w:div>
    <w:div w:id="1137794613">
      <w:bodyDiv w:val="1"/>
      <w:marLeft w:val="0"/>
      <w:marRight w:val="0"/>
      <w:marTop w:val="0"/>
      <w:marBottom w:val="0"/>
      <w:divBdr>
        <w:top w:val="none" w:sz="0" w:space="0" w:color="auto"/>
        <w:left w:val="none" w:sz="0" w:space="0" w:color="auto"/>
        <w:bottom w:val="none" w:sz="0" w:space="0" w:color="auto"/>
        <w:right w:val="none" w:sz="0" w:space="0" w:color="auto"/>
      </w:divBdr>
    </w:div>
    <w:div w:id="1142424794">
      <w:bodyDiv w:val="1"/>
      <w:marLeft w:val="0"/>
      <w:marRight w:val="0"/>
      <w:marTop w:val="0"/>
      <w:marBottom w:val="0"/>
      <w:divBdr>
        <w:top w:val="none" w:sz="0" w:space="0" w:color="auto"/>
        <w:left w:val="none" w:sz="0" w:space="0" w:color="auto"/>
        <w:bottom w:val="none" w:sz="0" w:space="0" w:color="auto"/>
        <w:right w:val="none" w:sz="0" w:space="0" w:color="auto"/>
      </w:divBdr>
    </w:div>
    <w:div w:id="1142769040">
      <w:bodyDiv w:val="1"/>
      <w:marLeft w:val="0"/>
      <w:marRight w:val="0"/>
      <w:marTop w:val="0"/>
      <w:marBottom w:val="0"/>
      <w:divBdr>
        <w:top w:val="none" w:sz="0" w:space="0" w:color="auto"/>
        <w:left w:val="none" w:sz="0" w:space="0" w:color="auto"/>
        <w:bottom w:val="none" w:sz="0" w:space="0" w:color="auto"/>
        <w:right w:val="none" w:sz="0" w:space="0" w:color="auto"/>
      </w:divBdr>
    </w:div>
    <w:div w:id="1143810530">
      <w:bodyDiv w:val="1"/>
      <w:marLeft w:val="0"/>
      <w:marRight w:val="0"/>
      <w:marTop w:val="0"/>
      <w:marBottom w:val="0"/>
      <w:divBdr>
        <w:top w:val="none" w:sz="0" w:space="0" w:color="auto"/>
        <w:left w:val="none" w:sz="0" w:space="0" w:color="auto"/>
        <w:bottom w:val="none" w:sz="0" w:space="0" w:color="auto"/>
        <w:right w:val="none" w:sz="0" w:space="0" w:color="auto"/>
      </w:divBdr>
    </w:div>
    <w:div w:id="1143934157">
      <w:bodyDiv w:val="1"/>
      <w:marLeft w:val="0"/>
      <w:marRight w:val="0"/>
      <w:marTop w:val="0"/>
      <w:marBottom w:val="0"/>
      <w:divBdr>
        <w:top w:val="none" w:sz="0" w:space="0" w:color="auto"/>
        <w:left w:val="none" w:sz="0" w:space="0" w:color="auto"/>
        <w:bottom w:val="none" w:sz="0" w:space="0" w:color="auto"/>
        <w:right w:val="none" w:sz="0" w:space="0" w:color="auto"/>
      </w:divBdr>
    </w:div>
    <w:div w:id="1147239068">
      <w:bodyDiv w:val="1"/>
      <w:marLeft w:val="0"/>
      <w:marRight w:val="0"/>
      <w:marTop w:val="0"/>
      <w:marBottom w:val="0"/>
      <w:divBdr>
        <w:top w:val="none" w:sz="0" w:space="0" w:color="auto"/>
        <w:left w:val="none" w:sz="0" w:space="0" w:color="auto"/>
        <w:bottom w:val="none" w:sz="0" w:space="0" w:color="auto"/>
        <w:right w:val="none" w:sz="0" w:space="0" w:color="auto"/>
      </w:divBdr>
    </w:div>
    <w:div w:id="1149055868">
      <w:bodyDiv w:val="1"/>
      <w:marLeft w:val="0"/>
      <w:marRight w:val="0"/>
      <w:marTop w:val="0"/>
      <w:marBottom w:val="0"/>
      <w:divBdr>
        <w:top w:val="none" w:sz="0" w:space="0" w:color="auto"/>
        <w:left w:val="none" w:sz="0" w:space="0" w:color="auto"/>
        <w:bottom w:val="none" w:sz="0" w:space="0" w:color="auto"/>
        <w:right w:val="none" w:sz="0" w:space="0" w:color="auto"/>
      </w:divBdr>
    </w:div>
    <w:div w:id="1151291195">
      <w:bodyDiv w:val="1"/>
      <w:marLeft w:val="0"/>
      <w:marRight w:val="0"/>
      <w:marTop w:val="0"/>
      <w:marBottom w:val="0"/>
      <w:divBdr>
        <w:top w:val="none" w:sz="0" w:space="0" w:color="auto"/>
        <w:left w:val="none" w:sz="0" w:space="0" w:color="auto"/>
        <w:bottom w:val="none" w:sz="0" w:space="0" w:color="auto"/>
        <w:right w:val="none" w:sz="0" w:space="0" w:color="auto"/>
      </w:divBdr>
    </w:div>
    <w:div w:id="1160465336">
      <w:bodyDiv w:val="1"/>
      <w:marLeft w:val="0"/>
      <w:marRight w:val="0"/>
      <w:marTop w:val="0"/>
      <w:marBottom w:val="0"/>
      <w:divBdr>
        <w:top w:val="none" w:sz="0" w:space="0" w:color="auto"/>
        <w:left w:val="none" w:sz="0" w:space="0" w:color="auto"/>
        <w:bottom w:val="none" w:sz="0" w:space="0" w:color="auto"/>
        <w:right w:val="none" w:sz="0" w:space="0" w:color="auto"/>
      </w:divBdr>
    </w:div>
    <w:div w:id="1163086299">
      <w:bodyDiv w:val="1"/>
      <w:marLeft w:val="0"/>
      <w:marRight w:val="0"/>
      <w:marTop w:val="0"/>
      <w:marBottom w:val="0"/>
      <w:divBdr>
        <w:top w:val="none" w:sz="0" w:space="0" w:color="auto"/>
        <w:left w:val="none" w:sz="0" w:space="0" w:color="auto"/>
        <w:bottom w:val="none" w:sz="0" w:space="0" w:color="auto"/>
        <w:right w:val="none" w:sz="0" w:space="0" w:color="auto"/>
      </w:divBdr>
    </w:div>
    <w:div w:id="1164853588">
      <w:bodyDiv w:val="1"/>
      <w:marLeft w:val="0"/>
      <w:marRight w:val="0"/>
      <w:marTop w:val="0"/>
      <w:marBottom w:val="0"/>
      <w:divBdr>
        <w:top w:val="none" w:sz="0" w:space="0" w:color="auto"/>
        <w:left w:val="none" w:sz="0" w:space="0" w:color="auto"/>
        <w:bottom w:val="none" w:sz="0" w:space="0" w:color="auto"/>
        <w:right w:val="none" w:sz="0" w:space="0" w:color="auto"/>
      </w:divBdr>
    </w:div>
    <w:div w:id="1165823995">
      <w:bodyDiv w:val="1"/>
      <w:marLeft w:val="0"/>
      <w:marRight w:val="0"/>
      <w:marTop w:val="0"/>
      <w:marBottom w:val="0"/>
      <w:divBdr>
        <w:top w:val="none" w:sz="0" w:space="0" w:color="auto"/>
        <w:left w:val="none" w:sz="0" w:space="0" w:color="auto"/>
        <w:bottom w:val="none" w:sz="0" w:space="0" w:color="auto"/>
        <w:right w:val="none" w:sz="0" w:space="0" w:color="auto"/>
      </w:divBdr>
    </w:div>
    <w:div w:id="1171676355">
      <w:bodyDiv w:val="1"/>
      <w:marLeft w:val="0"/>
      <w:marRight w:val="0"/>
      <w:marTop w:val="0"/>
      <w:marBottom w:val="0"/>
      <w:divBdr>
        <w:top w:val="none" w:sz="0" w:space="0" w:color="auto"/>
        <w:left w:val="none" w:sz="0" w:space="0" w:color="auto"/>
        <w:bottom w:val="none" w:sz="0" w:space="0" w:color="auto"/>
        <w:right w:val="none" w:sz="0" w:space="0" w:color="auto"/>
      </w:divBdr>
    </w:div>
    <w:div w:id="1183938398">
      <w:bodyDiv w:val="1"/>
      <w:marLeft w:val="0"/>
      <w:marRight w:val="0"/>
      <w:marTop w:val="0"/>
      <w:marBottom w:val="0"/>
      <w:divBdr>
        <w:top w:val="none" w:sz="0" w:space="0" w:color="auto"/>
        <w:left w:val="none" w:sz="0" w:space="0" w:color="auto"/>
        <w:bottom w:val="none" w:sz="0" w:space="0" w:color="auto"/>
        <w:right w:val="none" w:sz="0" w:space="0" w:color="auto"/>
      </w:divBdr>
    </w:div>
    <w:div w:id="1185486569">
      <w:bodyDiv w:val="1"/>
      <w:marLeft w:val="0"/>
      <w:marRight w:val="0"/>
      <w:marTop w:val="0"/>
      <w:marBottom w:val="0"/>
      <w:divBdr>
        <w:top w:val="none" w:sz="0" w:space="0" w:color="auto"/>
        <w:left w:val="none" w:sz="0" w:space="0" w:color="auto"/>
        <w:bottom w:val="none" w:sz="0" w:space="0" w:color="auto"/>
        <w:right w:val="none" w:sz="0" w:space="0" w:color="auto"/>
      </w:divBdr>
    </w:div>
    <w:div w:id="1185561780">
      <w:bodyDiv w:val="1"/>
      <w:marLeft w:val="0"/>
      <w:marRight w:val="0"/>
      <w:marTop w:val="0"/>
      <w:marBottom w:val="0"/>
      <w:divBdr>
        <w:top w:val="none" w:sz="0" w:space="0" w:color="auto"/>
        <w:left w:val="none" w:sz="0" w:space="0" w:color="auto"/>
        <w:bottom w:val="none" w:sz="0" w:space="0" w:color="auto"/>
        <w:right w:val="none" w:sz="0" w:space="0" w:color="auto"/>
      </w:divBdr>
    </w:div>
    <w:div w:id="1188368652">
      <w:bodyDiv w:val="1"/>
      <w:marLeft w:val="0"/>
      <w:marRight w:val="0"/>
      <w:marTop w:val="0"/>
      <w:marBottom w:val="0"/>
      <w:divBdr>
        <w:top w:val="none" w:sz="0" w:space="0" w:color="auto"/>
        <w:left w:val="none" w:sz="0" w:space="0" w:color="auto"/>
        <w:bottom w:val="none" w:sz="0" w:space="0" w:color="auto"/>
        <w:right w:val="none" w:sz="0" w:space="0" w:color="auto"/>
      </w:divBdr>
    </w:div>
    <w:div w:id="1190411652">
      <w:bodyDiv w:val="1"/>
      <w:marLeft w:val="0"/>
      <w:marRight w:val="0"/>
      <w:marTop w:val="0"/>
      <w:marBottom w:val="0"/>
      <w:divBdr>
        <w:top w:val="none" w:sz="0" w:space="0" w:color="auto"/>
        <w:left w:val="none" w:sz="0" w:space="0" w:color="auto"/>
        <w:bottom w:val="none" w:sz="0" w:space="0" w:color="auto"/>
        <w:right w:val="none" w:sz="0" w:space="0" w:color="auto"/>
      </w:divBdr>
    </w:div>
    <w:div w:id="1191531889">
      <w:bodyDiv w:val="1"/>
      <w:marLeft w:val="0"/>
      <w:marRight w:val="0"/>
      <w:marTop w:val="0"/>
      <w:marBottom w:val="0"/>
      <w:divBdr>
        <w:top w:val="none" w:sz="0" w:space="0" w:color="auto"/>
        <w:left w:val="none" w:sz="0" w:space="0" w:color="auto"/>
        <w:bottom w:val="none" w:sz="0" w:space="0" w:color="auto"/>
        <w:right w:val="none" w:sz="0" w:space="0" w:color="auto"/>
      </w:divBdr>
    </w:div>
    <w:div w:id="1192256023">
      <w:bodyDiv w:val="1"/>
      <w:marLeft w:val="0"/>
      <w:marRight w:val="0"/>
      <w:marTop w:val="0"/>
      <w:marBottom w:val="0"/>
      <w:divBdr>
        <w:top w:val="none" w:sz="0" w:space="0" w:color="auto"/>
        <w:left w:val="none" w:sz="0" w:space="0" w:color="auto"/>
        <w:bottom w:val="none" w:sz="0" w:space="0" w:color="auto"/>
        <w:right w:val="none" w:sz="0" w:space="0" w:color="auto"/>
      </w:divBdr>
    </w:div>
    <w:div w:id="1193301633">
      <w:bodyDiv w:val="1"/>
      <w:marLeft w:val="0"/>
      <w:marRight w:val="0"/>
      <w:marTop w:val="0"/>
      <w:marBottom w:val="0"/>
      <w:divBdr>
        <w:top w:val="none" w:sz="0" w:space="0" w:color="auto"/>
        <w:left w:val="none" w:sz="0" w:space="0" w:color="auto"/>
        <w:bottom w:val="none" w:sz="0" w:space="0" w:color="auto"/>
        <w:right w:val="none" w:sz="0" w:space="0" w:color="auto"/>
      </w:divBdr>
    </w:div>
    <w:div w:id="1198278847">
      <w:bodyDiv w:val="1"/>
      <w:marLeft w:val="0"/>
      <w:marRight w:val="0"/>
      <w:marTop w:val="0"/>
      <w:marBottom w:val="0"/>
      <w:divBdr>
        <w:top w:val="none" w:sz="0" w:space="0" w:color="auto"/>
        <w:left w:val="none" w:sz="0" w:space="0" w:color="auto"/>
        <w:bottom w:val="none" w:sz="0" w:space="0" w:color="auto"/>
        <w:right w:val="none" w:sz="0" w:space="0" w:color="auto"/>
      </w:divBdr>
    </w:div>
    <w:div w:id="1198349145">
      <w:bodyDiv w:val="1"/>
      <w:marLeft w:val="0"/>
      <w:marRight w:val="0"/>
      <w:marTop w:val="0"/>
      <w:marBottom w:val="0"/>
      <w:divBdr>
        <w:top w:val="none" w:sz="0" w:space="0" w:color="auto"/>
        <w:left w:val="none" w:sz="0" w:space="0" w:color="auto"/>
        <w:bottom w:val="none" w:sz="0" w:space="0" w:color="auto"/>
        <w:right w:val="none" w:sz="0" w:space="0" w:color="auto"/>
      </w:divBdr>
    </w:div>
    <w:div w:id="1200556199">
      <w:bodyDiv w:val="1"/>
      <w:marLeft w:val="0"/>
      <w:marRight w:val="0"/>
      <w:marTop w:val="0"/>
      <w:marBottom w:val="0"/>
      <w:divBdr>
        <w:top w:val="none" w:sz="0" w:space="0" w:color="auto"/>
        <w:left w:val="none" w:sz="0" w:space="0" w:color="auto"/>
        <w:bottom w:val="none" w:sz="0" w:space="0" w:color="auto"/>
        <w:right w:val="none" w:sz="0" w:space="0" w:color="auto"/>
      </w:divBdr>
    </w:div>
    <w:div w:id="1202284182">
      <w:bodyDiv w:val="1"/>
      <w:marLeft w:val="0"/>
      <w:marRight w:val="0"/>
      <w:marTop w:val="0"/>
      <w:marBottom w:val="0"/>
      <w:divBdr>
        <w:top w:val="none" w:sz="0" w:space="0" w:color="auto"/>
        <w:left w:val="none" w:sz="0" w:space="0" w:color="auto"/>
        <w:bottom w:val="none" w:sz="0" w:space="0" w:color="auto"/>
        <w:right w:val="none" w:sz="0" w:space="0" w:color="auto"/>
      </w:divBdr>
    </w:div>
    <w:div w:id="1203245028">
      <w:bodyDiv w:val="1"/>
      <w:marLeft w:val="0"/>
      <w:marRight w:val="0"/>
      <w:marTop w:val="0"/>
      <w:marBottom w:val="0"/>
      <w:divBdr>
        <w:top w:val="none" w:sz="0" w:space="0" w:color="auto"/>
        <w:left w:val="none" w:sz="0" w:space="0" w:color="auto"/>
        <w:bottom w:val="none" w:sz="0" w:space="0" w:color="auto"/>
        <w:right w:val="none" w:sz="0" w:space="0" w:color="auto"/>
      </w:divBdr>
    </w:div>
    <w:div w:id="1203588972">
      <w:bodyDiv w:val="1"/>
      <w:marLeft w:val="0"/>
      <w:marRight w:val="0"/>
      <w:marTop w:val="0"/>
      <w:marBottom w:val="0"/>
      <w:divBdr>
        <w:top w:val="none" w:sz="0" w:space="0" w:color="auto"/>
        <w:left w:val="none" w:sz="0" w:space="0" w:color="auto"/>
        <w:bottom w:val="none" w:sz="0" w:space="0" w:color="auto"/>
        <w:right w:val="none" w:sz="0" w:space="0" w:color="auto"/>
      </w:divBdr>
    </w:div>
    <w:div w:id="1210073285">
      <w:bodyDiv w:val="1"/>
      <w:marLeft w:val="0"/>
      <w:marRight w:val="0"/>
      <w:marTop w:val="0"/>
      <w:marBottom w:val="0"/>
      <w:divBdr>
        <w:top w:val="none" w:sz="0" w:space="0" w:color="auto"/>
        <w:left w:val="none" w:sz="0" w:space="0" w:color="auto"/>
        <w:bottom w:val="none" w:sz="0" w:space="0" w:color="auto"/>
        <w:right w:val="none" w:sz="0" w:space="0" w:color="auto"/>
      </w:divBdr>
    </w:div>
    <w:div w:id="1211377134">
      <w:bodyDiv w:val="1"/>
      <w:marLeft w:val="0"/>
      <w:marRight w:val="0"/>
      <w:marTop w:val="0"/>
      <w:marBottom w:val="0"/>
      <w:divBdr>
        <w:top w:val="none" w:sz="0" w:space="0" w:color="auto"/>
        <w:left w:val="none" w:sz="0" w:space="0" w:color="auto"/>
        <w:bottom w:val="none" w:sz="0" w:space="0" w:color="auto"/>
        <w:right w:val="none" w:sz="0" w:space="0" w:color="auto"/>
      </w:divBdr>
    </w:div>
    <w:div w:id="1215695842">
      <w:bodyDiv w:val="1"/>
      <w:marLeft w:val="0"/>
      <w:marRight w:val="0"/>
      <w:marTop w:val="0"/>
      <w:marBottom w:val="0"/>
      <w:divBdr>
        <w:top w:val="none" w:sz="0" w:space="0" w:color="auto"/>
        <w:left w:val="none" w:sz="0" w:space="0" w:color="auto"/>
        <w:bottom w:val="none" w:sz="0" w:space="0" w:color="auto"/>
        <w:right w:val="none" w:sz="0" w:space="0" w:color="auto"/>
      </w:divBdr>
    </w:div>
    <w:div w:id="1218859946">
      <w:bodyDiv w:val="1"/>
      <w:marLeft w:val="0"/>
      <w:marRight w:val="0"/>
      <w:marTop w:val="0"/>
      <w:marBottom w:val="0"/>
      <w:divBdr>
        <w:top w:val="none" w:sz="0" w:space="0" w:color="auto"/>
        <w:left w:val="none" w:sz="0" w:space="0" w:color="auto"/>
        <w:bottom w:val="none" w:sz="0" w:space="0" w:color="auto"/>
        <w:right w:val="none" w:sz="0" w:space="0" w:color="auto"/>
      </w:divBdr>
    </w:div>
    <w:div w:id="1221863976">
      <w:bodyDiv w:val="1"/>
      <w:marLeft w:val="0"/>
      <w:marRight w:val="0"/>
      <w:marTop w:val="0"/>
      <w:marBottom w:val="0"/>
      <w:divBdr>
        <w:top w:val="none" w:sz="0" w:space="0" w:color="auto"/>
        <w:left w:val="none" w:sz="0" w:space="0" w:color="auto"/>
        <w:bottom w:val="none" w:sz="0" w:space="0" w:color="auto"/>
        <w:right w:val="none" w:sz="0" w:space="0" w:color="auto"/>
      </w:divBdr>
    </w:div>
    <w:div w:id="1225292805">
      <w:bodyDiv w:val="1"/>
      <w:marLeft w:val="0"/>
      <w:marRight w:val="0"/>
      <w:marTop w:val="0"/>
      <w:marBottom w:val="0"/>
      <w:divBdr>
        <w:top w:val="none" w:sz="0" w:space="0" w:color="auto"/>
        <w:left w:val="none" w:sz="0" w:space="0" w:color="auto"/>
        <w:bottom w:val="none" w:sz="0" w:space="0" w:color="auto"/>
        <w:right w:val="none" w:sz="0" w:space="0" w:color="auto"/>
      </w:divBdr>
    </w:div>
    <w:div w:id="1226523894">
      <w:bodyDiv w:val="1"/>
      <w:marLeft w:val="0"/>
      <w:marRight w:val="0"/>
      <w:marTop w:val="0"/>
      <w:marBottom w:val="0"/>
      <w:divBdr>
        <w:top w:val="none" w:sz="0" w:space="0" w:color="auto"/>
        <w:left w:val="none" w:sz="0" w:space="0" w:color="auto"/>
        <w:bottom w:val="none" w:sz="0" w:space="0" w:color="auto"/>
        <w:right w:val="none" w:sz="0" w:space="0" w:color="auto"/>
      </w:divBdr>
    </w:div>
    <w:div w:id="1228805978">
      <w:bodyDiv w:val="1"/>
      <w:marLeft w:val="0"/>
      <w:marRight w:val="0"/>
      <w:marTop w:val="0"/>
      <w:marBottom w:val="0"/>
      <w:divBdr>
        <w:top w:val="none" w:sz="0" w:space="0" w:color="auto"/>
        <w:left w:val="none" w:sz="0" w:space="0" w:color="auto"/>
        <w:bottom w:val="none" w:sz="0" w:space="0" w:color="auto"/>
        <w:right w:val="none" w:sz="0" w:space="0" w:color="auto"/>
      </w:divBdr>
    </w:div>
    <w:div w:id="1229076924">
      <w:bodyDiv w:val="1"/>
      <w:marLeft w:val="0"/>
      <w:marRight w:val="0"/>
      <w:marTop w:val="0"/>
      <w:marBottom w:val="0"/>
      <w:divBdr>
        <w:top w:val="none" w:sz="0" w:space="0" w:color="auto"/>
        <w:left w:val="none" w:sz="0" w:space="0" w:color="auto"/>
        <w:bottom w:val="none" w:sz="0" w:space="0" w:color="auto"/>
        <w:right w:val="none" w:sz="0" w:space="0" w:color="auto"/>
      </w:divBdr>
    </w:div>
    <w:div w:id="1229461644">
      <w:bodyDiv w:val="1"/>
      <w:marLeft w:val="0"/>
      <w:marRight w:val="0"/>
      <w:marTop w:val="0"/>
      <w:marBottom w:val="0"/>
      <w:divBdr>
        <w:top w:val="none" w:sz="0" w:space="0" w:color="auto"/>
        <w:left w:val="none" w:sz="0" w:space="0" w:color="auto"/>
        <w:bottom w:val="none" w:sz="0" w:space="0" w:color="auto"/>
        <w:right w:val="none" w:sz="0" w:space="0" w:color="auto"/>
      </w:divBdr>
    </w:div>
    <w:div w:id="1234194702">
      <w:bodyDiv w:val="1"/>
      <w:marLeft w:val="0"/>
      <w:marRight w:val="0"/>
      <w:marTop w:val="0"/>
      <w:marBottom w:val="0"/>
      <w:divBdr>
        <w:top w:val="none" w:sz="0" w:space="0" w:color="auto"/>
        <w:left w:val="none" w:sz="0" w:space="0" w:color="auto"/>
        <w:bottom w:val="none" w:sz="0" w:space="0" w:color="auto"/>
        <w:right w:val="none" w:sz="0" w:space="0" w:color="auto"/>
      </w:divBdr>
    </w:div>
    <w:div w:id="1236740582">
      <w:bodyDiv w:val="1"/>
      <w:marLeft w:val="0"/>
      <w:marRight w:val="0"/>
      <w:marTop w:val="0"/>
      <w:marBottom w:val="0"/>
      <w:divBdr>
        <w:top w:val="none" w:sz="0" w:space="0" w:color="auto"/>
        <w:left w:val="none" w:sz="0" w:space="0" w:color="auto"/>
        <w:bottom w:val="none" w:sz="0" w:space="0" w:color="auto"/>
        <w:right w:val="none" w:sz="0" w:space="0" w:color="auto"/>
      </w:divBdr>
    </w:div>
    <w:div w:id="1236822466">
      <w:bodyDiv w:val="1"/>
      <w:marLeft w:val="0"/>
      <w:marRight w:val="0"/>
      <w:marTop w:val="0"/>
      <w:marBottom w:val="0"/>
      <w:divBdr>
        <w:top w:val="none" w:sz="0" w:space="0" w:color="auto"/>
        <w:left w:val="none" w:sz="0" w:space="0" w:color="auto"/>
        <w:bottom w:val="none" w:sz="0" w:space="0" w:color="auto"/>
        <w:right w:val="none" w:sz="0" w:space="0" w:color="auto"/>
      </w:divBdr>
    </w:div>
    <w:div w:id="1237201861">
      <w:bodyDiv w:val="1"/>
      <w:marLeft w:val="0"/>
      <w:marRight w:val="0"/>
      <w:marTop w:val="0"/>
      <w:marBottom w:val="0"/>
      <w:divBdr>
        <w:top w:val="none" w:sz="0" w:space="0" w:color="auto"/>
        <w:left w:val="none" w:sz="0" w:space="0" w:color="auto"/>
        <w:bottom w:val="none" w:sz="0" w:space="0" w:color="auto"/>
        <w:right w:val="none" w:sz="0" w:space="0" w:color="auto"/>
      </w:divBdr>
    </w:div>
    <w:div w:id="1237663800">
      <w:bodyDiv w:val="1"/>
      <w:marLeft w:val="0"/>
      <w:marRight w:val="0"/>
      <w:marTop w:val="0"/>
      <w:marBottom w:val="0"/>
      <w:divBdr>
        <w:top w:val="none" w:sz="0" w:space="0" w:color="auto"/>
        <w:left w:val="none" w:sz="0" w:space="0" w:color="auto"/>
        <w:bottom w:val="none" w:sz="0" w:space="0" w:color="auto"/>
        <w:right w:val="none" w:sz="0" w:space="0" w:color="auto"/>
      </w:divBdr>
    </w:div>
    <w:div w:id="1238398875">
      <w:bodyDiv w:val="1"/>
      <w:marLeft w:val="0"/>
      <w:marRight w:val="0"/>
      <w:marTop w:val="0"/>
      <w:marBottom w:val="0"/>
      <w:divBdr>
        <w:top w:val="none" w:sz="0" w:space="0" w:color="auto"/>
        <w:left w:val="none" w:sz="0" w:space="0" w:color="auto"/>
        <w:bottom w:val="none" w:sz="0" w:space="0" w:color="auto"/>
        <w:right w:val="none" w:sz="0" w:space="0" w:color="auto"/>
      </w:divBdr>
    </w:div>
    <w:div w:id="1241793492">
      <w:bodyDiv w:val="1"/>
      <w:marLeft w:val="0"/>
      <w:marRight w:val="0"/>
      <w:marTop w:val="0"/>
      <w:marBottom w:val="0"/>
      <w:divBdr>
        <w:top w:val="none" w:sz="0" w:space="0" w:color="auto"/>
        <w:left w:val="none" w:sz="0" w:space="0" w:color="auto"/>
        <w:bottom w:val="none" w:sz="0" w:space="0" w:color="auto"/>
        <w:right w:val="none" w:sz="0" w:space="0" w:color="auto"/>
      </w:divBdr>
    </w:div>
    <w:div w:id="1245452089">
      <w:bodyDiv w:val="1"/>
      <w:marLeft w:val="0"/>
      <w:marRight w:val="0"/>
      <w:marTop w:val="0"/>
      <w:marBottom w:val="0"/>
      <w:divBdr>
        <w:top w:val="none" w:sz="0" w:space="0" w:color="auto"/>
        <w:left w:val="none" w:sz="0" w:space="0" w:color="auto"/>
        <w:bottom w:val="none" w:sz="0" w:space="0" w:color="auto"/>
        <w:right w:val="none" w:sz="0" w:space="0" w:color="auto"/>
      </w:divBdr>
    </w:div>
    <w:div w:id="1248730370">
      <w:bodyDiv w:val="1"/>
      <w:marLeft w:val="0"/>
      <w:marRight w:val="0"/>
      <w:marTop w:val="0"/>
      <w:marBottom w:val="0"/>
      <w:divBdr>
        <w:top w:val="none" w:sz="0" w:space="0" w:color="auto"/>
        <w:left w:val="none" w:sz="0" w:space="0" w:color="auto"/>
        <w:bottom w:val="none" w:sz="0" w:space="0" w:color="auto"/>
        <w:right w:val="none" w:sz="0" w:space="0" w:color="auto"/>
      </w:divBdr>
    </w:div>
    <w:div w:id="1255556523">
      <w:bodyDiv w:val="1"/>
      <w:marLeft w:val="0"/>
      <w:marRight w:val="0"/>
      <w:marTop w:val="0"/>
      <w:marBottom w:val="0"/>
      <w:divBdr>
        <w:top w:val="none" w:sz="0" w:space="0" w:color="auto"/>
        <w:left w:val="none" w:sz="0" w:space="0" w:color="auto"/>
        <w:bottom w:val="none" w:sz="0" w:space="0" w:color="auto"/>
        <w:right w:val="none" w:sz="0" w:space="0" w:color="auto"/>
      </w:divBdr>
    </w:div>
    <w:div w:id="1255743211">
      <w:bodyDiv w:val="1"/>
      <w:marLeft w:val="0"/>
      <w:marRight w:val="0"/>
      <w:marTop w:val="0"/>
      <w:marBottom w:val="0"/>
      <w:divBdr>
        <w:top w:val="none" w:sz="0" w:space="0" w:color="auto"/>
        <w:left w:val="none" w:sz="0" w:space="0" w:color="auto"/>
        <w:bottom w:val="none" w:sz="0" w:space="0" w:color="auto"/>
        <w:right w:val="none" w:sz="0" w:space="0" w:color="auto"/>
      </w:divBdr>
    </w:div>
    <w:div w:id="1258751569">
      <w:bodyDiv w:val="1"/>
      <w:marLeft w:val="0"/>
      <w:marRight w:val="0"/>
      <w:marTop w:val="0"/>
      <w:marBottom w:val="0"/>
      <w:divBdr>
        <w:top w:val="none" w:sz="0" w:space="0" w:color="auto"/>
        <w:left w:val="none" w:sz="0" w:space="0" w:color="auto"/>
        <w:bottom w:val="none" w:sz="0" w:space="0" w:color="auto"/>
        <w:right w:val="none" w:sz="0" w:space="0" w:color="auto"/>
      </w:divBdr>
    </w:div>
    <w:div w:id="1268076551">
      <w:bodyDiv w:val="1"/>
      <w:marLeft w:val="0"/>
      <w:marRight w:val="0"/>
      <w:marTop w:val="0"/>
      <w:marBottom w:val="0"/>
      <w:divBdr>
        <w:top w:val="none" w:sz="0" w:space="0" w:color="auto"/>
        <w:left w:val="none" w:sz="0" w:space="0" w:color="auto"/>
        <w:bottom w:val="none" w:sz="0" w:space="0" w:color="auto"/>
        <w:right w:val="none" w:sz="0" w:space="0" w:color="auto"/>
      </w:divBdr>
    </w:div>
    <w:div w:id="1270167167">
      <w:bodyDiv w:val="1"/>
      <w:marLeft w:val="0"/>
      <w:marRight w:val="0"/>
      <w:marTop w:val="0"/>
      <w:marBottom w:val="0"/>
      <w:divBdr>
        <w:top w:val="none" w:sz="0" w:space="0" w:color="auto"/>
        <w:left w:val="none" w:sz="0" w:space="0" w:color="auto"/>
        <w:bottom w:val="none" w:sz="0" w:space="0" w:color="auto"/>
        <w:right w:val="none" w:sz="0" w:space="0" w:color="auto"/>
      </w:divBdr>
    </w:div>
    <w:div w:id="1270814164">
      <w:bodyDiv w:val="1"/>
      <w:marLeft w:val="0"/>
      <w:marRight w:val="0"/>
      <w:marTop w:val="0"/>
      <w:marBottom w:val="0"/>
      <w:divBdr>
        <w:top w:val="none" w:sz="0" w:space="0" w:color="auto"/>
        <w:left w:val="none" w:sz="0" w:space="0" w:color="auto"/>
        <w:bottom w:val="none" w:sz="0" w:space="0" w:color="auto"/>
        <w:right w:val="none" w:sz="0" w:space="0" w:color="auto"/>
      </w:divBdr>
    </w:div>
    <w:div w:id="1272467870">
      <w:bodyDiv w:val="1"/>
      <w:marLeft w:val="0"/>
      <w:marRight w:val="0"/>
      <w:marTop w:val="0"/>
      <w:marBottom w:val="0"/>
      <w:divBdr>
        <w:top w:val="none" w:sz="0" w:space="0" w:color="auto"/>
        <w:left w:val="none" w:sz="0" w:space="0" w:color="auto"/>
        <w:bottom w:val="none" w:sz="0" w:space="0" w:color="auto"/>
        <w:right w:val="none" w:sz="0" w:space="0" w:color="auto"/>
      </w:divBdr>
    </w:div>
    <w:div w:id="1272974992">
      <w:bodyDiv w:val="1"/>
      <w:marLeft w:val="0"/>
      <w:marRight w:val="0"/>
      <w:marTop w:val="0"/>
      <w:marBottom w:val="0"/>
      <w:divBdr>
        <w:top w:val="none" w:sz="0" w:space="0" w:color="auto"/>
        <w:left w:val="none" w:sz="0" w:space="0" w:color="auto"/>
        <w:bottom w:val="none" w:sz="0" w:space="0" w:color="auto"/>
        <w:right w:val="none" w:sz="0" w:space="0" w:color="auto"/>
      </w:divBdr>
    </w:div>
    <w:div w:id="1274363456">
      <w:bodyDiv w:val="1"/>
      <w:marLeft w:val="0"/>
      <w:marRight w:val="0"/>
      <w:marTop w:val="0"/>
      <w:marBottom w:val="0"/>
      <w:divBdr>
        <w:top w:val="none" w:sz="0" w:space="0" w:color="auto"/>
        <w:left w:val="none" w:sz="0" w:space="0" w:color="auto"/>
        <w:bottom w:val="none" w:sz="0" w:space="0" w:color="auto"/>
        <w:right w:val="none" w:sz="0" w:space="0" w:color="auto"/>
      </w:divBdr>
    </w:div>
    <w:div w:id="1277759824">
      <w:bodyDiv w:val="1"/>
      <w:marLeft w:val="0"/>
      <w:marRight w:val="0"/>
      <w:marTop w:val="0"/>
      <w:marBottom w:val="0"/>
      <w:divBdr>
        <w:top w:val="none" w:sz="0" w:space="0" w:color="auto"/>
        <w:left w:val="none" w:sz="0" w:space="0" w:color="auto"/>
        <w:bottom w:val="none" w:sz="0" w:space="0" w:color="auto"/>
        <w:right w:val="none" w:sz="0" w:space="0" w:color="auto"/>
      </w:divBdr>
    </w:div>
    <w:div w:id="1278633596">
      <w:bodyDiv w:val="1"/>
      <w:marLeft w:val="0"/>
      <w:marRight w:val="0"/>
      <w:marTop w:val="0"/>
      <w:marBottom w:val="0"/>
      <w:divBdr>
        <w:top w:val="none" w:sz="0" w:space="0" w:color="auto"/>
        <w:left w:val="none" w:sz="0" w:space="0" w:color="auto"/>
        <w:bottom w:val="none" w:sz="0" w:space="0" w:color="auto"/>
        <w:right w:val="none" w:sz="0" w:space="0" w:color="auto"/>
      </w:divBdr>
    </w:div>
    <w:div w:id="1280453803">
      <w:bodyDiv w:val="1"/>
      <w:marLeft w:val="0"/>
      <w:marRight w:val="0"/>
      <w:marTop w:val="0"/>
      <w:marBottom w:val="0"/>
      <w:divBdr>
        <w:top w:val="none" w:sz="0" w:space="0" w:color="auto"/>
        <w:left w:val="none" w:sz="0" w:space="0" w:color="auto"/>
        <w:bottom w:val="none" w:sz="0" w:space="0" w:color="auto"/>
        <w:right w:val="none" w:sz="0" w:space="0" w:color="auto"/>
      </w:divBdr>
    </w:div>
    <w:div w:id="1288851257">
      <w:bodyDiv w:val="1"/>
      <w:marLeft w:val="0"/>
      <w:marRight w:val="0"/>
      <w:marTop w:val="0"/>
      <w:marBottom w:val="0"/>
      <w:divBdr>
        <w:top w:val="none" w:sz="0" w:space="0" w:color="auto"/>
        <w:left w:val="none" w:sz="0" w:space="0" w:color="auto"/>
        <w:bottom w:val="none" w:sz="0" w:space="0" w:color="auto"/>
        <w:right w:val="none" w:sz="0" w:space="0" w:color="auto"/>
      </w:divBdr>
    </w:div>
    <w:div w:id="1291521194">
      <w:bodyDiv w:val="1"/>
      <w:marLeft w:val="0"/>
      <w:marRight w:val="0"/>
      <w:marTop w:val="0"/>
      <w:marBottom w:val="0"/>
      <w:divBdr>
        <w:top w:val="none" w:sz="0" w:space="0" w:color="auto"/>
        <w:left w:val="none" w:sz="0" w:space="0" w:color="auto"/>
        <w:bottom w:val="none" w:sz="0" w:space="0" w:color="auto"/>
        <w:right w:val="none" w:sz="0" w:space="0" w:color="auto"/>
      </w:divBdr>
    </w:div>
    <w:div w:id="1292320680">
      <w:bodyDiv w:val="1"/>
      <w:marLeft w:val="0"/>
      <w:marRight w:val="0"/>
      <w:marTop w:val="0"/>
      <w:marBottom w:val="0"/>
      <w:divBdr>
        <w:top w:val="none" w:sz="0" w:space="0" w:color="auto"/>
        <w:left w:val="none" w:sz="0" w:space="0" w:color="auto"/>
        <w:bottom w:val="none" w:sz="0" w:space="0" w:color="auto"/>
        <w:right w:val="none" w:sz="0" w:space="0" w:color="auto"/>
      </w:divBdr>
    </w:div>
    <w:div w:id="1293093295">
      <w:bodyDiv w:val="1"/>
      <w:marLeft w:val="0"/>
      <w:marRight w:val="0"/>
      <w:marTop w:val="0"/>
      <w:marBottom w:val="0"/>
      <w:divBdr>
        <w:top w:val="none" w:sz="0" w:space="0" w:color="auto"/>
        <w:left w:val="none" w:sz="0" w:space="0" w:color="auto"/>
        <w:bottom w:val="none" w:sz="0" w:space="0" w:color="auto"/>
        <w:right w:val="none" w:sz="0" w:space="0" w:color="auto"/>
      </w:divBdr>
    </w:div>
    <w:div w:id="1295912874">
      <w:bodyDiv w:val="1"/>
      <w:marLeft w:val="0"/>
      <w:marRight w:val="0"/>
      <w:marTop w:val="0"/>
      <w:marBottom w:val="0"/>
      <w:divBdr>
        <w:top w:val="none" w:sz="0" w:space="0" w:color="auto"/>
        <w:left w:val="none" w:sz="0" w:space="0" w:color="auto"/>
        <w:bottom w:val="none" w:sz="0" w:space="0" w:color="auto"/>
        <w:right w:val="none" w:sz="0" w:space="0" w:color="auto"/>
      </w:divBdr>
    </w:div>
    <w:div w:id="1296762982">
      <w:bodyDiv w:val="1"/>
      <w:marLeft w:val="0"/>
      <w:marRight w:val="0"/>
      <w:marTop w:val="0"/>
      <w:marBottom w:val="0"/>
      <w:divBdr>
        <w:top w:val="none" w:sz="0" w:space="0" w:color="auto"/>
        <w:left w:val="none" w:sz="0" w:space="0" w:color="auto"/>
        <w:bottom w:val="none" w:sz="0" w:space="0" w:color="auto"/>
        <w:right w:val="none" w:sz="0" w:space="0" w:color="auto"/>
      </w:divBdr>
    </w:div>
    <w:div w:id="1298339597">
      <w:bodyDiv w:val="1"/>
      <w:marLeft w:val="0"/>
      <w:marRight w:val="0"/>
      <w:marTop w:val="0"/>
      <w:marBottom w:val="0"/>
      <w:divBdr>
        <w:top w:val="none" w:sz="0" w:space="0" w:color="auto"/>
        <w:left w:val="none" w:sz="0" w:space="0" w:color="auto"/>
        <w:bottom w:val="none" w:sz="0" w:space="0" w:color="auto"/>
        <w:right w:val="none" w:sz="0" w:space="0" w:color="auto"/>
      </w:divBdr>
    </w:div>
    <w:div w:id="1305354997">
      <w:bodyDiv w:val="1"/>
      <w:marLeft w:val="0"/>
      <w:marRight w:val="0"/>
      <w:marTop w:val="0"/>
      <w:marBottom w:val="0"/>
      <w:divBdr>
        <w:top w:val="none" w:sz="0" w:space="0" w:color="auto"/>
        <w:left w:val="none" w:sz="0" w:space="0" w:color="auto"/>
        <w:bottom w:val="none" w:sz="0" w:space="0" w:color="auto"/>
        <w:right w:val="none" w:sz="0" w:space="0" w:color="auto"/>
      </w:divBdr>
    </w:div>
    <w:div w:id="1308633747">
      <w:bodyDiv w:val="1"/>
      <w:marLeft w:val="0"/>
      <w:marRight w:val="0"/>
      <w:marTop w:val="0"/>
      <w:marBottom w:val="0"/>
      <w:divBdr>
        <w:top w:val="none" w:sz="0" w:space="0" w:color="auto"/>
        <w:left w:val="none" w:sz="0" w:space="0" w:color="auto"/>
        <w:bottom w:val="none" w:sz="0" w:space="0" w:color="auto"/>
        <w:right w:val="none" w:sz="0" w:space="0" w:color="auto"/>
      </w:divBdr>
    </w:div>
    <w:div w:id="1311984052">
      <w:bodyDiv w:val="1"/>
      <w:marLeft w:val="0"/>
      <w:marRight w:val="0"/>
      <w:marTop w:val="0"/>
      <w:marBottom w:val="0"/>
      <w:divBdr>
        <w:top w:val="none" w:sz="0" w:space="0" w:color="auto"/>
        <w:left w:val="none" w:sz="0" w:space="0" w:color="auto"/>
        <w:bottom w:val="none" w:sz="0" w:space="0" w:color="auto"/>
        <w:right w:val="none" w:sz="0" w:space="0" w:color="auto"/>
      </w:divBdr>
    </w:div>
    <w:div w:id="1313489863">
      <w:bodyDiv w:val="1"/>
      <w:marLeft w:val="0"/>
      <w:marRight w:val="0"/>
      <w:marTop w:val="0"/>
      <w:marBottom w:val="0"/>
      <w:divBdr>
        <w:top w:val="none" w:sz="0" w:space="0" w:color="auto"/>
        <w:left w:val="none" w:sz="0" w:space="0" w:color="auto"/>
        <w:bottom w:val="none" w:sz="0" w:space="0" w:color="auto"/>
        <w:right w:val="none" w:sz="0" w:space="0" w:color="auto"/>
      </w:divBdr>
    </w:div>
    <w:div w:id="1316303106">
      <w:bodyDiv w:val="1"/>
      <w:marLeft w:val="0"/>
      <w:marRight w:val="0"/>
      <w:marTop w:val="0"/>
      <w:marBottom w:val="0"/>
      <w:divBdr>
        <w:top w:val="none" w:sz="0" w:space="0" w:color="auto"/>
        <w:left w:val="none" w:sz="0" w:space="0" w:color="auto"/>
        <w:bottom w:val="none" w:sz="0" w:space="0" w:color="auto"/>
        <w:right w:val="none" w:sz="0" w:space="0" w:color="auto"/>
      </w:divBdr>
    </w:div>
    <w:div w:id="1326595695">
      <w:bodyDiv w:val="1"/>
      <w:marLeft w:val="0"/>
      <w:marRight w:val="0"/>
      <w:marTop w:val="0"/>
      <w:marBottom w:val="0"/>
      <w:divBdr>
        <w:top w:val="none" w:sz="0" w:space="0" w:color="auto"/>
        <w:left w:val="none" w:sz="0" w:space="0" w:color="auto"/>
        <w:bottom w:val="none" w:sz="0" w:space="0" w:color="auto"/>
        <w:right w:val="none" w:sz="0" w:space="0" w:color="auto"/>
      </w:divBdr>
    </w:div>
    <w:div w:id="1327395168">
      <w:bodyDiv w:val="1"/>
      <w:marLeft w:val="0"/>
      <w:marRight w:val="0"/>
      <w:marTop w:val="0"/>
      <w:marBottom w:val="0"/>
      <w:divBdr>
        <w:top w:val="none" w:sz="0" w:space="0" w:color="auto"/>
        <w:left w:val="none" w:sz="0" w:space="0" w:color="auto"/>
        <w:bottom w:val="none" w:sz="0" w:space="0" w:color="auto"/>
        <w:right w:val="none" w:sz="0" w:space="0" w:color="auto"/>
      </w:divBdr>
    </w:div>
    <w:div w:id="1335036597">
      <w:bodyDiv w:val="1"/>
      <w:marLeft w:val="0"/>
      <w:marRight w:val="0"/>
      <w:marTop w:val="0"/>
      <w:marBottom w:val="0"/>
      <w:divBdr>
        <w:top w:val="none" w:sz="0" w:space="0" w:color="auto"/>
        <w:left w:val="none" w:sz="0" w:space="0" w:color="auto"/>
        <w:bottom w:val="none" w:sz="0" w:space="0" w:color="auto"/>
        <w:right w:val="none" w:sz="0" w:space="0" w:color="auto"/>
      </w:divBdr>
    </w:div>
    <w:div w:id="1337346842">
      <w:bodyDiv w:val="1"/>
      <w:marLeft w:val="0"/>
      <w:marRight w:val="0"/>
      <w:marTop w:val="0"/>
      <w:marBottom w:val="0"/>
      <w:divBdr>
        <w:top w:val="none" w:sz="0" w:space="0" w:color="auto"/>
        <w:left w:val="none" w:sz="0" w:space="0" w:color="auto"/>
        <w:bottom w:val="none" w:sz="0" w:space="0" w:color="auto"/>
        <w:right w:val="none" w:sz="0" w:space="0" w:color="auto"/>
      </w:divBdr>
    </w:div>
    <w:div w:id="1337883542">
      <w:bodyDiv w:val="1"/>
      <w:marLeft w:val="0"/>
      <w:marRight w:val="0"/>
      <w:marTop w:val="0"/>
      <w:marBottom w:val="0"/>
      <w:divBdr>
        <w:top w:val="none" w:sz="0" w:space="0" w:color="auto"/>
        <w:left w:val="none" w:sz="0" w:space="0" w:color="auto"/>
        <w:bottom w:val="none" w:sz="0" w:space="0" w:color="auto"/>
        <w:right w:val="none" w:sz="0" w:space="0" w:color="auto"/>
      </w:divBdr>
    </w:div>
    <w:div w:id="1338339719">
      <w:bodyDiv w:val="1"/>
      <w:marLeft w:val="0"/>
      <w:marRight w:val="0"/>
      <w:marTop w:val="0"/>
      <w:marBottom w:val="0"/>
      <w:divBdr>
        <w:top w:val="none" w:sz="0" w:space="0" w:color="auto"/>
        <w:left w:val="none" w:sz="0" w:space="0" w:color="auto"/>
        <w:bottom w:val="none" w:sz="0" w:space="0" w:color="auto"/>
        <w:right w:val="none" w:sz="0" w:space="0" w:color="auto"/>
      </w:divBdr>
    </w:div>
    <w:div w:id="1340617303">
      <w:bodyDiv w:val="1"/>
      <w:marLeft w:val="0"/>
      <w:marRight w:val="0"/>
      <w:marTop w:val="0"/>
      <w:marBottom w:val="0"/>
      <w:divBdr>
        <w:top w:val="none" w:sz="0" w:space="0" w:color="auto"/>
        <w:left w:val="none" w:sz="0" w:space="0" w:color="auto"/>
        <w:bottom w:val="none" w:sz="0" w:space="0" w:color="auto"/>
        <w:right w:val="none" w:sz="0" w:space="0" w:color="auto"/>
      </w:divBdr>
    </w:div>
    <w:div w:id="1348100160">
      <w:bodyDiv w:val="1"/>
      <w:marLeft w:val="0"/>
      <w:marRight w:val="0"/>
      <w:marTop w:val="0"/>
      <w:marBottom w:val="0"/>
      <w:divBdr>
        <w:top w:val="none" w:sz="0" w:space="0" w:color="auto"/>
        <w:left w:val="none" w:sz="0" w:space="0" w:color="auto"/>
        <w:bottom w:val="none" w:sz="0" w:space="0" w:color="auto"/>
        <w:right w:val="none" w:sz="0" w:space="0" w:color="auto"/>
      </w:divBdr>
    </w:div>
    <w:div w:id="1352341817">
      <w:bodyDiv w:val="1"/>
      <w:marLeft w:val="0"/>
      <w:marRight w:val="0"/>
      <w:marTop w:val="0"/>
      <w:marBottom w:val="0"/>
      <w:divBdr>
        <w:top w:val="none" w:sz="0" w:space="0" w:color="auto"/>
        <w:left w:val="none" w:sz="0" w:space="0" w:color="auto"/>
        <w:bottom w:val="none" w:sz="0" w:space="0" w:color="auto"/>
        <w:right w:val="none" w:sz="0" w:space="0" w:color="auto"/>
      </w:divBdr>
    </w:div>
    <w:div w:id="1355115419">
      <w:bodyDiv w:val="1"/>
      <w:marLeft w:val="0"/>
      <w:marRight w:val="0"/>
      <w:marTop w:val="0"/>
      <w:marBottom w:val="0"/>
      <w:divBdr>
        <w:top w:val="none" w:sz="0" w:space="0" w:color="auto"/>
        <w:left w:val="none" w:sz="0" w:space="0" w:color="auto"/>
        <w:bottom w:val="none" w:sz="0" w:space="0" w:color="auto"/>
        <w:right w:val="none" w:sz="0" w:space="0" w:color="auto"/>
      </w:divBdr>
    </w:div>
    <w:div w:id="1357273092">
      <w:bodyDiv w:val="1"/>
      <w:marLeft w:val="0"/>
      <w:marRight w:val="0"/>
      <w:marTop w:val="0"/>
      <w:marBottom w:val="0"/>
      <w:divBdr>
        <w:top w:val="none" w:sz="0" w:space="0" w:color="auto"/>
        <w:left w:val="none" w:sz="0" w:space="0" w:color="auto"/>
        <w:bottom w:val="none" w:sz="0" w:space="0" w:color="auto"/>
        <w:right w:val="none" w:sz="0" w:space="0" w:color="auto"/>
      </w:divBdr>
    </w:div>
    <w:div w:id="1361273907">
      <w:bodyDiv w:val="1"/>
      <w:marLeft w:val="0"/>
      <w:marRight w:val="0"/>
      <w:marTop w:val="0"/>
      <w:marBottom w:val="0"/>
      <w:divBdr>
        <w:top w:val="none" w:sz="0" w:space="0" w:color="auto"/>
        <w:left w:val="none" w:sz="0" w:space="0" w:color="auto"/>
        <w:bottom w:val="none" w:sz="0" w:space="0" w:color="auto"/>
        <w:right w:val="none" w:sz="0" w:space="0" w:color="auto"/>
      </w:divBdr>
    </w:div>
    <w:div w:id="1361588792">
      <w:bodyDiv w:val="1"/>
      <w:marLeft w:val="0"/>
      <w:marRight w:val="0"/>
      <w:marTop w:val="0"/>
      <w:marBottom w:val="0"/>
      <w:divBdr>
        <w:top w:val="none" w:sz="0" w:space="0" w:color="auto"/>
        <w:left w:val="none" w:sz="0" w:space="0" w:color="auto"/>
        <w:bottom w:val="none" w:sz="0" w:space="0" w:color="auto"/>
        <w:right w:val="none" w:sz="0" w:space="0" w:color="auto"/>
      </w:divBdr>
    </w:div>
    <w:div w:id="1364020369">
      <w:bodyDiv w:val="1"/>
      <w:marLeft w:val="0"/>
      <w:marRight w:val="0"/>
      <w:marTop w:val="0"/>
      <w:marBottom w:val="0"/>
      <w:divBdr>
        <w:top w:val="none" w:sz="0" w:space="0" w:color="auto"/>
        <w:left w:val="none" w:sz="0" w:space="0" w:color="auto"/>
        <w:bottom w:val="none" w:sz="0" w:space="0" w:color="auto"/>
        <w:right w:val="none" w:sz="0" w:space="0" w:color="auto"/>
      </w:divBdr>
    </w:div>
    <w:div w:id="1364475205">
      <w:bodyDiv w:val="1"/>
      <w:marLeft w:val="0"/>
      <w:marRight w:val="0"/>
      <w:marTop w:val="0"/>
      <w:marBottom w:val="0"/>
      <w:divBdr>
        <w:top w:val="none" w:sz="0" w:space="0" w:color="auto"/>
        <w:left w:val="none" w:sz="0" w:space="0" w:color="auto"/>
        <w:bottom w:val="none" w:sz="0" w:space="0" w:color="auto"/>
        <w:right w:val="none" w:sz="0" w:space="0" w:color="auto"/>
      </w:divBdr>
    </w:div>
    <w:div w:id="1365790897">
      <w:bodyDiv w:val="1"/>
      <w:marLeft w:val="0"/>
      <w:marRight w:val="0"/>
      <w:marTop w:val="0"/>
      <w:marBottom w:val="0"/>
      <w:divBdr>
        <w:top w:val="none" w:sz="0" w:space="0" w:color="auto"/>
        <w:left w:val="none" w:sz="0" w:space="0" w:color="auto"/>
        <w:bottom w:val="none" w:sz="0" w:space="0" w:color="auto"/>
        <w:right w:val="none" w:sz="0" w:space="0" w:color="auto"/>
      </w:divBdr>
    </w:div>
    <w:div w:id="1365902250">
      <w:bodyDiv w:val="1"/>
      <w:marLeft w:val="0"/>
      <w:marRight w:val="0"/>
      <w:marTop w:val="0"/>
      <w:marBottom w:val="0"/>
      <w:divBdr>
        <w:top w:val="none" w:sz="0" w:space="0" w:color="auto"/>
        <w:left w:val="none" w:sz="0" w:space="0" w:color="auto"/>
        <w:bottom w:val="none" w:sz="0" w:space="0" w:color="auto"/>
        <w:right w:val="none" w:sz="0" w:space="0" w:color="auto"/>
      </w:divBdr>
    </w:div>
    <w:div w:id="1366173445">
      <w:bodyDiv w:val="1"/>
      <w:marLeft w:val="0"/>
      <w:marRight w:val="0"/>
      <w:marTop w:val="0"/>
      <w:marBottom w:val="0"/>
      <w:divBdr>
        <w:top w:val="none" w:sz="0" w:space="0" w:color="auto"/>
        <w:left w:val="none" w:sz="0" w:space="0" w:color="auto"/>
        <w:bottom w:val="none" w:sz="0" w:space="0" w:color="auto"/>
        <w:right w:val="none" w:sz="0" w:space="0" w:color="auto"/>
      </w:divBdr>
    </w:div>
    <w:div w:id="1372456503">
      <w:bodyDiv w:val="1"/>
      <w:marLeft w:val="0"/>
      <w:marRight w:val="0"/>
      <w:marTop w:val="0"/>
      <w:marBottom w:val="0"/>
      <w:divBdr>
        <w:top w:val="none" w:sz="0" w:space="0" w:color="auto"/>
        <w:left w:val="none" w:sz="0" w:space="0" w:color="auto"/>
        <w:bottom w:val="none" w:sz="0" w:space="0" w:color="auto"/>
        <w:right w:val="none" w:sz="0" w:space="0" w:color="auto"/>
      </w:divBdr>
    </w:div>
    <w:div w:id="1373772872">
      <w:bodyDiv w:val="1"/>
      <w:marLeft w:val="0"/>
      <w:marRight w:val="0"/>
      <w:marTop w:val="0"/>
      <w:marBottom w:val="0"/>
      <w:divBdr>
        <w:top w:val="none" w:sz="0" w:space="0" w:color="auto"/>
        <w:left w:val="none" w:sz="0" w:space="0" w:color="auto"/>
        <w:bottom w:val="none" w:sz="0" w:space="0" w:color="auto"/>
        <w:right w:val="none" w:sz="0" w:space="0" w:color="auto"/>
      </w:divBdr>
    </w:div>
    <w:div w:id="1379208204">
      <w:bodyDiv w:val="1"/>
      <w:marLeft w:val="0"/>
      <w:marRight w:val="0"/>
      <w:marTop w:val="0"/>
      <w:marBottom w:val="0"/>
      <w:divBdr>
        <w:top w:val="none" w:sz="0" w:space="0" w:color="auto"/>
        <w:left w:val="none" w:sz="0" w:space="0" w:color="auto"/>
        <w:bottom w:val="none" w:sz="0" w:space="0" w:color="auto"/>
        <w:right w:val="none" w:sz="0" w:space="0" w:color="auto"/>
      </w:divBdr>
    </w:div>
    <w:div w:id="1383210217">
      <w:bodyDiv w:val="1"/>
      <w:marLeft w:val="0"/>
      <w:marRight w:val="0"/>
      <w:marTop w:val="0"/>
      <w:marBottom w:val="0"/>
      <w:divBdr>
        <w:top w:val="none" w:sz="0" w:space="0" w:color="auto"/>
        <w:left w:val="none" w:sz="0" w:space="0" w:color="auto"/>
        <w:bottom w:val="none" w:sz="0" w:space="0" w:color="auto"/>
        <w:right w:val="none" w:sz="0" w:space="0" w:color="auto"/>
      </w:divBdr>
    </w:div>
    <w:div w:id="1391346671">
      <w:bodyDiv w:val="1"/>
      <w:marLeft w:val="0"/>
      <w:marRight w:val="0"/>
      <w:marTop w:val="0"/>
      <w:marBottom w:val="0"/>
      <w:divBdr>
        <w:top w:val="none" w:sz="0" w:space="0" w:color="auto"/>
        <w:left w:val="none" w:sz="0" w:space="0" w:color="auto"/>
        <w:bottom w:val="none" w:sz="0" w:space="0" w:color="auto"/>
        <w:right w:val="none" w:sz="0" w:space="0" w:color="auto"/>
      </w:divBdr>
    </w:div>
    <w:div w:id="1392382048">
      <w:bodyDiv w:val="1"/>
      <w:marLeft w:val="0"/>
      <w:marRight w:val="0"/>
      <w:marTop w:val="0"/>
      <w:marBottom w:val="0"/>
      <w:divBdr>
        <w:top w:val="none" w:sz="0" w:space="0" w:color="auto"/>
        <w:left w:val="none" w:sz="0" w:space="0" w:color="auto"/>
        <w:bottom w:val="none" w:sz="0" w:space="0" w:color="auto"/>
        <w:right w:val="none" w:sz="0" w:space="0" w:color="auto"/>
      </w:divBdr>
    </w:div>
    <w:div w:id="1392843478">
      <w:bodyDiv w:val="1"/>
      <w:marLeft w:val="0"/>
      <w:marRight w:val="0"/>
      <w:marTop w:val="0"/>
      <w:marBottom w:val="0"/>
      <w:divBdr>
        <w:top w:val="none" w:sz="0" w:space="0" w:color="auto"/>
        <w:left w:val="none" w:sz="0" w:space="0" w:color="auto"/>
        <w:bottom w:val="none" w:sz="0" w:space="0" w:color="auto"/>
        <w:right w:val="none" w:sz="0" w:space="0" w:color="auto"/>
      </w:divBdr>
    </w:div>
    <w:div w:id="1393306051">
      <w:bodyDiv w:val="1"/>
      <w:marLeft w:val="0"/>
      <w:marRight w:val="0"/>
      <w:marTop w:val="0"/>
      <w:marBottom w:val="0"/>
      <w:divBdr>
        <w:top w:val="none" w:sz="0" w:space="0" w:color="auto"/>
        <w:left w:val="none" w:sz="0" w:space="0" w:color="auto"/>
        <w:bottom w:val="none" w:sz="0" w:space="0" w:color="auto"/>
        <w:right w:val="none" w:sz="0" w:space="0" w:color="auto"/>
      </w:divBdr>
    </w:div>
    <w:div w:id="1395196511">
      <w:bodyDiv w:val="1"/>
      <w:marLeft w:val="0"/>
      <w:marRight w:val="0"/>
      <w:marTop w:val="0"/>
      <w:marBottom w:val="0"/>
      <w:divBdr>
        <w:top w:val="none" w:sz="0" w:space="0" w:color="auto"/>
        <w:left w:val="none" w:sz="0" w:space="0" w:color="auto"/>
        <w:bottom w:val="none" w:sz="0" w:space="0" w:color="auto"/>
        <w:right w:val="none" w:sz="0" w:space="0" w:color="auto"/>
      </w:divBdr>
    </w:div>
    <w:div w:id="1397583215">
      <w:bodyDiv w:val="1"/>
      <w:marLeft w:val="0"/>
      <w:marRight w:val="0"/>
      <w:marTop w:val="0"/>
      <w:marBottom w:val="0"/>
      <w:divBdr>
        <w:top w:val="none" w:sz="0" w:space="0" w:color="auto"/>
        <w:left w:val="none" w:sz="0" w:space="0" w:color="auto"/>
        <w:bottom w:val="none" w:sz="0" w:space="0" w:color="auto"/>
        <w:right w:val="none" w:sz="0" w:space="0" w:color="auto"/>
      </w:divBdr>
    </w:div>
    <w:div w:id="1398480634">
      <w:bodyDiv w:val="1"/>
      <w:marLeft w:val="0"/>
      <w:marRight w:val="0"/>
      <w:marTop w:val="0"/>
      <w:marBottom w:val="0"/>
      <w:divBdr>
        <w:top w:val="none" w:sz="0" w:space="0" w:color="auto"/>
        <w:left w:val="none" w:sz="0" w:space="0" w:color="auto"/>
        <w:bottom w:val="none" w:sz="0" w:space="0" w:color="auto"/>
        <w:right w:val="none" w:sz="0" w:space="0" w:color="auto"/>
      </w:divBdr>
    </w:div>
    <w:div w:id="1400783543">
      <w:bodyDiv w:val="1"/>
      <w:marLeft w:val="0"/>
      <w:marRight w:val="0"/>
      <w:marTop w:val="0"/>
      <w:marBottom w:val="0"/>
      <w:divBdr>
        <w:top w:val="none" w:sz="0" w:space="0" w:color="auto"/>
        <w:left w:val="none" w:sz="0" w:space="0" w:color="auto"/>
        <w:bottom w:val="none" w:sz="0" w:space="0" w:color="auto"/>
        <w:right w:val="none" w:sz="0" w:space="0" w:color="auto"/>
      </w:divBdr>
    </w:div>
    <w:div w:id="1400788218">
      <w:bodyDiv w:val="1"/>
      <w:marLeft w:val="0"/>
      <w:marRight w:val="0"/>
      <w:marTop w:val="0"/>
      <w:marBottom w:val="0"/>
      <w:divBdr>
        <w:top w:val="none" w:sz="0" w:space="0" w:color="auto"/>
        <w:left w:val="none" w:sz="0" w:space="0" w:color="auto"/>
        <w:bottom w:val="none" w:sz="0" w:space="0" w:color="auto"/>
        <w:right w:val="none" w:sz="0" w:space="0" w:color="auto"/>
      </w:divBdr>
    </w:div>
    <w:div w:id="1400858226">
      <w:bodyDiv w:val="1"/>
      <w:marLeft w:val="0"/>
      <w:marRight w:val="0"/>
      <w:marTop w:val="0"/>
      <w:marBottom w:val="0"/>
      <w:divBdr>
        <w:top w:val="none" w:sz="0" w:space="0" w:color="auto"/>
        <w:left w:val="none" w:sz="0" w:space="0" w:color="auto"/>
        <w:bottom w:val="none" w:sz="0" w:space="0" w:color="auto"/>
        <w:right w:val="none" w:sz="0" w:space="0" w:color="auto"/>
      </w:divBdr>
    </w:div>
    <w:div w:id="1402870294">
      <w:bodyDiv w:val="1"/>
      <w:marLeft w:val="0"/>
      <w:marRight w:val="0"/>
      <w:marTop w:val="0"/>
      <w:marBottom w:val="0"/>
      <w:divBdr>
        <w:top w:val="none" w:sz="0" w:space="0" w:color="auto"/>
        <w:left w:val="none" w:sz="0" w:space="0" w:color="auto"/>
        <w:bottom w:val="none" w:sz="0" w:space="0" w:color="auto"/>
        <w:right w:val="none" w:sz="0" w:space="0" w:color="auto"/>
      </w:divBdr>
    </w:div>
    <w:div w:id="1403256842">
      <w:bodyDiv w:val="1"/>
      <w:marLeft w:val="0"/>
      <w:marRight w:val="0"/>
      <w:marTop w:val="0"/>
      <w:marBottom w:val="0"/>
      <w:divBdr>
        <w:top w:val="none" w:sz="0" w:space="0" w:color="auto"/>
        <w:left w:val="none" w:sz="0" w:space="0" w:color="auto"/>
        <w:bottom w:val="none" w:sz="0" w:space="0" w:color="auto"/>
        <w:right w:val="none" w:sz="0" w:space="0" w:color="auto"/>
      </w:divBdr>
    </w:div>
    <w:div w:id="1404986994">
      <w:bodyDiv w:val="1"/>
      <w:marLeft w:val="0"/>
      <w:marRight w:val="0"/>
      <w:marTop w:val="0"/>
      <w:marBottom w:val="0"/>
      <w:divBdr>
        <w:top w:val="none" w:sz="0" w:space="0" w:color="auto"/>
        <w:left w:val="none" w:sz="0" w:space="0" w:color="auto"/>
        <w:bottom w:val="none" w:sz="0" w:space="0" w:color="auto"/>
        <w:right w:val="none" w:sz="0" w:space="0" w:color="auto"/>
      </w:divBdr>
    </w:div>
    <w:div w:id="1407342116">
      <w:bodyDiv w:val="1"/>
      <w:marLeft w:val="0"/>
      <w:marRight w:val="0"/>
      <w:marTop w:val="0"/>
      <w:marBottom w:val="0"/>
      <w:divBdr>
        <w:top w:val="none" w:sz="0" w:space="0" w:color="auto"/>
        <w:left w:val="none" w:sz="0" w:space="0" w:color="auto"/>
        <w:bottom w:val="none" w:sz="0" w:space="0" w:color="auto"/>
        <w:right w:val="none" w:sz="0" w:space="0" w:color="auto"/>
      </w:divBdr>
    </w:div>
    <w:div w:id="1408842227">
      <w:bodyDiv w:val="1"/>
      <w:marLeft w:val="0"/>
      <w:marRight w:val="0"/>
      <w:marTop w:val="0"/>
      <w:marBottom w:val="0"/>
      <w:divBdr>
        <w:top w:val="none" w:sz="0" w:space="0" w:color="auto"/>
        <w:left w:val="none" w:sz="0" w:space="0" w:color="auto"/>
        <w:bottom w:val="none" w:sz="0" w:space="0" w:color="auto"/>
        <w:right w:val="none" w:sz="0" w:space="0" w:color="auto"/>
      </w:divBdr>
    </w:div>
    <w:div w:id="1411921710">
      <w:bodyDiv w:val="1"/>
      <w:marLeft w:val="0"/>
      <w:marRight w:val="0"/>
      <w:marTop w:val="0"/>
      <w:marBottom w:val="0"/>
      <w:divBdr>
        <w:top w:val="none" w:sz="0" w:space="0" w:color="auto"/>
        <w:left w:val="none" w:sz="0" w:space="0" w:color="auto"/>
        <w:bottom w:val="none" w:sz="0" w:space="0" w:color="auto"/>
        <w:right w:val="none" w:sz="0" w:space="0" w:color="auto"/>
      </w:divBdr>
    </w:div>
    <w:div w:id="1418136778">
      <w:bodyDiv w:val="1"/>
      <w:marLeft w:val="0"/>
      <w:marRight w:val="0"/>
      <w:marTop w:val="0"/>
      <w:marBottom w:val="0"/>
      <w:divBdr>
        <w:top w:val="none" w:sz="0" w:space="0" w:color="auto"/>
        <w:left w:val="none" w:sz="0" w:space="0" w:color="auto"/>
        <w:bottom w:val="none" w:sz="0" w:space="0" w:color="auto"/>
        <w:right w:val="none" w:sz="0" w:space="0" w:color="auto"/>
      </w:divBdr>
    </w:div>
    <w:div w:id="1419207925">
      <w:bodyDiv w:val="1"/>
      <w:marLeft w:val="0"/>
      <w:marRight w:val="0"/>
      <w:marTop w:val="0"/>
      <w:marBottom w:val="0"/>
      <w:divBdr>
        <w:top w:val="none" w:sz="0" w:space="0" w:color="auto"/>
        <w:left w:val="none" w:sz="0" w:space="0" w:color="auto"/>
        <w:bottom w:val="none" w:sz="0" w:space="0" w:color="auto"/>
        <w:right w:val="none" w:sz="0" w:space="0" w:color="auto"/>
      </w:divBdr>
    </w:div>
    <w:div w:id="1420953665">
      <w:bodyDiv w:val="1"/>
      <w:marLeft w:val="0"/>
      <w:marRight w:val="0"/>
      <w:marTop w:val="0"/>
      <w:marBottom w:val="0"/>
      <w:divBdr>
        <w:top w:val="none" w:sz="0" w:space="0" w:color="auto"/>
        <w:left w:val="none" w:sz="0" w:space="0" w:color="auto"/>
        <w:bottom w:val="none" w:sz="0" w:space="0" w:color="auto"/>
        <w:right w:val="none" w:sz="0" w:space="0" w:color="auto"/>
      </w:divBdr>
    </w:div>
    <w:div w:id="1421873766">
      <w:bodyDiv w:val="1"/>
      <w:marLeft w:val="0"/>
      <w:marRight w:val="0"/>
      <w:marTop w:val="0"/>
      <w:marBottom w:val="0"/>
      <w:divBdr>
        <w:top w:val="none" w:sz="0" w:space="0" w:color="auto"/>
        <w:left w:val="none" w:sz="0" w:space="0" w:color="auto"/>
        <w:bottom w:val="none" w:sz="0" w:space="0" w:color="auto"/>
        <w:right w:val="none" w:sz="0" w:space="0" w:color="auto"/>
      </w:divBdr>
    </w:div>
    <w:div w:id="1429348354">
      <w:bodyDiv w:val="1"/>
      <w:marLeft w:val="0"/>
      <w:marRight w:val="0"/>
      <w:marTop w:val="0"/>
      <w:marBottom w:val="0"/>
      <w:divBdr>
        <w:top w:val="none" w:sz="0" w:space="0" w:color="auto"/>
        <w:left w:val="none" w:sz="0" w:space="0" w:color="auto"/>
        <w:bottom w:val="none" w:sz="0" w:space="0" w:color="auto"/>
        <w:right w:val="none" w:sz="0" w:space="0" w:color="auto"/>
      </w:divBdr>
    </w:div>
    <w:div w:id="1429500357">
      <w:bodyDiv w:val="1"/>
      <w:marLeft w:val="0"/>
      <w:marRight w:val="0"/>
      <w:marTop w:val="0"/>
      <w:marBottom w:val="0"/>
      <w:divBdr>
        <w:top w:val="none" w:sz="0" w:space="0" w:color="auto"/>
        <w:left w:val="none" w:sz="0" w:space="0" w:color="auto"/>
        <w:bottom w:val="none" w:sz="0" w:space="0" w:color="auto"/>
        <w:right w:val="none" w:sz="0" w:space="0" w:color="auto"/>
      </w:divBdr>
    </w:div>
    <w:div w:id="1429622847">
      <w:bodyDiv w:val="1"/>
      <w:marLeft w:val="0"/>
      <w:marRight w:val="0"/>
      <w:marTop w:val="0"/>
      <w:marBottom w:val="0"/>
      <w:divBdr>
        <w:top w:val="none" w:sz="0" w:space="0" w:color="auto"/>
        <w:left w:val="none" w:sz="0" w:space="0" w:color="auto"/>
        <w:bottom w:val="none" w:sz="0" w:space="0" w:color="auto"/>
        <w:right w:val="none" w:sz="0" w:space="0" w:color="auto"/>
      </w:divBdr>
    </w:div>
    <w:div w:id="1430353020">
      <w:bodyDiv w:val="1"/>
      <w:marLeft w:val="0"/>
      <w:marRight w:val="0"/>
      <w:marTop w:val="0"/>
      <w:marBottom w:val="0"/>
      <w:divBdr>
        <w:top w:val="none" w:sz="0" w:space="0" w:color="auto"/>
        <w:left w:val="none" w:sz="0" w:space="0" w:color="auto"/>
        <w:bottom w:val="none" w:sz="0" w:space="0" w:color="auto"/>
        <w:right w:val="none" w:sz="0" w:space="0" w:color="auto"/>
      </w:divBdr>
    </w:div>
    <w:div w:id="1430396773">
      <w:bodyDiv w:val="1"/>
      <w:marLeft w:val="0"/>
      <w:marRight w:val="0"/>
      <w:marTop w:val="0"/>
      <w:marBottom w:val="0"/>
      <w:divBdr>
        <w:top w:val="none" w:sz="0" w:space="0" w:color="auto"/>
        <w:left w:val="none" w:sz="0" w:space="0" w:color="auto"/>
        <w:bottom w:val="none" w:sz="0" w:space="0" w:color="auto"/>
        <w:right w:val="none" w:sz="0" w:space="0" w:color="auto"/>
      </w:divBdr>
    </w:div>
    <w:div w:id="1430541890">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31774476">
      <w:bodyDiv w:val="1"/>
      <w:marLeft w:val="0"/>
      <w:marRight w:val="0"/>
      <w:marTop w:val="0"/>
      <w:marBottom w:val="0"/>
      <w:divBdr>
        <w:top w:val="none" w:sz="0" w:space="0" w:color="auto"/>
        <w:left w:val="none" w:sz="0" w:space="0" w:color="auto"/>
        <w:bottom w:val="none" w:sz="0" w:space="0" w:color="auto"/>
        <w:right w:val="none" w:sz="0" w:space="0" w:color="auto"/>
      </w:divBdr>
    </w:div>
    <w:div w:id="1434134488">
      <w:bodyDiv w:val="1"/>
      <w:marLeft w:val="0"/>
      <w:marRight w:val="0"/>
      <w:marTop w:val="0"/>
      <w:marBottom w:val="0"/>
      <w:divBdr>
        <w:top w:val="none" w:sz="0" w:space="0" w:color="auto"/>
        <w:left w:val="none" w:sz="0" w:space="0" w:color="auto"/>
        <w:bottom w:val="none" w:sz="0" w:space="0" w:color="auto"/>
        <w:right w:val="none" w:sz="0" w:space="0" w:color="auto"/>
      </w:divBdr>
    </w:div>
    <w:div w:id="1435250290">
      <w:bodyDiv w:val="1"/>
      <w:marLeft w:val="0"/>
      <w:marRight w:val="0"/>
      <w:marTop w:val="0"/>
      <w:marBottom w:val="0"/>
      <w:divBdr>
        <w:top w:val="none" w:sz="0" w:space="0" w:color="auto"/>
        <w:left w:val="none" w:sz="0" w:space="0" w:color="auto"/>
        <w:bottom w:val="none" w:sz="0" w:space="0" w:color="auto"/>
        <w:right w:val="none" w:sz="0" w:space="0" w:color="auto"/>
      </w:divBdr>
    </w:div>
    <w:div w:id="1436436832">
      <w:bodyDiv w:val="1"/>
      <w:marLeft w:val="0"/>
      <w:marRight w:val="0"/>
      <w:marTop w:val="0"/>
      <w:marBottom w:val="0"/>
      <w:divBdr>
        <w:top w:val="none" w:sz="0" w:space="0" w:color="auto"/>
        <w:left w:val="none" w:sz="0" w:space="0" w:color="auto"/>
        <w:bottom w:val="none" w:sz="0" w:space="0" w:color="auto"/>
        <w:right w:val="none" w:sz="0" w:space="0" w:color="auto"/>
      </w:divBdr>
    </w:div>
    <w:div w:id="1446390550">
      <w:bodyDiv w:val="1"/>
      <w:marLeft w:val="0"/>
      <w:marRight w:val="0"/>
      <w:marTop w:val="0"/>
      <w:marBottom w:val="0"/>
      <w:divBdr>
        <w:top w:val="none" w:sz="0" w:space="0" w:color="auto"/>
        <w:left w:val="none" w:sz="0" w:space="0" w:color="auto"/>
        <w:bottom w:val="none" w:sz="0" w:space="0" w:color="auto"/>
        <w:right w:val="none" w:sz="0" w:space="0" w:color="auto"/>
      </w:divBdr>
    </w:div>
    <w:div w:id="1452285288">
      <w:bodyDiv w:val="1"/>
      <w:marLeft w:val="0"/>
      <w:marRight w:val="0"/>
      <w:marTop w:val="0"/>
      <w:marBottom w:val="0"/>
      <w:divBdr>
        <w:top w:val="none" w:sz="0" w:space="0" w:color="auto"/>
        <w:left w:val="none" w:sz="0" w:space="0" w:color="auto"/>
        <w:bottom w:val="none" w:sz="0" w:space="0" w:color="auto"/>
        <w:right w:val="none" w:sz="0" w:space="0" w:color="auto"/>
      </w:divBdr>
    </w:div>
    <w:div w:id="1453208472">
      <w:bodyDiv w:val="1"/>
      <w:marLeft w:val="0"/>
      <w:marRight w:val="0"/>
      <w:marTop w:val="0"/>
      <w:marBottom w:val="0"/>
      <w:divBdr>
        <w:top w:val="none" w:sz="0" w:space="0" w:color="auto"/>
        <w:left w:val="none" w:sz="0" w:space="0" w:color="auto"/>
        <w:bottom w:val="none" w:sz="0" w:space="0" w:color="auto"/>
        <w:right w:val="none" w:sz="0" w:space="0" w:color="auto"/>
      </w:divBdr>
    </w:div>
    <w:div w:id="1459569140">
      <w:bodyDiv w:val="1"/>
      <w:marLeft w:val="0"/>
      <w:marRight w:val="0"/>
      <w:marTop w:val="0"/>
      <w:marBottom w:val="0"/>
      <w:divBdr>
        <w:top w:val="none" w:sz="0" w:space="0" w:color="auto"/>
        <w:left w:val="none" w:sz="0" w:space="0" w:color="auto"/>
        <w:bottom w:val="none" w:sz="0" w:space="0" w:color="auto"/>
        <w:right w:val="none" w:sz="0" w:space="0" w:color="auto"/>
      </w:divBdr>
    </w:div>
    <w:div w:id="1460107557">
      <w:bodyDiv w:val="1"/>
      <w:marLeft w:val="0"/>
      <w:marRight w:val="0"/>
      <w:marTop w:val="0"/>
      <w:marBottom w:val="0"/>
      <w:divBdr>
        <w:top w:val="none" w:sz="0" w:space="0" w:color="auto"/>
        <w:left w:val="none" w:sz="0" w:space="0" w:color="auto"/>
        <w:bottom w:val="none" w:sz="0" w:space="0" w:color="auto"/>
        <w:right w:val="none" w:sz="0" w:space="0" w:color="auto"/>
      </w:divBdr>
    </w:div>
    <w:div w:id="1460882101">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
    <w:div w:id="1461722535">
      <w:bodyDiv w:val="1"/>
      <w:marLeft w:val="0"/>
      <w:marRight w:val="0"/>
      <w:marTop w:val="0"/>
      <w:marBottom w:val="0"/>
      <w:divBdr>
        <w:top w:val="none" w:sz="0" w:space="0" w:color="auto"/>
        <w:left w:val="none" w:sz="0" w:space="0" w:color="auto"/>
        <w:bottom w:val="none" w:sz="0" w:space="0" w:color="auto"/>
        <w:right w:val="none" w:sz="0" w:space="0" w:color="auto"/>
      </w:divBdr>
    </w:div>
    <w:div w:id="1463812693">
      <w:bodyDiv w:val="1"/>
      <w:marLeft w:val="0"/>
      <w:marRight w:val="0"/>
      <w:marTop w:val="0"/>
      <w:marBottom w:val="0"/>
      <w:divBdr>
        <w:top w:val="none" w:sz="0" w:space="0" w:color="auto"/>
        <w:left w:val="none" w:sz="0" w:space="0" w:color="auto"/>
        <w:bottom w:val="none" w:sz="0" w:space="0" w:color="auto"/>
        <w:right w:val="none" w:sz="0" w:space="0" w:color="auto"/>
      </w:divBdr>
    </w:div>
    <w:div w:id="1464081593">
      <w:bodyDiv w:val="1"/>
      <w:marLeft w:val="0"/>
      <w:marRight w:val="0"/>
      <w:marTop w:val="0"/>
      <w:marBottom w:val="0"/>
      <w:divBdr>
        <w:top w:val="none" w:sz="0" w:space="0" w:color="auto"/>
        <w:left w:val="none" w:sz="0" w:space="0" w:color="auto"/>
        <w:bottom w:val="none" w:sz="0" w:space="0" w:color="auto"/>
        <w:right w:val="none" w:sz="0" w:space="0" w:color="auto"/>
      </w:divBdr>
    </w:div>
    <w:div w:id="1466698263">
      <w:bodyDiv w:val="1"/>
      <w:marLeft w:val="0"/>
      <w:marRight w:val="0"/>
      <w:marTop w:val="0"/>
      <w:marBottom w:val="0"/>
      <w:divBdr>
        <w:top w:val="none" w:sz="0" w:space="0" w:color="auto"/>
        <w:left w:val="none" w:sz="0" w:space="0" w:color="auto"/>
        <w:bottom w:val="none" w:sz="0" w:space="0" w:color="auto"/>
        <w:right w:val="none" w:sz="0" w:space="0" w:color="auto"/>
      </w:divBdr>
    </w:div>
    <w:div w:id="1467046115">
      <w:bodyDiv w:val="1"/>
      <w:marLeft w:val="0"/>
      <w:marRight w:val="0"/>
      <w:marTop w:val="0"/>
      <w:marBottom w:val="0"/>
      <w:divBdr>
        <w:top w:val="none" w:sz="0" w:space="0" w:color="auto"/>
        <w:left w:val="none" w:sz="0" w:space="0" w:color="auto"/>
        <w:bottom w:val="none" w:sz="0" w:space="0" w:color="auto"/>
        <w:right w:val="none" w:sz="0" w:space="0" w:color="auto"/>
      </w:divBdr>
    </w:div>
    <w:div w:id="1469591225">
      <w:bodyDiv w:val="1"/>
      <w:marLeft w:val="0"/>
      <w:marRight w:val="0"/>
      <w:marTop w:val="0"/>
      <w:marBottom w:val="0"/>
      <w:divBdr>
        <w:top w:val="none" w:sz="0" w:space="0" w:color="auto"/>
        <w:left w:val="none" w:sz="0" w:space="0" w:color="auto"/>
        <w:bottom w:val="none" w:sz="0" w:space="0" w:color="auto"/>
        <w:right w:val="none" w:sz="0" w:space="0" w:color="auto"/>
      </w:divBdr>
    </w:div>
    <w:div w:id="1477719893">
      <w:bodyDiv w:val="1"/>
      <w:marLeft w:val="0"/>
      <w:marRight w:val="0"/>
      <w:marTop w:val="0"/>
      <w:marBottom w:val="0"/>
      <w:divBdr>
        <w:top w:val="none" w:sz="0" w:space="0" w:color="auto"/>
        <w:left w:val="none" w:sz="0" w:space="0" w:color="auto"/>
        <w:bottom w:val="none" w:sz="0" w:space="0" w:color="auto"/>
        <w:right w:val="none" w:sz="0" w:space="0" w:color="auto"/>
      </w:divBdr>
    </w:div>
    <w:div w:id="1478261873">
      <w:bodyDiv w:val="1"/>
      <w:marLeft w:val="0"/>
      <w:marRight w:val="0"/>
      <w:marTop w:val="0"/>
      <w:marBottom w:val="0"/>
      <w:divBdr>
        <w:top w:val="none" w:sz="0" w:space="0" w:color="auto"/>
        <w:left w:val="none" w:sz="0" w:space="0" w:color="auto"/>
        <w:bottom w:val="none" w:sz="0" w:space="0" w:color="auto"/>
        <w:right w:val="none" w:sz="0" w:space="0" w:color="auto"/>
      </w:divBdr>
    </w:div>
    <w:div w:id="1485928277">
      <w:bodyDiv w:val="1"/>
      <w:marLeft w:val="0"/>
      <w:marRight w:val="0"/>
      <w:marTop w:val="0"/>
      <w:marBottom w:val="0"/>
      <w:divBdr>
        <w:top w:val="none" w:sz="0" w:space="0" w:color="auto"/>
        <w:left w:val="none" w:sz="0" w:space="0" w:color="auto"/>
        <w:bottom w:val="none" w:sz="0" w:space="0" w:color="auto"/>
        <w:right w:val="none" w:sz="0" w:space="0" w:color="auto"/>
      </w:divBdr>
    </w:div>
    <w:div w:id="1487672913">
      <w:bodyDiv w:val="1"/>
      <w:marLeft w:val="0"/>
      <w:marRight w:val="0"/>
      <w:marTop w:val="0"/>
      <w:marBottom w:val="0"/>
      <w:divBdr>
        <w:top w:val="none" w:sz="0" w:space="0" w:color="auto"/>
        <w:left w:val="none" w:sz="0" w:space="0" w:color="auto"/>
        <w:bottom w:val="none" w:sz="0" w:space="0" w:color="auto"/>
        <w:right w:val="none" w:sz="0" w:space="0" w:color="auto"/>
      </w:divBdr>
    </w:div>
    <w:div w:id="1496647431">
      <w:bodyDiv w:val="1"/>
      <w:marLeft w:val="0"/>
      <w:marRight w:val="0"/>
      <w:marTop w:val="0"/>
      <w:marBottom w:val="0"/>
      <w:divBdr>
        <w:top w:val="none" w:sz="0" w:space="0" w:color="auto"/>
        <w:left w:val="none" w:sz="0" w:space="0" w:color="auto"/>
        <w:bottom w:val="none" w:sz="0" w:space="0" w:color="auto"/>
        <w:right w:val="none" w:sz="0" w:space="0" w:color="auto"/>
      </w:divBdr>
    </w:div>
    <w:div w:id="1506438779">
      <w:bodyDiv w:val="1"/>
      <w:marLeft w:val="0"/>
      <w:marRight w:val="0"/>
      <w:marTop w:val="0"/>
      <w:marBottom w:val="0"/>
      <w:divBdr>
        <w:top w:val="none" w:sz="0" w:space="0" w:color="auto"/>
        <w:left w:val="none" w:sz="0" w:space="0" w:color="auto"/>
        <w:bottom w:val="none" w:sz="0" w:space="0" w:color="auto"/>
        <w:right w:val="none" w:sz="0" w:space="0" w:color="auto"/>
      </w:divBdr>
    </w:div>
    <w:div w:id="1508325266">
      <w:bodyDiv w:val="1"/>
      <w:marLeft w:val="0"/>
      <w:marRight w:val="0"/>
      <w:marTop w:val="0"/>
      <w:marBottom w:val="0"/>
      <w:divBdr>
        <w:top w:val="none" w:sz="0" w:space="0" w:color="auto"/>
        <w:left w:val="none" w:sz="0" w:space="0" w:color="auto"/>
        <w:bottom w:val="none" w:sz="0" w:space="0" w:color="auto"/>
        <w:right w:val="none" w:sz="0" w:space="0" w:color="auto"/>
      </w:divBdr>
    </w:div>
    <w:div w:id="1509758419">
      <w:bodyDiv w:val="1"/>
      <w:marLeft w:val="0"/>
      <w:marRight w:val="0"/>
      <w:marTop w:val="0"/>
      <w:marBottom w:val="0"/>
      <w:divBdr>
        <w:top w:val="none" w:sz="0" w:space="0" w:color="auto"/>
        <w:left w:val="none" w:sz="0" w:space="0" w:color="auto"/>
        <w:bottom w:val="none" w:sz="0" w:space="0" w:color="auto"/>
        <w:right w:val="none" w:sz="0" w:space="0" w:color="auto"/>
      </w:divBdr>
    </w:div>
    <w:div w:id="1510026581">
      <w:bodyDiv w:val="1"/>
      <w:marLeft w:val="0"/>
      <w:marRight w:val="0"/>
      <w:marTop w:val="0"/>
      <w:marBottom w:val="0"/>
      <w:divBdr>
        <w:top w:val="none" w:sz="0" w:space="0" w:color="auto"/>
        <w:left w:val="none" w:sz="0" w:space="0" w:color="auto"/>
        <w:bottom w:val="none" w:sz="0" w:space="0" w:color="auto"/>
        <w:right w:val="none" w:sz="0" w:space="0" w:color="auto"/>
      </w:divBdr>
    </w:div>
    <w:div w:id="1511094362">
      <w:bodyDiv w:val="1"/>
      <w:marLeft w:val="0"/>
      <w:marRight w:val="0"/>
      <w:marTop w:val="0"/>
      <w:marBottom w:val="0"/>
      <w:divBdr>
        <w:top w:val="none" w:sz="0" w:space="0" w:color="auto"/>
        <w:left w:val="none" w:sz="0" w:space="0" w:color="auto"/>
        <w:bottom w:val="none" w:sz="0" w:space="0" w:color="auto"/>
        <w:right w:val="none" w:sz="0" w:space="0" w:color="auto"/>
      </w:divBdr>
    </w:div>
    <w:div w:id="1519655591">
      <w:bodyDiv w:val="1"/>
      <w:marLeft w:val="0"/>
      <w:marRight w:val="0"/>
      <w:marTop w:val="0"/>
      <w:marBottom w:val="0"/>
      <w:divBdr>
        <w:top w:val="none" w:sz="0" w:space="0" w:color="auto"/>
        <w:left w:val="none" w:sz="0" w:space="0" w:color="auto"/>
        <w:bottom w:val="none" w:sz="0" w:space="0" w:color="auto"/>
        <w:right w:val="none" w:sz="0" w:space="0" w:color="auto"/>
      </w:divBdr>
    </w:div>
    <w:div w:id="1523124967">
      <w:bodyDiv w:val="1"/>
      <w:marLeft w:val="0"/>
      <w:marRight w:val="0"/>
      <w:marTop w:val="0"/>
      <w:marBottom w:val="0"/>
      <w:divBdr>
        <w:top w:val="none" w:sz="0" w:space="0" w:color="auto"/>
        <w:left w:val="none" w:sz="0" w:space="0" w:color="auto"/>
        <w:bottom w:val="none" w:sz="0" w:space="0" w:color="auto"/>
        <w:right w:val="none" w:sz="0" w:space="0" w:color="auto"/>
      </w:divBdr>
    </w:div>
    <w:div w:id="1523787093">
      <w:bodyDiv w:val="1"/>
      <w:marLeft w:val="0"/>
      <w:marRight w:val="0"/>
      <w:marTop w:val="0"/>
      <w:marBottom w:val="0"/>
      <w:divBdr>
        <w:top w:val="none" w:sz="0" w:space="0" w:color="auto"/>
        <w:left w:val="none" w:sz="0" w:space="0" w:color="auto"/>
        <w:bottom w:val="none" w:sz="0" w:space="0" w:color="auto"/>
        <w:right w:val="none" w:sz="0" w:space="0" w:color="auto"/>
      </w:divBdr>
    </w:div>
    <w:div w:id="1530528901">
      <w:bodyDiv w:val="1"/>
      <w:marLeft w:val="0"/>
      <w:marRight w:val="0"/>
      <w:marTop w:val="0"/>
      <w:marBottom w:val="0"/>
      <w:divBdr>
        <w:top w:val="none" w:sz="0" w:space="0" w:color="auto"/>
        <w:left w:val="none" w:sz="0" w:space="0" w:color="auto"/>
        <w:bottom w:val="none" w:sz="0" w:space="0" w:color="auto"/>
        <w:right w:val="none" w:sz="0" w:space="0" w:color="auto"/>
      </w:divBdr>
    </w:div>
    <w:div w:id="1541893700">
      <w:bodyDiv w:val="1"/>
      <w:marLeft w:val="0"/>
      <w:marRight w:val="0"/>
      <w:marTop w:val="0"/>
      <w:marBottom w:val="0"/>
      <w:divBdr>
        <w:top w:val="none" w:sz="0" w:space="0" w:color="auto"/>
        <w:left w:val="none" w:sz="0" w:space="0" w:color="auto"/>
        <w:bottom w:val="none" w:sz="0" w:space="0" w:color="auto"/>
        <w:right w:val="none" w:sz="0" w:space="0" w:color="auto"/>
      </w:divBdr>
    </w:div>
    <w:div w:id="1544322865">
      <w:bodyDiv w:val="1"/>
      <w:marLeft w:val="0"/>
      <w:marRight w:val="0"/>
      <w:marTop w:val="0"/>
      <w:marBottom w:val="0"/>
      <w:divBdr>
        <w:top w:val="none" w:sz="0" w:space="0" w:color="auto"/>
        <w:left w:val="none" w:sz="0" w:space="0" w:color="auto"/>
        <w:bottom w:val="none" w:sz="0" w:space="0" w:color="auto"/>
        <w:right w:val="none" w:sz="0" w:space="0" w:color="auto"/>
      </w:divBdr>
    </w:div>
    <w:div w:id="1549805946">
      <w:bodyDiv w:val="1"/>
      <w:marLeft w:val="0"/>
      <w:marRight w:val="0"/>
      <w:marTop w:val="0"/>
      <w:marBottom w:val="0"/>
      <w:divBdr>
        <w:top w:val="none" w:sz="0" w:space="0" w:color="auto"/>
        <w:left w:val="none" w:sz="0" w:space="0" w:color="auto"/>
        <w:bottom w:val="none" w:sz="0" w:space="0" w:color="auto"/>
        <w:right w:val="none" w:sz="0" w:space="0" w:color="auto"/>
      </w:divBdr>
    </w:div>
    <w:div w:id="1550723665">
      <w:bodyDiv w:val="1"/>
      <w:marLeft w:val="0"/>
      <w:marRight w:val="0"/>
      <w:marTop w:val="0"/>
      <w:marBottom w:val="0"/>
      <w:divBdr>
        <w:top w:val="none" w:sz="0" w:space="0" w:color="auto"/>
        <w:left w:val="none" w:sz="0" w:space="0" w:color="auto"/>
        <w:bottom w:val="none" w:sz="0" w:space="0" w:color="auto"/>
        <w:right w:val="none" w:sz="0" w:space="0" w:color="auto"/>
      </w:divBdr>
    </w:div>
    <w:div w:id="1554072743">
      <w:bodyDiv w:val="1"/>
      <w:marLeft w:val="0"/>
      <w:marRight w:val="0"/>
      <w:marTop w:val="0"/>
      <w:marBottom w:val="0"/>
      <w:divBdr>
        <w:top w:val="none" w:sz="0" w:space="0" w:color="auto"/>
        <w:left w:val="none" w:sz="0" w:space="0" w:color="auto"/>
        <w:bottom w:val="none" w:sz="0" w:space="0" w:color="auto"/>
        <w:right w:val="none" w:sz="0" w:space="0" w:color="auto"/>
      </w:divBdr>
    </w:div>
    <w:div w:id="1555503583">
      <w:bodyDiv w:val="1"/>
      <w:marLeft w:val="0"/>
      <w:marRight w:val="0"/>
      <w:marTop w:val="0"/>
      <w:marBottom w:val="0"/>
      <w:divBdr>
        <w:top w:val="none" w:sz="0" w:space="0" w:color="auto"/>
        <w:left w:val="none" w:sz="0" w:space="0" w:color="auto"/>
        <w:bottom w:val="none" w:sz="0" w:space="0" w:color="auto"/>
        <w:right w:val="none" w:sz="0" w:space="0" w:color="auto"/>
      </w:divBdr>
    </w:div>
    <w:div w:id="1555506443">
      <w:bodyDiv w:val="1"/>
      <w:marLeft w:val="0"/>
      <w:marRight w:val="0"/>
      <w:marTop w:val="0"/>
      <w:marBottom w:val="0"/>
      <w:divBdr>
        <w:top w:val="none" w:sz="0" w:space="0" w:color="auto"/>
        <w:left w:val="none" w:sz="0" w:space="0" w:color="auto"/>
        <w:bottom w:val="none" w:sz="0" w:space="0" w:color="auto"/>
        <w:right w:val="none" w:sz="0" w:space="0" w:color="auto"/>
      </w:divBdr>
    </w:div>
    <w:div w:id="1558585488">
      <w:bodyDiv w:val="1"/>
      <w:marLeft w:val="0"/>
      <w:marRight w:val="0"/>
      <w:marTop w:val="0"/>
      <w:marBottom w:val="0"/>
      <w:divBdr>
        <w:top w:val="none" w:sz="0" w:space="0" w:color="auto"/>
        <w:left w:val="none" w:sz="0" w:space="0" w:color="auto"/>
        <w:bottom w:val="none" w:sz="0" w:space="0" w:color="auto"/>
        <w:right w:val="none" w:sz="0" w:space="0" w:color="auto"/>
      </w:divBdr>
    </w:div>
    <w:div w:id="1562518879">
      <w:bodyDiv w:val="1"/>
      <w:marLeft w:val="0"/>
      <w:marRight w:val="0"/>
      <w:marTop w:val="0"/>
      <w:marBottom w:val="0"/>
      <w:divBdr>
        <w:top w:val="none" w:sz="0" w:space="0" w:color="auto"/>
        <w:left w:val="none" w:sz="0" w:space="0" w:color="auto"/>
        <w:bottom w:val="none" w:sz="0" w:space="0" w:color="auto"/>
        <w:right w:val="none" w:sz="0" w:space="0" w:color="auto"/>
      </w:divBdr>
    </w:div>
    <w:div w:id="1567103838">
      <w:bodyDiv w:val="1"/>
      <w:marLeft w:val="0"/>
      <w:marRight w:val="0"/>
      <w:marTop w:val="0"/>
      <w:marBottom w:val="0"/>
      <w:divBdr>
        <w:top w:val="none" w:sz="0" w:space="0" w:color="auto"/>
        <w:left w:val="none" w:sz="0" w:space="0" w:color="auto"/>
        <w:bottom w:val="none" w:sz="0" w:space="0" w:color="auto"/>
        <w:right w:val="none" w:sz="0" w:space="0" w:color="auto"/>
      </w:divBdr>
    </w:div>
    <w:div w:id="1570071663">
      <w:bodyDiv w:val="1"/>
      <w:marLeft w:val="0"/>
      <w:marRight w:val="0"/>
      <w:marTop w:val="0"/>
      <w:marBottom w:val="0"/>
      <w:divBdr>
        <w:top w:val="none" w:sz="0" w:space="0" w:color="auto"/>
        <w:left w:val="none" w:sz="0" w:space="0" w:color="auto"/>
        <w:bottom w:val="none" w:sz="0" w:space="0" w:color="auto"/>
        <w:right w:val="none" w:sz="0" w:space="0" w:color="auto"/>
      </w:divBdr>
    </w:div>
    <w:div w:id="1579553637">
      <w:bodyDiv w:val="1"/>
      <w:marLeft w:val="0"/>
      <w:marRight w:val="0"/>
      <w:marTop w:val="0"/>
      <w:marBottom w:val="0"/>
      <w:divBdr>
        <w:top w:val="none" w:sz="0" w:space="0" w:color="auto"/>
        <w:left w:val="none" w:sz="0" w:space="0" w:color="auto"/>
        <w:bottom w:val="none" w:sz="0" w:space="0" w:color="auto"/>
        <w:right w:val="none" w:sz="0" w:space="0" w:color="auto"/>
      </w:divBdr>
    </w:div>
    <w:div w:id="1581520246">
      <w:bodyDiv w:val="1"/>
      <w:marLeft w:val="0"/>
      <w:marRight w:val="0"/>
      <w:marTop w:val="0"/>
      <w:marBottom w:val="0"/>
      <w:divBdr>
        <w:top w:val="none" w:sz="0" w:space="0" w:color="auto"/>
        <w:left w:val="none" w:sz="0" w:space="0" w:color="auto"/>
        <w:bottom w:val="none" w:sz="0" w:space="0" w:color="auto"/>
        <w:right w:val="none" w:sz="0" w:space="0" w:color="auto"/>
      </w:divBdr>
    </w:div>
    <w:div w:id="1583295747">
      <w:bodyDiv w:val="1"/>
      <w:marLeft w:val="0"/>
      <w:marRight w:val="0"/>
      <w:marTop w:val="0"/>
      <w:marBottom w:val="0"/>
      <w:divBdr>
        <w:top w:val="none" w:sz="0" w:space="0" w:color="auto"/>
        <w:left w:val="none" w:sz="0" w:space="0" w:color="auto"/>
        <w:bottom w:val="none" w:sz="0" w:space="0" w:color="auto"/>
        <w:right w:val="none" w:sz="0" w:space="0" w:color="auto"/>
      </w:divBdr>
    </w:div>
    <w:div w:id="1588079688">
      <w:bodyDiv w:val="1"/>
      <w:marLeft w:val="0"/>
      <w:marRight w:val="0"/>
      <w:marTop w:val="0"/>
      <w:marBottom w:val="0"/>
      <w:divBdr>
        <w:top w:val="none" w:sz="0" w:space="0" w:color="auto"/>
        <w:left w:val="none" w:sz="0" w:space="0" w:color="auto"/>
        <w:bottom w:val="none" w:sz="0" w:space="0" w:color="auto"/>
        <w:right w:val="none" w:sz="0" w:space="0" w:color="auto"/>
      </w:divBdr>
    </w:div>
    <w:div w:id="1593390929">
      <w:bodyDiv w:val="1"/>
      <w:marLeft w:val="0"/>
      <w:marRight w:val="0"/>
      <w:marTop w:val="0"/>
      <w:marBottom w:val="0"/>
      <w:divBdr>
        <w:top w:val="none" w:sz="0" w:space="0" w:color="auto"/>
        <w:left w:val="none" w:sz="0" w:space="0" w:color="auto"/>
        <w:bottom w:val="none" w:sz="0" w:space="0" w:color="auto"/>
        <w:right w:val="none" w:sz="0" w:space="0" w:color="auto"/>
      </w:divBdr>
    </w:div>
    <w:div w:id="1603805361">
      <w:bodyDiv w:val="1"/>
      <w:marLeft w:val="0"/>
      <w:marRight w:val="0"/>
      <w:marTop w:val="0"/>
      <w:marBottom w:val="0"/>
      <w:divBdr>
        <w:top w:val="none" w:sz="0" w:space="0" w:color="auto"/>
        <w:left w:val="none" w:sz="0" w:space="0" w:color="auto"/>
        <w:bottom w:val="none" w:sz="0" w:space="0" w:color="auto"/>
        <w:right w:val="none" w:sz="0" w:space="0" w:color="auto"/>
      </w:divBdr>
    </w:div>
    <w:div w:id="1604416749">
      <w:bodyDiv w:val="1"/>
      <w:marLeft w:val="0"/>
      <w:marRight w:val="0"/>
      <w:marTop w:val="0"/>
      <w:marBottom w:val="0"/>
      <w:divBdr>
        <w:top w:val="none" w:sz="0" w:space="0" w:color="auto"/>
        <w:left w:val="none" w:sz="0" w:space="0" w:color="auto"/>
        <w:bottom w:val="none" w:sz="0" w:space="0" w:color="auto"/>
        <w:right w:val="none" w:sz="0" w:space="0" w:color="auto"/>
      </w:divBdr>
    </w:div>
    <w:div w:id="1604609934">
      <w:bodyDiv w:val="1"/>
      <w:marLeft w:val="0"/>
      <w:marRight w:val="0"/>
      <w:marTop w:val="0"/>
      <w:marBottom w:val="0"/>
      <w:divBdr>
        <w:top w:val="none" w:sz="0" w:space="0" w:color="auto"/>
        <w:left w:val="none" w:sz="0" w:space="0" w:color="auto"/>
        <w:bottom w:val="none" w:sz="0" w:space="0" w:color="auto"/>
        <w:right w:val="none" w:sz="0" w:space="0" w:color="auto"/>
      </w:divBdr>
    </w:div>
    <w:div w:id="1610313487">
      <w:bodyDiv w:val="1"/>
      <w:marLeft w:val="0"/>
      <w:marRight w:val="0"/>
      <w:marTop w:val="0"/>
      <w:marBottom w:val="0"/>
      <w:divBdr>
        <w:top w:val="none" w:sz="0" w:space="0" w:color="auto"/>
        <w:left w:val="none" w:sz="0" w:space="0" w:color="auto"/>
        <w:bottom w:val="none" w:sz="0" w:space="0" w:color="auto"/>
        <w:right w:val="none" w:sz="0" w:space="0" w:color="auto"/>
      </w:divBdr>
    </w:div>
    <w:div w:id="1611544017">
      <w:bodyDiv w:val="1"/>
      <w:marLeft w:val="0"/>
      <w:marRight w:val="0"/>
      <w:marTop w:val="0"/>
      <w:marBottom w:val="0"/>
      <w:divBdr>
        <w:top w:val="none" w:sz="0" w:space="0" w:color="auto"/>
        <w:left w:val="none" w:sz="0" w:space="0" w:color="auto"/>
        <w:bottom w:val="none" w:sz="0" w:space="0" w:color="auto"/>
        <w:right w:val="none" w:sz="0" w:space="0" w:color="auto"/>
      </w:divBdr>
    </w:div>
    <w:div w:id="1612545091">
      <w:bodyDiv w:val="1"/>
      <w:marLeft w:val="0"/>
      <w:marRight w:val="0"/>
      <w:marTop w:val="0"/>
      <w:marBottom w:val="0"/>
      <w:divBdr>
        <w:top w:val="none" w:sz="0" w:space="0" w:color="auto"/>
        <w:left w:val="none" w:sz="0" w:space="0" w:color="auto"/>
        <w:bottom w:val="none" w:sz="0" w:space="0" w:color="auto"/>
        <w:right w:val="none" w:sz="0" w:space="0" w:color="auto"/>
      </w:divBdr>
    </w:div>
    <w:div w:id="1613127684">
      <w:bodyDiv w:val="1"/>
      <w:marLeft w:val="0"/>
      <w:marRight w:val="0"/>
      <w:marTop w:val="0"/>
      <w:marBottom w:val="0"/>
      <w:divBdr>
        <w:top w:val="none" w:sz="0" w:space="0" w:color="auto"/>
        <w:left w:val="none" w:sz="0" w:space="0" w:color="auto"/>
        <w:bottom w:val="none" w:sz="0" w:space="0" w:color="auto"/>
        <w:right w:val="none" w:sz="0" w:space="0" w:color="auto"/>
      </w:divBdr>
    </w:div>
    <w:div w:id="1614482975">
      <w:bodyDiv w:val="1"/>
      <w:marLeft w:val="0"/>
      <w:marRight w:val="0"/>
      <w:marTop w:val="0"/>
      <w:marBottom w:val="0"/>
      <w:divBdr>
        <w:top w:val="none" w:sz="0" w:space="0" w:color="auto"/>
        <w:left w:val="none" w:sz="0" w:space="0" w:color="auto"/>
        <w:bottom w:val="none" w:sz="0" w:space="0" w:color="auto"/>
        <w:right w:val="none" w:sz="0" w:space="0" w:color="auto"/>
      </w:divBdr>
    </w:div>
    <w:div w:id="1614939995">
      <w:bodyDiv w:val="1"/>
      <w:marLeft w:val="0"/>
      <w:marRight w:val="0"/>
      <w:marTop w:val="0"/>
      <w:marBottom w:val="0"/>
      <w:divBdr>
        <w:top w:val="none" w:sz="0" w:space="0" w:color="auto"/>
        <w:left w:val="none" w:sz="0" w:space="0" w:color="auto"/>
        <w:bottom w:val="none" w:sz="0" w:space="0" w:color="auto"/>
        <w:right w:val="none" w:sz="0" w:space="0" w:color="auto"/>
      </w:divBdr>
    </w:div>
    <w:div w:id="1616331913">
      <w:bodyDiv w:val="1"/>
      <w:marLeft w:val="0"/>
      <w:marRight w:val="0"/>
      <w:marTop w:val="0"/>
      <w:marBottom w:val="0"/>
      <w:divBdr>
        <w:top w:val="none" w:sz="0" w:space="0" w:color="auto"/>
        <w:left w:val="none" w:sz="0" w:space="0" w:color="auto"/>
        <w:bottom w:val="none" w:sz="0" w:space="0" w:color="auto"/>
        <w:right w:val="none" w:sz="0" w:space="0" w:color="auto"/>
      </w:divBdr>
    </w:div>
    <w:div w:id="1619141591">
      <w:bodyDiv w:val="1"/>
      <w:marLeft w:val="0"/>
      <w:marRight w:val="0"/>
      <w:marTop w:val="0"/>
      <w:marBottom w:val="0"/>
      <w:divBdr>
        <w:top w:val="none" w:sz="0" w:space="0" w:color="auto"/>
        <w:left w:val="none" w:sz="0" w:space="0" w:color="auto"/>
        <w:bottom w:val="none" w:sz="0" w:space="0" w:color="auto"/>
        <w:right w:val="none" w:sz="0" w:space="0" w:color="auto"/>
      </w:divBdr>
    </w:div>
    <w:div w:id="1620601729">
      <w:bodyDiv w:val="1"/>
      <w:marLeft w:val="0"/>
      <w:marRight w:val="0"/>
      <w:marTop w:val="0"/>
      <w:marBottom w:val="0"/>
      <w:divBdr>
        <w:top w:val="none" w:sz="0" w:space="0" w:color="auto"/>
        <w:left w:val="none" w:sz="0" w:space="0" w:color="auto"/>
        <w:bottom w:val="none" w:sz="0" w:space="0" w:color="auto"/>
        <w:right w:val="none" w:sz="0" w:space="0" w:color="auto"/>
      </w:divBdr>
    </w:div>
    <w:div w:id="1620797121">
      <w:bodyDiv w:val="1"/>
      <w:marLeft w:val="0"/>
      <w:marRight w:val="0"/>
      <w:marTop w:val="0"/>
      <w:marBottom w:val="0"/>
      <w:divBdr>
        <w:top w:val="none" w:sz="0" w:space="0" w:color="auto"/>
        <w:left w:val="none" w:sz="0" w:space="0" w:color="auto"/>
        <w:bottom w:val="none" w:sz="0" w:space="0" w:color="auto"/>
        <w:right w:val="none" w:sz="0" w:space="0" w:color="auto"/>
      </w:divBdr>
    </w:div>
    <w:div w:id="1623731823">
      <w:bodyDiv w:val="1"/>
      <w:marLeft w:val="0"/>
      <w:marRight w:val="0"/>
      <w:marTop w:val="0"/>
      <w:marBottom w:val="0"/>
      <w:divBdr>
        <w:top w:val="none" w:sz="0" w:space="0" w:color="auto"/>
        <w:left w:val="none" w:sz="0" w:space="0" w:color="auto"/>
        <w:bottom w:val="none" w:sz="0" w:space="0" w:color="auto"/>
        <w:right w:val="none" w:sz="0" w:space="0" w:color="auto"/>
      </w:divBdr>
    </w:div>
    <w:div w:id="1624145779">
      <w:bodyDiv w:val="1"/>
      <w:marLeft w:val="0"/>
      <w:marRight w:val="0"/>
      <w:marTop w:val="0"/>
      <w:marBottom w:val="0"/>
      <w:divBdr>
        <w:top w:val="none" w:sz="0" w:space="0" w:color="auto"/>
        <w:left w:val="none" w:sz="0" w:space="0" w:color="auto"/>
        <w:bottom w:val="none" w:sz="0" w:space="0" w:color="auto"/>
        <w:right w:val="none" w:sz="0" w:space="0" w:color="auto"/>
      </w:divBdr>
    </w:div>
    <w:div w:id="1628386558">
      <w:bodyDiv w:val="1"/>
      <w:marLeft w:val="0"/>
      <w:marRight w:val="0"/>
      <w:marTop w:val="0"/>
      <w:marBottom w:val="0"/>
      <w:divBdr>
        <w:top w:val="none" w:sz="0" w:space="0" w:color="auto"/>
        <w:left w:val="none" w:sz="0" w:space="0" w:color="auto"/>
        <w:bottom w:val="none" w:sz="0" w:space="0" w:color="auto"/>
        <w:right w:val="none" w:sz="0" w:space="0" w:color="auto"/>
      </w:divBdr>
    </w:div>
    <w:div w:id="1630814391">
      <w:bodyDiv w:val="1"/>
      <w:marLeft w:val="0"/>
      <w:marRight w:val="0"/>
      <w:marTop w:val="0"/>
      <w:marBottom w:val="0"/>
      <w:divBdr>
        <w:top w:val="none" w:sz="0" w:space="0" w:color="auto"/>
        <w:left w:val="none" w:sz="0" w:space="0" w:color="auto"/>
        <w:bottom w:val="none" w:sz="0" w:space="0" w:color="auto"/>
        <w:right w:val="none" w:sz="0" w:space="0" w:color="auto"/>
      </w:divBdr>
    </w:div>
    <w:div w:id="1631595787">
      <w:bodyDiv w:val="1"/>
      <w:marLeft w:val="0"/>
      <w:marRight w:val="0"/>
      <w:marTop w:val="0"/>
      <w:marBottom w:val="0"/>
      <w:divBdr>
        <w:top w:val="none" w:sz="0" w:space="0" w:color="auto"/>
        <w:left w:val="none" w:sz="0" w:space="0" w:color="auto"/>
        <w:bottom w:val="none" w:sz="0" w:space="0" w:color="auto"/>
        <w:right w:val="none" w:sz="0" w:space="0" w:color="auto"/>
      </w:divBdr>
    </w:div>
    <w:div w:id="1632982523">
      <w:bodyDiv w:val="1"/>
      <w:marLeft w:val="0"/>
      <w:marRight w:val="0"/>
      <w:marTop w:val="0"/>
      <w:marBottom w:val="0"/>
      <w:divBdr>
        <w:top w:val="none" w:sz="0" w:space="0" w:color="auto"/>
        <w:left w:val="none" w:sz="0" w:space="0" w:color="auto"/>
        <w:bottom w:val="none" w:sz="0" w:space="0" w:color="auto"/>
        <w:right w:val="none" w:sz="0" w:space="0" w:color="auto"/>
      </w:divBdr>
    </w:div>
    <w:div w:id="1636132018">
      <w:bodyDiv w:val="1"/>
      <w:marLeft w:val="0"/>
      <w:marRight w:val="0"/>
      <w:marTop w:val="0"/>
      <w:marBottom w:val="0"/>
      <w:divBdr>
        <w:top w:val="none" w:sz="0" w:space="0" w:color="auto"/>
        <w:left w:val="none" w:sz="0" w:space="0" w:color="auto"/>
        <w:bottom w:val="none" w:sz="0" w:space="0" w:color="auto"/>
        <w:right w:val="none" w:sz="0" w:space="0" w:color="auto"/>
      </w:divBdr>
    </w:div>
    <w:div w:id="1638485937">
      <w:bodyDiv w:val="1"/>
      <w:marLeft w:val="0"/>
      <w:marRight w:val="0"/>
      <w:marTop w:val="0"/>
      <w:marBottom w:val="0"/>
      <w:divBdr>
        <w:top w:val="none" w:sz="0" w:space="0" w:color="auto"/>
        <w:left w:val="none" w:sz="0" w:space="0" w:color="auto"/>
        <w:bottom w:val="none" w:sz="0" w:space="0" w:color="auto"/>
        <w:right w:val="none" w:sz="0" w:space="0" w:color="auto"/>
      </w:divBdr>
    </w:div>
    <w:div w:id="1641491862">
      <w:bodyDiv w:val="1"/>
      <w:marLeft w:val="0"/>
      <w:marRight w:val="0"/>
      <w:marTop w:val="0"/>
      <w:marBottom w:val="0"/>
      <w:divBdr>
        <w:top w:val="none" w:sz="0" w:space="0" w:color="auto"/>
        <w:left w:val="none" w:sz="0" w:space="0" w:color="auto"/>
        <w:bottom w:val="none" w:sz="0" w:space="0" w:color="auto"/>
        <w:right w:val="none" w:sz="0" w:space="0" w:color="auto"/>
      </w:divBdr>
    </w:div>
    <w:div w:id="1644236709">
      <w:bodyDiv w:val="1"/>
      <w:marLeft w:val="0"/>
      <w:marRight w:val="0"/>
      <w:marTop w:val="0"/>
      <w:marBottom w:val="0"/>
      <w:divBdr>
        <w:top w:val="none" w:sz="0" w:space="0" w:color="auto"/>
        <w:left w:val="none" w:sz="0" w:space="0" w:color="auto"/>
        <w:bottom w:val="none" w:sz="0" w:space="0" w:color="auto"/>
        <w:right w:val="none" w:sz="0" w:space="0" w:color="auto"/>
      </w:divBdr>
    </w:div>
    <w:div w:id="1645543890">
      <w:bodyDiv w:val="1"/>
      <w:marLeft w:val="0"/>
      <w:marRight w:val="0"/>
      <w:marTop w:val="0"/>
      <w:marBottom w:val="0"/>
      <w:divBdr>
        <w:top w:val="none" w:sz="0" w:space="0" w:color="auto"/>
        <w:left w:val="none" w:sz="0" w:space="0" w:color="auto"/>
        <w:bottom w:val="none" w:sz="0" w:space="0" w:color="auto"/>
        <w:right w:val="none" w:sz="0" w:space="0" w:color="auto"/>
      </w:divBdr>
    </w:div>
    <w:div w:id="1647540989">
      <w:bodyDiv w:val="1"/>
      <w:marLeft w:val="0"/>
      <w:marRight w:val="0"/>
      <w:marTop w:val="0"/>
      <w:marBottom w:val="0"/>
      <w:divBdr>
        <w:top w:val="none" w:sz="0" w:space="0" w:color="auto"/>
        <w:left w:val="none" w:sz="0" w:space="0" w:color="auto"/>
        <w:bottom w:val="none" w:sz="0" w:space="0" w:color="auto"/>
        <w:right w:val="none" w:sz="0" w:space="0" w:color="auto"/>
      </w:divBdr>
    </w:div>
    <w:div w:id="1653093967">
      <w:bodyDiv w:val="1"/>
      <w:marLeft w:val="0"/>
      <w:marRight w:val="0"/>
      <w:marTop w:val="0"/>
      <w:marBottom w:val="0"/>
      <w:divBdr>
        <w:top w:val="none" w:sz="0" w:space="0" w:color="auto"/>
        <w:left w:val="none" w:sz="0" w:space="0" w:color="auto"/>
        <w:bottom w:val="none" w:sz="0" w:space="0" w:color="auto"/>
        <w:right w:val="none" w:sz="0" w:space="0" w:color="auto"/>
      </w:divBdr>
    </w:div>
    <w:div w:id="1654262342">
      <w:bodyDiv w:val="1"/>
      <w:marLeft w:val="0"/>
      <w:marRight w:val="0"/>
      <w:marTop w:val="0"/>
      <w:marBottom w:val="0"/>
      <w:divBdr>
        <w:top w:val="none" w:sz="0" w:space="0" w:color="auto"/>
        <w:left w:val="none" w:sz="0" w:space="0" w:color="auto"/>
        <w:bottom w:val="none" w:sz="0" w:space="0" w:color="auto"/>
        <w:right w:val="none" w:sz="0" w:space="0" w:color="auto"/>
      </w:divBdr>
    </w:div>
    <w:div w:id="1655834271">
      <w:bodyDiv w:val="1"/>
      <w:marLeft w:val="0"/>
      <w:marRight w:val="0"/>
      <w:marTop w:val="0"/>
      <w:marBottom w:val="0"/>
      <w:divBdr>
        <w:top w:val="none" w:sz="0" w:space="0" w:color="auto"/>
        <w:left w:val="none" w:sz="0" w:space="0" w:color="auto"/>
        <w:bottom w:val="none" w:sz="0" w:space="0" w:color="auto"/>
        <w:right w:val="none" w:sz="0" w:space="0" w:color="auto"/>
      </w:divBdr>
    </w:div>
    <w:div w:id="1660884189">
      <w:bodyDiv w:val="1"/>
      <w:marLeft w:val="0"/>
      <w:marRight w:val="0"/>
      <w:marTop w:val="0"/>
      <w:marBottom w:val="0"/>
      <w:divBdr>
        <w:top w:val="none" w:sz="0" w:space="0" w:color="auto"/>
        <w:left w:val="none" w:sz="0" w:space="0" w:color="auto"/>
        <w:bottom w:val="none" w:sz="0" w:space="0" w:color="auto"/>
        <w:right w:val="none" w:sz="0" w:space="0" w:color="auto"/>
      </w:divBdr>
    </w:div>
    <w:div w:id="1664770290">
      <w:bodyDiv w:val="1"/>
      <w:marLeft w:val="0"/>
      <w:marRight w:val="0"/>
      <w:marTop w:val="0"/>
      <w:marBottom w:val="0"/>
      <w:divBdr>
        <w:top w:val="none" w:sz="0" w:space="0" w:color="auto"/>
        <w:left w:val="none" w:sz="0" w:space="0" w:color="auto"/>
        <w:bottom w:val="none" w:sz="0" w:space="0" w:color="auto"/>
        <w:right w:val="none" w:sz="0" w:space="0" w:color="auto"/>
      </w:divBdr>
    </w:div>
    <w:div w:id="1666469972">
      <w:bodyDiv w:val="1"/>
      <w:marLeft w:val="0"/>
      <w:marRight w:val="0"/>
      <w:marTop w:val="0"/>
      <w:marBottom w:val="0"/>
      <w:divBdr>
        <w:top w:val="none" w:sz="0" w:space="0" w:color="auto"/>
        <w:left w:val="none" w:sz="0" w:space="0" w:color="auto"/>
        <w:bottom w:val="none" w:sz="0" w:space="0" w:color="auto"/>
        <w:right w:val="none" w:sz="0" w:space="0" w:color="auto"/>
      </w:divBdr>
    </w:div>
    <w:div w:id="1666786599">
      <w:bodyDiv w:val="1"/>
      <w:marLeft w:val="0"/>
      <w:marRight w:val="0"/>
      <w:marTop w:val="0"/>
      <w:marBottom w:val="0"/>
      <w:divBdr>
        <w:top w:val="none" w:sz="0" w:space="0" w:color="auto"/>
        <w:left w:val="none" w:sz="0" w:space="0" w:color="auto"/>
        <w:bottom w:val="none" w:sz="0" w:space="0" w:color="auto"/>
        <w:right w:val="none" w:sz="0" w:space="0" w:color="auto"/>
      </w:divBdr>
    </w:div>
    <w:div w:id="1667826767">
      <w:bodyDiv w:val="1"/>
      <w:marLeft w:val="0"/>
      <w:marRight w:val="0"/>
      <w:marTop w:val="0"/>
      <w:marBottom w:val="0"/>
      <w:divBdr>
        <w:top w:val="none" w:sz="0" w:space="0" w:color="auto"/>
        <w:left w:val="none" w:sz="0" w:space="0" w:color="auto"/>
        <w:bottom w:val="none" w:sz="0" w:space="0" w:color="auto"/>
        <w:right w:val="none" w:sz="0" w:space="0" w:color="auto"/>
      </w:divBdr>
    </w:div>
    <w:div w:id="1672760020">
      <w:bodyDiv w:val="1"/>
      <w:marLeft w:val="0"/>
      <w:marRight w:val="0"/>
      <w:marTop w:val="0"/>
      <w:marBottom w:val="0"/>
      <w:divBdr>
        <w:top w:val="none" w:sz="0" w:space="0" w:color="auto"/>
        <w:left w:val="none" w:sz="0" w:space="0" w:color="auto"/>
        <w:bottom w:val="none" w:sz="0" w:space="0" w:color="auto"/>
        <w:right w:val="none" w:sz="0" w:space="0" w:color="auto"/>
      </w:divBdr>
    </w:div>
    <w:div w:id="1676879120">
      <w:bodyDiv w:val="1"/>
      <w:marLeft w:val="0"/>
      <w:marRight w:val="0"/>
      <w:marTop w:val="0"/>
      <w:marBottom w:val="0"/>
      <w:divBdr>
        <w:top w:val="none" w:sz="0" w:space="0" w:color="auto"/>
        <w:left w:val="none" w:sz="0" w:space="0" w:color="auto"/>
        <w:bottom w:val="none" w:sz="0" w:space="0" w:color="auto"/>
        <w:right w:val="none" w:sz="0" w:space="0" w:color="auto"/>
      </w:divBdr>
    </w:div>
    <w:div w:id="1680280087">
      <w:bodyDiv w:val="1"/>
      <w:marLeft w:val="0"/>
      <w:marRight w:val="0"/>
      <w:marTop w:val="0"/>
      <w:marBottom w:val="0"/>
      <w:divBdr>
        <w:top w:val="none" w:sz="0" w:space="0" w:color="auto"/>
        <w:left w:val="none" w:sz="0" w:space="0" w:color="auto"/>
        <w:bottom w:val="none" w:sz="0" w:space="0" w:color="auto"/>
        <w:right w:val="none" w:sz="0" w:space="0" w:color="auto"/>
      </w:divBdr>
    </w:div>
    <w:div w:id="1680959190">
      <w:bodyDiv w:val="1"/>
      <w:marLeft w:val="0"/>
      <w:marRight w:val="0"/>
      <w:marTop w:val="0"/>
      <w:marBottom w:val="0"/>
      <w:divBdr>
        <w:top w:val="none" w:sz="0" w:space="0" w:color="auto"/>
        <w:left w:val="none" w:sz="0" w:space="0" w:color="auto"/>
        <w:bottom w:val="none" w:sz="0" w:space="0" w:color="auto"/>
        <w:right w:val="none" w:sz="0" w:space="0" w:color="auto"/>
      </w:divBdr>
    </w:div>
    <w:div w:id="1681615154">
      <w:bodyDiv w:val="1"/>
      <w:marLeft w:val="0"/>
      <w:marRight w:val="0"/>
      <w:marTop w:val="0"/>
      <w:marBottom w:val="0"/>
      <w:divBdr>
        <w:top w:val="none" w:sz="0" w:space="0" w:color="auto"/>
        <w:left w:val="none" w:sz="0" w:space="0" w:color="auto"/>
        <w:bottom w:val="none" w:sz="0" w:space="0" w:color="auto"/>
        <w:right w:val="none" w:sz="0" w:space="0" w:color="auto"/>
      </w:divBdr>
    </w:div>
    <w:div w:id="1681739242">
      <w:bodyDiv w:val="1"/>
      <w:marLeft w:val="0"/>
      <w:marRight w:val="0"/>
      <w:marTop w:val="0"/>
      <w:marBottom w:val="0"/>
      <w:divBdr>
        <w:top w:val="none" w:sz="0" w:space="0" w:color="auto"/>
        <w:left w:val="none" w:sz="0" w:space="0" w:color="auto"/>
        <w:bottom w:val="none" w:sz="0" w:space="0" w:color="auto"/>
        <w:right w:val="none" w:sz="0" w:space="0" w:color="auto"/>
      </w:divBdr>
    </w:div>
    <w:div w:id="1685748458">
      <w:bodyDiv w:val="1"/>
      <w:marLeft w:val="0"/>
      <w:marRight w:val="0"/>
      <w:marTop w:val="0"/>
      <w:marBottom w:val="0"/>
      <w:divBdr>
        <w:top w:val="none" w:sz="0" w:space="0" w:color="auto"/>
        <w:left w:val="none" w:sz="0" w:space="0" w:color="auto"/>
        <w:bottom w:val="none" w:sz="0" w:space="0" w:color="auto"/>
        <w:right w:val="none" w:sz="0" w:space="0" w:color="auto"/>
      </w:divBdr>
    </w:div>
    <w:div w:id="1687559390">
      <w:bodyDiv w:val="1"/>
      <w:marLeft w:val="0"/>
      <w:marRight w:val="0"/>
      <w:marTop w:val="0"/>
      <w:marBottom w:val="0"/>
      <w:divBdr>
        <w:top w:val="none" w:sz="0" w:space="0" w:color="auto"/>
        <w:left w:val="none" w:sz="0" w:space="0" w:color="auto"/>
        <w:bottom w:val="none" w:sz="0" w:space="0" w:color="auto"/>
        <w:right w:val="none" w:sz="0" w:space="0" w:color="auto"/>
      </w:divBdr>
    </w:div>
    <w:div w:id="1690914283">
      <w:bodyDiv w:val="1"/>
      <w:marLeft w:val="0"/>
      <w:marRight w:val="0"/>
      <w:marTop w:val="0"/>
      <w:marBottom w:val="0"/>
      <w:divBdr>
        <w:top w:val="none" w:sz="0" w:space="0" w:color="auto"/>
        <w:left w:val="none" w:sz="0" w:space="0" w:color="auto"/>
        <w:bottom w:val="none" w:sz="0" w:space="0" w:color="auto"/>
        <w:right w:val="none" w:sz="0" w:space="0" w:color="auto"/>
      </w:divBdr>
    </w:div>
    <w:div w:id="1692368266">
      <w:bodyDiv w:val="1"/>
      <w:marLeft w:val="0"/>
      <w:marRight w:val="0"/>
      <w:marTop w:val="0"/>
      <w:marBottom w:val="0"/>
      <w:divBdr>
        <w:top w:val="none" w:sz="0" w:space="0" w:color="auto"/>
        <w:left w:val="none" w:sz="0" w:space="0" w:color="auto"/>
        <w:bottom w:val="none" w:sz="0" w:space="0" w:color="auto"/>
        <w:right w:val="none" w:sz="0" w:space="0" w:color="auto"/>
      </w:divBdr>
    </w:div>
    <w:div w:id="1697465054">
      <w:bodyDiv w:val="1"/>
      <w:marLeft w:val="0"/>
      <w:marRight w:val="0"/>
      <w:marTop w:val="0"/>
      <w:marBottom w:val="0"/>
      <w:divBdr>
        <w:top w:val="none" w:sz="0" w:space="0" w:color="auto"/>
        <w:left w:val="none" w:sz="0" w:space="0" w:color="auto"/>
        <w:bottom w:val="none" w:sz="0" w:space="0" w:color="auto"/>
        <w:right w:val="none" w:sz="0" w:space="0" w:color="auto"/>
      </w:divBdr>
    </w:div>
    <w:div w:id="1698579341">
      <w:bodyDiv w:val="1"/>
      <w:marLeft w:val="0"/>
      <w:marRight w:val="0"/>
      <w:marTop w:val="0"/>
      <w:marBottom w:val="0"/>
      <w:divBdr>
        <w:top w:val="none" w:sz="0" w:space="0" w:color="auto"/>
        <w:left w:val="none" w:sz="0" w:space="0" w:color="auto"/>
        <w:bottom w:val="none" w:sz="0" w:space="0" w:color="auto"/>
        <w:right w:val="none" w:sz="0" w:space="0" w:color="auto"/>
      </w:divBdr>
    </w:div>
    <w:div w:id="1703630683">
      <w:bodyDiv w:val="1"/>
      <w:marLeft w:val="0"/>
      <w:marRight w:val="0"/>
      <w:marTop w:val="0"/>
      <w:marBottom w:val="0"/>
      <w:divBdr>
        <w:top w:val="none" w:sz="0" w:space="0" w:color="auto"/>
        <w:left w:val="none" w:sz="0" w:space="0" w:color="auto"/>
        <w:bottom w:val="none" w:sz="0" w:space="0" w:color="auto"/>
        <w:right w:val="none" w:sz="0" w:space="0" w:color="auto"/>
      </w:divBdr>
    </w:div>
    <w:div w:id="1705055463">
      <w:bodyDiv w:val="1"/>
      <w:marLeft w:val="0"/>
      <w:marRight w:val="0"/>
      <w:marTop w:val="0"/>
      <w:marBottom w:val="0"/>
      <w:divBdr>
        <w:top w:val="none" w:sz="0" w:space="0" w:color="auto"/>
        <w:left w:val="none" w:sz="0" w:space="0" w:color="auto"/>
        <w:bottom w:val="none" w:sz="0" w:space="0" w:color="auto"/>
        <w:right w:val="none" w:sz="0" w:space="0" w:color="auto"/>
      </w:divBdr>
    </w:div>
    <w:div w:id="1706177598">
      <w:bodyDiv w:val="1"/>
      <w:marLeft w:val="0"/>
      <w:marRight w:val="0"/>
      <w:marTop w:val="0"/>
      <w:marBottom w:val="0"/>
      <w:divBdr>
        <w:top w:val="none" w:sz="0" w:space="0" w:color="auto"/>
        <w:left w:val="none" w:sz="0" w:space="0" w:color="auto"/>
        <w:bottom w:val="none" w:sz="0" w:space="0" w:color="auto"/>
        <w:right w:val="none" w:sz="0" w:space="0" w:color="auto"/>
      </w:divBdr>
    </w:div>
    <w:div w:id="1711608781">
      <w:bodyDiv w:val="1"/>
      <w:marLeft w:val="0"/>
      <w:marRight w:val="0"/>
      <w:marTop w:val="0"/>
      <w:marBottom w:val="0"/>
      <w:divBdr>
        <w:top w:val="none" w:sz="0" w:space="0" w:color="auto"/>
        <w:left w:val="none" w:sz="0" w:space="0" w:color="auto"/>
        <w:bottom w:val="none" w:sz="0" w:space="0" w:color="auto"/>
        <w:right w:val="none" w:sz="0" w:space="0" w:color="auto"/>
      </w:divBdr>
    </w:div>
    <w:div w:id="1715883482">
      <w:bodyDiv w:val="1"/>
      <w:marLeft w:val="0"/>
      <w:marRight w:val="0"/>
      <w:marTop w:val="0"/>
      <w:marBottom w:val="0"/>
      <w:divBdr>
        <w:top w:val="none" w:sz="0" w:space="0" w:color="auto"/>
        <w:left w:val="none" w:sz="0" w:space="0" w:color="auto"/>
        <w:bottom w:val="none" w:sz="0" w:space="0" w:color="auto"/>
        <w:right w:val="none" w:sz="0" w:space="0" w:color="auto"/>
      </w:divBdr>
    </w:div>
    <w:div w:id="1717310933">
      <w:bodyDiv w:val="1"/>
      <w:marLeft w:val="0"/>
      <w:marRight w:val="0"/>
      <w:marTop w:val="0"/>
      <w:marBottom w:val="0"/>
      <w:divBdr>
        <w:top w:val="none" w:sz="0" w:space="0" w:color="auto"/>
        <w:left w:val="none" w:sz="0" w:space="0" w:color="auto"/>
        <w:bottom w:val="none" w:sz="0" w:space="0" w:color="auto"/>
        <w:right w:val="none" w:sz="0" w:space="0" w:color="auto"/>
      </w:divBdr>
    </w:div>
    <w:div w:id="1724015297">
      <w:bodyDiv w:val="1"/>
      <w:marLeft w:val="0"/>
      <w:marRight w:val="0"/>
      <w:marTop w:val="0"/>
      <w:marBottom w:val="0"/>
      <w:divBdr>
        <w:top w:val="none" w:sz="0" w:space="0" w:color="auto"/>
        <w:left w:val="none" w:sz="0" w:space="0" w:color="auto"/>
        <w:bottom w:val="none" w:sz="0" w:space="0" w:color="auto"/>
        <w:right w:val="none" w:sz="0" w:space="0" w:color="auto"/>
      </w:divBdr>
    </w:div>
    <w:div w:id="1724131666">
      <w:bodyDiv w:val="1"/>
      <w:marLeft w:val="0"/>
      <w:marRight w:val="0"/>
      <w:marTop w:val="0"/>
      <w:marBottom w:val="0"/>
      <w:divBdr>
        <w:top w:val="none" w:sz="0" w:space="0" w:color="auto"/>
        <w:left w:val="none" w:sz="0" w:space="0" w:color="auto"/>
        <w:bottom w:val="none" w:sz="0" w:space="0" w:color="auto"/>
        <w:right w:val="none" w:sz="0" w:space="0" w:color="auto"/>
      </w:divBdr>
    </w:div>
    <w:div w:id="1724132807">
      <w:bodyDiv w:val="1"/>
      <w:marLeft w:val="0"/>
      <w:marRight w:val="0"/>
      <w:marTop w:val="0"/>
      <w:marBottom w:val="0"/>
      <w:divBdr>
        <w:top w:val="none" w:sz="0" w:space="0" w:color="auto"/>
        <w:left w:val="none" w:sz="0" w:space="0" w:color="auto"/>
        <w:bottom w:val="none" w:sz="0" w:space="0" w:color="auto"/>
        <w:right w:val="none" w:sz="0" w:space="0" w:color="auto"/>
      </w:divBdr>
    </w:div>
    <w:div w:id="1728718211">
      <w:bodyDiv w:val="1"/>
      <w:marLeft w:val="0"/>
      <w:marRight w:val="0"/>
      <w:marTop w:val="0"/>
      <w:marBottom w:val="0"/>
      <w:divBdr>
        <w:top w:val="none" w:sz="0" w:space="0" w:color="auto"/>
        <w:left w:val="none" w:sz="0" w:space="0" w:color="auto"/>
        <w:bottom w:val="none" w:sz="0" w:space="0" w:color="auto"/>
        <w:right w:val="none" w:sz="0" w:space="0" w:color="auto"/>
      </w:divBdr>
    </w:div>
    <w:div w:id="1729575152">
      <w:bodyDiv w:val="1"/>
      <w:marLeft w:val="0"/>
      <w:marRight w:val="0"/>
      <w:marTop w:val="0"/>
      <w:marBottom w:val="0"/>
      <w:divBdr>
        <w:top w:val="none" w:sz="0" w:space="0" w:color="auto"/>
        <w:left w:val="none" w:sz="0" w:space="0" w:color="auto"/>
        <w:bottom w:val="none" w:sz="0" w:space="0" w:color="auto"/>
        <w:right w:val="none" w:sz="0" w:space="0" w:color="auto"/>
      </w:divBdr>
    </w:div>
    <w:div w:id="1729649495">
      <w:bodyDiv w:val="1"/>
      <w:marLeft w:val="0"/>
      <w:marRight w:val="0"/>
      <w:marTop w:val="0"/>
      <w:marBottom w:val="0"/>
      <w:divBdr>
        <w:top w:val="none" w:sz="0" w:space="0" w:color="auto"/>
        <w:left w:val="none" w:sz="0" w:space="0" w:color="auto"/>
        <w:bottom w:val="none" w:sz="0" w:space="0" w:color="auto"/>
        <w:right w:val="none" w:sz="0" w:space="0" w:color="auto"/>
      </w:divBdr>
    </w:div>
    <w:div w:id="1729911321">
      <w:bodyDiv w:val="1"/>
      <w:marLeft w:val="0"/>
      <w:marRight w:val="0"/>
      <w:marTop w:val="0"/>
      <w:marBottom w:val="0"/>
      <w:divBdr>
        <w:top w:val="none" w:sz="0" w:space="0" w:color="auto"/>
        <w:left w:val="none" w:sz="0" w:space="0" w:color="auto"/>
        <w:bottom w:val="none" w:sz="0" w:space="0" w:color="auto"/>
        <w:right w:val="none" w:sz="0" w:space="0" w:color="auto"/>
      </w:divBdr>
    </w:div>
    <w:div w:id="1730303063">
      <w:bodyDiv w:val="1"/>
      <w:marLeft w:val="0"/>
      <w:marRight w:val="0"/>
      <w:marTop w:val="0"/>
      <w:marBottom w:val="0"/>
      <w:divBdr>
        <w:top w:val="none" w:sz="0" w:space="0" w:color="auto"/>
        <w:left w:val="none" w:sz="0" w:space="0" w:color="auto"/>
        <w:bottom w:val="none" w:sz="0" w:space="0" w:color="auto"/>
        <w:right w:val="none" w:sz="0" w:space="0" w:color="auto"/>
      </w:divBdr>
    </w:div>
    <w:div w:id="1731226319">
      <w:bodyDiv w:val="1"/>
      <w:marLeft w:val="0"/>
      <w:marRight w:val="0"/>
      <w:marTop w:val="0"/>
      <w:marBottom w:val="0"/>
      <w:divBdr>
        <w:top w:val="none" w:sz="0" w:space="0" w:color="auto"/>
        <w:left w:val="none" w:sz="0" w:space="0" w:color="auto"/>
        <w:bottom w:val="none" w:sz="0" w:space="0" w:color="auto"/>
        <w:right w:val="none" w:sz="0" w:space="0" w:color="auto"/>
      </w:divBdr>
    </w:div>
    <w:div w:id="1735004567">
      <w:bodyDiv w:val="1"/>
      <w:marLeft w:val="0"/>
      <w:marRight w:val="0"/>
      <w:marTop w:val="0"/>
      <w:marBottom w:val="0"/>
      <w:divBdr>
        <w:top w:val="none" w:sz="0" w:space="0" w:color="auto"/>
        <w:left w:val="none" w:sz="0" w:space="0" w:color="auto"/>
        <w:bottom w:val="none" w:sz="0" w:space="0" w:color="auto"/>
        <w:right w:val="none" w:sz="0" w:space="0" w:color="auto"/>
      </w:divBdr>
    </w:div>
    <w:div w:id="1738547072">
      <w:bodyDiv w:val="1"/>
      <w:marLeft w:val="0"/>
      <w:marRight w:val="0"/>
      <w:marTop w:val="0"/>
      <w:marBottom w:val="0"/>
      <w:divBdr>
        <w:top w:val="none" w:sz="0" w:space="0" w:color="auto"/>
        <w:left w:val="none" w:sz="0" w:space="0" w:color="auto"/>
        <w:bottom w:val="none" w:sz="0" w:space="0" w:color="auto"/>
        <w:right w:val="none" w:sz="0" w:space="0" w:color="auto"/>
      </w:divBdr>
    </w:div>
    <w:div w:id="1739472023">
      <w:bodyDiv w:val="1"/>
      <w:marLeft w:val="0"/>
      <w:marRight w:val="0"/>
      <w:marTop w:val="0"/>
      <w:marBottom w:val="0"/>
      <w:divBdr>
        <w:top w:val="none" w:sz="0" w:space="0" w:color="auto"/>
        <w:left w:val="none" w:sz="0" w:space="0" w:color="auto"/>
        <w:bottom w:val="none" w:sz="0" w:space="0" w:color="auto"/>
        <w:right w:val="none" w:sz="0" w:space="0" w:color="auto"/>
      </w:divBdr>
    </w:div>
    <w:div w:id="1741362438">
      <w:bodyDiv w:val="1"/>
      <w:marLeft w:val="0"/>
      <w:marRight w:val="0"/>
      <w:marTop w:val="0"/>
      <w:marBottom w:val="0"/>
      <w:divBdr>
        <w:top w:val="none" w:sz="0" w:space="0" w:color="auto"/>
        <w:left w:val="none" w:sz="0" w:space="0" w:color="auto"/>
        <w:bottom w:val="none" w:sz="0" w:space="0" w:color="auto"/>
        <w:right w:val="none" w:sz="0" w:space="0" w:color="auto"/>
      </w:divBdr>
    </w:div>
    <w:div w:id="1741714629">
      <w:bodyDiv w:val="1"/>
      <w:marLeft w:val="0"/>
      <w:marRight w:val="0"/>
      <w:marTop w:val="0"/>
      <w:marBottom w:val="0"/>
      <w:divBdr>
        <w:top w:val="none" w:sz="0" w:space="0" w:color="auto"/>
        <w:left w:val="none" w:sz="0" w:space="0" w:color="auto"/>
        <w:bottom w:val="none" w:sz="0" w:space="0" w:color="auto"/>
        <w:right w:val="none" w:sz="0" w:space="0" w:color="auto"/>
      </w:divBdr>
    </w:div>
    <w:div w:id="1743597831">
      <w:bodyDiv w:val="1"/>
      <w:marLeft w:val="0"/>
      <w:marRight w:val="0"/>
      <w:marTop w:val="0"/>
      <w:marBottom w:val="0"/>
      <w:divBdr>
        <w:top w:val="none" w:sz="0" w:space="0" w:color="auto"/>
        <w:left w:val="none" w:sz="0" w:space="0" w:color="auto"/>
        <w:bottom w:val="none" w:sz="0" w:space="0" w:color="auto"/>
        <w:right w:val="none" w:sz="0" w:space="0" w:color="auto"/>
      </w:divBdr>
    </w:div>
    <w:div w:id="1743790706">
      <w:bodyDiv w:val="1"/>
      <w:marLeft w:val="0"/>
      <w:marRight w:val="0"/>
      <w:marTop w:val="0"/>
      <w:marBottom w:val="0"/>
      <w:divBdr>
        <w:top w:val="none" w:sz="0" w:space="0" w:color="auto"/>
        <w:left w:val="none" w:sz="0" w:space="0" w:color="auto"/>
        <w:bottom w:val="none" w:sz="0" w:space="0" w:color="auto"/>
        <w:right w:val="none" w:sz="0" w:space="0" w:color="auto"/>
      </w:divBdr>
    </w:div>
    <w:div w:id="1744138500">
      <w:bodyDiv w:val="1"/>
      <w:marLeft w:val="0"/>
      <w:marRight w:val="0"/>
      <w:marTop w:val="0"/>
      <w:marBottom w:val="0"/>
      <w:divBdr>
        <w:top w:val="none" w:sz="0" w:space="0" w:color="auto"/>
        <w:left w:val="none" w:sz="0" w:space="0" w:color="auto"/>
        <w:bottom w:val="none" w:sz="0" w:space="0" w:color="auto"/>
        <w:right w:val="none" w:sz="0" w:space="0" w:color="auto"/>
      </w:divBdr>
    </w:div>
    <w:div w:id="1745833223">
      <w:bodyDiv w:val="1"/>
      <w:marLeft w:val="0"/>
      <w:marRight w:val="0"/>
      <w:marTop w:val="0"/>
      <w:marBottom w:val="0"/>
      <w:divBdr>
        <w:top w:val="none" w:sz="0" w:space="0" w:color="auto"/>
        <w:left w:val="none" w:sz="0" w:space="0" w:color="auto"/>
        <w:bottom w:val="none" w:sz="0" w:space="0" w:color="auto"/>
        <w:right w:val="none" w:sz="0" w:space="0" w:color="auto"/>
      </w:divBdr>
    </w:div>
    <w:div w:id="1760172300">
      <w:bodyDiv w:val="1"/>
      <w:marLeft w:val="0"/>
      <w:marRight w:val="0"/>
      <w:marTop w:val="0"/>
      <w:marBottom w:val="0"/>
      <w:divBdr>
        <w:top w:val="none" w:sz="0" w:space="0" w:color="auto"/>
        <w:left w:val="none" w:sz="0" w:space="0" w:color="auto"/>
        <w:bottom w:val="none" w:sz="0" w:space="0" w:color="auto"/>
        <w:right w:val="none" w:sz="0" w:space="0" w:color="auto"/>
      </w:divBdr>
    </w:div>
    <w:div w:id="1762677464">
      <w:bodyDiv w:val="1"/>
      <w:marLeft w:val="0"/>
      <w:marRight w:val="0"/>
      <w:marTop w:val="0"/>
      <w:marBottom w:val="0"/>
      <w:divBdr>
        <w:top w:val="none" w:sz="0" w:space="0" w:color="auto"/>
        <w:left w:val="none" w:sz="0" w:space="0" w:color="auto"/>
        <w:bottom w:val="none" w:sz="0" w:space="0" w:color="auto"/>
        <w:right w:val="none" w:sz="0" w:space="0" w:color="auto"/>
      </w:divBdr>
    </w:div>
    <w:div w:id="1762871684">
      <w:bodyDiv w:val="1"/>
      <w:marLeft w:val="0"/>
      <w:marRight w:val="0"/>
      <w:marTop w:val="0"/>
      <w:marBottom w:val="0"/>
      <w:divBdr>
        <w:top w:val="none" w:sz="0" w:space="0" w:color="auto"/>
        <w:left w:val="none" w:sz="0" w:space="0" w:color="auto"/>
        <w:bottom w:val="none" w:sz="0" w:space="0" w:color="auto"/>
        <w:right w:val="none" w:sz="0" w:space="0" w:color="auto"/>
      </w:divBdr>
    </w:div>
    <w:div w:id="1764569131">
      <w:bodyDiv w:val="1"/>
      <w:marLeft w:val="0"/>
      <w:marRight w:val="0"/>
      <w:marTop w:val="0"/>
      <w:marBottom w:val="0"/>
      <w:divBdr>
        <w:top w:val="none" w:sz="0" w:space="0" w:color="auto"/>
        <w:left w:val="none" w:sz="0" w:space="0" w:color="auto"/>
        <w:bottom w:val="none" w:sz="0" w:space="0" w:color="auto"/>
        <w:right w:val="none" w:sz="0" w:space="0" w:color="auto"/>
      </w:divBdr>
    </w:div>
    <w:div w:id="1766227061">
      <w:bodyDiv w:val="1"/>
      <w:marLeft w:val="0"/>
      <w:marRight w:val="0"/>
      <w:marTop w:val="0"/>
      <w:marBottom w:val="0"/>
      <w:divBdr>
        <w:top w:val="none" w:sz="0" w:space="0" w:color="auto"/>
        <w:left w:val="none" w:sz="0" w:space="0" w:color="auto"/>
        <w:bottom w:val="none" w:sz="0" w:space="0" w:color="auto"/>
        <w:right w:val="none" w:sz="0" w:space="0" w:color="auto"/>
      </w:divBdr>
    </w:div>
    <w:div w:id="1769041803">
      <w:bodyDiv w:val="1"/>
      <w:marLeft w:val="0"/>
      <w:marRight w:val="0"/>
      <w:marTop w:val="0"/>
      <w:marBottom w:val="0"/>
      <w:divBdr>
        <w:top w:val="none" w:sz="0" w:space="0" w:color="auto"/>
        <w:left w:val="none" w:sz="0" w:space="0" w:color="auto"/>
        <w:bottom w:val="none" w:sz="0" w:space="0" w:color="auto"/>
        <w:right w:val="none" w:sz="0" w:space="0" w:color="auto"/>
      </w:divBdr>
    </w:div>
    <w:div w:id="1770155063">
      <w:bodyDiv w:val="1"/>
      <w:marLeft w:val="0"/>
      <w:marRight w:val="0"/>
      <w:marTop w:val="0"/>
      <w:marBottom w:val="0"/>
      <w:divBdr>
        <w:top w:val="none" w:sz="0" w:space="0" w:color="auto"/>
        <w:left w:val="none" w:sz="0" w:space="0" w:color="auto"/>
        <w:bottom w:val="none" w:sz="0" w:space="0" w:color="auto"/>
        <w:right w:val="none" w:sz="0" w:space="0" w:color="auto"/>
      </w:divBdr>
    </w:div>
    <w:div w:id="1771001711">
      <w:bodyDiv w:val="1"/>
      <w:marLeft w:val="0"/>
      <w:marRight w:val="0"/>
      <w:marTop w:val="0"/>
      <w:marBottom w:val="0"/>
      <w:divBdr>
        <w:top w:val="none" w:sz="0" w:space="0" w:color="auto"/>
        <w:left w:val="none" w:sz="0" w:space="0" w:color="auto"/>
        <w:bottom w:val="none" w:sz="0" w:space="0" w:color="auto"/>
        <w:right w:val="none" w:sz="0" w:space="0" w:color="auto"/>
      </w:divBdr>
    </w:div>
    <w:div w:id="1771006645">
      <w:bodyDiv w:val="1"/>
      <w:marLeft w:val="0"/>
      <w:marRight w:val="0"/>
      <w:marTop w:val="0"/>
      <w:marBottom w:val="0"/>
      <w:divBdr>
        <w:top w:val="none" w:sz="0" w:space="0" w:color="auto"/>
        <w:left w:val="none" w:sz="0" w:space="0" w:color="auto"/>
        <w:bottom w:val="none" w:sz="0" w:space="0" w:color="auto"/>
        <w:right w:val="none" w:sz="0" w:space="0" w:color="auto"/>
      </w:divBdr>
    </w:div>
    <w:div w:id="1773931710">
      <w:bodyDiv w:val="1"/>
      <w:marLeft w:val="0"/>
      <w:marRight w:val="0"/>
      <w:marTop w:val="0"/>
      <w:marBottom w:val="0"/>
      <w:divBdr>
        <w:top w:val="none" w:sz="0" w:space="0" w:color="auto"/>
        <w:left w:val="none" w:sz="0" w:space="0" w:color="auto"/>
        <w:bottom w:val="none" w:sz="0" w:space="0" w:color="auto"/>
        <w:right w:val="none" w:sz="0" w:space="0" w:color="auto"/>
      </w:divBdr>
    </w:div>
    <w:div w:id="1782841367">
      <w:bodyDiv w:val="1"/>
      <w:marLeft w:val="0"/>
      <w:marRight w:val="0"/>
      <w:marTop w:val="0"/>
      <w:marBottom w:val="0"/>
      <w:divBdr>
        <w:top w:val="none" w:sz="0" w:space="0" w:color="auto"/>
        <w:left w:val="none" w:sz="0" w:space="0" w:color="auto"/>
        <w:bottom w:val="none" w:sz="0" w:space="0" w:color="auto"/>
        <w:right w:val="none" w:sz="0" w:space="0" w:color="auto"/>
      </w:divBdr>
    </w:div>
    <w:div w:id="1783572122">
      <w:bodyDiv w:val="1"/>
      <w:marLeft w:val="0"/>
      <w:marRight w:val="0"/>
      <w:marTop w:val="0"/>
      <w:marBottom w:val="0"/>
      <w:divBdr>
        <w:top w:val="none" w:sz="0" w:space="0" w:color="auto"/>
        <w:left w:val="none" w:sz="0" w:space="0" w:color="auto"/>
        <w:bottom w:val="none" w:sz="0" w:space="0" w:color="auto"/>
        <w:right w:val="none" w:sz="0" w:space="0" w:color="auto"/>
      </w:divBdr>
    </w:div>
    <w:div w:id="1792671875">
      <w:bodyDiv w:val="1"/>
      <w:marLeft w:val="0"/>
      <w:marRight w:val="0"/>
      <w:marTop w:val="0"/>
      <w:marBottom w:val="0"/>
      <w:divBdr>
        <w:top w:val="none" w:sz="0" w:space="0" w:color="auto"/>
        <w:left w:val="none" w:sz="0" w:space="0" w:color="auto"/>
        <w:bottom w:val="none" w:sz="0" w:space="0" w:color="auto"/>
        <w:right w:val="none" w:sz="0" w:space="0" w:color="auto"/>
      </w:divBdr>
    </w:div>
    <w:div w:id="1800219015">
      <w:bodyDiv w:val="1"/>
      <w:marLeft w:val="0"/>
      <w:marRight w:val="0"/>
      <w:marTop w:val="0"/>
      <w:marBottom w:val="0"/>
      <w:divBdr>
        <w:top w:val="none" w:sz="0" w:space="0" w:color="auto"/>
        <w:left w:val="none" w:sz="0" w:space="0" w:color="auto"/>
        <w:bottom w:val="none" w:sz="0" w:space="0" w:color="auto"/>
        <w:right w:val="none" w:sz="0" w:space="0" w:color="auto"/>
      </w:divBdr>
    </w:div>
    <w:div w:id="1810586960">
      <w:bodyDiv w:val="1"/>
      <w:marLeft w:val="0"/>
      <w:marRight w:val="0"/>
      <w:marTop w:val="0"/>
      <w:marBottom w:val="0"/>
      <w:divBdr>
        <w:top w:val="none" w:sz="0" w:space="0" w:color="auto"/>
        <w:left w:val="none" w:sz="0" w:space="0" w:color="auto"/>
        <w:bottom w:val="none" w:sz="0" w:space="0" w:color="auto"/>
        <w:right w:val="none" w:sz="0" w:space="0" w:color="auto"/>
      </w:divBdr>
    </w:div>
    <w:div w:id="1813061885">
      <w:bodyDiv w:val="1"/>
      <w:marLeft w:val="0"/>
      <w:marRight w:val="0"/>
      <w:marTop w:val="0"/>
      <w:marBottom w:val="0"/>
      <w:divBdr>
        <w:top w:val="none" w:sz="0" w:space="0" w:color="auto"/>
        <w:left w:val="none" w:sz="0" w:space="0" w:color="auto"/>
        <w:bottom w:val="none" w:sz="0" w:space="0" w:color="auto"/>
        <w:right w:val="none" w:sz="0" w:space="0" w:color="auto"/>
      </w:divBdr>
    </w:div>
    <w:div w:id="1816602823">
      <w:bodyDiv w:val="1"/>
      <w:marLeft w:val="0"/>
      <w:marRight w:val="0"/>
      <w:marTop w:val="0"/>
      <w:marBottom w:val="0"/>
      <w:divBdr>
        <w:top w:val="none" w:sz="0" w:space="0" w:color="auto"/>
        <w:left w:val="none" w:sz="0" w:space="0" w:color="auto"/>
        <w:bottom w:val="none" w:sz="0" w:space="0" w:color="auto"/>
        <w:right w:val="none" w:sz="0" w:space="0" w:color="auto"/>
      </w:divBdr>
    </w:div>
    <w:div w:id="1817145062">
      <w:bodyDiv w:val="1"/>
      <w:marLeft w:val="0"/>
      <w:marRight w:val="0"/>
      <w:marTop w:val="0"/>
      <w:marBottom w:val="0"/>
      <w:divBdr>
        <w:top w:val="none" w:sz="0" w:space="0" w:color="auto"/>
        <w:left w:val="none" w:sz="0" w:space="0" w:color="auto"/>
        <w:bottom w:val="none" w:sz="0" w:space="0" w:color="auto"/>
        <w:right w:val="none" w:sz="0" w:space="0" w:color="auto"/>
      </w:divBdr>
    </w:div>
    <w:div w:id="1817457563">
      <w:bodyDiv w:val="1"/>
      <w:marLeft w:val="0"/>
      <w:marRight w:val="0"/>
      <w:marTop w:val="0"/>
      <w:marBottom w:val="0"/>
      <w:divBdr>
        <w:top w:val="none" w:sz="0" w:space="0" w:color="auto"/>
        <w:left w:val="none" w:sz="0" w:space="0" w:color="auto"/>
        <w:bottom w:val="none" w:sz="0" w:space="0" w:color="auto"/>
        <w:right w:val="none" w:sz="0" w:space="0" w:color="auto"/>
      </w:divBdr>
    </w:div>
    <w:div w:id="1822233238">
      <w:bodyDiv w:val="1"/>
      <w:marLeft w:val="0"/>
      <w:marRight w:val="0"/>
      <w:marTop w:val="0"/>
      <w:marBottom w:val="0"/>
      <w:divBdr>
        <w:top w:val="none" w:sz="0" w:space="0" w:color="auto"/>
        <w:left w:val="none" w:sz="0" w:space="0" w:color="auto"/>
        <w:bottom w:val="none" w:sz="0" w:space="0" w:color="auto"/>
        <w:right w:val="none" w:sz="0" w:space="0" w:color="auto"/>
      </w:divBdr>
    </w:div>
    <w:div w:id="1825317213">
      <w:bodyDiv w:val="1"/>
      <w:marLeft w:val="0"/>
      <w:marRight w:val="0"/>
      <w:marTop w:val="0"/>
      <w:marBottom w:val="0"/>
      <w:divBdr>
        <w:top w:val="none" w:sz="0" w:space="0" w:color="auto"/>
        <w:left w:val="none" w:sz="0" w:space="0" w:color="auto"/>
        <w:bottom w:val="none" w:sz="0" w:space="0" w:color="auto"/>
        <w:right w:val="none" w:sz="0" w:space="0" w:color="auto"/>
      </w:divBdr>
    </w:div>
    <w:div w:id="1825781325">
      <w:bodyDiv w:val="1"/>
      <w:marLeft w:val="0"/>
      <w:marRight w:val="0"/>
      <w:marTop w:val="0"/>
      <w:marBottom w:val="0"/>
      <w:divBdr>
        <w:top w:val="none" w:sz="0" w:space="0" w:color="auto"/>
        <w:left w:val="none" w:sz="0" w:space="0" w:color="auto"/>
        <w:bottom w:val="none" w:sz="0" w:space="0" w:color="auto"/>
        <w:right w:val="none" w:sz="0" w:space="0" w:color="auto"/>
      </w:divBdr>
    </w:div>
    <w:div w:id="1832326629">
      <w:bodyDiv w:val="1"/>
      <w:marLeft w:val="0"/>
      <w:marRight w:val="0"/>
      <w:marTop w:val="0"/>
      <w:marBottom w:val="0"/>
      <w:divBdr>
        <w:top w:val="none" w:sz="0" w:space="0" w:color="auto"/>
        <w:left w:val="none" w:sz="0" w:space="0" w:color="auto"/>
        <w:bottom w:val="none" w:sz="0" w:space="0" w:color="auto"/>
        <w:right w:val="none" w:sz="0" w:space="0" w:color="auto"/>
      </w:divBdr>
    </w:div>
    <w:div w:id="1833376960">
      <w:bodyDiv w:val="1"/>
      <w:marLeft w:val="0"/>
      <w:marRight w:val="0"/>
      <w:marTop w:val="0"/>
      <w:marBottom w:val="0"/>
      <w:divBdr>
        <w:top w:val="none" w:sz="0" w:space="0" w:color="auto"/>
        <w:left w:val="none" w:sz="0" w:space="0" w:color="auto"/>
        <w:bottom w:val="none" w:sz="0" w:space="0" w:color="auto"/>
        <w:right w:val="none" w:sz="0" w:space="0" w:color="auto"/>
      </w:divBdr>
    </w:div>
    <w:div w:id="1838810341">
      <w:bodyDiv w:val="1"/>
      <w:marLeft w:val="0"/>
      <w:marRight w:val="0"/>
      <w:marTop w:val="0"/>
      <w:marBottom w:val="0"/>
      <w:divBdr>
        <w:top w:val="none" w:sz="0" w:space="0" w:color="auto"/>
        <w:left w:val="none" w:sz="0" w:space="0" w:color="auto"/>
        <w:bottom w:val="none" w:sz="0" w:space="0" w:color="auto"/>
        <w:right w:val="none" w:sz="0" w:space="0" w:color="auto"/>
      </w:divBdr>
    </w:div>
    <w:div w:id="1846048345">
      <w:bodyDiv w:val="1"/>
      <w:marLeft w:val="0"/>
      <w:marRight w:val="0"/>
      <w:marTop w:val="0"/>
      <w:marBottom w:val="0"/>
      <w:divBdr>
        <w:top w:val="none" w:sz="0" w:space="0" w:color="auto"/>
        <w:left w:val="none" w:sz="0" w:space="0" w:color="auto"/>
        <w:bottom w:val="none" w:sz="0" w:space="0" w:color="auto"/>
        <w:right w:val="none" w:sz="0" w:space="0" w:color="auto"/>
      </w:divBdr>
    </w:div>
    <w:div w:id="1847818357">
      <w:bodyDiv w:val="1"/>
      <w:marLeft w:val="0"/>
      <w:marRight w:val="0"/>
      <w:marTop w:val="0"/>
      <w:marBottom w:val="0"/>
      <w:divBdr>
        <w:top w:val="none" w:sz="0" w:space="0" w:color="auto"/>
        <w:left w:val="none" w:sz="0" w:space="0" w:color="auto"/>
        <w:bottom w:val="none" w:sz="0" w:space="0" w:color="auto"/>
        <w:right w:val="none" w:sz="0" w:space="0" w:color="auto"/>
      </w:divBdr>
    </w:div>
    <w:div w:id="1852524746">
      <w:bodyDiv w:val="1"/>
      <w:marLeft w:val="0"/>
      <w:marRight w:val="0"/>
      <w:marTop w:val="0"/>
      <w:marBottom w:val="0"/>
      <w:divBdr>
        <w:top w:val="none" w:sz="0" w:space="0" w:color="auto"/>
        <w:left w:val="none" w:sz="0" w:space="0" w:color="auto"/>
        <w:bottom w:val="none" w:sz="0" w:space="0" w:color="auto"/>
        <w:right w:val="none" w:sz="0" w:space="0" w:color="auto"/>
      </w:divBdr>
    </w:div>
    <w:div w:id="1854146688">
      <w:bodyDiv w:val="1"/>
      <w:marLeft w:val="0"/>
      <w:marRight w:val="0"/>
      <w:marTop w:val="0"/>
      <w:marBottom w:val="0"/>
      <w:divBdr>
        <w:top w:val="none" w:sz="0" w:space="0" w:color="auto"/>
        <w:left w:val="none" w:sz="0" w:space="0" w:color="auto"/>
        <w:bottom w:val="none" w:sz="0" w:space="0" w:color="auto"/>
        <w:right w:val="none" w:sz="0" w:space="0" w:color="auto"/>
      </w:divBdr>
    </w:div>
    <w:div w:id="1855024486">
      <w:bodyDiv w:val="1"/>
      <w:marLeft w:val="0"/>
      <w:marRight w:val="0"/>
      <w:marTop w:val="0"/>
      <w:marBottom w:val="0"/>
      <w:divBdr>
        <w:top w:val="none" w:sz="0" w:space="0" w:color="auto"/>
        <w:left w:val="none" w:sz="0" w:space="0" w:color="auto"/>
        <w:bottom w:val="none" w:sz="0" w:space="0" w:color="auto"/>
        <w:right w:val="none" w:sz="0" w:space="0" w:color="auto"/>
      </w:divBdr>
    </w:div>
    <w:div w:id="1857962988">
      <w:bodyDiv w:val="1"/>
      <w:marLeft w:val="0"/>
      <w:marRight w:val="0"/>
      <w:marTop w:val="0"/>
      <w:marBottom w:val="0"/>
      <w:divBdr>
        <w:top w:val="none" w:sz="0" w:space="0" w:color="auto"/>
        <w:left w:val="none" w:sz="0" w:space="0" w:color="auto"/>
        <w:bottom w:val="none" w:sz="0" w:space="0" w:color="auto"/>
        <w:right w:val="none" w:sz="0" w:space="0" w:color="auto"/>
      </w:divBdr>
    </w:div>
    <w:div w:id="1858108169">
      <w:bodyDiv w:val="1"/>
      <w:marLeft w:val="0"/>
      <w:marRight w:val="0"/>
      <w:marTop w:val="0"/>
      <w:marBottom w:val="0"/>
      <w:divBdr>
        <w:top w:val="none" w:sz="0" w:space="0" w:color="auto"/>
        <w:left w:val="none" w:sz="0" w:space="0" w:color="auto"/>
        <w:bottom w:val="none" w:sz="0" w:space="0" w:color="auto"/>
        <w:right w:val="none" w:sz="0" w:space="0" w:color="auto"/>
      </w:divBdr>
    </w:div>
    <w:div w:id="1859004177">
      <w:bodyDiv w:val="1"/>
      <w:marLeft w:val="0"/>
      <w:marRight w:val="0"/>
      <w:marTop w:val="0"/>
      <w:marBottom w:val="0"/>
      <w:divBdr>
        <w:top w:val="none" w:sz="0" w:space="0" w:color="auto"/>
        <w:left w:val="none" w:sz="0" w:space="0" w:color="auto"/>
        <w:bottom w:val="none" w:sz="0" w:space="0" w:color="auto"/>
        <w:right w:val="none" w:sz="0" w:space="0" w:color="auto"/>
      </w:divBdr>
    </w:div>
    <w:div w:id="1862620284">
      <w:bodyDiv w:val="1"/>
      <w:marLeft w:val="0"/>
      <w:marRight w:val="0"/>
      <w:marTop w:val="0"/>
      <w:marBottom w:val="0"/>
      <w:divBdr>
        <w:top w:val="none" w:sz="0" w:space="0" w:color="auto"/>
        <w:left w:val="none" w:sz="0" w:space="0" w:color="auto"/>
        <w:bottom w:val="none" w:sz="0" w:space="0" w:color="auto"/>
        <w:right w:val="none" w:sz="0" w:space="0" w:color="auto"/>
      </w:divBdr>
    </w:div>
    <w:div w:id="1867867523">
      <w:bodyDiv w:val="1"/>
      <w:marLeft w:val="0"/>
      <w:marRight w:val="0"/>
      <w:marTop w:val="0"/>
      <w:marBottom w:val="0"/>
      <w:divBdr>
        <w:top w:val="none" w:sz="0" w:space="0" w:color="auto"/>
        <w:left w:val="none" w:sz="0" w:space="0" w:color="auto"/>
        <w:bottom w:val="none" w:sz="0" w:space="0" w:color="auto"/>
        <w:right w:val="none" w:sz="0" w:space="0" w:color="auto"/>
      </w:divBdr>
    </w:div>
    <w:div w:id="1869633778">
      <w:bodyDiv w:val="1"/>
      <w:marLeft w:val="0"/>
      <w:marRight w:val="0"/>
      <w:marTop w:val="0"/>
      <w:marBottom w:val="0"/>
      <w:divBdr>
        <w:top w:val="none" w:sz="0" w:space="0" w:color="auto"/>
        <w:left w:val="none" w:sz="0" w:space="0" w:color="auto"/>
        <w:bottom w:val="none" w:sz="0" w:space="0" w:color="auto"/>
        <w:right w:val="none" w:sz="0" w:space="0" w:color="auto"/>
      </w:divBdr>
    </w:div>
    <w:div w:id="1870684563">
      <w:bodyDiv w:val="1"/>
      <w:marLeft w:val="0"/>
      <w:marRight w:val="0"/>
      <w:marTop w:val="0"/>
      <w:marBottom w:val="0"/>
      <w:divBdr>
        <w:top w:val="none" w:sz="0" w:space="0" w:color="auto"/>
        <w:left w:val="none" w:sz="0" w:space="0" w:color="auto"/>
        <w:bottom w:val="none" w:sz="0" w:space="0" w:color="auto"/>
        <w:right w:val="none" w:sz="0" w:space="0" w:color="auto"/>
      </w:divBdr>
    </w:div>
    <w:div w:id="1879464316">
      <w:bodyDiv w:val="1"/>
      <w:marLeft w:val="0"/>
      <w:marRight w:val="0"/>
      <w:marTop w:val="0"/>
      <w:marBottom w:val="0"/>
      <w:divBdr>
        <w:top w:val="none" w:sz="0" w:space="0" w:color="auto"/>
        <w:left w:val="none" w:sz="0" w:space="0" w:color="auto"/>
        <w:bottom w:val="none" w:sz="0" w:space="0" w:color="auto"/>
        <w:right w:val="none" w:sz="0" w:space="0" w:color="auto"/>
      </w:divBdr>
    </w:div>
    <w:div w:id="1882743090">
      <w:bodyDiv w:val="1"/>
      <w:marLeft w:val="0"/>
      <w:marRight w:val="0"/>
      <w:marTop w:val="0"/>
      <w:marBottom w:val="0"/>
      <w:divBdr>
        <w:top w:val="none" w:sz="0" w:space="0" w:color="auto"/>
        <w:left w:val="none" w:sz="0" w:space="0" w:color="auto"/>
        <w:bottom w:val="none" w:sz="0" w:space="0" w:color="auto"/>
        <w:right w:val="none" w:sz="0" w:space="0" w:color="auto"/>
      </w:divBdr>
    </w:div>
    <w:div w:id="1886790866">
      <w:bodyDiv w:val="1"/>
      <w:marLeft w:val="0"/>
      <w:marRight w:val="0"/>
      <w:marTop w:val="0"/>
      <w:marBottom w:val="0"/>
      <w:divBdr>
        <w:top w:val="none" w:sz="0" w:space="0" w:color="auto"/>
        <w:left w:val="none" w:sz="0" w:space="0" w:color="auto"/>
        <w:bottom w:val="none" w:sz="0" w:space="0" w:color="auto"/>
        <w:right w:val="none" w:sz="0" w:space="0" w:color="auto"/>
      </w:divBdr>
    </w:div>
    <w:div w:id="1887330260">
      <w:bodyDiv w:val="1"/>
      <w:marLeft w:val="0"/>
      <w:marRight w:val="0"/>
      <w:marTop w:val="0"/>
      <w:marBottom w:val="0"/>
      <w:divBdr>
        <w:top w:val="none" w:sz="0" w:space="0" w:color="auto"/>
        <w:left w:val="none" w:sz="0" w:space="0" w:color="auto"/>
        <w:bottom w:val="none" w:sz="0" w:space="0" w:color="auto"/>
        <w:right w:val="none" w:sz="0" w:space="0" w:color="auto"/>
      </w:divBdr>
    </w:div>
    <w:div w:id="1888832952">
      <w:bodyDiv w:val="1"/>
      <w:marLeft w:val="0"/>
      <w:marRight w:val="0"/>
      <w:marTop w:val="0"/>
      <w:marBottom w:val="0"/>
      <w:divBdr>
        <w:top w:val="none" w:sz="0" w:space="0" w:color="auto"/>
        <w:left w:val="none" w:sz="0" w:space="0" w:color="auto"/>
        <w:bottom w:val="none" w:sz="0" w:space="0" w:color="auto"/>
        <w:right w:val="none" w:sz="0" w:space="0" w:color="auto"/>
      </w:divBdr>
    </w:div>
    <w:div w:id="1890068281">
      <w:bodyDiv w:val="1"/>
      <w:marLeft w:val="0"/>
      <w:marRight w:val="0"/>
      <w:marTop w:val="0"/>
      <w:marBottom w:val="0"/>
      <w:divBdr>
        <w:top w:val="none" w:sz="0" w:space="0" w:color="auto"/>
        <w:left w:val="none" w:sz="0" w:space="0" w:color="auto"/>
        <w:bottom w:val="none" w:sz="0" w:space="0" w:color="auto"/>
        <w:right w:val="none" w:sz="0" w:space="0" w:color="auto"/>
      </w:divBdr>
    </w:div>
    <w:div w:id="1898200917">
      <w:bodyDiv w:val="1"/>
      <w:marLeft w:val="0"/>
      <w:marRight w:val="0"/>
      <w:marTop w:val="0"/>
      <w:marBottom w:val="0"/>
      <w:divBdr>
        <w:top w:val="none" w:sz="0" w:space="0" w:color="auto"/>
        <w:left w:val="none" w:sz="0" w:space="0" w:color="auto"/>
        <w:bottom w:val="none" w:sz="0" w:space="0" w:color="auto"/>
        <w:right w:val="none" w:sz="0" w:space="0" w:color="auto"/>
      </w:divBdr>
    </w:div>
    <w:div w:id="1906331046">
      <w:bodyDiv w:val="1"/>
      <w:marLeft w:val="0"/>
      <w:marRight w:val="0"/>
      <w:marTop w:val="0"/>
      <w:marBottom w:val="0"/>
      <w:divBdr>
        <w:top w:val="none" w:sz="0" w:space="0" w:color="auto"/>
        <w:left w:val="none" w:sz="0" w:space="0" w:color="auto"/>
        <w:bottom w:val="none" w:sz="0" w:space="0" w:color="auto"/>
        <w:right w:val="none" w:sz="0" w:space="0" w:color="auto"/>
      </w:divBdr>
    </w:div>
    <w:div w:id="1909535372">
      <w:bodyDiv w:val="1"/>
      <w:marLeft w:val="0"/>
      <w:marRight w:val="0"/>
      <w:marTop w:val="0"/>
      <w:marBottom w:val="0"/>
      <w:divBdr>
        <w:top w:val="none" w:sz="0" w:space="0" w:color="auto"/>
        <w:left w:val="none" w:sz="0" w:space="0" w:color="auto"/>
        <w:bottom w:val="none" w:sz="0" w:space="0" w:color="auto"/>
        <w:right w:val="none" w:sz="0" w:space="0" w:color="auto"/>
      </w:divBdr>
    </w:div>
    <w:div w:id="1929315005">
      <w:bodyDiv w:val="1"/>
      <w:marLeft w:val="0"/>
      <w:marRight w:val="0"/>
      <w:marTop w:val="0"/>
      <w:marBottom w:val="0"/>
      <w:divBdr>
        <w:top w:val="none" w:sz="0" w:space="0" w:color="auto"/>
        <w:left w:val="none" w:sz="0" w:space="0" w:color="auto"/>
        <w:bottom w:val="none" w:sz="0" w:space="0" w:color="auto"/>
        <w:right w:val="none" w:sz="0" w:space="0" w:color="auto"/>
      </w:divBdr>
    </w:div>
    <w:div w:id="1930381233">
      <w:bodyDiv w:val="1"/>
      <w:marLeft w:val="0"/>
      <w:marRight w:val="0"/>
      <w:marTop w:val="0"/>
      <w:marBottom w:val="0"/>
      <w:divBdr>
        <w:top w:val="none" w:sz="0" w:space="0" w:color="auto"/>
        <w:left w:val="none" w:sz="0" w:space="0" w:color="auto"/>
        <w:bottom w:val="none" w:sz="0" w:space="0" w:color="auto"/>
        <w:right w:val="none" w:sz="0" w:space="0" w:color="auto"/>
      </w:divBdr>
    </w:div>
    <w:div w:id="1931499708">
      <w:bodyDiv w:val="1"/>
      <w:marLeft w:val="0"/>
      <w:marRight w:val="0"/>
      <w:marTop w:val="0"/>
      <w:marBottom w:val="0"/>
      <w:divBdr>
        <w:top w:val="none" w:sz="0" w:space="0" w:color="auto"/>
        <w:left w:val="none" w:sz="0" w:space="0" w:color="auto"/>
        <w:bottom w:val="none" w:sz="0" w:space="0" w:color="auto"/>
        <w:right w:val="none" w:sz="0" w:space="0" w:color="auto"/>
      </w:divBdr>
    </w:div>
    <w:div w:id="1931890635">
      <w:bodyDiv w:val="1"/>
      <w:marLeft w:val="0"/>
      <w:marRight w:val="0"/>
      <w:marTop w:val="0"/>
      <w:marBottom w:val="0"/>
      <w:divBdr>
        <w:top w:val="none" w:sz="0" w:space="0" w:color="auto"/>
        <w:left w:val="none" w:sz="0" w:space="0" w:color="auto"/>
        <w:bottom w:val="none" w:sz="0" w:space="0" w:color="auto"/>
        <w:right w:val="none" w:sz="0" w:space="0" w:color="auto"/>
      </w:divBdr>
    </w:div>
    <w:div w:id="1932355154">
      <w:bodyDiv w:val="1"/>
      <w:marLeft w:val="0"/>
      <w:marRight w:val="0"/>
      <w:marTop w:val="0"/>
      <w:marBottom w:val="0"/>
      <w:divBdr>
        <w:top w:val="none" w:sz="0" w:space="0" w:color="auto"/>
        <w:left w:val="none" w:sz="0" w:space="0" w:color="auto"/>
        <w:bottom w:val="none" w:sz="0" w:space="0" w:color="auto"/>
        <w:right w:val="none" w:sz="0" w:space="0" w:color="auto"/>
      </w:divBdr>
    </w:div>
    <w:div w:id="1933318568">
      <w:bodyDiv w:val="1"/>
      <w:marLeft w:val="0"/>
      <w:marRight w:val="0"/>
      <w:marTop w:val="0"/>
      <w:marBottom w:val="0"/>
      <w:divBdr>
        <w:top w:val="none" w:sz="0" w:space="0" w:color="auto"/>
        <w:left w:val="none" w:sz="0" w:space="0" w:color="auto"/>
        <w:bottom w:val="none" w:sz="0" w:space="0" w:color="auto"/>
        <w:right w:val="none" w:sz="0" w:space="0" w:color="auto"/>
      </w:divBdr>
    </w:div>
    <w:div w:id="1933925703">
      <w:bodyDiv w:val="1"/>
      <w:marLeft w:val="0"/>
      <w:marRight w:val="0"/>
      <w:marTop w:val="0"/>
      <w:marBottom w:val="0"/>
      <w:divBdr>
        <w:top w:val="none" w:sz="0" w:space="0" w:color="auto"/>
        <w:left w:val="none" w:sz="0" w:space="0" w:color="auto"/>
        <w:bottom w:val="none" w:sz="0" w:space="0" w:color="auto"/>
        <w:right w:val="none" w:sz="0" w:space="0" w:color="auto"/>
      </w:divBdr>
    </w:div>
    <w:div w:id="1935090895">
      <w:bodyDiv w:val="1"/>
      <w:marLeft w:val="0"/>
      <w:marRight w:val="0"/>
      <w:marTop w:val="0"/>
      <w:marBottom w:val="0"/>
      <w:divBdr>
        <w:top w:val="none" w:sz="0" w:space="0" w:color="auto"/>
        <w:left w:val="none" w:sz="0" w:space="0" w:color="auto"/>
        <w:bottom w:val="none" w:sz="0" w:space="0" w:color="auto"/>
        <w:right w:val="none" w:sz="0" w:space="0" w:color="auto"/>
      </w:divBdr>
    </w:div>
    <w:div w:id="1939098768">
      <w:bodyDiv w:val="1"/>
      <w:marLeft w:val="0"/>
      <w:marRight w:val="0"/>
      <w:marTop w:val="0"/>
      <w:marBottom w:val="0"/>
      <w:divBdr>
        <w:top w:val="none" w:sz="0" w:space="0" w:color="auto"/>
        <w:left w:val="none" w:sz="0" w:space="0" w:color="auto"/>
        <w:bottom w:val="none" w:sz="0" w:space="0" w:color="auto"/>
        <w:right w:val="none" w:sz="0" w:space="0" w:color="auto"/>
      </w:divBdr>
    </w:div>
    <w:div w:id="1939369690">
      <w:bodyDiv w:val="1"/>
      <w:marLeft w:val="0"/>
      <w:marRight w:val="0"/>
      <w:marTop w:val="0"/>
      <w:marBottom w:val="0"/>
      <w:divBdr>
        <w:top w:val="none" w:sz="0" w:space="0" w:color="auto"/>
        <w:left w:val="none" w:sz="0" w:space="0" w:color="auto"/>
        <w:bottom w:val="none" w:sz="0" w:space="0" w:color="auto"/>
        <w:right w:val="none" w:sz="0" w:space="0" w:color="auto"/>
      </w:divBdr>
    </w:div>
    <w:div w:id="1939412164">
      <w:bodyDiv w:val="1"/>
      <w:marLeft w:val="0"/>
      <w:marRight w:val="0"/>
      <w:marTop w:val="0"/>
      <w:marBottom w:val="0"/>
      <w:divBdr>
        <w:top w:val="none" w:sz="0" w:space="0" w:color="auto"/>
        <w:left w:val="none" w:sz="0" w:space="0" w:color="auto"/>
        <w:bottom w:val="none" w:sz="0" w:space="0" w:color="auto"/>
        <w:right w:val="none" w:sz="0" w:space="0" w:color="auto"/>
      </w:divBdr>
    </w:div>
    <w:div w:id="1946770318">
      <w:bodyDiv w:val="1"/>
      <w:marLeft w:val="0"/>
      <w:marRight w:val="0"/>
      <w:marTop w:val="0"/>
      <w:marBottom w:val="0"/>
      <w:divBdr>
        <w:top w:val="none" w:sz="0" w:space="0" w:color="auto"/>
        <w:left w:val="none" w:sz="0" w:space="0" w:color="auto"/>
        <w:bottom w:val="none" w:sz="0" w:space="0" w:color="auto"/>
        <w:right w:val="none" w:sz="0" w:space="0" w:color="auto"/>
      </w:divBdr>
    </w:div>
    <w:div w:id="1948778786">
      <w:bodyDiv w:val="1"/>
      <w:marLeft w:val="0"/>
      <w:marRight w:val="0"/>
      <w:marTop w:val="0"/>
      <w:marBottom w:val="0"/>
      <w:divBdr>
        <w:top w:val="none" w:sz="0" w:space="0" w:color="auto"/>
        <w:left w:val="none" w:sz="0" w:space="0" w:color="auto"/>
        <w:bottom w:val="none" w:sz="0" w:space="0" w:color="auto"/>
        <w:right w:val="none" w:sz="0" w:space="0" w:color="auto"/>
      </w:divBdr>
    </w:div>
    <w:div w:id="1952318286">
      <w:bodyDiv w:val="1"/>
      <w:marLeft w:val="0"/>
      <w:marRight w:val="0"/>
      <w:marTop w:val="0"/>
      <w:marBottom w:val="0"/>
      <w:divBdr>
        <w:top w:val="none" w:sz="0" w:space="0" w:color="auto"/>
        <w:left w:val="none" w:sz="0" w:space="0" w:color="auto"/>
        <w:bottom w:val="none" w:sz="0" w:space="0" w:color="auto"/>
        <w:right w:val="none" w:sz="0" w:space="0" w:color="auto"/>
      </w:divBdr>
    </w:div>
    <w:div w:id="1953706211">
      <w:bodyDiv w:val="1"/>
      <w:marLeft w:val="0"/>
      <w:marRight w:val="0"/>
      <w:marTop w:val="0"/>
      <w:marBottom w:val="0"/>
      <w:divBdr>
        <w:top w:val="none" w:sz="0" w:space="0" w:color="auto"/>
        <w:left w:val="none" w:sz="0" w:space="0" w:color="auto"/>
        <w:bottom w:val="none" w:sz="0" w:space="0" w:color="auto"/>
        <w:right w:val="none" w:sz="0" w:space="0" w:color="auto"/>
      </w:divBdr>
    </w:div>
    <w:div w:id="1954510690">
      <w:bodyDiv w:val="1"/>
      <w:marLeft w:val="0"/>
      <w:marRight w:val="0"/>
      <w:marTop w:val="0"/>
      <w:marBottom w:val="0"/>
      <w:divBdr>
        <w:top w:val="none" w:sz="0" w:space="0" w:color="auto"/>
        <w:left w:val="none" w:sz="0" w:space="0" w:color="auto"/>
        <w:bottom w:val="none" w:sz="0" w:space="0" w:color="auto"/>
        <w:right w:val="none" w:sz="0" w:space="0" w:color="auto"/>
      </w:divBdr>
    </w:div>
    <w:div w:id="1954900996">
      <w:bodyDiv w:val="1"/>
      <w:marLeft w:val="0"/>
      <w:marRight w:val="0"/>
      <w:marTop w:val="0"/>
      <w:marBottom w:val="0"/>
      <w:divBdr>
        <w:top w:val="none" w:sz="0" w:space="0" w:color="auto"/>
        <w:left w:val="none" w:sz="0" w:space="0" w:color="auto"/>
        <w:bottom w:val="none" w:sz="0" w:space="0" w:color="auto"/>
        <w:right w:val="none" w:sz="0" w:space="0" w:color="auto"/>
      </w:divBdr>
    </w:div>
    <w:div w:id="1959068434">
      <w:bodyDiv w:val="1"/>
      <w:marLeft w:val="0"/>
      <w:marRight w:val="0"/>
      <w:marTop w:val="0"/>
      <w:marBottom w:val="0"/>
      <w:divBdr>
        <w:top w:val="none" w:sz="0" w:space="0" w:color="auto"/>
        <w:left w:val="none" w:sz="0" w:space="0" w:color="auto"/>
        <w:bottom w:val="none" w:sz="0" w:space="0" w:color="auto"/>
        <w:right w:val="none" w:sz="0" w:space="0" w:color="auto"/>
      </w:divBdr>
    </w:div>
    <w:div w:id="1966694266">
      <w:bodyDiv w:val="1"/>
      <w:marLeft w:val="0"/>
      <w:marRight w:val="0"/>
      <w:marTop w:val="0"/>
      <w:marBottom w:val="0"/>
      <w:divBdr>
        <w:top w:val="none" w:sz="0" w:space="0" w:color="auto"/>
        <w:left w:val="none" w:sz="0" w:space="0" w:color="auto"/>
        <w:bottom w:val="none" w:sz="0" w:space="0" w:color="auto"/>
        <w:right w:val="none" w:sz="0" w:space="0" w:color="auto"/>
      </w:divBdr>
    </w:div>
    <w:div w:id="1967198908">
      <w:bodyDiv w:val="1"/>
      <w:marLeft w:val="0"/>
      <w:marRight w:val="0"/>
      <w:marTop w:val="0"/>
      <w:marBottom w:val="0"/>
      <w:divBdr>
        <w:top w:val="none" w:sz="0" w:space="0" w:color="auto"/>
        <w:left w:val="none" w:sz="0" w:space="0" w:color="auto"/>
        <w:bottom w:val="none" w:sz="0" w:space="0" w:color="auto"/>
        <w:right w:val="none" w:sz="0" w:space="0" w:color="auto"/>
      </w:divBdr>
    </w:div>
    <w:div w:id="1968315541">
      <w:bodyDiv w:val="1"/>
      <w:marLeft w:val="0"/>
      <w:marRight w:val="0"/>
      <w:marTop w:val="0"/>
      <w:marBottom w:val="0"/>
      <w:divBdr>
        <w:top w:val="none" w:sz="0" w:space="0" w:color="auto"/>
        <w:left w:val="none" w:sz="0" w:space="0" w:color="auto"/>
        <w:bottom w:val="none" w:sz="0" w:space="0" w:color="auto"/>
        <w:right w:val="none" w:sz="0" w:space="0" w:color="auto"/>
      </w:divBdr>
    </w:div>
    <w:div w:id="1968703533">
      <w:bodyDiv w:val="1"/>
      <w:marLeft w:val="0"/>
      <w:marRight w:val="0"/>
      <w:marTop w:val="0"/>
      <w:marBottom w:val="0"/>
      <w:divBdr>
        <w:top w:val="none" w:sz="0" w:space="0" w:color="auto"/>
        <w:left w:val="none" w:sz="0" w:space="0" w:color="auto"/>
        <w:bottom w:val="none" w:sz="0" w:space="0" w:color="auto"/>
        <w:right w:val="none" w:sz="0" w:space="0" w:color="auto"/>
      </w:divBdr>
    </w:div>
    <w:div w:id="1971007827">
      <w:bodyDiv w:val="1"/>
      <w:marLeft w:val="0"/>
      <w:marRight w:val="0"/>
      <w:marTop w:val="0"/>
      <w:marBottom w:val="0"/>
      <w:divBdr>
        <w:top w:val="none" w:sz="0" w:space="0" w:color="auto"/>
        <w:left w:val="none" w:sz="0" w:space="0" w:color="auto"/>
        <w:bottom w:val="none" w:sz="0" w:space="0" w:color="auto"/>
        <w:right w:val="none" w:sz="0" w:space="0" w:color="auto"/>
      </w:divBdr>
    </w:div>
    <w:div w:id="1972975450">
      <w:bodyDiv w:val="1"/>
      <w:marLeft w:val="0"/>
      <w:marRight w:val="0"/>
      <w:marTop w:val="0"/>
      <w:marBottom w:val="0"/>
      <w:divBdr>
        <w:top w:val="none" w:sz="0" w:space="0" w:color="auto"/>
        <w:left w:val="none" w:sz="0" w:space="0" w:color="auto"/>
        <w:bottom w:val="none" w:sz="0" w:space="0" w:color="auto"/>
        <w:right w:val="none" w:sz="0" w:space="0" w:color="auto"/>
      </w:divBdr>
    </w:div>
    <w:div w:id="1977105334">
      <w:bodyDiv w:val="1"/>
      <w:marLeft w:val="0"/>
      <w:marRight w:val="0"/>
      <w:marTop w:val="0"/>
      <w:marBottom w:val="0"/>
      <w:divBdr>
        <w:top w:val="none" w:sz="0" w:space="0" w:color="auto"/>
        <w:left w:val="none" w:sz="0" w:space="0" w:color="auto"/>
        <w:bottom w:val="none" w:sz="0" w:space="0" w:color="auto"/>
        <w:right w:val="none" w:sz="0" w:space="0" w:color="auto"/>
      </w:divBdr>
    </w:div>
    <w:div w:id="1981960614">
      <w:bodyDiv w:val="1"/>
      <w:marLeft w:val="0"/>
      <w:marRight w:val="0"/>
      <w:marTop w:val="0"/>
      <w:marBottom w:val="0"/>
      <w:divBdr>
        <w:top w:val="none" w:sz="0" w:space="0" w:color="auto"/>
        <w:left w:val="none" w:sz="0" w:space="0" w:color="auto"/>
        <w:bottom w:val="none" w:sz="0" w:space="0" w:color="auto"/>
        <w:right w:val="none" w:sz="0" w:space="0" w:color="auto"/>
      </w:divBdr>
    </w:div>
    <w:div w:id="1984845083">
      <w:bodyDiv w:val="1"/>
      <w:marLeft w:val="0"/>
      <w:marRight w:val="0"/>
      <w:marTop w:val="0"/>
      <w:marBottom w:val="0"/>
      <w:divBdr>
        <w:top w:val="none" w:sz="0" w:space="0" w:color="auto"/>
        <w:left w:val="none" w:sz="0" w:space="0" w:color="auto"/>
        <w:bottom w:val="none" w:sz="0" w:space="0" w:color="auto"/>
        <w:right w:val="none" w:sz="0" w:space="0" w:color="auto"/>
      </w:divBdr>
    </w:div>
    <w:div w:id="1988432911">
      <w:bodyDiv w:val="1"/>
      <w:marLeft w:val="0"/>
      <w:marRight w:val="0"/>
      <w:marTop w:val="0"/>
      <w:marBottom w:val="0"/>
      <w:divBdr>
        <w:top w:val="none" w:sz="0" w:space="0" w:color="auto"/>
        <w:left w:val="none" w:sz="0" w:space="0" w:color="auto"/>
        <w:bottom w:val="none" w:sz="0" w:space="0" w:color="auto"/>
        <w:right w:val="none" w:sz="0" w:space="0" w:color="auto"/>
      </w:divBdr>
    </w:div>
    <w:div w:id="1991708362">
      <w:bodyDiv w:val="1"/>
      <w:marLeft w:val="0"/>
      <w:marRight w:val="0"/>
      <w:marTop w:val="0"/>
      <w:marBottom w:val="0"/>
      <w:divBdr>
        <w:top w:val="none" w:sz="0" w:space="0" w:color="auto"/>
        <w:left w:val="none" w:sz="0" w:space="0" w:color="auto"/>
        <w:bottom w:val="none" w:sz="0" w:space="0" w:color="auto"/>
        <w:right w:val="none" w:sz="0" w:space="0" w:color="auto"/>
      </w:divBdr>
    </w:div>
    <w:div w:id="1995571616">
      <w:bodyDiv w:val="1"/>
      <w:marLeft w:val="0"/>
      <w:marRight w:val="0"/>
      <w:marTop w:val="0"/>
      <w:marBottom w:val="0"/>
      <w:divBdr>
        <w:top w:val="none" w:sz="0" w:space="0" w:color="auto"/>
        <w:left w:val="none" w:sz="0" w:space="0" w:color="auto"/>
        <w:bottom w:val="none" w:sz="0" w:space="0" w:color="auto"/>
        <w:right w:val="none" w:sz="0" w:space="0" w:color="auto"/>
      </w:divBdr>
    </w:div>
    <w:div w:id="2003924631">
      <w:bodyDiv w:val="1"/>
      <w:marLeft w:val="0"/>
      <w:marRight w:val="0"/>
      <w:marTop w:val="0"/>
      <w:marBottom w:val="0"/>
      <w:divBdr>
        <w:top w:val="none" w:sz="0" w:space="0" w:color="auto"/>
        <w:left w:val="none" w:sz="0" w:space="0" w:color="auto"/>
        <w:bottom w:val="none" w:sz="0" w:space="0" w:color="auto"/>
        <w:right w:val="none" w:sz="0" w:space="0" w:color="auto"/>
      </w:divBdr>
    </w:div>
    <w:div w:id="2004383761">
      <w:bodyDiv w:val="1"/>
      <w:marLeft w:val="0"/>
      <w:marRight w:val="0"/>
      <w:marTop w:val="0"/>
      <w:marBottom w:val="0"/>
      <w:divBdr>
        <w:top w:val="none" w:sz="0" w:space="0" w:color="auto"/>
        <w:left w:val="none" w:sz="0" w:space="0" w:color="auto"/>
        <w:bottom w:val="none" w:sz="0" w:space="0" w:color="auto"/>
        <w:right w:val="none" w:sz="0" w:space="0" w:color="auto"/>
      </w:divBdr>
    </w:div>
    <w:div w:id="2007243824">
      <w:bodyDiv w:val="1"/>
      <w:marLeft w:val="0"/>
      <w:marRight w:val="0"/>
      <w:marTop w:val="0"/>
      <w:marBottom w:val="0"/>
      <w:divBdr>
        <w:top w:val="none" w:sz="0" w:space="0" w:color="auto"/>
        <w:left w:val="none" w:sz="0" w:space="0" w:color="auto"/>
        <w:bottom w:val="none" w:sz="0" w:space="0" w:color="auto"/>
        <w:right w:val="none" w:sz="0" w:space="0" w:color="auto"/>
      </w:divBdr>
    </w:div>
    <w:div w:id="2008896749">
      <w:bodyDiv w:val="1"/>
      <w:marLeft w:val="0"/>
      <w:marRight w:val="0"/>
      <w:marTop w:val="0"/>
      <w:marBottom w:val="0"/>
      <w:divBdr>
        <w:top w:val="none" w:sz="0" w:space="0" w:color="auto"/>
        <w:left w:val="none" w:sz="0" w:space="0" w:color="auto"/>
        <w:bottom w:val="none" w:sz="0" w:space="0" w:color="auto"/>
        <w:right w:val="none" w:sz="0" w:space="0" w:color="auto"/>
      </w:divBdr>
    </w:div>
    <w:div w:id="2009168808">
      <w:bodyDiv w:val="1"/>
      <w:marLeft w:val="0"/>
      <w:marRight w:val="0"/>
      <w:marTop w:val="0"/>
      <w:marBottom w:val="0"/>
      <w:divBdr>
        <w:top w:val="none" w:sz="0" w:space="0" w:color="auto"/>
        <w:left w:val="none" w:sz="0" w:space="0" w:color="auto"/>
        <w:bottom w:val="none" w:sz="0" w:space="0" w:color="auto"/>
        <w:right w:val="none" w:sz="0" w:space="0" w:color="auto"/>
      </w:divBdr>
    </w:div>
    <w:div w:id="2013484609">
      <w:bodyDiv w:val="1"/>
      <w:marLeft w:val="0"/>
      <w:marRight w:val="0"/>
      <w:marTop w:val="0"/>
      <w:marBottom w:val="0"/>
      <w:divBdr>
        <w:top w:val="none" w:sz="0" w:space="0" w:color="auto"/>
        <w:left w:val="none" w:sz="0" w:space="0" w:color="auto"/>
        <w:bottom w:val="none" w:sz="0" w:space="0" w:color="auto"/>
        <w:right w:val="none" w:sz="0" w:space="0" w:color="auto"/>
      </w:divBdr>
    </w:div>
    <w:div w:id="2014717837">
      <w:bodyDiv w:val="1"/>
      <w:marLeft w:val="0"/>
      <w:marRight w:val="0"/>
      <w:marTop w:val="0"/>
      <w:marBottom w:val="0"/>
      <w:divBdr>
        <w:top w:val="none" w:sz="0" w:space="0" w:color="auto"/>
        <w:left w:val="none" w:sz="0" w:space="0" w:color="auto"/>
        <w:bottom w:val="none" w:sz="0" w:space="0" w:color="auto"/>
        <w:right w:val="none" w:sz="0" w:space="0" w:color="auto"/>
      </w:divBdr>
    </w:div>
    <w:div w:id="2014991600">
      <w:bodyDiv w:val="1"/>
      <w:marLeft w:val="0"/>
      <w:marRight w:val="0"/>
      <w:marTop w:val="0"/>
      <w:marBottom w:val="0"/>
      <w:divBdr>
        <w:top w:val="none" w:sz="0" w:space="0" w:color="auto"/>
        <w:left w:val="none" w:sz="0" w:space="0" w:color="auto"/>
        <w:bottom w:val="none" w:sz="0" w:space="0" w:color="auto"/>
        <w:right w:val="none" w:sz="0" w:space="0" w:color="auto"/>
      </w:divBdr>
    </w:div>
    <w:div w:id="2018649069">
      <w:bodyDiv w:val="1"/>
      <w:marLeft w:val="0"/>
      <w:marRight w:val="0"/>
      <w:marTop w:val="0"/>
      <w:marBottom w:val="0"/>
      <w:divBdr>
        <w:top w:val="none" w:sz="0" w:space="0" w:color="auto"/>
        <w:left w:val="none" w:sz="0" w:space="0" w:color="auto"/>
        <w:bottom w:val="none" w:sz="0" w:space="0" w:color="auto"/>
        <w:right w:val="none" w:sz="0" w:space="0" w:color="auto"/>
      </w:divBdr>
    </w:div>
    <w:div w:id="2019192335">
      <w:bodyDiv w:val="1"/>
      <w:marLeft w:val="0"/>
      <w:marRight w:val="0"/>
      <w:marTop w:val="0"/>
      <w:marBottom w:val="0"/>
      <w:divBdr>
        <w:top w:val="none" w:sz="0" w:space="0" w:color="auto"/>
        <w:left w:val="none" w:sz="0" w:space="0" w:color="auto"/>
        <w:bottom w:val="none" w:sz="0" w:space="0" w:color="auto"/>
        <w:right w:val="none" w:sz="0" w:space="0" w:color="auto"/>
      </w:divBdr>
    </w:div>
    <w:div w:id="2025397437">
      <w:bodyDiv w:val="1"/>
      <w:marLeft w:val="0"/>
      <w:marRight w:val="0"/>
      <w:marTop w:val="0"/>
      <w:marBottom w:val="0"/>
      <w:divBdr>
        <w:top w:val="none" w:sz="0" w:space="0" w:color="auto"/>
        <w:left w:val="none" w:sz="0" w:space="0" w:color="auto"/>
        <w:bottom w:val="none" w:sz="0" w:space="0" w:color="auto"/>
        <w:right w:val="none" w:sz="0" w:space="0" w:color="auto"/>
      </w:divBdr>
    </w:div>
    <w:div w:id="2025593600">
      <w:bodyDiv w:val="1"/>
      <w:marLeft w:val="0"/>
      <w:marRight w:val="0"/>
      <w:marTop w:val="0"/>
      <w:marBottom w:val="0"/>
      <w:divBdr>
        <w:top w:val="none" w:sz="0" w:space="0" w:color="auto"/>
        <w:left w:val="none" w:sz="0" w:space="0" w:color="auto"/>
        <w:bottom w:val="none" w:sz="0" w:space="0" w:color="auto"/>
        <w:right w:val="none" w:sz="0" w:space="0" w:color="auto"/>
      </w:divBdr>
    </w:div>
    <w:div w:id="2031880540">
      <w:bodyDiv w:val="1"/>
      <w:marLeft w:val="0"/>
      <w:marRight w:val="0"/>
      <w:marTop w:val="0"/>
      <w:marBottom w:val="0"/>
      <w:divBdr>
        <w:top w:val="none" w:sz="0" w:space="0" w:color="auto"/>
        <w:left w:val="none" w:sz="0" w:space="0" w:color="auto"/>
        <w:bottom w:val="none" w:sz="0" w:space="0" w:color="auto"/>
        <w:right w:val="none" w:sz="0" w:space="0" w:color="auto"/>
      </w:divBdr>
    </w:div>
    <w:div w:id="2032561579">
      <w:bodyDiv w:val="1"/>
      <w:marLeft w:val="0"/>
      <w:marRight w:val="0"/>
      <w:marTop w:val="0"/>
      <w:marBottom w:val="0"/>
      <w:divBdr>
        <w:top w:val="none" w:sz="0" w:space="0" w:color="auto"/>
        <w:left w:val="none" w:sz="0" w:space="0" w:color="auto"/>
        <w:bottom w:val="none" w:sz="0" w:space="0" w:color="auto"/>
        <w:right w:val="none" w:sz="0" w:space="0" w:color="auto"/>
      </w:divBdr>
    </w:div>
    <w:div w:id="2032997076">
      <w:bodyDiv w:val="1"/>
      <w:marLeft w:val="0"/>
      <w:marRight w:val="0"/>
      <w:marTop w:val="0"/>
      <w:marBottom w:val="0"/>
      <w:divBdr>
        <w:top w:val="none" w:sz="0" w:space="0" w:color="auto"/>
        <w:left w:val="none" w:sz="0" w:space="0" w:color="auto"/>
        <w:bottom w:val="none" w:sz="0" w:space="0" w:color="auto"/>
        <w:right w:val="none" w:sz="0" w:space="0" w:color="auto"/>
      </w:divBdr>
    </w:div>
    <w:div w:id="2037274010">
      <w:bodyDiv w:val="1"/>
      <w:marLeft w:val="0"/>
      <w:marRight w:val="0"/>
      <w:marTop w:val="0"/>
      <w:marBottom w:val="0"/>
      <w:divBdr>
        <w:top w:val="none" w:sz="0" w:space="0" w:color="auto"/>
        <w:left w:val="none" w:sz="0" w:space="0" w:color="auto"/>
        <w:bottom w:val="none" w:sz="0" w:space="0" w:color="auto"/>
        <w:right w:val="none" w:sz="0" w:space="0" w:color="auto"/>
      </w:divBdr>
    </w:div>
    <w:div w:id="2038651100">
      <w:bodyDiv w:val="1"/>
      <w:marLeft w:val="0"/>
      <w:marRight w:val="0"/>
      <w:marTop w:val="0"/>
      <w:marBottom w:val="0"/>
      <w:divBdr>
        <w:top w:val="none" w:sz="0" w:space="0" w:color="auto"/>
        <w:left w:val="none" w:sz="0" w:space="0" w:color="auto"/>
        <w:bottom w:val="none" w:sz="0" w:space="0" w:color="auto"/>
        <w:right w:val="none" w:sz="0" w:space="0" w:color="auto"/>
      </w:divBdr>
    </w:div>
    <w:div w:id="2039038249">
      <w:bodyDiv w:val="1"/>
      <w:marLeft w:val="0"/>
      <w:marRight w:val="0"/>
      <w:marTop w:val="0"/>
      <w:marBottom w:val="0"/>
      <w:divBdr>
        <w:top w:val="none" w:sz="0" w:space="0" w:color="auto"/>
        <w:left w:val="none" w:sz="0" w:space="0" w:color="auto"/>
        <w:bottom w:val="none" w:sz="0" w:space="0" w:color="auto"/>
        <w:right w:val="none" w:sz="0" w:space="0" w:color="auto"/>
      </w:divBdr>
    </w:div>
    <w:div w:id="2039038337">
      <w:bodyDiv w:val="1"/>
      <w:marLeft w:val="0"/>
      <w:marRight w:val="0"/>
      <w:marTop w:val="0"/>
      <w:marBottom w:val="0"/>
      <w:divBdr>
        <w:top w:val="none" w:sz="0" w:space="0" w:color="auto"/>
        <w:left w:val="none" w:sz="0" w:space="0" w:color="auto"/>
        <w:bottom w:val="none" w:sz="0" w:space="0" w:color="auto"/>
        <w:right w:val="none" w:sz="0" w:space="0" w:color="auto"/>
      </w:divBdr>
    </w:div>
    <w:div w:id="2040161789">
      <w:bodyDiv w:val="1"/>
      <w:marLeft w:val="0"/>
      <w:marRight w:val="0"/>
      <w:marTop w:val="0"/>
      <w:marBottom w:val="0"/>
      <w:divBdr>
        <w:top w:val="none" w:sz="0" w:space="0" w:color="auto"/>
        <w:left w:val="none" w:sz="0" w:space="0" w:color="auto"/>
        <w:bottom w:val="none" w:sz="0" w:space="0" w:color="auto"/>
        <w:right w:val="none" w:sz="0" w:space="0" w:color="auto"/>
      </w:divBdr>
    </w:div>
    <w:div w:id="2042128437">
      <w:bodyDiv w:val="1"/>
      <w:marLeft w:val="0"/>
      <w:marRight w:val="0"/>
      <w:marTop w:val="0"/>
      <w:marBottom w:val="0"/>
      <w:divBdr>
        <w:top w:val="none" w:sz="0" w:space="0" w:color="auto"/>
        <w:left w:val="none" w:sz="0" w:space="0" w:color="auto"/>
        <w:bottom w:val="none" w:sz="0" w:space="0" w:color="auto"/>
        <w:right w:val="none" w:sz="0" w:space="0" w:color="auto"/>
      </w:divBdr>
    </w:div>
    <w:div w:id="2045403688">
      <w:bodyDiv w:val="1"/>
      <w:marLeft w:val="0"/>
      <w:marRight w:val="0"/>
      <w:marTop w:val="0"/>
      <w:marBottom w:val="0"/>
      <w:divBdr>
        <w:top w:val="none" w:sz="0" w:space="0" w:color="auto"/>
        <w:left w:val="none" w:sz="0" w:space="0" w:color="auto"/>
        <w:bottom w:val="none" w:sz="0" w:space="0" w:color="auto"/>
        <w:right w:val="none" w:sz="0" w:space="0" w:color="auto"/>
      </w:divBdr>
    </w:div>
    <w:div w:id="2051956206">
      <w:bodyDiv w:val="1"/>
      <w:marLeft w:val="0"/>
      <w:marRight w:val="0"/>
      <w:marTop w:val="0"/>
      <w:marBottom w:val="0"/>
      <w:divBdr>
        <w:top w:val="none" w:sz="0" w:space="0" w:color="auto"/>
        <w:left w:val="none" w:sz="0" w:space="0" w:color="auto"/>
        <w:bottom w:val="none" w:sz="0" w:space="0" w:color="auto"/>
        <w:right w:val="none" w:sz="0" w:space="0" w:color="auto"/>
      </w:divBdr>
    </w:div>
    <w:div w:id="2055956994">
      <w:bodyDiv w:val="1"/>
      <w:marLeft w:val="0"/>
      <w:marRight w:val="0"/>
      <w:marTop w:val="0"/>
      <w:marBottom w:val="0"/>
      <w:divBdr>
        <w:top w:val="none" w:sz="0" w:space="0" w:color="auto"/>
        <w:left w:val="none" w:sz="0" w:space="0" w:color="auto"/>
        <w:bottom w:val="none" w:sz="0" w:space="0" w:color="auto"/>
        <w:right w:val="none" w:sz="0" w:space="0" w:color="auto"/>
      </w:divBdr>
    </w:div>
    <w:div w:id="2056082411">
      <w:bodyDiv w:val="1"/>
      <w:marLeft w:val="0"/>
      <w:marRight w:val="0"/>
      <w:marTop w:val="0"/>
      <w:marBottom w:val="0"/>
      <w:divBdr>
        <w:top w:val="none" w:sz="0" w:space="0" w:color="auto"/>
        <w:left w:val="none" w:sz="0" w:space="0" w:color="auto"/>
        <w:bottom w:val="none" w:sz="0" w:space="0" w:color="auto"/>
        <w:right w:val="none" w:sz="0" w:space="0" w:color="auto"/>
      </w:divBdr>
    </w:div>
    <w:div w:id="2062631142">
      <w:bodyDiv w:val="1"/>
      <w:marLeft w:val="0"/>
      <w:marRight w:val="0"/>
      <w:marTop w:val="0"/>
      <w:marBottom w:val="0"/>
      <w:divBdr>
        <w:top w:val="none" w:sz="0" w:space="0" w:color="auto"/>
        <w:left w:val="none" w:sz="0" w:space="0" w:color="auto"/>
        <w:bottom w:val="none" w:sz="0" w:space="0" w:color="auto"/>
        <w:right w:val="none" w:sz="0" w:space="0" w:color="auto"/>
      </w:divBdr>
    </w:div>
    <w:div w:id="2074884449">
      <w:bodyDiv w:val="1"/>
      <w:marLeft w:val="0"/>
      <w:marRight w:val="0"/>
      <w:marTop w:val="0"/>
      <w:marBottom w:val="0"/>
      <w:divBdr>
        <w:top w:val="none" w:sz="0" w:space="0" w:color="auto"/>
        <w:left w:val="none" w:sz="0" w:space="0" w:color="auto"/>
        <w:bottom w:val="none" w:sz="0" w:space="0" w:color="auto"/>
        <w:right w:val="none" w:sz="0" w:space="0" w:color="auto"/>
      </w:divBdr>
    </w:div>
    <w:div w:id="2079858431">
      <w:bodyDiv w:val="1"/>
      <w:marLeft w:val="0"/>
      <w:marRight w:val="0"/>
      <w:marTop w:val="0"/>
      <w:marBottom w:val="0"/>
      <w:divBdr>
        <w:top w:val="none" w:sz="0" w:space="0" w:color="auto"/>
        <w:left w:val="none" w:sz="0" w:space="0" w:color="auto"/>
        <w:bottom w:val="none" w:sz="0" w:space="0" w:color="auto"/>
        <w:right w:val="none" w:sz="0" w:space="0" w:color="auto"/>
      </w:divBdr>
    </w:div>
    <w:div w:id="2080401271">
      <w:bodyDiv w:val="1"/>
      <w:marLeft w:val="0"/>
      <w:marRight w:val="0"/>
      <w:marTop w:val="0"/>
      <w:marBottom w:val="0"/>
      <w:divBdr>
        <w:top w:val="none" w:sz="0" w:space="0" w:color="auto"/>
        <w:left w:val="none" w:sz="0" w:space="0" w:color="auto"/>
        <w:bottom w:val="none" w:sz="0" w:space="0" w:color="auto"/>
        <w:right w:val="none" w:sz="0" w:space="0" w:color="auto"/>
      </w:divBdr>
    </w:div>
    <w:div w:id="2083211097">
      <w:bodyDiv w:val="1"/>
      <w:marLeft w:val="0"/>
      <w:marRight w:val="0"/>
      <w:marTop w:val="0"/>
      <w:marBottom w:val="0"/>
      <w:divBdr>
        <w:top w:val="none" w:sz="0" w:space="0" w:color="auto"/>
        <w:left w:val="none" w:sz="0" w:space="0" w:color="auto"/>
        <w:bottom w:val="none" w:sz="0" w:space="0" w:color="auto"/>
        <w:right w:val="none" w:sz="0" w:space="0" w:color="auto"/>
      </w:divBdr>
    </w:div>
    <w:div w:id="2083482344">
      <w:bodyDiv w:val="1"/>
      <w:marLeft w:val="0"/>
      <w:marRight w:val="0"/>
      <w:marTop w:val="0"/>
      <w:marBottom w:val="0"/>
      <w:divBdr>
        <w:top w:val="none" w:sz="0" w:space="0" w:color="auto"/>
        <w:left w:val="none" w:sz="0" w:space="0" w:color="auto"/>
        <w:bottom w:val="none" w:sz="0" w:space="0" w:color="auto"/>
        <w:right w:val="none" w:sz="0" w:space="0" w:color="auto"/>
      </w:divBdr>
    </w:div>
    <w:div w:id="2089812461">
      <w:bodyDiv w:val="1"/>
      <w:marLeft w:val="0"/>
      <w:marRight w:val="0"/>
      <w:marTop w:val="0"/>
      <w:marBottom w:val="0"/>
      <w:divBdr>
        <w:top w:val="none" w:sz="0" w:space="0" w:color="auto"/>
        <w:left w:val="none" w:sz="0" w:space="0" w:color="auto"/>
        <w:bottom w:val="none" w:sz="0" w:space="0" w:color="auto"/>
        <w:right w:val="none" w:sz="0" w:space="0" w:color="auto"/>
      </w:divBdr>
    </w:div>
    <w:div w:id="2090417855">
      <w:bodyDiv w:val="1"/>
      <w:marLeft w:val="0"/>
      <w:marRight w:val="0"/>
      <w:marTop w:val="0"/>
      <w:marBottom w:val="0"/>
      <w:divBdr>
        <w:top w:val="none" w:sz="0" w:space="0" w:color="auto"/>
        <w:left w:val="none" w:sz="0" w:space="0" w:color="auto"/>
        <w:bottom w:val="none" w:sz="0" w:space="0" w:color="auto"/>
        <w:right w:val="none" w:sz="0" w:space="0" w:color="auto"/>
      </w:divBdr>
    </w:div>
    <w:div w:id="2093160732">
      <w:bodyDiv w:val="1"/>
      <w:marLeft w:val="0"/>
      <w:marRight w:val="0"/>
      <w:marTop w:val="0"/>
      <w:marBottom w:val="0"/>
      <w:divBdr>
        <w:top w:val="none" w:sz="0" w:space="0" w:color="auto"/>
        <w:left w:val="none" w:sz="0" w:space="0" w:color="auto"/>
        <w:bottom w:val="none" w:sz="0" w:space="0" w:color="auto"/>
        <w:right w:val="none" w:sz="0" w:space="0" w:color="auto"/>
      </w:divBdr>
    </w:div>
    <w:div w:id="2094276984">
      <w:bodyDiv w:val="1"/>
      <w:marLeft w:val="0"/>
      <w:marRight w:val="0"/>
      <w:marTop w:val="0"/>
      <w:marBottom w:val="0"/>
      <w:divBdr>
        <w:top w:val="none" w:sz="0" w:space="0" w:color="auto"/>
        <w:left w:val="none" w:sz="0" w:space="0" w:color="auto"/>
        <w:bottom w:val="none" w:sz="0" w:space="0" w:color="auto"/>
        <w:right w:val="none" w:sz="0" w:space="0" w:color="auto"/>
      </w:divBdr>
    </w:div>
    <w:div w:id="2095010012">
      <w:bodyDiv w:val="1"/>
      <w:marLeft w:val="0"/>
      <w:marRight w:val="0"/>
      <w:marTop w:val="0"/>
      <w:marBottom w:val="0"/>
      <w:divBdr>
        <w:top w:val="none" w:sz="0" w:space="0" w:color="auto"/>
        <w:left w:val="none" w:sz="0" w:space="0" w:color="auto"/>
        <w:bottom w:val="none" w:sz="0" w:space="0" w:color="auto"/>
        <w:right w:val="none" w:sz="0" w:space="0" w:color="auto"/>
      </w:divBdr>
    </w:div>
    <w:div w:id="2095278275">
      <w:bodyDiv w:val="1"/>
      <w:marLeft w:val="0"/>
      <w:marRight w:val="0"/>
      <w:marTop w:val="0"/>
      <w:marBottom w:val="0"/>
      <w:divBdr>
        <w:top w:val="none" w:sz="0" w:space="0" w:color="auto"/>
        <w:left w:val="none" w:sz="0" w:space="0" w:color="auto"/>
        <w:bottom w:val="none" w:sz="0" w:space="0" w:color="auto"/>
        <w:right w:val="none" w:sz="0" w:space="0" w:color="auto"/>
      </w:divBdr>
    </w:div>
    <w:div w:id="2095664763">
      <w:bodyDiv w:val="1"/>
      <w:marLeft w:val="0"/>
      <w:marRight w:val="0"/>
      <w:marTop w:val="0"/>
      <w:marBottom w:val="0"/>
      <w:divBdr>
        <w:top w:val="none" w:sz="0" w:space="0" w:color="auto"/>
        <w:left w:val="none" w:sz="0" w:space="0" w:color="auto"/>
        <w:bottom w:val="none" w:sz="0" w:space="0" w:color="auto"/>
        <w:right w:val="none" w:sz="0" w:space="0" w:color="auto"/>
      </w:divBdr>
    </w:div>
    <w:div w:id="2096635001">
      <w:bodyDiv w:val="1"/>
      <w:marLeft w:val="0"/>
      <w:marRight w:val="0"/>
      <w:marTop w:val="0"/>
      <w:marBottom w:val="0"/>
      <w:divBdr>
        <w:top w:val="none" w:sz="0" w:space="0" w:color="auto"/>
        <w:left w:val="none" w:sz="0" w:space="0" w:color="auto"/>
        <w:bottom w:val="none" w:sz="0" w:space="0" w:color="auto"/>
        <w:right w:val="none" w:sz="0" w:space="0" w:color="auto"/>
      </w:divBdr>
    </w:div>
    <w:div w:id="2099599084">
      <w:bodyDiv w:val="1"/>
      <w:marLeft w:val="0"/>
      <w:marRight w:val="0"/>
      <w:marTop w:val="0"/>
      <w:marBottom w:val="0"/>
      <w:divBdr>
        <w:top w:val="none" w:sz="0" w:space="0" w:color="auto"/>
        <w:left w:val="none" w:sz="0" w:space="0" w:color="auto"/>
        <w:bottom w:val="none" w:sz="0" w:space="0" w:color="auto"/>
        <w:right w:val="none" w:sz="0" w:space="0" w:color="auto"/>
      </w:divBdr>
    </w:div>
    <w:div w:id="2099904740">
      <w:bodyDiv w:val="1"/>
      <w:marLeft w:val="0"/>
      <w:marRight w:val="0"/>
      <w:marTop w:val="0"/>
      <w:marBottom w:val="0"/>
      <w:divBdr>
        <w:top w:val="none" w:sz="0" w:space="0" w:color="auto"/>
        <w:left w:val="none" w:sz="0" w:space="0" w:color="auto"/>
        <w:bottom w:val="none" w:sz="0" w:space="0" w:color="auto"/>
        <w:right w:val="none" w:sz="0" w:space="0" w:color="auto"/>
      </w:divBdr>
    </w:div>
    <w:div w:id="2100901805">
      <w:bodyDiv w:val="1"/>
      <w:marLeft w:val="0"/>
      <w:marRight w:val="0"/>
      <w:marTop w:val="0"/>
      <w:marBottom w:val="0"/>
      <w:divBdr>
        <w:top w:val="none" w:sz="0" w:space="0" w:color="auto"/>
        <w:left w:val="none" w:sz="0" w:space="0" w:color="auto"/>
        <w:bottom w:val="none" w:sz="0" w:space="0" w:color="auto"/>
        <w:right w:val="none" w:sz="0" w:space="0" w:color="auto"/>
      </w:divBdr>
    </w:div>
    <w:div w:id="2101559053">
      <w:bodyDiv w:val="1"/>
      <w:marLeft w:val="0"/>
      <w:marRight w:val="0"/>
      <w:marTop w:val="0"/>
      <w:marBottom w:val="0"/>
      <w:divBdr>
        <w:top w:val="none" w:sz="0" w:space="0" w:color="auto"/>
        <w:left w:val="none" w:sz="0" w:space="0" w:color="auto"/>
        <w:bottom w:val="none" w:sz="0" w:space="0" w:color="auto"/>
        <w:right w:val="none" w:sz="0" w:space="0" w:color="auto"/>
      </w:divBdr>
    </w:div>
    <w:div w:id="2104522077">
      <w:bodyDiv w:val="1"/>
      <w:marLeft w:val="0"/>
      <w:marRight w:val="0"/>
      <w:marTop w:val="0"/>
      <w:marBottom w:val="0"/>
      <w:divBdr>
        <w:top w:val="none" w:sz="0" w:space="0" w:color="auto"/>
        <w:left w:val="none" w:sz="0" w:space="0" w:color="auto"/>
        <w:bottom w:val="none" w:sz="0" w:space="0" w:color="auto"/>
        <w:right w:val="none" w:sz="0" w:space="0" w:color="auto"/>
      </w:divBdr>
    </w:div>
    <w:div w:id="2108382735">
      <w:bodyDiv w:val="1"/>
      <w:marLeft w:val="0"/>
      <w:marRight w:val="0"/>
      <w:marTop w:val="0"/>
      <w:marBottom w:val="0"/>
      <w:divBdr>
        <w:top w:val="none" w:sz="0" w:space="0" w:color="auto"/>
        <w:left w:val="none" w:sz="0" w:space="0" w:color="auto"/>
        <w:bottom w:val="none" w:sz="0" w:space="0" w:color="auto"/>
        <w:right w:val="none" w:sz="0" w:space="0" w:color="auto"/>
      </w:divBdr>
    </w:div>
    <w:div w:id="2109737186">
      <w:bodyDiv w:val="1"/>
      <w:marLeft w:val="0"/>
      <w:marRight w:val="0"/>
      <w:marTop w:val="0"/>
      <w:marBottom w:val="0"/>
      <w:divBdr>
        <w:top w:val="none" w:sz="0" w:space="0" w:color="auto"/>
        <w:left w:val="none" w:sz="0" w:space="0" w:color="auto"/>
        <w:bottom w:val="none" w:sz="0" w:space="0" w:color="auto"/>
        <w:right w:val="none" w:sz="0" w:space="0" w:color="auto"/>
      </w:divBdr>
    </w:div>
    <w:div w:id="2112359681">
      <w:bodyDiv w:val="1"/>
      <w:marLeft w:val="0"/>
      <w:marRight w:val="0"/>
      <w:marTop w:val="0"/>
      <w:marBottom w:val="0"/>
      <w:divBdr>
        <w:top w:val="none" w:sz="0" w:space="0" w:color="auto"/>
        <w:left w:val="none" w:sz="0" w:space="0" w:color="auto"/>
        <w:bottom w:val="none" w:sz="0" w:space="0" w:color="auto"/>
        <w:right w:val="none" w:sz="0" w:space="0" w:color="auto"/>
      </w:divBdr>
    </w:div>
    <w:div w:id="2114127845">
      <w:bodyDiv w:val="1"/>
      <w:marLeft w:val="0"/>
      <w:marRight w:val="0"/>
      <w:marTop w:val="0"/>
      <w:marBottom w:val="0"/>
      <w:divBdr>
        <w:top w:val="none" w:sz="0" w:space="0" w:color="auto"/>
        <w:left w:val="none" w:sz="0" w:space="0" w:color="auto"/>
        <w:bottom w:val="none" w:sz="0" w:space="0" w:color="auto"/>
        <w:right w:val="none" w:sz="0" w:space="0" w:color="auto"/>
      </w:divBdr>
    </w:div>
    <w:div w:id="2117677647">
      <w:bodyDiv w:val="1"/>
      <w:marLeft w:val="0"/>
      <w:marRight w:val="0"/>
      <w:marTop w:val="0"/>
      <w:marBottom w:val="0"/>
      <w:divBdr>
        <w:top w:val="none" w:sz="0" w:space="0" w:color="auto"/>
        <w:left w:val="none" w:sz="0" w:space="0" w:color="auto"/>
        <w:bottom w:val="none" w:sz="0" w:space="0" w:color="auto"/>
        <w:right w:val="none" w:sz="0" w:space="0" w:color="auto"/>
      </w:divBdr>
    </w:div>
    <w:div w:id="2125230331">
      <w:bodyDiv w:val="1"/>
      <w:marLeft w:val="0"/>
      <w:marRight w:val="0"/>
      <w:marTop w:val="0"/>
      <w:marBottom w:val="0"/>
      <w:divBdr>
        <w:top w:val="none" w:sz="0" w:space="0" w:color="auto"/>
        <w:left w:val="none" w:sz="0" w:space="0" w:color="auto"/>
        <w:bottom w:val="none" w:sz="0" w:space="0" w:color="auto"/>
        <w:right w:val="none" w:sz="0" w:space="0" w:color="auto"/>
      </w:divBdr>
    </w:div>
    <w:div w:id="2125299104">
      <w:bodyDiv w:val="1"/>
      <w:marLeft w:val="0"/>
      <w:marRight w:val="0"/>
      <w:marTop w:val="0"/>
      <w:marBottom w:val="0"/>
      <w:divBdr>
        <w:top w:val="none" w:sz="0" w:space="0" w:color="auto"/>
        <w:left w:val="none" w:sz="0" w:space="0" w:color="auto"/>
        <w:bottom w:val="none" w:sz="0" w:space="0" w:color="auto"/>
        <w:right w:val="none" w:sz="0" w:space="0" w:color="auto"/>
      </w:divBdr>
    </w:div>
    <w:div w:id="2125417527">
      <w:bodyDiv w:val="1"/>
      <w:marLeft w:val="0"/>
      <w:marRight w:val="0"/>
      <w:marTop w:val="0"/>
      <w:marBottom w:val="0"/>
      <w:divBdr>
        <w:top w:val="none" w:sz="0" w:space="0" w:color="auto"/>
        <w:left w:val="none" w:sz="0" w:space="0" w:color="auto"/>
        <w:bottom w:val="none" w:sz="0" w:space="0" w:color="auto"/>
        <w:right w:val="none" w:sz="0" w:space="0" w:color="auto"/>
      </w:divBdr>
    </w:div>
    <w:div w:id="2126120536">
      <w:bodyDiv w:val="1"/>
      <w:marLeft w:val="0"/>
      <w:marRight w:val="0"/>
      <w:marTop w:val="0"/>
      <w:marBottom w:val="0"/>
      <w:divBdr>
        <w:top w:val="none" w:sz="0" w:space="0" w:color="auto"/>
        <w:left w:val="none" w:sz="0" w:space="0" w:color="auto"/>
        <w:bottom w:val="none" w:sz="0" w:space="0" w:color="auto"/>
        <w:right w:val="none" w:sz="0" w:space="0" w:color="auto"/>
      </w:divBdr>
    </w:div>
    <w:div w:id="2128430010">
      <w:bodyDiv w:val="1"/>
      <w:marLeft w:val="0"/>
      <w:marRight w:val="0"/>
      <w:marTop w:val="0"/>
      <w:marBottom w:val="0"/>
      <w:divBdr>
        <w:top w:val="none" w:sz="0" w:space="0" w:color="auto"/>
        <w:left w:val="none" w:sz="0" w:space="0" w:color="auto"/>
        <w:bottom w:val="none" w:sz="0" w:space="0" w:color="auto"/>
        <w:right w:val="none" w:sz="0" w:space="0" w:color="auto"/>
      </w:divBdr>
    </w:div>
    <w:div w:id="2131970851">
      <w:bodyDiv w:val="1"/>
      <w:marLeft w:val="0"/>
      <w:marRight w:val="0"/>
      <w:marTop w:val="0"/>
      <w:marBottom w:val="0"/>
      <w:divBdr>
        <w:top w:val="none" w:sz="0" w:space="0" w:color="auto"/>
        <w:left w:val="none" w:sz="0" w:space="0" w:color="auto"/>
        <w:bottom w:val="none" w:sz="0" w:space="0" w:color="auto"/>
        <w:right w:val="none" w:sz="0" w:space="0" w:color="auto"/>
      </w:divBdr>
    </w:div>
    <w:div w:id="2137334388">
      <w:bodyDiv w:val="1"/>
      <w:marLeft w:val="0"/>
      <w:marRight w:val="0"/>
      <w:marTop w:val="0"/>
      <w:marBottom w:val="0"/>
      <w:divBdr>
        <w:top w:val="none" w:sz="0" w:space="0" w:color="auto"/>
        <w:left w:val="none" w:sz="0" w:space="0" w:color="auto"/>
        <w:bottom w:val="none" w:sz="0" w:space="0" w:color="auto"/>
        <w:right w:val="none" w:sz="0" w:space="0" w:color="auto"/>
      </w:divBdr>
    </w:div>
    <w:div w:id="2138404833">
      <w:bodyDiv w:val="1"/>
      <w:marLeft w:val="0"/>
      <w:marRight w:val="0"/>
      <w:marTop w:val="0"/>
      <w:marBottom w:val="0"/>
      <w:divBdr>
        <w:top w:val="none" w:sz="0" w:space="0" w:color="auto"/>
        <w:left w:val="none" w:sz="0" w:space="0" w:color="auto"/>
        <w:bottom w:val="none" w:sz="0" w:space="0" w:color="auto"/>
        <w:right w:val="none" w:sz="0" w:space="0" w:color="auto"/>
      </w:divBdr>
    </w:div>
    <w:div w:id="2140495461">
      <w:bodyDiv w:val="1"/>
      <w:marLeft w:val="0"/>
      <w:marRight w:val="0"/>
      <w:marTop w:val="0"/>
      <w:marBottom w:val="0"/>
      <w:divBdr>
        <w:top w:val="none" w:sz="0" w:space="0" w:color="auto"/>
        <w:left w:val="none" w:sz="0" w:space="0" w:color="auto"/>
        <w:bottom w:val="none" w:sz="0" w:space="0" w:color="auto"/>
        <w:right w:val="none" w:sz="0" w:space="0" w:color="auto"/>
      </w:divBdr>
    </w:div>
    <w:div w:id="2143109057">
      <w:bodyDiv w:val="1"/>
      <w:marLeft w:val="0"/>
      <w:marRight w:val="0"/>
      <w:marTop w:val="0"/>
      <w:marBottom w:val="0"/>
      <w:divBdr>
        <w:top w:val="none" w:sz="0" w:space="0" w:color="auto"/>
        <w:left w:val="none" w:sz="0" w:space="0" w:color="auto"/>
        <w:bottom w:val="none" w:sz="0" w:space="0" w:color="auto"/>
        <w:right w:val="none" w:sz="0" w:space="0" w:color="auto"/>
      </w:divBdr>
    </w:div>
    <w:div w:id="2143687888">
      <w:bodyDiv w:val="1"/>
      <w:marLeft w:val="0"/>
      <w:marRight w:val="0"/>
      <w:marTop w:val="0"/>
      <w:marBottom w:val="0"/>
      <w:divBdr>
        <w:top w:val="none" w:sz="0" w:space="0" w:color="auto"/>
        <w:left w:val="none" w:sz="0" w:space="0" w:color="auto"/>
        <w:bottom w:val="none" w:sz="0" w:space="0" w:color="auto"/>
        <w:right w:val="none" w:sz="0" w:space="0" w:color="auto"/>
      </w:divBdr>
    </w:div>
    <w:div w:id="2143770407">
      <w:bodyDiv w:val="1"/>
      <w:marLeft w:val="0"/>
      <w:marRight w:val="0"/>
      <w:marTop w:val="0"/>
      <w:marBottom w:val="0"/>
      <w:divBdr>
        <w:top w:val="none" w:sz="0" w:space="0" w:color="auto"/>
        <w:left w:val="none" w:sz="0" w:space="0" w:color="auto"/>
        <w:bottom w:val="none" w:sz="0" w:space="0" w:color="auto"/>
        <w:right w:val="none" w:sz="0" w:space="0" w:color="auto"/>
      </w:divBdr>
    </w:div>
    <w:div w:id="2146313027">
      <w:bodyDiv w:val="1"/>
      <w:marLeft w:val="0"/>
      <w:marRight w:val="0"/>
      <w:marTop w:val="0"/>
      <w:marBottom w:val="0"/>
      <w:divBdr>
        <w:top w:val="none" w:sz="0" w:space="0" w:color="auto"/>
        <w:left w:val="none" w:sz="0" w:space="0" w:color="auto"/>
        <w:bottom w:val="none" w:sz="0" w:space="0" w:color="auto"/>
        <w:right w:val="none" w:sz="0" w:space="0" w:color="auto"/>
      </w:divBdr>
    </w:div>
    <w:div w:id="214724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0.png"/><Relationship Id="rId26" Type="http://schemas.openxmlformats.org/officeDocument/2006/relationships/chart" Target="charts/chart4.xml"/><Relationship Id="rId39" Type="http://schemas.openxmlformats.org/officeDocument/2006/relationships/image" Target="media/image17.svg"/><Relationship Id="rId21" Type="http://schemas.openxmlformats.org/officeDocument/2006/relationships/image" Target="media/image9.JPG"/><Relationship Id="rId34" Type="http://schemas.microsoft.com/office/2016/09/relationships/commentsIds" Target="commentsIds.xml"/><Relationship Id="rId42" Type="http://schemas.openxmlformats.org/officeDocument/2006/relationships/diagramLayout" Target="diagrams/layout1.xml"/><Relationship Id="rId47" Type="http://schemas.openxmlformats.org/officeDocument/2006/relationships/diagramLayout" Target="diagrams/layout2.xml"/><Relationship Id="rId50" Type="http://schemas.microsoft.com/office/2007/relationships/diagramDrawing" Target="diagrams/drawing2.xml"/><Relationship Id="rId55" Type="http://schemas.openxmlformats.org/officeDocument/2006/relationships/chart" Target="charts/chart11.xml"/><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footer" Target="footer3.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comments" Target="comments.xml"/><Relationship Id="rId37" Type="http://schemas.openxmlformats.org/officeDocument/2006/relationships/image" Target="media/image15.svg"/><Relationship Id="rId40" Type="http://schemas.openxmlformats.org/officeDocument/2006/relationships/chart" Target="charts/chart6.xml"/><Relationship Id="rId45" Type="http://schemas.microsoft.com/office/2007/relationships/diagramDrawing" Target="diagrams/drawing1.xml"/><Relationship Id="rId53" Type="http://schemas.openxmlformats.org/officeDocument/2006/relationships/chart" Target="charts/chart9.xml"/><Relationship Id="rId58" Type="http://schemas.openxmlformats.org/officeDocument/2006/relationships/chart" Target="charts/chart14.xm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image" Target="media/image90.jp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chart" Target="charts/chart5.xml"/><Relationship Id="rId30" Type="http://schemas.openxmlformats.org/officeDocument/2006/relationships/image" Target="media/image12.png"/><Relationship Id="rId35" Type="http://schemas.microsoft.com/office/2018/08/relationships/commentsExtensible" Target="commentsExtensible.xml"/><Relationship Id="rId43" Type="http://schemas.openxmlformats.org/officeDocument/2006/relationships/diagramQuickStyle" Target="diagrams/quickStyle1.xml"/><Relationship Id="rId48" Type="http://schemas.openxmlformats.org/officeDocument/2006/relationships/diagramQuickStyle" Target="diagrams/quickStyle2.xml"/><Relationship Id="rId56" Type="http://schemas.openxmlformats.org/officeDocument/2006/relationships/chart" Target="charts/chart12.xml"/><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chart" Target="charts/chart7.xml"/><Relationship Id="rId3" Type="http://schemas.openxmlformats.org/officeDocument/2006/relationships/customXml" Target="../customXml/item3.xml"/><Relationship Id="rId12" Type="http://schemas.openxmlformats.org/officeDocument/2006/relationships/footer" Target="footer1.xml"/><Relationship Id="rId25" Type="http://schemas.openxmlformats.org/officeDocument/2006/relationships/chart" Target="charts/chart3.xml"/><Relationship Id="rId33" Type="http://schemas.microsoft.com/office/2011/relationships/commentsExtended" Target="commentsExtended.xml"/><Relationship Id="rId38" Type="http://schemas.openxmlformats.org/officeDocument/2006/relationships/image" Target="media/image16.png"/><Relationship Id="rId46" Type="http://schemas.openxmlformats.org/officeDocument/2006/relationships/diagramData" Target="diagrams/data2.xml"/><Relationship Id="rId59" Type="http://schemas.openxmlformats.org/officeDocument/2006/relationships/chart" Target="charts/chart15.xml"/><Relationship Id="rId20" Type="http://schemas.openxmlformats.org/officeDocument/2006/relationships/hyperlink" Target="http://www.csiro.au/contact" TargetMode="External"/><Relationship Id="rId41" Type="http://schemas.openxmlformats.org/officeDocument/2006/relationships/diagramData" Target="diagrams/data1.xml"/><Relationship Id="rId54" Type="http://schemas.openxmlformats.org/officeDocument/2006/relationships/chart" Target="charts/chart1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image" Target="media/image11.png"/><Relationship Id="rId36" Type="http://schemas.openxmlformats.org/officeDocument/2006/relationships/image" Target="media/image14.png"/><Relationship Id="rId49" Type="http://schemas.openxmlformats.org/officeDocument/2006/relationships/diagramColors" Target="diagrams/colors2.xml"/><Relationship Id="rId57" Type="http://schemas.openxmlformats.org/officeDocument/2006/relationships/chart" Target="charts/chart13.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diagramColors" Target="diagrams/colors1.xml"/><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E_OF.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1" Type="http://schemas.openxmlformats.org/officeDocument/2006/relationships/oleObject" Target="file:///\\advitech.com.au\Shares\Job%20Folders\23905%20CSIRO%20Research%20Project\Final%20Report\23905%20CSIRO%20Research%20Project%20-%20Taxonomy%20of%20Load_RevE_OF.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E_OF.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E_OF.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FOR%20SUBMISSION\23905%20CSIRO%20Research%20Project%20-%20Taxonomy%20of%20Load_Rev1.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D_OF.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E_OF.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FOR%20SUBMISSION\23905%20CSIRO%20Research%20Project%20-%20Taxonomy%20of%20Load_Rev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leg.fina\Desktop\23905%20CSIRO%20Research%20Project%20-%20Taxonomy%20of%20Load_RevE_OF.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advitech.com.au\Shares\Job%20Folders\23905%20CSIRO%20Research%20Project\Final%20Report\23905%20CSIRO%20Research%20Project%20-%20Taxonomy%20of%20Load_RevE_OF.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advitech.com.au\Shares\Job%20Folders\23905%20CSIRO%20Research%20Project\Final%20Report\23905%20CSIRO%20Research%20Project%20-%20Taxonomy%20of%20Load_RevE_OF.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18018018018017"/>
          <c:y val="0"/>
          <c:w val="0.65165165165165162"/>
          <c:h val="1"/>
        </c:manualLayout>
      </c:layout>
      <c:doughnutChart>
        <c:varyColors val="1"/>
        <c:ser>
          <c:idx val="0"/>
          <c:order val="0"/>
          <c:tx>
            <c:strRef>
              <c:f>Sheet1!$B$1</c:f>
              <c:strCache>
                <c:ptCount val="1"/>
                <c:pt idx="0">
                  <c:v>Sales</c:v>
                </c:pt>
              </c:strCache>
            </c:strRef>
          </c:tx>
          <c:dPt>
            <c:idx val="0"/>
            <c:bubble3D val="0"/>
            <c:spPr>
              <a:solidFill>
                <a:schemeClr val="accent4">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C89-4175-950E-0AA62D1AFF90}"/>
              </c:ext>
            </c:extLst>
          </c:dPt>
          <c:dPt>
            <c:idx val="1"/>
            <c:bubble3D val="0"/>
            <c:spPr>
              <a:solidFill>
                <a:schemeClr val="accent4">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C89-4175-950E-0AA62D1AFF9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85</c:v>
                </c:pt>
                <c:pt idx="1">
                  <c:v>15</c:v>
                </c:pt>
              </c:numCache>
            </c:numRef>
          </c:val>
          <c:extLst>
            <c:ext xmlns:c16="http://schemas.microsoft.com/office/drawing/2014/chart" uri="{C3380CC4-5D6E-409C-BE32-E72D297353CC}">
              <c16:uniqueId val="{00000004-BC89-4175-950E-0AA62D1AFF90}"/>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'Barriers &amp; Classification'!$F$4</c:f>
              <c:strCache>
                <c:ptCount val="1"/>
                <c:pt idx="0">
                  <c:v>Organisational Inertia</c:v>
                </c:pt>
              </c:strCache>
            </c:strRef>
          </c:tx>
          <c:spPr>
            <a:solidFill>
              <a:schemeClr val="tx2"/>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Classification'!$F$17:$F$26</c:f>
              <c:numCache>
                <c:formatCode>General</c:formatCode>
                <c:ptCount val="10"/>
                <c:pt idx="0">
                  <c:v>1</c:v>
                </c:pt>
                <c:pt idx="1">
                  <c:v>1</c:v>
                </c:pt>
                <c:pt idx="2">
                  <c:v>0</c:v>
                </c:pt>
                <c:pt idx="3">
                  <c:v>1</c:v>
                </c:pt>
                <c:pt idx="4">
                  <c:v>0</c:v>
                </c:pt>
                <c:pt idx="5">
                  <c:v>1</c:v>
                </c:pt>
                <c:pt idx="6">
                  <c:v>0</c:v>
                </c:pt>
                <c:pt idx="7">
                  <c:v>1</c:v>
                </c:pt>
                <c:pt idx="8">
                  <c:v>1</c:v>
                </c:pt>
                <c:pt idx="9">
                  <c:v>1</c:v>
                </c:pt>
              </c:numCache>
            </c:numRef>
          </c:val>
          <c:extLst>
            <c:ext xmlns:c16="http://schemas.microsoft.com/office/drawing/2014/chart" uri="{C3380CC4-5D6E-409C-BE32-E72D297353CC}">
              <c16:uniqueId val="{00000000-B1E1-4B96-8106-E47DAE9A8A47}"/>
            </c:ext>
          </c:extLst>
        </c:ser>
        <c:ser>
          <c:idx val="1"/>
          <c:order val="1"/>
          <c:tx>
            <c:strRef>
              <c:f>'Barriers &amp; Classification'!$G$4</c:f>
              <c:strCache>
                <c:ptCount val="1"/>
                <c:pt idx="0">
                  <c:v>Labour Cost</c:v>
                </c:pt>
              </c:strCache>
            </c:strRef>
          </c:tx>
          <c:spPr>
            <a:solidFill>
              <a:schemeClr val="accent2"/>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Classification'!$G$17:$G$26</c:f>
              <c:numCache>
                <c:formatCode>General</c:formatCode>
                <c:ptCount val="10"/>
                <c:pt idx="0">
                  <c:v>1</c:v>
                </c:pt>
                <c:pt idx="1">
                  <c:v>1</c:v>
                </c:pt>
                <c:pt idx="2">
                  <c:v>0</c:v>
                </c:pt>
                <c:pt idx="3">
                  <c:v>1</c:v>
                </c:pt>
                <c:pt idx="4">
                  <c:v>0</c:v>
                </c:pt>
                <c:pt idx="5">
                  <c:v>1</c:v>
                </c:pt>
                <c:pt idx="6">
                  <c:v>0</c:v>
                </c:pt>
                <c:pt idx="7">
                  <c:v>1</c:v>
                </c:pt>
                <c:pt idx="8">
                  <c:v>1</c:v>
                </c:pt>
                <c:pt idx="9">
                  <c:v>1</c:v>
                </c:pt>
              </c:numCache>
            </c:numRef>
          </c:val>
          <c:extLst>
            <c:ext xmlns:c16="http://schemas.microsoft.com/office/drawing/2014/chart" uri="{C3380CC4-5D6E-409C-BE32-E72D297353CC}">
              <c16:uniqueId val="{00000001-B1E1-4B96-8106-E47DAE9A8A47}"/>
            </c:ext>
          </c:extLst>
        </c:ser>
        <c:ser>
          <c:idx val="2"/>
          <c:order val="2"/>
          <c:tx>
            <c:strRef>
              <c:f>'Barriers &amp; Classification'!$H$4</c:f>
              <c:strCache>
                <c:ptCount val="1"/>
                <c:pt idx="0">
                  <c:v>Access &amp; Awareness</c:v>
                </c:pt>
              </c:strCache>
            </c:strRef>
          </c:tx>
          <c:spPr>
            <a:solidFill>
              <a:schemeClr val="accent3"/>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Classification'!$H$17:$H$26</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2-B1E1-4B96-8106-E47DAE9A8A47}"/>
            </c:ext>
          </c:extLst>
        </c:ser>
        <c:ser>
          <c:idx val="3"/>
          <c:order val="3"/>
          <c:tx>
            <c:strRef>
              <c:f>'Barriers &amp; Classification'!$I$4</c:f>
              <c:strCache>
                <c:ptCount val="1"/>
                <c:pt idx="0">
                  <c:v>Technology Availability</c:v>
                </c:pt>
              </c:strCache>
            </c:strRef>
          </c:tx>
          <c:spPr>
            <a:solidFill>
              <a:schemeClr val="accent4"/>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Classification'!$I$17:$I$26</c:f>
              <c:numCache>
                <c:formatCode>General</c:formatCode>
                <c:ptCount val="10"/>
                <c:pt idx="0">
                  <c:v>1</c:v>
                </c:pt>
                <c:pt idx="1">
                  <c:v>1</c:v>
                </c:pt>
                <c:pt idx="2">
                  <c:v>0</c:v>
                </c:pt>
                <c:pt idx="3">
                  <c:v>1</c:v>
                </c:pt>
                <c:pt idx="4">
                  <c:v>0</c:v>
                </c:pt>
                <c:pt idx="5">
                  <c:v>1</c:v>
                </c:pt>
                <c:pt idx="6">
                  <c:v>0</c:v>
                </c:pt>
                <c:pt idx="7">
                  <c:v>1</c:v>
                </c:pt>
                <c:pt idx="8">
                  <c:v>1</c:v>
                </c:pt>
                <c:pt idx="9">
                  <c:v>1</c:v>
                </c:pt>
              </c:numCache>
            </c:numRef>
          </c:val>
          <c:extLst>
            <c:ext xmlns:c16="http://schemas.microsoft.com/office/drawing/2014/chart" uri="{C3380CC4-5D6E-409C-BE32-E72D297353CC}">
              <c16:uniqueId val="{00000003-B1E1-4B96-8106-E47DAE9A8A47}"/>
            </c:ext>
          </c:extLst>
        </c:ser>
        <c:ser>
          <c:idx val="4"/>
          <c:order val="4"/>
          <c:tx>
            <c:strRef>
              <c:f>'Barriers &amp; Classification'!$J$4</c:f>
              <c:strCache>
                <c:ptCount val="1"/>
                <c:pt idx="0">
                  <c:v>Data Deficiency</c:v>
                </c:pt>
              </c:strCache>
            </c:strRef>
          </c:tx>
          <c:spPr>
            <a:solidFill>
              <a:schemeClr val="accent5"/>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Classification'!$J$17:$J$26</c:f>
              <c:numCache>
                <c:formatCode>General</c:formatCode>
                <c:ptCount val="10"/>
                <c:pt idx="0">
                  <c:v>0</c:v>
                </c:pt>
                <c:pt idx="1">
                  <c:v>0</c:v>
                </c:pt>
                <c:pt idx="2">
                  <c:v>1</c:v>
                </c:pt>
                <c:pt idx="3">
                  <c:v>1</c:v>
                </c:pt>
                <c:pt idx="4">
                  <c:v>0</c:v>
                </c:pt>
                <c:pt idx="5">
                  <c:v>1</c:v>
                </c:pt>
                <c:pt idx="6">
                  <c:v>1</c:v>
                </c:pt>
                <c:pt idx="7">
                  <c:v>1</c:v>
                </c:pt>
                <c:pt idx="8">
                  <c:v>0</c:v>
                </c:pt>
                <c:pt idx="9">
                  <c:v>0</c:v>
                </c:pt>
              </c:numCache>
            </c:numRef>
          </c:val>
          <c:extLst>
            <c:ext xmlns:c16="http://schemas.microsoft.com/office/drawing/2014/chart" uri="{C3380CC4-5D6E-409C-BE32-E72D297353CC}">
              <c16:uniqueId val="{00000004-B1E1-4B96-8106-E47DAE9A8A47}"/>
            </c:ext>
          </c:extLst>
        </c:ser>
        <c:ser>
          <c:idx val="5"/>
          <c:order val="5"/>
          <c:tx>
            <c:strRef>
              <c:f>'Barriers &amp; Classification'!$K$4</c:f>
              <c:strCache>
                <c:ptCount val="1"/>
                <c:pt idx="0">
                  <c:v>Continuous Process</c:v>
                </c:pt>
              </c:strCache>
            </c:strRef>
          </c:tx>
          <c:spPr>
            <a:solidFill>
              <a:schemeClr val="accent1"/>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Classification'!$K$17:$K$26</c:f>
              <c:numCache>
                <c:formatCode>General</c:formatCode>
                <c:ptCount val="10"/>
                <c:pt idx="0">
                  <c:v>1</c:v>
                </c:pt>
                <c:pt idx="1">
                  <c:v>1</c:v>
                </c:pt>
                <c:pt idx="2">
                  <c:v>1</c:v>
                </c:pt>
                <c:pt idx="3">
                  <c:v>0</c:v>
                </c:pt>
                <c:pt idx="4">
                  <c:v>1</c:v>
                </c:pt>
                <c:pt idx="5">
                  <c:v>1</c:v>
                </c:pt>
                <c:pt idx="6">
                  <c:v>1</c:v>
                </c:pt>
                <c:pt idx="7">
                  <c:v>1</c:v>
                </c:pt>
                <c:pt idx="8">
                  <c:v>1</c:v>
                </c:pt>
                <c:pt idx="9">
                  <c:v>1</c:v>
                </c:pt>
              </c:numCache>
            </c:numRef>
          </c:val>
          <c:extLst>
            <c:ext xmlns:c16="http://schemas.microsoft.com/office/drawing/2014/chart" uri="{C3380CC4-5D6E-409C-BE32-E72D297353CC}">
              <c16:uniqueId val="{00000005-B1E1-4B96-8106-E47DAE9A8A47}"/>
            </c:ext>
          </c:extLst>
        </c:ser>
        <c:dLbls>
          <c:showLegendKey val="0"/>
          <c:showVal val="0"/>
          <c:showCatName val="0"/>
          <c:showSerName val="0"/>
          <c:showPercent val="0"/>
          <c:showBubbleSize val="0"/>
        </c:dLbls>
        <c:gapWidth val="150"/>
        <c:overlap val="100"/>
        <c:axId val="486816223"/>
        <c:axId val="1000841871"/>
      </c:barChart>
      <c:catAx>
        <c:axId val="48681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000841871"/>
        <c:crosses val="autoZero"/>
        <c:auto val="1"/>
        <c:lblAlgn val="ctr"/>
        <c:lblOffset val="100"/>
        <c:noMultiLvlLbl val="0"/>
      </c:catAx>
      <c:valAx>
        <c:axId val="1000841871"/>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86816223"/>
        <c:crosses val="autoZero"/>
        <c:crossBetween val="between"/>
        <c:majorUnit val="1"/>
      </c:valAx>
      <c:spPr>
        <a:noFill/>
        <a:ln>
          <a:noFill/>
        </a:ln>
        <a:effectLst/>
      </c:spPr>
    </c:plotArea>
    <c:legend>
      <c:legendPos val="b"/>
      <c:layout>
        <c:manualLayout>
          <c:xMode val="edge"/>
          <c:yMode val="edge"/>
          <c:x val="4.3274054157864415E-2"/>
          <c:y val="0.85048552691597312"/>
          <c:w val="0.93513193777607062"/>
          <c:h val="0.1320307183824243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v>Primary Cohort</c:v>
          </c:tx>
          <c:spPr>
            <a:solidFill>
              <a:schemeClr val="accent4"/>
            </a:solidFill>
          </c:spPr>
          <c:invertIfNegative val="0"/>
          <c:dLbls>
            <c:spPr>
              <a:noFill/>
              <a:ln>
                <a:noFill/>
              </a:ln>
              <a:effectLst/>
            </c:spPr>
            <c:txPr>
              <a:bodyPr wrap="square" lIns="38100" tIns="19050" rIns="38100" bIns="19050" anchor="ctr">
                <a:spAutoFit/>
              </a:bodyPr>
              <a:lstStyle/>
              <a:p>
                <a:pPr>
                  <a:defRPr sz="800" b="1">
                    <a:latin typeface="Gilroy" panose="00000500000000000000" pitchFamily="50"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'Barriers &amp; Classification'!$M$4:$Q$4</c:f>
              <c:strCache>
                <c:ptCount val="5"/>
                <c:pt idx="0">
                  <c:v>Energy 
Use Data</c:v>
                </c:pt>
                <c:pt idx="1">
                  <c:v>On-Site 
Generation</c:v>
                </c:pt>
                <c:pt idx="2">
                  <c:v>Dynamic 
Operation</c:v>
                </c:pt>
                <c:pt idx="3">
                  <c:v>Participation 
Availability</c:v>
                </c:pt>
                <c:pt idx="4">
                  <c:v>Existing
Participation</c:v>
                </c:pt>
              </c:strCache>
            </c:strRef>
          </c:cat>
          <c:val>
            <c:numRef>
              <c:f>'Barriers &amp; Classification'!$M$27:$Q$27</c:f>
              <c:numCache>
                <c:formatCode>General</c:formatCode>
                <c:ptCount val="5"/>
                <c:pt idx="0">
                  <c:v>11</c:v>
                </c:pt>
                <c:pt idx="1">
                  <c:v>9</c:v>
                </c:pt>
                <c:pt idx="2">
                  <c:v>6</c:v>
                </c:pt>
                <c:pt idx="3">
                  <c:v>7</c:v>
                </c:pt>
                <c:pt idx="4">
                  <c:v>1</c:v>
                </c:pt>
              </c:numCache>
            </c:numRef>
          </c:val>
          <c:extLst>
            <c:ext xmlns:c16="http://schemas.microsoft.com/office/drawing/2014/chart" uri="{C3380CC4-5D6E-409C-BE32-E72D297353CC}">
              <c16:uniqueId val="{00000000-8BAF-4D06-93EF-E964A2E22024}"/>
            </c:ext>
          </c:extLst>
        </c:ser>
        <c:ser>
          <c:idx val="0"/>
          <c:order val="1"/>
          <c:tx>
            <c:v>Supplementary Participants</c:v>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800" b="1">
                    <a:latin typeface="Gilroy" panose="00000500000000000000" pitchFamily="50"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'Barriers &amp; Classification'!$M$4:$Q$4</c:f>
              <c:strCache>
                <c:ptCount val="5"/>
                <c:pt idx="0">
                  <c:v>Energy 
Use Data</c:v>
                </c:pt>
                <c:pt idx="1">
                  <c:v>On-Site 
Generation</c:v>
                </c:pt>
                <c:pt idx="2">
                  <c:v>Dynamic 
Operation</c:v>
                </c:pt>
                <c:pt idx="3">
                  <c:v>Participation 
Availability</c:v>
                </c:pt>
                <c:pt idx="4">
                  <c:v>Existing
Participation</c:v>
                </c:pt>
              </c:strCache>
            </c:strRef>
          </c:cat>
          <c:val>
            <c:numRef>
              <c:f>'Barriers &amp; Classification'!$M$28:$Q$28</c:f>
              <c:numCache>
                <c:formatCode>General</c:formatCode>
                <c:ptCount val="5"/>
                <c:pt idx="0">
                  <c:v>10</c:v>
                </c:pt>
                <c:pt idx="1">
                  <c:v>5</c:v>
                </c:pt>
                <c:pt idx="2">
                  <c:v>6</c:v>
                </c:pt>
                <c:pt idx="3">
                  <c:v>4</c:v>
                </c:pt>
                <c:pt idx="4">
                  <c:v>1</c:v>
                </c:pt>
              </c:numCache>
            </c:numRef>
          </c:val>
          <c:extLst>
            <c:ext xmlns:c16="http://schemas.microsoft.com/office/drawing/2014/chart" uri="{C3380CC4-5D6E-409C-BE32-E72D297353CC}">
              <c16:uniqueId val="{00000001-8BAF-4D06-93EF-E964A2E22024}"/>
            </c:ext>
          </c:extLst>
        </c:ser>
        <c:dLbls>
          <c:dLblPos val="outEnd"/>
          <c:showLegendKey val="0"/>
          <c:showVal val="1"/>
          <c:showCatName val="0"/>
          <c:showSerName val="0"/>
          <c:showPercent val="0"/>
          <c:showBubbleSize val="0"/>
        </c:dLbls>
        <c:gapWidth val="182"/>
        <c:axId val="476146159"/>
        <c:axId val="476142799"/>
      </c:barChart>
      <c:catAx>
        <c:axId val="476146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476142799"/>
        <c:crosses val="autoZero"/>
        <c:auto val="1"/>
        <c:lblAlgn val="ctr"/>
        <c:lblOffset val="100"/>
        <c:noMultiLvlLbl val="0"/>
      </c:catAx>
      <c:valAx>
        <c:axId val="4761427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76146159"/>
        <c:crosses val="autoZero"/>
        <c:crossBetween val="between"/>
      </c:valAx>
    </c:plotArea>
    <c:legend>
      <c:legendPos val="b"/>
      <c:overlay val="0"/>
      <c:txPr>
        <a:bodyPr/>
        <a:lstStyle/>
        <a:p>
          <a:pPr>
            <a:defRPr sz="900" b="1">
              <a:solidFill>
                <a:schemeClr val="tx1"/>
              </a:solidFill>
              <a:latin typeface="Gilroy" panose="00000500000000000000" pitchFamily="50" charset="0"/>
            </a:defRPr>
          </a:pPr>
          <a:endParaRPr lang="en-US"/>
        </a:p>
      </c:txPr>
    </c:legend>
    <c:plotVisOnly val="1"/>
    <c:dispBlanksAs val="gap"/>
    <c:showDLblsOverMax val="0"/>
  </c:chart>
  <c:spPr>
    <a:ln>
      <a:solidFill>
        <a:srgbClr val="000000"/>
      </a:solidFill>
    </a:ln>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323700278205963E-2"/>
          <c:y val="4.1314553990610327E-2"/>
          <c:w val="0.91780916274354596"/>
          <c:h val="0.61431429522013969"/>
        </c:manualLayout>
      </c:layout>
      <c:barChart>
        <c:barDir val="col"/>
        <c:grouping val="stacked"/>
        <c:varyColors val="0"/>
        <c:ser>
          <c:idx val="0"/>
          <c:order val="0"/>
          <c:tx>
            <c:strRef>
              <c:f>'Barriers &amp; Classification'!$M$4</c:f>
              <c:strCache>
                <c:ptCount val="1"/>
                <c:pt idx="0">
                  <c:v>Energy 
Use Data</c:v>
                </c:pt>
              </c:strCache>
            </c:strRef>
          </c:tx>
          <c:spPr>
            <a:solidFill>
              <a:schemeClr val="accent1"/>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Classification'!$M$5:$M$16</c:f>
              <c:numCache>
                <c:formatCode>General</c:formatCode>
                <c:ptCount val="12"/>
                <c:pt idx="0">
                  <c:v>1</c:v>
                </c:pt>
                <c:pt idx="1">
                  <c:v>1</c:v>
                </c:pt>
                <c:pt idx="2">
                  <c:v>0</c:v>
                </c:pt>
                <c:pt idx="3">
                  <c:v>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55AB-47EC-96E8-85006AD7DBA1}"/>
            </c:ext>
          </c:extLst>
        </c:ser>
        <c:ser>
          <c:idx val="1"/>
          <c:order val="1"/>
          <c:tx>
            <c:strRef>
              <c:f>'Barriers &amp; Classification'!$N$4</c:f>
              <c:strCache>
                <c:ptCount val="1"/>
                <c:pt idx="0">
                  <c:v>On-Site 
Generation</c:v>
                </c:pt>
              </c:strCache>
            </c:strRef>
          </c:tx>
          <c:spPr>
            <a:solidFill>
              <a:schemeClr val="accent2"/>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Classification'!$N$5:$N$16</c:f>
              <c:numCache>
                <c:formatCode>General</c:formatCode>
                <c:ptCount val="12"/>
                <c:pt idx="0">
                  <c:v>1</c:v>
                </c:pt>
                <c:pt idx="1">
                  <c:v>1</c:v>
                </c:pt>
                <c:pt idx="2">
                  <c:v>0</c:v>
                </c:pt>
                <c:pt idx="3">
                  <c:v>1</c:v>
                </c:pt>
                <c:pt idx="4">
                  <c:v>1</c:v>
                </c:pt>
                <c:pt idx="5">
                  <c:v>1</c:v>
                </c:pt>
                <c:pt idx="6">
                  <c:v>1</c:v>
                </c:pt>
                <c:pt idx="7">
                  <c:v>0</c:v>
                </c:pt>
                <c:pt idx="8">
                  <c:v>1</c:v>
                </c:pt>
                <c:pt idx="9">
                  <c:v>0</c:v>
                </c:pt>
                <c:pt idx="10">
                  <c:v>1</c:v>
                </c:pt>
                <c:pt idx="11">
                  <c:v>1</c:v>
                </c:pt>
              </c:numCache>
            </c:numRef>
          </c:val>
          <c:extLst>
            <c:ext xmlns:c16="http://schemas.microsoft.com/office/drawing/2014/chart" uri="{C3380CC4-5D6E-409C-BE32-E72D297353CC}">
              <c16:uniqueId val="{00000001-55AB-47EC-96E8-85006AD7DBA1}"/>
            </c:ext>
          </c:extLst>
        </c:ser>
        <c:ser>
          <c:idx val="2"/>
          <c:order val="2"/>
          <c:tx>
            <c:strRef>
              <c:f>'Barriers &amp; Classification'!$O$4</c:f>
              <c:strCache>
                <c:ptCount val="1"/>
                <c:pt idx="0">
                  <c:v>Dynamic 
Operation</c:v>
                </c:pt>
              </c:strCache>
            </c:strRef>
          </c:tx>
          <c:spPr>
            <a:solidFill>
              <a:schemeClr val="accent3"/>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Classification'!$O$5:$O$16</c:f>
              <c:numCache>
                <c:formatCode>General</c:formatCode>
                <c:ptCount val="12"/>
                <c:pt idx="0">
                  <c:v>0</c:v>
                </c:pt>
                <c:pt idx="1">
                  <c:v>1</c:v>
                </c:pt>
                <c:pt idx="2">
                  <c:v>1</c:v>
                </c:pt>
                <c:pt idx="3">
                  <c:v>0</c:v>
                </c:pt>
                <c:pt idx="4">
                  <c:v>0</c:v>
                </c:pt>
                <c:pt idx="5">
                  <c:v>1</c:v>
                </c:pt>
                <c:pt idx="6">
                  <c:v>0</c:v>
                </c:pt>
                <c:pt idx="7">
                  <c:v>1</c:v>
                </c:pt>
                <c:pt idx="8">
                  <c:v>1</c:v>
                </c:pt>
                <c:pt idx="9">
                  <c:v>0</c:v>
                </c:pt>
                <c:pt idx="10">
                  <c:v>1</c:v>
                </c:pt>
                <c:pt idx="11">
                  <c:v>0</c:v>
                </c:pt>
              </c:numCache>
            </c:numRef>
          </c:val>
          <c:extLst>
            <c:ext xmlns:c16="http://schemas.microsoft.com/office/drawing/2014/chart" uri="{C3380CC4-5D6E-409C-BE32-E72D297353CC}">
              <c16:uniqueId val="{00000002-55AB-47EC-96E8-85006AD7DBA1}"/>
            </c:ext>
          </c:extLst>
        </c:ser>
        <c:ser>
          <c:idx val="3"/>
          <c:order val="3"/>
          <c:tx>
            <c:strRef>
              <c:f>'Barriers &amp; Classification'!$P$4</c:f>
              <c:strCache>
                <c:ptCount val="1"/>
                <c:pt idx="0">
                  <c:v>Participation 
Availability</c:v>
                </c:pt>
              </c:strCache>
            </c:strRef>
          </c:tx>
          <c:spPr>
            <a:solidFill>
              <a:schemeClr val="accent4"/>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Classification'!$P$5:$P$16</c:f>
              <c:numCache>
                <c:formatCode>General</c:formatCode>
                <c:ptCount val="12"/>
                <c:pt idx="0">
                  <c:v>1</c:v>
                </c:pt>
                <c:pt idx="1">
                  <c:v>1</c:v>
                </c:pt>
                <c:pt idx="2">
                  <c:v>1</c:v>
                </c:pt>
                <c:pt idx="3">
                  <c:v>1</c:v>
                </c:pt>
                <c:pt idx="4">
                  <c:v>0</c:v>
                </c:pt>
                <c:pt idx="5">
                  <c:v>0</c:v>
                </c:pt>
                <c:pt idx="6">
                  <c:v>0</c:v>
                </c:pt>
                <c:pt idx="7">
                  <c:v>1</c:v>
                </c:pt>
                <c:pt idx="8">
                  <c:v>1</c:v>
                </c:pt>
                <c:pt idx="9">
                  <c:v>0</c:v>
                </c:pt>
                <c:pt idx="10">
                  <c:v>1</c:v>
                </c:pt>
                <c:pt idx="11">
                  <c:v>0</c:v>
                </c:pt>
              </c:numCache>
            </c:numRef>
          </c:val>
          <c:extLst>
            <c:ext xmlns:c16="http://schemas.microsoft.com/office/drawing/2014/chart" uri="{C3380CC4-5D6E-409C-BE32-E72D297353CC}">
              <c16:uniqueId val="{00000003-55AB-47EC-96E8-85006AD7DBA1}"/>
            </c:ext>
          </c:extLst>
        </c:ser>
        <c:ser>
          <c:idx val="4"/>
          <c:order val="4"/>
          <c:tx>
            <c:strRef>
              <c:f>'Barriers &amp; Classification'!$Q$4</c:f>
              <c:strCache>
                <c:ptCount val="1"/>
                <c:pt idx="0">
                  <c:v>Existing
Participation</c:v>
                </c:pt>
              </c:strCache>
            </c:strRef>
          </c:tx>
          <c:spPr>
            <a:solidFill>
              <a:schemeClr val="accent5"/>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Classification'!$Q$5:$Q$16</c:f>
              <c:numCache>
                <c:formatCode>General</c:formatCode>
                <c:ptCount val="12"/>
                <c:pt idx="0">
                  <c:v>0</c:v>
                </c:pt>
                <c:pt idx="1">
                  <c:v>0</c:v>
                </c:pt>
                <c:pt idx="2">
                  <c:v>0</c:v>
                </c:pt>
                <c:pt idx="3">
                  <c:v>0</c:v>
                </c:pt>
                <c:pt idx="4">
                  <c:v>0</c:v>
                </c:pt>
                <c:pt idx="5">
                  <c:v>0</c:v>
                </c:pt>
                <c:pt idx="6">
                  <c:v>0</c:v>
                </c:pt>
                <c:pt idx="7">
                  <c:v>0</c:v>
                </c:pt>
                <c:pt idx="8">
                  <c:v>1</c:v>
                </c:pt>
                <c:pt idx="9">
                  <c:v>0</c:v>
                </c:pt>
                <c:pt idx="10">
                  <c:v>0</c:v>
                </c:pt>
                <c:pt idx="11">
                  <c:v>0</c:v>
                </c:pt>
              </c:numCache>
            </c:numRef>
          </c:val>
          <c:extLst>
            <c:ext xmlns:c16="http://schemas.microsoft.com/office/drawing/2014/chart" uri="{C3380CC4-5D6E-409C-BE32-E72D297353CC}">
              <c16:uniqueId val="{00000004-55AB-47EC-96E8-85006AD7DBA1}"/>
            </c:ext>
          </c:extLst>
        </c:ser>
        <c:dLbls>
          <c:showLegendKey val="0"/>
          <c:showVal val="0"/>
          <c:showCatName val="0"/>
          <c:showSerName val="0"/>
          <c:showPercent val="0"/>
          <c:showBubbleSize val="0"/>
        </c:dLbls>
        <c:gapWidth val="150"/>
        <c:overlap val="100"/>
        <c:axId val="486816223"/>
        <c:axId val="1000841871"/>
      </c:barChart>
      <c:catAx>
        <c:axId val="48681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000841871"/>
        <c:crosses val="autoZero"/>
        <c:auto val="1"/>
        <c:lblAlgn val="ctr"/>
        <c:lblOffset val="100"/>
        <c:noMultiLvlLbl val="0"/>
      </c:catAx>
      <c:valAx>
        <c:axId val="1000841871"/>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86816223"/>
        <c:crosses val="autoZero"/>
        <c:crossBetween val="between"/>
        <c:majorUnit val="1"/>
      </c:valAx>
      <c:spPr>
        <a:noFill/>
        <a:ln>
          <a:noFill/>
        </a:ln>
        <a:effectLst/>
      </c:spPr>
    </c:plotArea>
    <c:legend>
      <c:legendPos val="b"/>
      <c:layout>
        <c:manualLayout>
          <c:xMode val="edge"/>
          <c:yMode val="edge"/>
          <c:x val="4.3274035190045683E-2"/>
          <c:y val="0.86153916675908471"/>
          <c:w val="0.93513193777607062"/>
          <c:h val="0.12469010387786034"/>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03265742224701E-2"/>
          <c:y val="4.0627885503231764E-2"/>
          <c:w val="0.92823803219287859"/>
          <c:h val="0.68630270246690073"/>
        </c:manualLayout>
      </c:layout>
      <c:barChart>
        <c:barDir val="col"/>
        <c:grouping val="stacked"/>
        <c:varyColors val="0"/>
        <c:ser>
          <c:idx val="0"/>
          <c:order val="0"/>
          <c:tx>
            <c:strRef>
              <c:f>'Barriers &amp; Classification'!$M$4</c:f>
              <c:strCache>
                <c:ptCount val="1"/>
                <c:pt idx="0">
                  <c:v>Energy 
Use Data</c:v>
                </c:pt>
              </c:strCache>
            </c:strRef>
          </c:tx>
          <c:spPr>
            <a:solidFill>
              <a:schemeClr val="accent1"/>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Classification'!$M$17:$M$26</c:f>
              <c:numCache>
                <c:formatCode>General</c:formatCode>
                <c:ptCount val="10"/>
                <c:pt idx="0">
                  <c:v>1</c:v>
                </c:pt>
                <c:pt idx="1">
                  <c:v>1</c:v>
                </c:pt>
                <c:pt idx="2">
                  <c:v>1</c:v>
                </c:pt>
                <c:pt idx="3">
                  <c:v>1</c:v>
                </c:pt>
                <c:pt idx="4">
                  <c:v>1</c:v>
                </c:pt>
                <c:pt idx="5">
                  <c:v>1</c:v>
                </c:pt>
                <c:pt idx="6">
                  <c:v>1</c:v>
                </c:pt>
                <c:pt idx="7">
                  <c:v>1</c:v>
                </c:pt>
                <c:pt idx="8">
                  <c:v>1</c:v>
                </c:pt>
                <c:pt idx="9">
                  <c:v>1</c:v>
                </c:pt>
              </c:numCache>
            </c:numRef>
          </c:val>
          <c:extLst>
            <c:ext xmlns:c16="http://schemas.microsoft.com/office/drawing/2014/chart" uri="{C3380CC4-5D6E-409C-BE32-E72D297353CC}">
              <c16:uniqueId val="{00000000-BB20-452F-A9DA-6B543D07A28E}"/>
            </c:ext>
          </c:extLst>
        </c:ser>
        <c:ser>
          <c:idx val="1"/>
          <c:order val="1"/>
          <c:tx>
            <c:strRef>
              <c:f>'Barriers &amp; Classification'!$N$4</c:f>
              <c:strCache>
                <c:ptCount val="1"/>
                <c:pt idx="0">
                  <c:v>On-Site 
Generation</c:v>
                </c:pt>
              </c:strCache>
            </c:strRef>
          </c:tx>
          <c:spPr>
            <a:solidFill>
              <a:schemeClr val="accent2"/>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Classification'!$N$17:$N$26</c:f>
              <c:numCache>
                <c:formatCode>General</c:formatCode>
                <c:ptCount val="10"/>
                <c:pt idx="0">
                  <c:v>0</c:v>
                </c:pt>
                <c:pt idx="1">
                  <c:v>1</c:v>
                </c:pt>
                <c:pt idx="2">
                  <c:v>1</c:v>
                </c:pt>
                <c:pt idx="3">
                  <c:v>1</c:v>
                </c:pt>
                <c:pt idx="4">
                  <c:v>1</c:v>
                </c:pt>
                <c:pt idx="5">
                  <c:v>0</c:v>
                </c:pt>
                <c:pt idx="6">
                  <c:v>1</c:v>
                </c:pt>
                <c:pt idx="7">
                  <c:v>0</c:v>
                </c:pt>
                <c:pt idx="8">
                  <c:v>0</c:v>
                </c:pt>
                <c:pt idx="9">
                  <c:v>0</c:v>
                </c:pt>
              </c:numCache>
            </c:numRef>
          </c:val>
          <c:extLst>
            <c:ext xmlns:c16="http://schemas.microsoft.com/office/drawing/2014/chart" uri="{C3380CC4-5D6E-409C-BE32-E72D297353CC}">
              <c16:uniqueId val="{00000001-BB20-452F-A9DA-6B543D07A28E}"/>
            </c:ext>
          </c:extLst>
        </c:ser>
        <c:ser>
          <c:idx val="2"/>
          <c:order val="2"/>
          <c:tx>
            <c:strRef>
              <c:f>'Barriers &amp; Classification'!$O$4</c:f>
              <c:strCache>
                <c:ptCount val="1"/>
                <c:pt idx="0">
                  <c:v>Dynamic 
Operation</c:v>
                </c:pt>
              </c:strCache>
            </c:strRef>
          </c:tx>
          <c:spPr>
            <a:solidFill>
              <a:schemeClr val="accent3"/>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Classification'!$O$17:$O$26</c:f>
              <c:numCache>
                <c:formatCode>General</c:formatCode>
                <c:ptCount val="10"/>
                <c:pt idx="0">
                  <c:v>0</c:v>
                </c:pt>
                <c:pt idx="1">
                  <c:v>1</c:v>
                </c:pt>
                <c:pt idx="2">
                  <c:v>1</c:v>
                </c:pt>
                <c:pt idx="3">
                  <c:v>1</c:v>
                </c:pt>
                <c:pt idx="4">
                  <c:v>1</c:v>
                </c:pt>
                <c:pt idx="5">
                  <c:v>0</c:v>
                </c:pt>
                <c:pt idx="6">
                  <c:v>1</c:v>
                </c:pt>
                <c:pt idx="7">
                  <c:v>0</c:v>
                </c:pt>
                <c:pt idx="8">
                  <c:v>1</c:v>
                </c:pt>
                <c:pt idx="9">
                  <c:v>0</c:v>
                </c:pt>
              </c:numCache>
            </c:numRef>
          </c:val>
          <c:extLst>
            <c:ext xmlns:c16="http://schemas.microsoft.com/office/drawing/2014/chart" uri="{C3380CC4-5D6E-409C-BE32-E72D297353CC}">
              <c16:uniqueId val="{00000002-BB20-452F-A9DA-6B543D07A28E}"/>
            </c:ext>
          </c:extLst>
        </c:ser>
        <c:ser>
          <c:idx val="3"/>
          <c:order val="3"/>
          <c:tx>
            <c:strRef>
              <c:f>'Barriers &amp; Classification'!$P$4</c:f>
              <c:strCache>
                <c:ptCount val="1"/>
                <c:pt idx="0">
                  <c:v>Participation 
Availability</c:v>
                </c:pt>
              </c:strCache>
            </c:strRef>
          </c:tx>
          <c:spPr>
            <a:solidFill>
              <a:schemeClr val="accent4"/>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Classification'!$P$17:$P$26</c:f>
              <c:numCache>
                <c:formatCode>General</c:formatCode>
                <c:ptCount val="10"/>
                <c:pt idx="0">
                  <c:v>0</c:v>
                </c:pt>
                <c:pt idx="1">
                  <c:v>1</c:v>
                </c:pt>
                <c:pt idx="2">
                  <c:v>1</c:v>
                </c:pt>
                <c:pt idx="3">
                  <c:v>0</c:v>
                </c:pt>
                <c:pt idx="4">
                  <c:v>0</c:v>
                </c:pt>
                <c:pt idx="5">
                  <c:v>1</c:v>
                </c:pt>
                <c:pt idx="6">
                  <c:v>0</c:v>
                </c:pt>
                <c:pt idx="7">
                  <c:v>0</c:v>
                </c:pt>
                <c:pt idx="8">
                  <c:v>1</c:v>
                </c:pt>
                <c:pt idx="9">
                  <c:v>0</c:v>
                </c:pt>
              </c:numCache>
            </c:numRef>
          </c:val>
          <c:extLst>
            <c:ext xmlns:c16="http://schemas.microsoft.com/office/drawing/2014/chart" uri="{C3380CC4-5D6E-409C-BE32-E72D297353CC}">
              <c16:uniqueId val="{00000003-BB20-452F-A9DA-6B543D07A28E}"/>
            </c:ext>
          </c:extLst>
        </c:ser>
        <c:ser>
          <c:idx val="4"/>
          <c:order val="4"/>
          <c:tx>
            <c:strRef>
              <c:f>'Barriers &amp; Classification'!$Q$4</c:f>
              <c:strCache>
                <c:ptCount val="1"/>
                <c:pt idx="0">
                  <c:v>Existing
Participation</c:v>
                </c:pt>
              </c:strCache>
            </c:strRef>
          </c:tx>
          <c:spPr>
            <a:solidFill>
              <a:schemeClr val="accent5"/>
            </a:solidFill>
            <a:ln>
              <a:noFill/>
            </a:ln>
            <a:effectLst/>
          </c:spPr>
          <c:invertIfNegative val="0"/>
          <c:cat>
            <c:strRef>
              <c:f>'Barriers &amp; Classification'!$E$17:$E$26</c:f>
              <c:strCache>
                <c:ptCount val="10"/>
                <c:pt idx="0">
                  <c:v>Company AA</c:v>
                </c:pt>
                <c:pt idx="1">
                  <c:v>Company BB</c:v>
                </c:pt>
                <c:pt idx="2">
                  <c:v>Company CC</c:v>
                </c:pt>
                <c:pt idx="3">
                  <c:v>Company DD</c:v>
                </c:pt>
                <c:pt idx="4">
                  <c:v>Company EE</c:v>
                </c:pt>
                <c:pt idx="5">
                  <c:v>Company FF</c:v>
                </c:pt>
                <c:pt idx="6">
                  <c:v>Company GG</c:v>
                </c:pt>
                <c:pt idx="7">
                  <c:v>Company HH</c:v>
                </c:pt>
                <c:pt idx="8">
                  <c:v>Company II</c:v>
                </c:pt>
                <c:pt idx="9">
                  <c:v>Company LL</c:v>
                </c:pt>
              </c:strCache>
            </c:strRef>
          </c:cat>
          <c:val>
            <c:numRef>
              <c:f>'Barriers &amp; Classification'!$Q$17:$Q$26</c:f>
              <c:numCache>
                <c:formatCode>General</c:formatCode>
                <c:ptCount val="10"/>
                <c:pt idx="0">
                  <c:v>0</c:v>
                </c:pt>
                <c:pt idx="1">
                  <c:v>0</c:v>
                </c:pt>
                <c:pt idx="2">
                  <c:v>1</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4-BB20-452F-A9DA-6B543D07A28E}"/>
            </c:ext>
          </c:extLst>
        </c:ser>
        <c:dLbls>
          <c:showLegendKey val="0"/>
          <c:showVal val="0"/>
          <c:showCatName val="0"/>
          <c:showSerName val="0"/>
          <c:showPercent val="0"/>
          <c:showBubbleSize val="0"/>
        </c:dLbls>
        <c:gapWidth val="150"/>
        <c:overlap val="100"/>
        <c:axId val="486816223"/>
        <c:axId val="1000841871"/>
      </c:barChart>
      <c:catAx>
        <c:axId val="48681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000841871"/>
        <c:crosses val="autoZero"/>
        <c:auto val="1"/>
        <c:lblAlgn val="ctr"/>
        <c:lblOffset val="100"/>
        <c:noMultiLvlLbl val="0"/>
      </c:catAx>
      <c:valAx>
        <c:axId val="1000841871"/>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86816223"/>
        <c:crosses val="autoZero"/>
        <c:crossBetween val="between"/>
        <c:majorUnit val="1"/>
      </c:valAx>
      <c:spPr>
        <a:noFill/>
        <a:ln>
          <a:noFill/>
        </a:ln>
        <a:effectLst/>
      </c:spPr>
    </c:plotArea>
    <c:legend>
      <c:legendPos val="b"/>
      <c:legendEntry>
        <c:idx val="2"/>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Entry>
      <c:layout>
        <c:manualLayout>
          <c:xMode val="edge"/>
          <c:yMode val="edge"/>
          <c:x val="4.3274104011334864E-2"/>
          <c:y val="0.84995950298456457"/>
          <c:w val="0.93513193777607062"/>
          <c:h val="0.1472254310075163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spPr>
            <a:solidFill>
              <a:schemeClr val="tx1">
                <a:lumMod val="65000"/>
                <a:lumOff val="35000"/>
              </a:schemeClr>
            </a:solidFill>
            <a:ln>
              <a:noFill/>
            </a:ln>
            <a:effectLst/>
          </c:spPr>
          <c:invertIfNegative val="0"/>
          <c:cat>
            <c:strRef>
              <c:f>'Barriers &amp; Classification'!$R$5:$R$26</c:f>
              <c:strCache>
                <c:ptCount val="2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pt idx="12">
                  <c:v>Company AA</c:v>
                </c:pt>
                <c:pt idx="13">
                  <c:v>Company BB</c:v>
                </c:pt>
                <c:pt idx="14">
                  <c:v>Company CC</c:v>
                </c:pt>
                <c:pt idx="15">
                  <c:v>Company DD</c:v>
                </c:pt>
                <c:pt idx="16">
                  <c:v>Company EE</c:v>
                </c:pt>
                <c:pt idx="17">
                  <c:v>Company FF</c:v>
                </c:pt>
                <c:pt idx="18">
                  <c:v>Company GG</c:v>
                </c:pt>
                <c:pt idx="19">
                  <c:v>Company HH</c:v>
                </c:pt>
                <c:pt idx="20">
                  <c:v>Company II</c:v>
                </c:pt>
                <c:pt idx="21">
                  <c:v>Company LL</c:v>
                </c:pt>
              </c:strCache>
            </c:strRef>
          </c:cat>
          <c:val>
            <c:numRef>
              <c:f>'Barriers &amp; Classification'!$S$5:$S$26</c:f>
              <c:numCache>
                <c:formatCode>0</c:formatCode>
                <c:ptCount val="22"/>
                <c:pt idx="0">
                  <c:v>24</c:v>
                </c:pt>
                <c:pt idx="1">
                  <c:v>24</c:v>
                </c:pt>
                <c:pt idx="2">
                  <c:v>8</c:v>
                </c:pt>
                <c:pt idx="3">
                  <c:v>1</c:v>
                </c:pt>
                <c:pt idx="4" formatCode="General">
                  <c:v>24</c:v>
                </c:pt>
                <c:pt idx="5" formatCode="General">
                  <c:v>24</c:v>
                </c:pt>
                <c:pt idx="6" formatCode="General">
                  <c:v>24</c:v>
                </c:pt>
                <c:pt idx="7" formatCode="General">
                  <c:v>24</c:v>
                </c:pt>
                <c:pt idx="8" formatCode="General">
                  <c:v>24</c:v>
                </c:pt>
                <c:pt idx="9" formatCode="General">
                  <c:v>24</c:v>
                </c:pt>
                <c:pt idx="10" formatCode="General">
                  <c:v>24</c:v>
                </c:pt>
                <c:pt idx="11" formatCode="General">
                  <c:v>24</c:v>
                </c:pt>
                <c:pt idx="12" formatCode="General">
                  <c:v>24</c:v>
                </c:pt>
                <c:pt idx="13" formatCode="General">
                  <c:v>24</c:v>
                </c:pt>
                <c:pt idx="14" formatCode="General">
                  <c:v>24</c:v>
                </c:pt>
                <c:pt idx="15" formatCode="General">
                  <c:v>24</c:v>
                </c:pt>
                <c:pt idx="16" formatCode="General">
                  <c:v>24</c:v>
                </c:pt>
                <c:pt idx="17" formatCode="General">
                  <c:v>24</c:v>
                </c:pt>
                <c:pt idx="18" formatCode="General">
                  <c:v>24</c:v>
                </c:pt>
                <c:pt idx="19" formatCode="General">
                  <c:v>24</c:v>
                </c:pt>
                <c:pt idx="20" formatCode="General">
                  <c:v>24</c:v>
                </c:pt>
                <c:pt idx="21" formatCode="General">
                  <c:v>24</c:v>
                </c:pt>
              </c:numCache>
            </c:numRef>
          </c:val>
          <c:extLst>
            <c:ext xmlns:c16="http://schemas.microsoft.com/office/drawing/2014/chart" uri="{C3380CC4-5D6E-409C-BE32-E72D297353CC}">
              <c16:uniqueId val="{00000000-5E78-4354-99F8-494078240A6F}"/>
            </c:ext>
          </c:extLst>
        </c:ser>
        <c:dLbls>
          <c:showLegendKey val="0"/>
          <c:showVal val="0"/>
          <c:showCatName val="0"/>
          <c:showSerName val="0"/>
          <c:showPercent val="0"/>
          <c:showBubbleSize val="0"/>
        </c:dLbls>
        <c:gapWidth val="95"/>
        <c:axId val="1676631455"/>
        <c:axId val="473490543"/>
      </c:barChart>
      <c:catAx>
        <c:axId val="16766314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473490543"/>
        <c:crosses val="autoZero"/>
        <c:auto val="1"/>
        <c:lblAlgn val="ctr"/>
        <c:lblOffset val="100"/>
        <c:noMultiLvlLbl val="0"/>
      </c:catAx>
      <c:valAx>
        <c:axId val="473490543"/>
        <c:scaling>
          <c:orientation val="minMax"/>
          <c:max val="2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AU" b="1">
                    <a:solidFill>
                      <a:schemeClr val="tx1"/>
                    </a:solidFill>
                  </a:rPr>
                  <a:t>hours</a:t>
                </a:r>
              </a:p>
            </c:rich>
          </c:tx>
          <c:layout>
            <c:manualLayout>
              <c:xMode val="edge"/>
              <c:yMode val="edge"/>
              <c:x val="0.45538692038495193"/>
              <c:y val="0.9190327842728911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1676631455"/>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062506386829104E-2"/>
          <c:y val="4.0332128295283841E-2"/>
          <c:w val="0.96295945687334294"/>
          <c:h val="0.68028370667503035"/>
        </c:manualLayout>
      </c:layout>
      <c:barChart>
        <c:barDir val="col"/>
        <c:grouping val="stacked"/>
        <c:varyColors val="0"/>
        <c:ser>
          <c:idx val="0"/>
          <c:order val="0"/>
          <c:tx>
            <c:strRef>
              <c:f>'Load Identification'!$O$87</c:f>
              <c:strCache>
                <c:ptCount val="1"/>
                <c:pt idx="0">
                  <c:v>Company A</c:v>
                </c:pt>
              </c:strCache>
            </c:strRef>
          </c:tx>
          <c:spPr>
            <a:solidFill>
              <a:schemeClr val="accent1"/>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Identification'!$O$88:$O$96</c:f>
              <c:numCache>
                <c:formatCode>General</c:formatCode>
                <c:ptCount val="9"/>
                <c:pt idx="0">
                  <c:v>0</c:v>
                </c:pt>
                <c:pt idx="1">
                  <c:v>1</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0-05FD-4BC6-AEBA-182049D17ACA}"/>
            </c:ext>
          </c:extLst>
        </c:ser>
        <c:ser>
          <c:idx val="1"/>
          <c:order val="1"/>
          <c:tx>
            <c:strRef>
              <c:f>'Load Identification'!$P$87</c:f>
              <c:strCache>
                <c:ptCount val="1"/>
                <c:pt idx="0">
                  <c:v>Company B</c:v>
                </c:pt>
              </c:strCache>
            </c:strRef>
          </c:tx>
          <c:spPr>
            <a:solidFill>
              <a:schemeClr val="accent2"/>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Identification'!$P$88:$P$96</c:f>
              <c:numCache>
                <c:formatCode>General</c:formatCode>
                <c:ptCount val="9"/>
                <c:pt idx="0">
                  <c:v>1</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1-05FD-4BC6-AEBA-182049D17ACA}"/>
            </c:ext>
          </c:extLst>
        </c:ser>
        <c:ser>
          <c:idx val="2"/>
          <c:order val="2"/>
          <c:tx>
            <c:strRef>
              <c:f>'Load Identification'!$Q$87</c:f>
              <c:strCache>
                <c:ptCount val="1"/>
                <c:pt idx="0">
                  <c:v>Company C</c:v>
                </c:pt>
              </c:strCache>
            </c:strRef>
          </c:tx>
          <c:spPr>
            <a:solidFill>
              <a:schemeClr val="accent3"/>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Identification'!$Q$88:$Q$96</c:f>
              <c:numCache>
                <c:formatCode>General</c:formatCode>
                <c:ptCount val="9"/>
                <c:pt idx="0">
                  <c:v>1</c:v>
                </c:pt>
                <c:pt idx="1">
                  <c:v>1</c:v>
                </c:pt>
                <c:pt idx="2">
                  <c:v>1</c:v>
                </c:pt>
                <c:pt idx="3">
                  <c:v>0</c:v>
                </c:pt>
                <c:pt idx="4">
                  <c:v>0</c:v>
                </c:pt>
                <c:pt idx="5">
                  <c:v>1</c:v>
                </c:pt>
                <c:pt idx="6">
                  <c:v>1</c:v>
                </c:pt>
                <c:pt idx="7">
                  <c:v>0</c:v>
                </c:pt>
                <c:pt idx="8">
                  <c:v>0</c:v>
                </c:pt>
              </c:numCache>
            </c:numRef>
          </c:val>
          <c:extLst>
            <c:ext xmlns:c16="http://schemas.microsoft.com/office/drawing/2014/chart" uri="{C3380CC4-5D6E-409C-BE32-E72D297353CC}">
              <c16:uniqueId val="{00000002-05FD-4BC6-AEBA-182049D17ACA}"/>
            </c:ext>
          </c:extLst>
        </c:ser>
        <c:ser>
          <c:idx val="3"/>
          <c:order val="3"/>
          <c:tx>
            <c:strRef>
              <c:f>'Load Identification'!$R$87</c:f>
              <c:strCache>
                <c:ptCount val="1"/>
                <c:pt idx="0">
                  <c:v>Company D</c:v>
                </c:pt>
              </c:strCache>
            </c:strRef>
          </c:tx>
          <c:spPr>
            <a:solidFill>
              <a:schemeClr val="accent4"/>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Identification'!$R$88:$R$96</c:f>
              <c:numCache>
                <c:formatCode>General</c:formatCode>
                <c:ptCount val="9"/>
                <c:pt idx="0">
                  <c:v>1</c:v>
                </c:pt>
                <c:pt idx="1">
                  <c:v>1</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3-05FD-4BC6-AEBA-182049D17ACA}"/>
            </c:ext>
          </c:extLst>
        </c:ser>
        <c:ser>
          <c:idx val="4"/>
          <c:order val="4"/>
          <c:tx>
            <c:strRef>
              <c:f>'Load Identification'!$S$87</c:f>
              <c:strCache>
                <c:ptCount val="1"/>
                <c:pt idx="0">
                  <c:v>Company E</c:v>
                </c:pt>
              </c:strCache>
            </c:strRef>
          </c:tx>
          <c:spPr>
            <a:solidFill>
              <a:schemeClr val="accent5"/>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Identification'!$S$88:$S$96</c:f>
              <c:numCache>
                <c:formatCode>General</c:formatCode>
                <c:ptCount val="9"/>
                <c:pt idx="0">
                  <c:v>0</c:v>
                </c:pt>
                <c:pt idx="1">
                  <c:v>0</c:v>
                </c:pt>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4-05FD-4BC6-AEBA-182049D17ACA}"/>
            </c:ext>
          </c:extLst>
        </c:ser>
        <c:ser>
          <c:idx val="5"/>
          <c:order val="5"/>
          <c:tx>
            <c:strRef>
              <c:f>'Load Identification'!$T$87</c:f>
              <c:strCache>
                <c:ptCount val="1"/>
                <c:pt idx="0">
                  <c:v>Company F</c:v>
                </c:pt>
              </c:strCache>
            </c:strRef>
          </c:tx>
          <c:spPr>
            <a:solidFill>
              <a:schemeClr val="bg2"/>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Identification'!$T$88:$T$96</c:f>
              <c:numCache>
                <c:formatCode>General</c:formatCode>
                <c:ptCount val="9"/>
                <c:pt idx="0">
                  <c:v>1</c:v>
                </c:pt>
                <c:pt idx="1">
                  <c:v>1</c:v>
                </c:pt>
                <c:pt idx="2">
                  <c:v>1</c:v>
                </c:pt>
                <c:pt idx="3">
                  <c:v>1</c:v>
                </c:pt>
                <c:pt idx="4">
                  <c:v>0</c:v>
                </c:pt>
                <c:pt idx="5">
                  <c:v>1</c:v>
                </c:pt>
                <c:pt idx="6">
                  <c:v>1</c:v>
                </c:pt>
                <c:pt idx="7">
                  <c:v>1</c:v>
                </c:pt>
                <c:pt idx="8">
                  <c:v>1</c:v>
                </c:pt>
              </c:numCache>
            </c:numRef>
          </c:val>
          <c:extLst>
            <c:ext xmlns:c16="http://schemas.microsoft.com/office/drawing/2014/chart" uri="{C3380CC4-5D6E-409C-BE32-E72D297353CC}">
              <c16:uniqueId val="{00000005-05FD-4BC6-AEBA-182049D17ACA}"/>
            </c:ext>
          </c:extLst>
        </c:ser>
        <c:ser>
          <c:idx val="6"/>
          <c:order val="6"/>
          <c:tx>
            <c:strRef>
              <c:f>'Load Identification'!$U$87</c:f>
              <c:strCache>
                <c:ptCount val="1"/>
              </c:strCache>
            </c:strRef>
          </c:tx>
          <c:spPr>
            <a:solidFill>
              <a:schemeClr val="accent1">
                <a:lumMod val="60000"/>
              </a:schemeClr>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Identification'!$U$88:$U$96</c:f>
            </c:numRef>
          </c:val>
          <c:extLst>
            <c:ext xmlns:c16="http://schemas.microsoft.com/office/drawing/2014/chart" uri="{C3380CC4-5D6E-409C-BE32-E72D297353CC}">
              <c16:uniqueId val="{00000006-05FD-4BC6-AEBA-182049D17ACA}"/>
            </c:ext>
          </c:extLst>
        </c:ser>
        <c:ser>
          <c:idx val="7"/>
          <c:order val="7"/>
          <c:tx>
            <c:strRef>
              <c:f>'Load Identification'!$V$87</c:f>
              <c:strCache>
                <c:ptCount val="1"/>
                <c:pt idx="0">
                  <c:v>Company G</c:v>
                </c:pt>
              </c:strCache>
            </c:strRef>
          </c:tx>
          <c:spPr>
            <a:solidFill>
              <a:schemeClr val="tx2"/>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Identification'!$V$88:$V$96</c:f>
              <c:numCache>
                <c:formatCode>General</c:formatCode>
                <c:ptCount val="9"/>
                <c:pt idx="0">
                  <c:v>0</c:v>
                </c:pt>
                <c:pt idx="1">
                  <c:v>0</c:v>
                </c:pt>
                <c:pt idx="2">
                  <c:v>0</c:v>
                </c:pt>
                <c:pt idx="3">
                  <c:v>1</c:v>
                </c:pt>
                <c:pt idx="4">
                  <c:v>1</c:v>
                </c:pt>
                <c:pt idx="5">
                  <c:v>0</c:v>
                </c:pt>
                <c:pt idx="6">
                  <c:v>0</c:v>
                </c:pt>
                <c:pt idx="7">
                  <c:v>0</c:v>
                </c:pt>
                <c:pt idx="8">
                  <c:v>0</c:v>
                </c:pt>
              </c:numCache>
            </c:numRef>
          </c:val>
          <c:extLst>
            <c:ext xmlns:c16="http://schemas.microsoft.com/office/drawing/2014/chart" uri="{C3380CC4-5D6E-409C-BE32-E72D297353CC}">
              <c16:uniqueId val="{00000007-05FD-4BC6-AEBA-182049D17ACA}"/>
            </c:ext>
          </c:extLst>
        </c:ser>
        <c:ser>
          <c:idx val="8"/>
          <c:order val="8"/>
          <c:tx>
            <c:strRef>
              <c:f>'Load Identification'!$W$87</c:f>
              <c:strCache>
                <c:ptCount val="1"/>
                <c:pt idx="0">
                  <c:v>Company H</c:v>
                </c:pt>
              </c:strCache>
            </c:strRef>
          </c:tx>
          <c:spPr>
            <a:solidFill>
              <a:schemeClr val="accent2">
                <a:lumMod val="75000"/>
              </a:schemeClr>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Identification'!$W$88:$W$96</c:f>
              <c:numCache>
                <c:formatCode>General</c:formatCode>
                <c:ptCount val="9"/>
                <c:pt idx="0">
                  <c:v>1</c:v>
                </c:pt>
                <c:pt idx="1">
                  <c:v>1</c:v>
                </c:pt>
                <c:pt idx="2">
                  <c:v>0</c:v>
                </c:pt>
                <c:pt idx="3">
                  <c:v>1</c:v>
                </c:pt>
                <c:pt idx="4">
                  <c:v>0</c:v>
                </c:pt>
                <c:pt idx="5">
                  <c:v>0</c:v>
                </c:pt>
                <c:pt idx="6">
                  <c:v>0</c:v>
                </c:pt>
                <c:pt idx="7">
                  <c:v>1</c:v>
                </c:pt>
                <c:pt idx="8">
                  <c:v>0</c:v>
                </c:pt>
              </c:numCache>
            </c:numRef>
          </c:val>
          <c:extLst>
            <c:ext xmlns:c16="http://schemas.microsoft.com/office/drawing/2014/chart" uri="{C3380CC4-5D6E-409C-BE32-E72D297353CC}">
              <c16:uniqueId val="{00000008-05FD-4BC6-AEBA-182049D17ACA}"/>
            </c:ext>
          </c:extLst>
        </c:ser>
        <c:ser>
          <c:idx val="9"/>
          <c:order val="9"/>
          <c:tx>
            <c:strRef>
              <c:f>'Load Identification'!$X$87</c:f>
              <c:strCache>
                <c:ptCount val="1"/>
                <c:pt idx="0">
                  <c:v>Company I</c:v>
                </c:pt>
              </c:strCache>
            </c:strRef>
          </c:tx>
          <c:spPr>
            <a:solidFill>
              <a:schemeClr val="accent4">
                <a:lumMod val="60000"/>
              </a:schemeClr>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Identification'!$X$88:$X$96</c:f>
              <c:numCache>
                <c:formatCode>General</c:formatCode>
                <c:ptCount val="9"/>
                <c:pt idx="0">
                  <c:v>1</c:v>
                </c:pt>
                <c:pt idx="1">
                  <c:v>1</c:v>
                </c:pt>
                <c:pt idx="2">
                  <c:v>1</c:v>
                </c:pt>
                <c:pt idx="3">
                  <c:v>1</c:v>
                </c:pt>
                <c:pt idx="4">
                  <c:v>0</c:v>
                </c:pt>
                <c:pt idx="5">
                  <c:v>1</c:v>
                </c:pt>
                <c:pt idx="6">
                  <c:v>1</c:v>
                </c:pt>
                <c:pt idx="7">
                  <c:v>1</c:v>
                </c:pt>
                <c:pt idx="8">
                  <c:v>1</c:v>
                </c:pt>
              </c:numCache>
            </c:numRef>
          </c:val>
          <c:extLst>
            <c:ext xmlns:c16="http://schemas.microsoft.com/office/drawing/2014/chart" uri="{C3380CC4-5D6E-409C-BE32-E72D297353CC}">
              <c16:uniqueId val="{00000009-05FD-4BC6-AEBA-182049D17ACA}"/>
            </c:ext>
          </c:extLst>
        </c:ser>
        <c:ser>
          <c:idx val="10"/>
          <c:order val="10"/>
          <c:tx>
            <c:strRef>
              <c:f>'Load Identification'!$Y$87</c:f>
              <c:strCache>
                <c:ptCount val="1"/>
                <c:pt idx="0">
                  <c:v>Company L</c:v>
                </c:pt>
              </c:strCache>
            </c:strRef>
          </c:tx>
          <c:spPr>
            <a:solidFill>
              <a:srgbClr val="701388"/>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Identification'!$Y$88:$Y$96</c:f>
              <c:numCache>
                <c:formatCode>General</c:formatCode>
                <c:ptCount val="9"/>
                <c:pt idx="0">
                  <c:v>1</c:v>
                </c:pt>
                <c:pt idx="1">
                  <c:v>1</c:v>
                </c:pt>
                <c:pt idx="2">
                  <c:v>1</c:v>
                </c:pt>
                <c:pt idx="3">
                  <c:v>1</c:v>
                </c:pt>
                <c:pt idx="4">
                  <c:v>0</c:v>
                </c:pt>
                <c:pt idx="5">
                  <c:v>0</c:v>
                </c:pt>
                <c:pt idx="6">
                  <c:v>0</c:v>
                </c:pt>
                <c:pt idx="7">
                  <c:v>0</c:v>
                </c:pt>
                <c:pt idx="8">
                  <c:v>1</c:v>
                </c:pt>
              </c:numCache>
            </c:numRef>
          </c:val>
          <c:extLst>
            <c:ext xmlns:c16="http://schemas.microsoft.com/office/drawing/2014/chart" uri="{C3380CC4-5D6E-409C-BE32-E72D297353CC}">
              <c16:uniqueId val="{0000000A-05FD-4BC6-AEBA-182049D17ACA}"/>
            </c:ext>
          </c:extLst>
        </c:ser>
        <c:ser>
          <c:idx val="11"/>
          <c:order val="11"/>
          <c:tx>
            <c:strRef>
              <c:f>'Load Identification'!$Z$87</c:f>
              <c:strCache>
                <c:ptCount val="1"/>
                <c:pt idx="0">
                  <c:v>Company M</c:v>
                </c:pt>
              </c:strCache>
            </c:strRef>
          </c:tx>
          <c:spPr>
            <a:solidFill>
              <a:schemeClr val="tx2">
                <a:lumMod val="50000"/>
              </a:schemeClr>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Identification'!$Z$88:$Z$96</c:f>
              <c:numCache>
                <c:formatCode>General</c:formatCode>
                <c:ptCount val="9"/>
                <c:pt idx="0">
                  <c:v>0</c:v>
                </c:pt>
                <c:pt idx="1">
                  <c:v>1</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B-05FD-4BC6-AEBA-182049D17ACA}"/>
            </c:ext>
          </c:extLst>
        </c:ser>
        <c:ser>
          <c:idx val="12"/>
          <c:order val="12"/>
          <c:tx>
            <c:strRef>
              <c:f>'Load Identification'!$AA$87</c:f>
              <c:strCache>
                <c:ptCount val="1"/>
                <c:pt idx="0">
                  <c:v>Company N</c:v>
                </c:pt>
              </c:strCache>
            </c:strRef>
          </c:tx>
          <c:spPr>
            <a:solidFill>
              <a:schemeClr val="bg1">
                <a:lumMod val="65000"/>
              </a:schemeClr>
            </a:solidFill>
            <a:ln>
              <a:noFill/>
            </a:ln>
            <a:effectLst/>
          </c:spPr>
          <c:invertIfNegative val="0"/>
          <c:cat>
            <c:strRef>
              <c:f>'Load Identification'!$N$88:$N$96</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Identification'!$AA$88:$AA$96</c:f>
              <c:numCache>
                <c:formatCode>General</c:formatCode>
                <c:ptCount val="9"/>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C-05FD-4BC6-AEBA-182049D17ACA}"/>
            </c:ext>
          </c:extLst>
        </c:ser>
        <c:dLbls>
          <c:showLegendKey val="0"/>
          <c:showVal val="0"/>
          <c:showCatName val="0"/>
          <c:showSerName val="0"/>
          <c:showPercent val="0"/>
          <c:showBubbleSize val="0"/>
        </c:dLbls>
        <c:gapWidth val="150"/>
        <c:overlap val="100"/>
        <c:axId val="1171029936"/>
        <c:axId val="1171028016"/>
      </c:barChart>
      <c:catAx>
        <c:axId val="117102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171028016"/>
        <c:crosses val="autoZero"/>
        <c:auto val="1"/>
        <c:lblAlgn val="ctr"/>
        <c:lblOffset val="100"/>
        <c:noMultiLvlLbl val="0"/>
      </c:catAx>
      <c:valAx>
        <c:axId val="1171028016"/>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1171029936"/>
        <c:crosses val="autoZero"/>
        <c:crossBetween val="between"/>
      </c:valAx>
      <c:spPr>
        <a:noFill/>
        <a:ln>
          <a:noFill/>
        </a:ln>
        <a:effectLst/>
      </c:spPr>
    </c:plotArea>
    <c:legend>
      <c:legendPos val="b"/>
      <c:layout>
        <c:manualLayout>
          <c:xMode val="edge"/>
          <c:yMode val="edge"/>
          <c:x val="0.05"/>
          <c:y val="0.86909721190511557"/>
          <c:w val="0.9"/>
          <c:h val="0.1200906804888382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062506386829104E-2"/>
          <c:y val="5.9898834836924417E-2"/>
          <c:w val="0.96295945687334294"/>
          <c:h val="0.68508485445001188"/>
        </c:manualLayout>
      </c:layout>
      <c:barChart>
        <c:barDir val="col"/>
        <c:grouping val="stacked"/>
        <c:varyColors val="0"/>
        <c:ser>
          <c:idx val="0"/>
          <c:order val="0"/>
          <c:tx>
            <c:strRef>
              <c:f>'Load Identification'!$O$124</c:f>
              <c:strCache>
                <c:ptCount val="1"/>
                <c:pt idx="0">
                  <c:v>Company AA</c:v>
                </c:pt>
              </c:strCache>
            </c:strRef>
          </c:tx>
          <c:spPr>
            <a:solidFill>
              <a:schemeClr val="accent1"/>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Identification'!$O$125:$O$133</c:f>
              <c:numCache>
                <c:formatCode>General</c:formatCode>
                <c:ptCount val="9"/>
                <c:pt idx="0">
                  <c:v>1</c:v>
                </c:pt>
                <c:pt idx="1">
                  <c:v>0</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0-4B23-4461-BE4C-895BE6E5745B}"/>
            </c:ext>
          </c:extLst>
        </c:ser>
        <c:ser>
          <c:idx val="1"/>
          <c:order val="1"/>
          <c:tx>
            <c:strRef>
              <c:f>'Load Identification'!$P$124</c:f>
              <c:strCache>
                <c:ptCount val="1"/>
                <c:pt idx="0">
                  <c:v>Company BB</c:v>
                </c:pt>
              </c:strCache>
            </c:strRef>
          </c:tx>
          <c:spPr>
            <a:solidFill>
              <a:schemeClr val="accent2"/>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Identification'!$P$125:$P$133</c:f>
              <c:numCache>
                <c:formatCode>General</c:formatCode>
                <c:ptCount val="9"/>
                <c:pt idx="0">
                  <c:v>1</c:v>
                </c:pt>
                <c:pt idx="1">
                  <c:v>1</c:v>
                </c:pt>
                <c:pt idx="2">
                  <c:v>1</c:v>
                </c:pt>
                <c:pt idx="3">
                  <c:v>1</c:v>
                </c:pt>
                <c:pt idx="4">
                  <c:v>0</c:v>
                </c:pt>
                <c:pt idx="5">
                  <c:v>0</c:v>
                </c:pt>
                <c:pt idx="6">
                  <c:v>0</c:v>
                </c:pt>
                <c:pt idx="7">
                  <c:v>0</c:v>
                </c:pt>
                <c:pt idx="8">
                  <c:v>0</c:v>
                </c:pt>
              </c:numCache>
            </c:numRef>
          </c:val>
          <c:extLst>
            <c:ext xmlns:c16="http://schemas.microsoft.com/office/drawing/2014/chart" uri="{C3380CC4-5D6E-409C-BE32-E72D297353CC}">
              <c16:uniqueId val="{00000001-4B23-4461-BE4C-895BE6E5745B}"/>
            </c:ext>
          </c:extLst>
        </c:ser>
        <c:ser>
          <c:idx val="2"/>
          <c:order val="2"/>
          <c:tx>
            <c:strRef>
              <c:f>'Load Identification'!$Q$124</c:f>
              <c:strCache>
                <c:ptCount val="1"/>
                <c:pt idx="0">
                  <c:v>Company CC</c:v>
                </c:pt>
              </c:strCache>
            </c:strRef>
          </c:tx>
          <c:spPr>
            <a:solidFill>
              <a:schemeClr val="accent3"/>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Identification'!$Q$125:$Q$133</c:f>
              <c:numCache>
                <c:formatCode>General</c:formatCode>
                <c:ptCount val="9"/>
                <c:pt idx="0">
                  <c:v>0</c:v>
                </c:pt>
                <c:pt idx="1">
                  <c:v>1</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2-4B23-4461-BE4C-895BE6E5745B}"/>
            </c:ext>
          </c:extLst>
        </c:ser>
        <c:ser>
          <c:idx val="3"/>
          <c:order val="3"/>
          <c:tx>
            <c:strRef>
              <c:f>'Load Identification'!$R$124</c:f>
              <c:strCache>
                <c:ptCount val="1"/>
                <c:pt idx="0">
                  <c:v>Company DD</c:v>
                </c:pt>
              </c:strCache>
            </c:strRef>
          </c:tx>
          <c:spPr>
            <a:solidFill>
              <a:schemeClr val="accent4"/>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Identification'!$R$125:$R$133</c:f>
              <c:numCache>
                <c:formatCode>General</c:formatCode>
                <c:ptCount val="9"/>
                <c:pt idx="0">
                  <c:v>1</c:v>
                </c:pt>
                <c:pt idx="1">
                  <c:v>1</c:v>
                </c:pt>
                <c:pt idx="2">
                  <c:v>1</c:v>
                </c:pt>
                <c:pt idx="3">
                  <c:v>0</c:v>
                </c:pt>
                <c:pt idx="4">
                  <c:v>1</c:v>
                </c:pt>
                <c:pt idx="5">
                  <c:v>0</c:v>
                </c:pt>
                <c:pt idx="6">
                  <c:v>0</c:v>
                </c:pt>
                <c:pt idx="7">
                  <c:v>1</c:v>
                </c:pt>
                <c:pt idx="8">
                  <c:v>1</c:v>
                </c:pt>
              </c:numCache>
            </c:numRef>
          </c:val>
          <c:extLst>
            <c:ext xmlns:c16="http://schemas.microsoft.com/office/drawing/2014/chart" uri="{C3380CC4-5D6E-409C-BE32-E72D297353CC}">
              <c16:uniqueId val="{00000003-4B23-4461-BE4C-895BE6E5745B}"/>
            </c:ext>
          </c:extLst>
        </c:ser>
        <c:ser>
          <c:idx val="4"/>
          <c:order val="4"/>
          <c:tx>
            <c:strRef>
              <c:f>'Load Identification'!$S$124</c:f>
              <c:strCache>
                <c:ptCount val="1"/>
                <c:pt idx="0">
                  <c:v>Company EE</c:v>
                </c:pt>
              </c:strCache>
            </c:strRef>
          </c:tx>
          <c:spPr>
            <a:solidFill>
              <a:schemeClr val="accent5"/>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Identification'!$S$125:$S$133</c:f>
              <c:numCache>
                <c:formatCode>General</c:formatCode>
                <c:ptCount val="9"/>
                <c:pt idx="0">
                  <c:v>0</c:v>
                </c:pt>
                <c:pt idx="1">
                  <c:v>1</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4-4B23-4461-BE4C-895BE6E5745B}"/>
            </c:ext>
          </c:extLst>
        </c:ser>
        <c:ser>
          <c:idx val="5"/>
          <c:order val="5"/>
          <c:tx>
            <c:strRef>
              <c:f>'Load Identification'!$T$124</c:f>
              <c:strCache>
                <c:ptCount val="1"/>
                <c:pt idx="0">
                  <c:v>Company FF</c:v>
                </c:pt>
              </c:strCache>
            </c:strRef>
          </c:tx>
          <c:spPr>
            <a:solidFill>
              <a:schemeClr val="bg2"/>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Identification'!$T$125:$T$133</c:f>
              <c:numCache>
                <c:formatCode>General</c:formatCode>
                <c:ptCount val="9"/>
                <c:pt idx="0">
                  <c:v>0</c:v>
                </c:pt>
                <c:pt idx="1">
                  <c:v>1</c:v>
                </c:pt>
                <c:pt idx="2">
                  <c:v>1</c:v>
                </c:pt>
                <c:pt idx="3">
                  <c:v>1</c:v>
                </c:pt>
                <c:pt idx="4">
                  <c:v>0</c:v>
                </c:pt>
                <c:pt idx="5">
                  <c:v>0</c:v>
                </c:pt>
                <c:pt idx="6">
                  <c:v>0</c:v>
                </c:pt>
                <c:pt idx="7">
                  <c:v>0</c:v>
                </c:pt>
                <c:pt idx="8">
                  <c:v>1</c:v>
                </c:pt>
              </c:numCache>
            </c:numRef>
          </c:val>
          <c:extLst>
            <c:ext xmlns:c16="http://schemas.microsoft.com/office/drawing/2014/chart" uri="{C3380CC4-5D6E-409C-BE32-E72D297353CC}">
              <c16:uniqueId val="{00000005-4B23-4461-BE4C-895BE6E5745B}"/>
            </c:ext>
          </c:extLst>
        </c:ser>
        <c:ser>
          <c:idx val="6"/>
          <c:order val="6"/>
          <c:tx>
            <c:strRef>
              <c:f>'Load Identification'!$U$112</c:f>
              <c:strCache>
                <c:ptCount val="1"/>
              </c:strCache>
            </c:strRef>
          </c:tx>
          <c:spPr>
            <a:solidFill>
              <a:schemeClr val="accent1">
                <a:lumMod val="60000"/>
              </a:schemeClr>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Identification'!$U$113:$U$121</c:f>
            </c:numRef>
          </c:val>
          <c:extLst>
            <c:ext xmlns:c16="http://schemas.microsoft.com/office/drawing/2014/chart" uri="{C3380CC4-5D6E-409C-BE32-E72D297353CC}">
              <c16:uniqueId val="{00000006-4B23-4461-BE4C-895BE6E5745B}"/>
            </c:ext>
          </c:extLst>
        </c:ser>
        <c:ser>
          <c:idx val="7"/>
          <c:order val="7"/>
          <c:tx>
            <c:strRef>
              <c:f>'Load Identification'!$V$124</c:f>
              <c:strCache>
                <c:ptCount val="1"/>
                <c:pt idx="0">
                  <c:v>Company GG</c:v>
                </c:pt>
              </c:strCache>
            </c:strRef>
          </c:tx>
          <c:spPr>
            <a:solidFill>
              <a:schemeClr val="tx2"/>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Identification'!$V$125:$V$133</c:f>
              <c:numCache>
                <c:formatCode>General</c:formatCode>
                <c:ptCount val="9"/>
                <c:pt idx="0">
                  <c:v>0</c:v>
                </c:pt>
                <c:pt idx="1">
                  <c:v>1</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7-4B23-4461-BE4C-895BE6E5745B}"/>
            </c:ext>
          </c:extLst>
        </c:ser>
        <c:ser>
          <c:idx val="8"/>
          <c:order val="8"/>
          <c:tx>
            <c:strRef>
              <c:f>'Load Identification'!$W$124</c:f>
              <c:strCache>
                <c:ptCount val="1"/>
                <c:pt idx="0">
                  <c:v>Company HH</c:v>
                </c:pt>
              </c:strCache>
            </c:strRef>
          </c:tx>
          <c:spPr>
            <a:solidFill>
              <a:srgbClr val="7030A0"/>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Identification'!$W$125:$W$133</c:f>
              <c:numCache>
                <c:formatCode>General</c:formatCode>
                <c:ptCount val="9"/>
                <c:pt idx="0">
                  <c:v>0</c:v>
                </c:pt>
                <c:pt idx="1">
                  <c:v>1</c:v>
                </c:pt>
                <c:pt idx="2">
                  <c:v>1</c:v>
                </c:pt>
                <c:pt idx="3">
                  <c:v>1</c:v>
                </c:pt>
                <c:pt idx="4">
                  <c:v>0</c:v>
                </c:pt>
                <c:pt idx="5">
                  <c:v>0</c:v>
                </c:pt>
                <c:pt idx="6">
                  <c:v>1</c:v>
                </c:pt>
                <c:pt idx="7">
                  <c:v>0</c:v>
                </c:pt>
                <c:pt idx="8">
                  <c:v>1</c:v>
                </c:pt>
              </c:numCache>
            </c:numRef>
          </c:val>
          <c:extLst>
            <c:ext xmlns:c16="http://schemas.microsoft.com/office/drawing/2014/chart" uri="{C3380CC4-5D6E-409C-BE32-E72D297353CC}">
              <c16:uniqueId val="{00000008-4B23-4461-BE4C-895BE6E5745B}"/>
            </c:ext>
          </c:extLst>
        </c:ser>
        <c:ser>
          <c:idx val="9"/>
          <c:order val="9"/>
          <c:tx>
            <c:strRef>
              <c:f>'Load Identification'!$X$124</c:f>
              <c:strCache>
                <c:ptCount val="1"/>
                <c:pt idx="0">
                  <c:v>Company II</c:v>
                </c:pt>
              </c:strCache>
            </c:strRef>
          </c:tx>
          <c:spPr>
            <a:solidFill>
              <a:schemeClr val="accent4">
                <a:lumMod val="60000"/>
              </a:schemeClr>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Identification'!$X$125:$X$133</c:f>
              <c:numCache>
                <c:formatCode>General</c:formatCode>
                <c:ptCount val="9"/>
                <c:pt idx="0">
                  <c:v>0</c:v>
                </c:pt>
                <c:pt idx="1">
                  <c:v>0</c:v>
                </c:pt>
                <c:pt idx="2">
                  <c:v>1</c:v>
                </c:pt>
                <c:pt idx="3">
                  <c:v>1</c:v>
                </c:pt>
                <c:pt idx="4">
                  <c:v>1</c:v>
                </c:pt>
                <c:pt idx="5">
                  <c:v>1</c:v>
                </c:pt>
                <c:pt idx="6">
                  <c:v>0</c:v>
                </c:pt>
                <c:pt idx="7">
                  <c:v>0</c:v>
                </c:pt>
                <c:pt idx="8">
                  <c:v>1</c:v>
                </c:pt>
              </c:numCache>
            </c:numRef>
          </c:val>
          <c:extLst>
            <c:ext xmlns:c16="http://schemas.microsoft.com/office/drawing/2014/chart" uri="{C3380CC4-5D6E-409C-BE32-E72D297353CC}">
              <c16:uniqueId val="{00000009-4B23-4461-BE4C-895BE6E5745B}"/>
            </c:ext>
          </c:extLst>
        </c:ser>
        <c:ser>
          <c:idx val="10"/>
          <c:order val="10"/>
          <c:tx>
            <c:strRef>
              <c:f>'Load Identification'!$Y$124</c:f>
              <c:strCache>
                <c:ptCount val="1"/>
                <c:pt idx="0">
                  <c:v>Company LL</c:v>
                </c:pt>
              </c:strCache>
            </c:strRef>
          </c:tx>
          <c:spPr>
            <a:solidFill>
              <a:schemeClr val="accent5">
                <a:lumMod val="60000"/>
              </a:schemeClr>
            </a:solidFill>
            <a:ln>
              <a:noFill/>
            </a:ln>
            <a:effectLst/>
          </c:spPr>
          <c:invertIfNegative val="0"/>
          <c:cat>
            <c:strRef>
              <c:f>'Load Identification'!$N$125:$N$133</c:f>
              <c:strCache>
                <c:ptCount val="9"/>
                <c:pt idx="0">
                  <c:v>Thermal
Loads</c:v>
                </c:pt>
                <c:pt idx="1">
                  <c:v>Mechanical 
Loads</c:v>
                </c:pt>
                <c:pt idx="2">
                  <c:v>Compressed
Air</c:v>
                </c:pt>
                <c:pt idx="3">
                  <c:v>Environmental Control</c:v>
                </c:pt>
                <c:pt idx="4">
                  <c:v>Pumping &amp;
Water System</c:v>
                </c:pt>
                <c:pt idx="5">
                  <c:v>Testing / Specialised Loads</c:v>
                </c:pt>
                <c:pt idx="6">
                  <c:v>Fabrication</c:v>
                </c:pt>
                <c:pt idx="7">
                  <c:v>Surface
Treatment</c:v>
                </c:pt>
                <c:pt idx="8">
                  <c:v>Background
Loads</c:v>
                </c:pt>
              </c:strCache>
            </c:strRef>
          </c:cat>
          <c:val>
            <c:numRef>
              <c:f>'Load Identification'!$Y$125:$Y$133</c:f>
              <c:numCache>
                <c:formatCode>General</c:formatCode>
                <c:ptCount val="9"/>
                <c:pt idx="0">
                  <c:v>1</c:v>
                </c:pt>
                <c:pt idx="1">
                  <c:v>0</c:v>
                </c:pt>
                <c:pt idx="2">
                  <c:v>1</c:v>
                </c:pt>
                <c:pt idx="3">
                  <c:v>1</c:v>
                </c:pt>
                <c:pt idx="4">
                  <c:v>1</c:v>
                </c:pt>
                <c:pt idx="5">
                  <c:v>0</c:v>
                </c:pt>
                <c:pt idx="6">
                  <c:v>0</c:v>
                </c:pt>
                <c:pt idx="7">
                  <c:v>0</c:v>
                </c:pt>
                <c:pt idx="8">
                  <c:v>1</c:v>
                </c:pt>
              </c:numCache>
            </c:numRef>
          </c:val>
          <c:extLst>
            <c:ext xmlns:c16="http://schemas.microsoft.com/office/drawing/2014/chart" uri="{C3380CC4-5D6E-409C-BE32-E72D297353CC}">
              <c16:uniqueId val="{0000000A-4B23-4461-BE4C-895BE6E5745B}"/>
            </c:ext>
          </c:extLst>
        </c:ser>
        <c:dLbls>
          <c:showLegendKey val="0"/>
          <c:showVal val="0"/>
          <c:showCatName val="0"/>
          <c:showSerName val="0"/>
          <c:showPercent val="0"/>
          <c:showBubbleSize val="0"/>
        </c:dLbls>
        <c:gapWidth val="150"/>
        <c:overlap val="100"/>
        <c:axId val="1171029936"/>
        <c:axId val="1171028016"/>
      </c:barChart>
      <c:catAx>
        <c:axId val="117102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171028016"/>
        <c:crosses val="autoZero"/>
        <c:auto val="1"/>
        <c:lblAlgn val="ctr"/>
        <c:lblOffset val="100"/>
        <c:noMultiLvlLbl val="0"/>
      </c:catAx>
      <c:valAx>
        <c:axId val="1171028016"/>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Gilroy" panose="00000500000000000000" pitchFamily="50" charset="0"/>
                <a:ea typeface="+mn-ea"/>
                <a:cs typeface="+mn-cs"/>
              </a:defRPr>
            </a:pPr>
            <a:endParaRPr lang="en-US"/>
          </a:p>
        </c:txPr>
        <c:crossAx val="1171029936"/>
        <c:crosses val="autoZero"/>
        <c:crossBetween val="between"/>
      </c:valAx>
      <c:spPr>
        <a:noFill/>
        <a:ln>
          <a:noFill/>
        </a:ln>
        <a:effectLst/>
      </c:spPr>
    </c:plotArea>
    <c:legend>
      <c:legendPos val="b"/>
      <c:layout>
        <c:manualLayout>
          <c:xMode val="edge"/>
          <c:yMode val="edge"/>
          <c:x val="0.05"/>
          <c:y val="0.88586873161009072"/>
          <c:w val="0.9"/>
          <c:h val="0.10331920433992278"/>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18018018018017"/>
          <c:y val="0"/>
          <c:w val="0.65165165165165162"/>
          <c:h val="1"/>
        </c:manualLayout>
      </c:layout>
      <c:doughnutChart>
        <c:varyColors val="1"/>
        <c:ser>
          <c:idx val="0"/>
          <c:order val="0"/>
          <c:tx>
            <c:strRef>
              <c:f>Sheet1!$B$1</c:f>
              <c:strCache>
                <c:ptCount val="1"/>
                <c:pt idx="0">
                  <c:v>Sales</c:v>
                </c:pt>
              </c:strCache>
            </c:strRef>
          </c:tx>
          <c:dPt>
            <c:idx val="0"/>
            <c:bubble3D val="0"/>
            <c:spPr>
              <a:solidFill>
                <a:schemeClr val="accent4">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BFD-4798-B963-4FAEF189C4CA}"/>
              </c:ext>
            </c:extLst>
          </c:dPt>
          <c:dPt>
            <c:idx val="1"/>
            <c:bubble3D val="0"/>
            <c:spPr>
              <a:solidFill>
                <a:schemeClr val="accent4">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BFD-4798-B963-4FAEF189C4C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80</c:v>
                </c:pt>
                <c:pt idx="1">
                  <c:v>20</c:v>
                </c:pt>
              </c:numCache>
            </c:numRef>
          </c:val>
          <c:extLst>
            <c:ext xmlns:c16="http://schemas.microsoft.com/office/drawing/2014/chart" uri="{C3380CC4-5D6E-409C-BE32-E72D297353CC}">
              <c16:uniqueId val="{00000004-FBFD-4798-B963-4FAEF189C4CA}"/>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18018018018017"/>
          <c:y val="0"/>
          <c:w val="0.65165165165165162"/>
          <c:h val="1"/>
        </c:manualLayout>
      </c:layout>
      <c:doughnutChart>
        <c:varyColors val="1"/>
        <c:ser>
          <c:idx val="0"/>
          <c:order val="0"/>
          <c:tx>
            <c:strRef>
              <c:f>Sheet1!$B$1</c:f>
              <c:strCache>
                <c:ptCount val="1"/>
                <c:pt idx="0">
                  <c:v>Sales</c:v>
                </c:pt>
              </c:strCache>
            </c:strRef>
          </c:tx>
          <c:dPt>
            <c:idx val="0"/>
            <c:bubble3D val="0"/>
            <c:spPr>
              <a:solidFill>
                <a:schemeClr val="accent4">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872-40E2-BF3E-1E73BE78D328}"/>
              </c:ext>
            </c:extLst>
          </c:dPt>
          <c:dPt>
            <c:idx val="1"/>
            <c:bubble3D val="0"/>
            <c:spPr>
              <a:solidFill>
                <a:schemeClr val="accent4">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872-40E2-BF3E-1E73BE78D32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100</c:v>
                </c:pt>
              </c:numCache>
            </c:numRef>
          </c:val>
          <c:extLst>
            <c:ext xmlns:c16="http://schemas.microsoft.com/office/drawing/2014/chart" uri="{C3380CC4-5D6E-409C-BE32-E72D297353CC}">
              <c16:uniqueId val="{00000004-7872-40E2-BF3E-1E73BE78D328}"/>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18018018018017"/>
          <c:y val="0"/>
          <c:w val="0.65165165165165162"/>
          <c:h val="1"/>
        </c:manualLayout>
      </c:layout>
      <c:doughnutChart>
        <c:varyColors val="1"/>
        <c:ser>
          <c:idx val="0"/>
          <c:order val="0"/>
          <c:tx>
            <c:strRef>
              <c:f>Sheet1!$B$1</c:f>
              <c:strCache>
                <c:ptCount val="1"/>
                <c:pt idx="0">
                  <c:v>Sales</c:v>
                </c:pt>
              </c:strCache>
            </c:strRef>
          </c:tx>
          <c:dPt>
            <c:idx val="0"/>
            <c:bubble3D val="0"/>
            <c:spPr>
              <a:solidFill>
                <a:schemeClr val="accent4">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719-4E16-A872-DF532D992D94}"/>
              </c:ext>
            </c:extLst>
          </c:dPt>
          <c:dPt>
            <c:idx val="1"/>
            <c:bubble3D val="0"/>
            <c:spPr>
              <a:solidFill>
                <a:schemeClr val="accent4">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719-4E16-A872-DF532D992D9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75</c:v>
                </c:pt>
                <c:pt idx="1">
                  <c:v>25</c:v>
                </c:pt>
              </c:numCache>
            </c:numRef>
          </c:val>
          <c:extLst>
            <c:ext xmlns:c16="http://schemas.microsoft.com/office/drawing/2014/chart" uri="{C3380CC4-5D6E-409C-BE32-E72D297353CC}">
              <c16:uniqueId val="{00000004-A719-4E16-A872-DF532D992D94}"/>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8018018018018017"/>
          <c:y val="0"/>
          <c:w val="0.65165165165165162"/>
          <c:h val="1"/>
        </c:manualLayout>
      </c:layout>
      <c:doughnutChart>
        <c:varyColors val="1"/>
        <c:ser>
          <c:idx val="0"/>
          <c:order val="0"/>
          <c:tx>
            <c:strRef>
              <c:f>Sheet1!$B$1</c:f>
              <c:strCache>
                <c:ptCount val="1"/>
                <c:pt idx="0">
                  <c:v>Sales</c:v>
                </c:pt>
              </c:strCache>
            </c:strRef>
          </c:tx>
          <c:dPt>
            <c:idx val="0"/>
            <c:bubble3D val="0"/>
            <c:spPr>
              <a:solidFill>
                <a:schemeClr val="accent4">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B2A-4795-B98B-9D659B952ADD}"/>
              </c:ext>
            </c:extLst>
          </c:dPt>
          <c:dPt>
            <c:idx val="1"/>
            <c:bubble3D val="0"/>
            <c:spPr>
              <a:solidFill>
                <a:schemeClr val="accent4">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B2A-4795-B98B-9D659B952A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Sheet1!$A$2:$A$3</c:f>
              <c:numCache>
                <c:formatCode>General</c:formatCode>
                <c:ptCount val="2"/>
              </c:numCache>
            </c:numRef>
          </c:cat>
          <c:val>
            <c:numRef>
              <c:f>Sheet1!$B$2:$B$3</c:f>
              <c:numCache>
                <c:formatCode>General</c:formatCode>
                <c:ptCount val="2"/>
                <c:pt idx="0">
                  <c:v>50</c:v>
                </c:pt>
                <c:pt idx="1">
                  <c:v>50</c:v>
                </c:pt>
              </c:numCache>
            </c:numRef>
          </c:val>
          <c:extLst>
            <c:ext xmlns:c16="http://schemas.microsoft.com/office/drawing/2014/chart" uri="{C3380CC4-5D6E-409C-BE32-E72D297353CC}">
              <c16:uniqueId val="{00000004-0B2A-4795-B98B-9D659B952ADD}"/>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65460668760106"/>
          <c:y val="4.7464940668824167E-2"/>
          <c:w val="0.48619578522749279"/>
          <c:h val="0.86327243075198123"/>
        </c:manualLayout>
      </c:layout>
      <c:barChart>
        <c:barDir val="bar"/>
        <c:grouping val="clustered"/>
        <c:varyColors val="0"/>
        <c:ser>
          <c:idx val="0"/>
          <c:order val="0"/>
          <c:tx>
            <c:strRef>
              <c:f>'Industrial Classification'!$K$4</c:f>
              <c:strCache>
                <c:ptCount val="1"/>
                <c:pt idx="0">
                  <c:v>Energy 
Consumption
[MWh]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Gilroy"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'Industrial Classification'!$J$5:$J$16</c:f>
              <c:strCache>
                <c:ptCount val="12"/>
                <c:pt idx="0">
                  <c:v>Machinery and Equipment Manufacturing</c:v>
                </c:pt>
                <c:pt idx="1">
                  <c:v>Polymer Product and Rubber Product 
Manufacturing</c:v>
                </c:pt>
                <c:pt idx="2">
                  <c:v>Beverage and Tobacco Product Manufacturing</c:v>
                </c:pt>
                <c:pt idx="3">
                  <c:v>Transport Equipment Manufacturing</c:v>
                </c:pt>
                <c:pt idx="4">
                  <c:v>Food Product Manufacturing</c:v>
                </c:pt>
                <c:pt idx="5">
                  <c:v>Wood Product Manufacturing</c:v>
                </c:pt>
                <c:pt idx="6">
                  <c:v>Basic Chemical and Chemical Product 
Manufacturing</c:v>
                </c:pt>
                <c:pt idx="7">
                  <c:v>Coal Mining</c:v>
                </c:pt>
                <c:pt idx="8">
                  <c:v>Water Supply, Sewerage and Drainage Services</c:v>
                </c:pt>
                <c:pt idx="9">
                  <c:v>Internet Service Providers, Web Search Portals 
and Data Processing Services</c:v>
                </c:pt>
                <c:pt idx="10">
                  <c:v>Non-Metallic Mineral Product Manufacturing</c:v>
                </c:pt>
                <c:pt idx="11">
                  <c:v>Waste Collection, Treatment and Disposal 
Services</c:v>
                </c:pt>
              </c:strCache>
            </c:strRef>
          </c:cat>
          <c:val>
            <c:numRef>
              <c:f>'Industrial Classification'!$K$5:$K$16</c:f>
              <c:numCache>
                <c:formatCode>#,##0</c:formatCode>
                <c:ptCount val="12"/>
                <c:pt idx="0">
                  <c:v>3000</c:v>
                </c:pt>
                <c:pt idx="1">
                  <c:v>7550</c:v>
                </c:pt>
                <c:pt idx="2">
                  <c:v>6556</c:v>
                </c:pt>
                <c:pt idx="3">
                  <c:v>10300</c:v>
                </c:pt>
                <c:pt idx="4">
                  <c:v>100000</c:v>
                </c:pt>
                <c:pt idx="5">
                  <c:v>7500</c:v>
                </c:pt>
                <c:pt idx="6">
                  <c:v>9800</c:v>
                </c:pt>
                <c:pt idx="7">
                  <c:v>88859</c:v>
                </c:pt>
                <c:pt idx="8">
                  <c:v>9054</c:v>
                </c:pt>
                <c:pt idx="9" formatCode="General">
                  <c:v>2400</c:v>
                </c:pt>
                <c:pt idx="10">
                  <c:v>280</c:v>
                </c:pt>
                <c:pt idx="11">
                  <c:v>1016</c:v>
                </c:pt>
              </c:numCache>
            </c:numRef>
          </c:val>
          <c:extLst>
            <c:ext xmlns:c16="http://schemas.microsoft.com/office/drawing/2014/chart" uri="{C3380CC4-5D6E-409C-BE32-E72D297353CC}">
              <c16:uniqueId val="{00000000-8837-4AEE-9776-A44204E5C8E8}"/>
            </c:ext>
          </c:extLst>
        </c:ser>
        <c:dLbls>
          <c:showLegendKey val="0"/>
          <c:showVal val="0"/>
          <c:showCatName val="0"/>
          <c:showSerName val="0"/>
          <c:showPercent val="0"/>
          <c:showBubbleSize val="0"/>
        </c:dLbls>
        <c:gapWidth val="90"/>
        <c:axId val="1190717552"/>
        <c:axId val="1190708912"/>
      </c:barChart>
      <c:catAx>
        <c:axId val="11907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1190708912"/>
        <c:crosses val="autoZero"/>
        <c:auto val="1"/>
        <c:lblAlgn val="ctr"/>
        <c:lblOffset val="100"/>
        <c:noMultiLvlLbl val="0"/>
      </c:catAx>
      <c:valAx>
        <c:axId val="1190708912"/>
        <c:scaling>
          <c:orientation val="minMax"/>
          <c:max val="10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119071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dPt>
            <c:idx val="0"/>
            <c:bubble3D val="0"/>
            <c:spPr>
              <a:solidFill>
                <a:schemeClr val="accent4">
                  <a:shade val="44000"/>
                </a:schemeClr>
              </a:solidFill>
              <a:ln>
                <a:noFill/>
              </a:ln>
              <a:effectLst/>
            </c:spPr>
            <c:extLst>
              <c:ext xmlns:c16="http://schemas.microsoft.com/office/drawing/2014/chart" uri="{C3380CC4-5D6E-409C-BE32-E72D297353CC}">
                <c16:uniqueId val="{00000001-3E29-4520-893B-280E35F213CC}"/>
              </c:ext>
            </c:extLst>
          </c:dPt>
          <c:dPt>
            <c:idx val="1"/>
            <c:bubble3D val="0"/>
            <c:spPr>
              <a:solidFill>
                <a:schemeClr val="accent4">
                  <a:shade val="58000"/>
                </a:schemeClr>
              </a:solidFill>
              <a:ln>
                <a:noFill/>
              </a:ln>
              <a:effectLst/>
            </c:spPr>
            <c:extLst>
              <c:ext xmlns:c16="http://schemas.microsoft.com/office/drawing/2014/chart" uri="{C3380CC4-5D6E-409C-BE32-E72D297353CC}">
                <c16:uniqueId val="{00000003-3E29-4520-893B-280E35F213CC}"/>
              </c:ext>
            </c:extLst>
          </c:dPt>
          <c:dPt>
            <c:idx val="2"/>
            <c:bubble3D val="0"/>
            <c:spPr>
              <a:solidFill>
                <a:schemeClr val="accent4">
                  <a:shade val="72000"/>
                </a:schemeClr>
              </a:solidFill>
              <a:ln>
                <a:noFill/>
              </a:ln>
              <a:effectLst/>
            </c:spPr>
            <c:extLst>
              <c:ext xmlns:c16="http://schemas.microsoft.com/office/drawing/2014/chart" uri="{C3380CC4-5D6E-409C-BE32-E72D297353CC}">
                <c16:uniqueId val="{00000005-3E29-4520-893B-280E35F213CC}"/>
              </c:ext>
            </c:extLst>
          </c:dPt>
          <c:dPt>
            <c:idx val="3"/>
            <c:bubble3D val="0"/>
            <c:spPr>
              <a:solidFill>
                <a:schemeClr val="accent4">
                  <a:shade val="86000"/>
                </a:schemeClr>
              </a:solidFill>
              <a:ln>
                <a:noFill/>
              </a:ln>
              <a:effectLst/>
            </c:spPr>
            <c:extLst>
              <c:ext xmlns:c16="http://schemas.microsoft.com/office/drawing/2014/chart" uri="{C3380CC4-5D6E-409C-BE32-E72D297353CC}">
                <c16:uniqueId val="{00000007-3E29-4520-893B-280E35F213CC}"/>
              </c:ext>
            </c:extLst>
          </c:dPt>
          <c:dPt>
            <c:idx val="4"/>
            <c:bubble3D val="0"/>
            <c:spPr>
              <a:solidFill>
                <a:schemeClr val="accent4"/>
              </a:solidFill>
              <a:ln>
                <a:noFill/>
              </a:ln>
              <a:effectLst/>
            </c:spPr>
            <c:extLst>
              <c:ext xmlns:c16="http://schemas.microsoft.com/office/drawing/2014/chart" uri="{C3380CC4-5D6E-409C-BE32-E72D297353CC}">
                <c16:uniqueId val="{00000009-3E29-4520-893B-280E35F213CC}"/>
              </c:ext>
            </c:extLst>
          </c:dPt>
          <c:dPt>
            <c:idx val="5"/>
            <c:bubble3D val="0"/>
            <c:spPr>
              <a:solidFill>
                <a:schemeClr val="accent4">
                  <a:tint val="86000"/>
                </a:schemeClr>
              </a:solidFill>
              <a:ln>
                <a:noFill/>
              </a:ln>
              <a:effectLst/>
            </c:spPr>
            <c:extLst>
              <c:ext xmlns:c16="http://schemas.microsoft.com/office/drawing/2014/chart" uri="{C3380CC4-5D6E-409C-BE32-E72D297353CC}">
                <c16:uniqueId val="{0000000B-3E29-4520-893B-280E35F213CC}"/>
              </c:ext>
            </c:extLst>
          </c:dPt>
          <c:dPt>
            <c:idx val="6"/>
            <c:bubble3D val="0"/>
            <c:spPr>
              <a:solidFill>
                <a:schemeClr val="accent4">
                  <a:tint val="72000"/>
                </a:schemeClr>
              </a:solidFill>
              <a:ln>
                <a:noFill/>
              </a:ln>
              <a:effectLst/>
            </c:spPr>
            <c:extLst>
              <c:ext xmlns:c16="http://schemas.microsoft.com/office/drawing/2014/chart" uri="{C3380CC4-5D6E-409C-BE32-E72D297353CC}">
                <c16:uniqueId val="{0000000D-3E29-4520-893B-280E35F213CC}"/>
              </c:ext>
            </c:extLst>
          </c:dPt>
          <c:dPt>
            <c:idx val="7"/>
            <c:bubble3D val="0"/>
            <c:spPr>
              <a:solidFill>
                <a:schemeClr val="accent4">
                  <a:tint val="58000"/>
                </a:schemeClr>
              </a:solidFill>
              <a:ln>
                <a:noFill/>
              </a:ln>
              <a:effectLst/>
            </c:spPr>
            <c:extLst>
              <c:ext xmlns:c16="http://schemas.microsoft.com/office/drawing/2014/chart" uri="{C3380CC4-5D6E-409C-BE32-E72D297353CC}">
                <c16:uniqueId val="{0000000F-3E29-4520-893B-280E35F213CC}"/>
              </c:ext>
            </c:extLst>
          </c:dPt>
          <c:dPt>
            <c:idx val="8"/>
            <c:bubble3D val="0"/>
            <c:spPr>
              <a:solidFill>
                <a:schemeClr val="accent4">
                  <a:tint val="44000"/>
                </a:schemeClr>
              </a:solidFill>
              <a:ln>
                <a:noFill/>
              </a:ln>
              <a:effectLst/>
            </c:spPr>
            <c:extLst>
              <c:ext xmlns:c16="http://schemas.microsoft.com/office/drawing/2014/chart" uri="{C3380CC4-5D6E-409C-BE32-E72D297353CC}">
                <c16:uniqueId val="{00000011-3E29-4520-893B-280E35F213C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ilroy" panose="00000500000000000000" pitchFamily="50"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'Load Identification'!$G$18:$G$26</c:f>
              <c:strCache>
                <c:ptCount val="9"/>
                <c:pt idx="0">
                  <c:v>Mechanical </c:v>
                </c:pt>
                <c:pt idx="1">
                  <c:v>Environmental </c:v>
                </c:pt>
                <c:pt idx="2">
                  <c:v>Thermal</c:v>
                </c:pt>
                <c:pt idx="3">
                  <c:v>Compressed Air</c:v>
                </c:pt>
                <c:pt idx="4">
                  <c:v>Fabrication</c:v>
                </c:pt>
                <c:pt idx="5">
                  <c:v>Specialised Load</c:v>
                </c:pt>
                <c:pt idx="6">
                  <c:v>Surface Treatment</c:v>
                </c:pt>
                <c:pt idx="7">
                  <c:v>Background Load</c:v>
                </c:pt>
                <c:pt idx="8">
                  <c:v>Pumping</c:v>
                </c:pt>
              </c:strCache>
            </c:strRef>
          </c:cat>
          <c:val>
            <c:numRef>
              <c:f>'Load Identification'!$H$18:$H$26</c:f>
              <c:numCache>
                <c:formatCode>General</c:formatCode>
                <c:ptCount val="9"/>
                <c:pt idx="0">
                  <c:v>17</c:v>
                </c:pt>
                <c:pt idx="1">
                  <c:v>7</c:v>
                </c:pt>
                <c:pt idx="2">
                  <c:v>11</c:v>
                </c:pt>
                <c:pt idx="3">
                  <c:v>1</c:v>
                </c:pt>
                <c:pt idx="4">
                  <c:v>1</c:v>
                </c:pt>
                <c:pt idx="5">
                  <c:v>4</c:v>
                </c:pt>
                <c:pt idx="6">
                  <c:v>4</c:v>
                </c:pt>
                <c:pt idx="7">
                  <c:v>5</c:v>
                </c:pt>
                <c:pt idx="8">
                  <c:v>3</c:v>
                </c:pt>
              </c:numCache>
            </c:numRef>
          </c:val>
          <c:extLst>
            <c:ext xmlns:c16="http://schemas.microsoft.com/office/drawing/2014/chart" uri="{C3380CC4-5D6E-409C-BE32-E72D297353CC}">
              <c16:uniqueId val="{00000000-C774-4FF8-9086-0D6423D435C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Gilroy" panose="00000500000000000000" pitchFamily="50"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v>Primary Cohort</c:v>
          </c:tx>
          <c:spPr>
            <a:solidFill>
              <a:schemeClr val="accent4"/>
            </a:solidFill>
          </c:spPr>
          <c:invertIfNegative val="0"/>
          <c:dLbls>
            <c:spPr>
              <a:noFill/>
              <a:ln>
                <a:noFill/>
              </a:ln>
              <a:effectLst/>
            </c:spPr>
            <c:txPr>
              <a:bodyPr wrap="square" lIns="38100" tIns="19050" rIns="38100" bIns="19050" anchor="ctr">
                <a:spAutoFit/>
              </a:bodyPr>
              <a:lstStyle/>
              <a:p>
                <a:pPr>
                  <a:defRPr sz="800" b="1">
                    <a:latin typeface="Gilroy" panose="00000500000000000000" pitchFamily="50"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'Barriers &amp; Classification'!$F$4:$K$4</c:f>
              <c:strCache>
                <c:ptCount val="6"/>
                <c:pt idx="0">
                  <c:v>Organisational Inertia</c:v>
                </c:pt>
                <c:pt idx="1">
                  <c:v>Labour Cost</c:v>
                </c:pt>
                <c:pt idx="2">
                  <c:v>Access &amp; Awareness</c:v>
                </c:pt>
                <c:pt idx="3">
                  <c:v>Technology Availability</c:v>
                </c:pt>
                <c:pt idx="4">
                  <c:v>Data Deficiency</c:v>
                </c:pt>
                <c:pt idx="5">
                  <c:v>Continuous Process</c:v>
                </c:pt>
              </c:strCache>
            </c:strRef>
          </c:cat>
          <c:val>
            <c:numRef>
              <c:f>'Barriers &amp; Classification'!$F$27:$K$27</c:f>
              <c:numCache>
                <c:formatCode>General</c:formatCode>
                <c:ptCount val="6"/>
                <c:pt idx="0">
                  <c:v>5</c:v>
                </c:pt>
                <c:pt idx="1">
                  <c:v>5</c:v>
                </c:pt>
                <c:pt idx="2">
                  <c:v>7</c:v>
                </c:pt>
                <c:pt idx="3">
                  <c:v>9</c:v>
                </c:pt>
                <c:pt idx="4">
                  <c:v>11</c:v>
                </c:pt>
                <c:pt idx="5">
                  <c:v>6</c:v>
                </c:pt>
              </c:numCache>
            </c:numRef>
          </c:val>
          <c:extLst>
            <c:ext xmlns:c16="http://schemas.microsoft.com/office/drawing/2014/chart" uri="{C3380CC4-5D6E-409C-BE32-E72D297353CC}">
              <c16:uniqueId val="{00000000-FFB0-4952-A0FF-0F8DABEFB930}"/>
            </c:ext>
          </c:extLst>
        </c:ser>
        <c:ser>
          <c:idx val="0"/>
          <c:order val="1"/>
          <c:tx>
            <c:v>Supplementary Participants</c:v>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800" b="1">
                    <a:latin typeface="Gilroy" panose="00000500000000000000" pitchFamily="50"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'Barriers &amp; Classification'!$F$4:$K$4</c:f>
              <c:strCache>
                <c:ptCount val="6"/>
                <c:pt idx="0">
                  <c:v>Organisational Inertia</c:v>
                </c:pt>
                <c:pt idx="1">
                  <c:v>Labour Cost</c:v>
                </c:pt>
                <c:pt idx="2">
                  <c:v>Access &amp; Awareness</c:v>
                </c:pt>
                <c:pt idx="3">
                  <c:v>Technology Availability</c:v>
                </c:pt>
                <c:pt idx="4">
                  <c:v>Data Deficiency</c:v>
                </c:pt>
                <c:pt idx="5">
                  <c:v>Continuous Process</c:v>
                </c:pt>
              </c:strCache>
            </c:strRef>
          </c:cat>
          <c:val>
            <c:numRef>
              <c:f>'Barriers &amp; Classification'!$F$28:$K$28</c:f>
              <c:numCache>
                <c:formatCode>General</c:formatCode>
                <c:ptCount val="6"/>
                <c:pt idx="0">
                  <c:v>7</c:v>
                </c:pt>
                <c:pt idx="1">
                  <c:v>7</c:v>
                </c:pt>
                <c:pt idx="2">
                  <c:v>0</c:v>
                </c:pt>
                <c:pt idx="3">
                  <c:v>7</c:v>
                </c:pt>
                <c:pt idx="4">
                  <c:v>5</c:v>
                </c:pt>
                <c:pt idx="5">
                  <c:v>9</c:v>
                </c:pt>
              </c:numCache>
            </c:numRef>
          </c:val>
          <c:extLst>
            <c:ext xmlns:c16="http://schemas.microsoft.com/office/drawing/2014/chart" uri="{C3380CC4-5D6E-409C-BE32-E72D297353CC}">
              <c16:uniqueId val="{00000001-FFB0-4952-A0FF-0F8DABEFB930}"/>
            </c:ext>
          </c:extLst>
        </c:ser>
        <c:dLbls>
          <c:showLegendKey val="0"/>
          <c:showVal val="0"/>
          <c:showCatName val="0"/>
          <c:showSerName val="0"/>
          <c:showPercent val="0"/>
          <c:showBubbleSize val="0"/>
        </c:dLbls>
        <c:gapWidth val="182"/>
        <c:axId val="476116399"/>
        <c:axId val="476117839"/>
      </c:barChart>
      <c:catAx>
        <c:axId val="476116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crossAx val="476117839"/>
        <c:crosses val="autoZero"/>
        <c:auto val="1"/>
        <c:lblAlgn val="ctr"/>
        <c:lblOffset val="100"/>
        <c:noMultiLvlLbl val="0"/>
      </c:catAx>
      <c:valAx>
        <c:axId val="476117839"/>
        <c:scaling>
          <c:orientation val="minMax"/>
          <c:max val="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76116399"/>
        <c:crosses val="autoZero"/>
        <c:crossBetween val="between"/>
        <c:majorUnit val="2"/>
      </c:valAx>
    </c:plotArea>
    <c:legend>
      <c:legendPos val="b"/>
      <c:overlay val="0"/>
      <c:txPr>
        <a:bodyPr/>
        <a:lstStyle/>
        <a:p>
          <a:pPr>
            <a:defRPr sz="900" b="1">
              <a:solidFill>
                <a:schemeClr val="tx1"/>
              </a:solidFill>
              <a:latin typeface="Gilroy" panose="00000500000000000000" pitchFamily="50" charset="0"/>
            </a:defRPr>
          </a:pPr>
          <a:endParaRPr lang="en-US"/>
        </a:p>
      </c:txPr>
    </c:legend>
    <c:plotVisOnly val="1"/>
    <c:dispBlanksAs val="gap"/>
    <c:showDLblsOverMax val="0"/>
  </c:chart>
  <c:spPr>
    <a:ln>
      <a:solidFill>
        <a:srgbClr val="000000"/>
      </a:solidFill>
    </a:ln>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'Barriers &amp; Classification'!$F$4</c:f>
              <c:strCache>
                <c:ptCount val="1"/>
                <c:pt idx="0">
                  <c:v>Organisational Inertia</c:v>
                </c:pt>
              </c:strCache>
            </c:strRef>
          </c:tx>
          <c:spPr>
            <a:solidFill>
              <a:schemeClr val="tx2"/>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Classification'!$F$5:$F$16</c:f>
              <c:numCache>
                <c:formatCode>General</c:formatCode>
                <c:ptCount val="12"/>
                <c:pt idx="0">
                  <c:v>1</c:v>
                </c:pt>
                <c:pt idx="1">
                  <c:v>0</c:v>
                </c:pt>
                <c:pt idx="2">
                  <c:v>0</c:v>
                </c:pt>
                <c:pt idx="3">
                  <c:v>1</c:v>
                </c:pt>
                <c:pt idx="4">
                  <c:v>0</c:v>
                </c:pt>
                <c:pt idx="5">
                  <c:v>1</c:v>
                </c:pt>
                <c:pt idx="6">
                  <c:v>1</c:v>
                </c:pt>
                <c:pt idx="7">
                  <c:v>1</c:v>
                </c:pt>
                <c:pt idx="8">
                  <c:v>0</c:v>
                </c:pt>
                <c:pt idx="9">
                  <c:v>0</c:v>
                </c:pt>
                <c:pt idx="10">
                  <c:v>0</c:v>
                </c:pt>
                <c:pt idx="11">
                  <c:v>0</c:v>
                </c:pt>
              </c:numCache>
            </c:numRef>
          </c:val>
          <c:extLst>
            <c:ext xmlns:c16="http://schemas.microsoft.com/office/drawing/2014/chart" uri="{C3380CC4-5D6E-409C-BE32-E72D297353CC}">
              <c16:uniqueId val="{00000000-3FD0-4FB8-8CC6-F2CBA1BCCEBF}"/>
            </c:ext>
          </c:extLst>
        </c:ser>
        <c:ser>
          <c:idx val="1"/>
          <c:order val="1"/>
          <c:tx>
            <c:strRef>
              <c:f>'Barriers &amp; Classification'!$G$4</c:f>
              <c:strCache>
                <c:ptCount val="1"/>
                <c:pt idx="0">
                  <c:v>Labour Cost</c:v>
                </c:pt>
              </c:strCache>
            </c:strRef>
          </c:tx>
          <c:spPr>
            <a:solidFill>
              <a:schemeClr val="accent2"/>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Classification'!$G$5:$G$16</c:f>
              <c:numCache>
                <c:formatCode>General</c:formatCode>
                <c:ptCount val="12"/>
                <c:pt idx="0">
                  <c:v>1</c:v>
                </c:pt>
                <c:pt idx="1">
                  <c:v>1</c:v>
                </c:pt>
                <c:pt idx="2">
                  <c:v>0</c:v>
                </c:pt>
                <c:pt idx="3">
                  <c:v>1</c:v>
                </c:pt>
                <c:pt idx="4">
                  <c:v>0</c:v>
                </c:pt>
                <c:pt idx="5">
                  <c:v>0</c:v>
                </c:pt>
                <c:pt idx="6">
                  <c:v>1</c:v>
                </c:pt>
                <c:pt idx="7">
                  <c:v>0</c:v>
                </c:pt>
                <c:pt idx="8">
                  <c:v>0</c:v>
                </c:pt>
                <c:pt idx="9">
                  <c:v>1</c:v>
                </c:pt>
                <c:pt idx="10">
                  <c:v>0</c:v>
                </c:pt>
                <c:pt idx="11">
                  <c:v>0</c:v>
                </c:pt>
              </c:numCache>
            </c:numRef>
          </c:val>
          <c:extLst>
            <c:ext xmlns:c16="http://schemas.microsoft.com/office/drawing/2014/chart" uri="{C3380CC4-5D6E-409C-BE32-E72D297353CC}">
              <c16:uniqueId val="{00000001-3FD0-4FB8-8CC6-F2CBA1BCCEBF}"/>
            </c:ext>
          </c:extLst>
        </c:ser>
        <c:ser>
          <c:idx val="2"/>
          <c:order val="2"/>
          <c:tx>
            <c:strRef>
              <c:f>'Barriers &amp; Classification'!$H$4</c:f>
              <c:strCache>
                <c:ptCount val="1"/>
                <c:pt idx="0">
                  <c:v>Access &amp; Awareness</c:v>
                </c:pt>
              </c:strCache>
            </c:strRef>
          </c:tx>
          <c:spPr>
            <a:solidFill>
              <a:schemeClr val="accent3"/>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Classification'!$H$5:$H$16</c:f>
              <c:numCache>
                <c:formatCode>General</c:formatCode>
                <c:ptCount val="12"/>
                <c:pt idx="0">
                  <c:v>1</c:v>
                </c:pt>
                <c:pt idx="1">
                  <c:v>0</c:v>
                </c:pt>
                <c:pt idx="2">
                  <c:v>1</c:v>
                </c:pt>
                <c:pt idx="3">
                  <c:v>1</c:v>
                </c:pt>
                <c:pt idx="4">
                  <c:v>1</c:v>
                </c:pt>
                <c:pt idx="5">
                  <c:v>1</c:v>
                </c:pt>
                <c:pt idx="6">
                  <c:v>0</c:v>
                </c:pt>
                <c:pt idx="7">
                  <c:v>1</c:v>
                </c:pt>
                <c:pt idx="8">
                  <c:v>1</c:v>
                </c:pt>
                <c:pt idx="9">
                  <c:v>0</c:v>
                </c:pt>
                <c:pt idx="10">
                  <c:v>0</c:v>
                </c:pt>
                <c:pt idx="11">
                  <c:v>0</c:v>
                </c:pt>
              </c:numCache>
            </c:numRef>
          </c:val>
          <c:extLst>
            <c:ext xmlns:c16="http://schemas.microsoft.com/office/drawing/2014/chart" uri="{C3380CC4-5D6E-409C-BE32-E72D297353CC}">
              <c16:uniqueId val="{00000002-3FD0-4FB8-8CC6-F2CBA1BCCEBF}"/>
            </c:ext>
          </c:extLst>
        </c:ser>
        <c:ser>
          <c:idx val="3"/>
          <c:order val="3"/>
          <c:tx>
            <c:strRef>
              <c:f>'Barriers &amp; Classification'!$I$4</c:f>
              <c:strCache>
                <c:ptCount val="1"/>
                <c:pt idx="0">
                  <c:v>Technology Availability</c:v>
                </c:pt>
              </c:strCache>
            </c:strRef>
          </c:tx>
          <c:spPr>
            <a:solidFill>
              <a:schemeClr val="accent4"/>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Classification'!$I$5:$I$16</c:f>
              <c:numCache>
                <c:formatCode>General</c:formatCode>
                <c:ptCount val="12"/>
                <c:pt idx="0">
                  <c:v>1</c:v>
                </c:pt>
                <c:pt idx="1">
                  <c:v>1</c:v>
                </c:pt>
                <c:pt idx="2">
                  <c:v>1</c:v>
                </c:pt>
                <c:pt idx="3">
                  <c:v>1</c:v>
                </c:pt>
                <c:pt idx="4">
                  <c:v>0</c:v>
                </c:pt>
                <c:pt idx="5">
                  <c:v>1</c:v>
                </c:pt>
                <c:pt idx="6">
                  <c:v>1</c:v>
                </c:pt>
                <c:pt idx="7">
                  <c:v>1</c:v>
                </c:pt>
                <c:pt idx="8">
                  <c:v>0</c:v>
                </c:pt>
                <c:pt idx="9">
                  <c:v>0</c:v>
                </c:pt>
                <c:pt idx="10">
                  <c:v>1</c:v>
                </c:pt>
                <c:pt idx="11">
                  <c:v>1</c:v>
                </c:pt>
              </c:numCache>
            </c:numRef>
          </c:val>
          <c:extLst>
            <c:ext xmlns:c16="http://schemas.microsoft.com/office/drawing/2014/chart" uri="{C3380CC4-5D6E-409C-BE32-E72D297353CC}">
              <c16:uniqueId val="{00000003-3FD0-4FB8-8CC6-F2CBA1BCCEBF}"/>
            </c:ext>
          </c:extLst>
        </c:ser>
        <c:ser>
          <c:idx val="4"/>
          <c:order val="4"/>
          <c:tx>
            <c:strRef>
              <c:f>'Barriers &amp; Classification'!$J$4</c:f>
              <c:strCache>
                <c:ptCount val="1"/>
                <c:pt idx="0">
                  <c:v>Data Deficiency</c:v>
                </c:pt>
              </c:strCache>
            </c:strRef>
          </c:tx>
          <c:spPr>
            <a:solidFill>
              <a:schemeClr val="accent5"/>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Classification'!$J$5:$J$16</c:f>
              <c:numCache>
                <c:formatCode>General</c:formatCode>
                <c:ptCount val="12"/>
                <c:pt idx="0">
                  <c:v>1</c:v>
                </c:pt>
                <c:pt idx="1">
                  <c:v>1</c:v>
                </c:pt>
                <c:pt idx="2">
                  <c:v>1</c:v>
                </c:pt>
                <c:pt idx="3">
                  <c:v>1</c:v>
                </c:pt>
                <c:pt idx="4">
                  <c:v>1</c:v>
                </c:pt>
                <c:pt idx="5">
                  <c:v>1</c:v>
                </c:pt>
                <c:pt idx="6">
                  <c:v>1</c:v>
                </c:pt>
                <c:pt idx="7">
                  <c:v>1</c:v>
                </c:pt>
                <c:pt idx="8">
                  <c:v>1</c:v>
                </c:pt>
                <c:pt idx="9">
                  <c:v>1</c:v>
                </c:pt>
                <c:pt idx="10">
                  <c:v>0</c:v>
                </c:pt>
                <c:pt idx="11">
                  <c:v>1</c:v>
                </c:pt>
              </c:numCache>
            </c:numRef>
          </c:val>
          <c:extLst>
            <c:ext xmlns:c16="http://schemas.microsoft.com/office/drawing/2014/chart" uri="{C3380CC4-5D6E-409C-BE32-E72D297353CC}">
              <c16:uniqueId val="{00000004-3FD0-4FB8-8CC6-F2CBA1BCCEBF}"/>
            </c:ext>
          </c:extLst>
        </c:ser>
        <c:ser>
          <c:idx val="5"/>
          <c:order val="5"/>
          <c:tx>
            <c:strRef>
              <c:f>'Barriers &amp; Classification'!$K$4</c:f>
              <c:strCache>
                <c:ptCount val="1"/>
                <c:pt idx="0">
                  <c:v>Continuous Process</c:v>
                </c:pt>
              </c:strCache>
            </c:strRef>
          </c:tx>
          <c:spPr>
            <a:solidFill>
              <a:schemeClr val="accent1"/>
            </a:solidFill>
            <a:ln>
              <a:noFill/>
            </a:ln>
            <a:effectLst/>
          </c:spPr>
          <c:invertIfNegative val="0"/>
          <c:cat>
            <c:strRef>
              <c:f>'Barriers &amp; Classification'!$E$5:$E$16</c:f>
              <c:strCache>
                <c:ptCount val="12"/>
                <c:pt idx="0">
                  <c:v>Company A</c:v>
                </c:pt>
                <c:pt idx="1">
                  <c:v>Company B</c:v>
                </c:pt>
                <c:pt idx="2">
                  <c:v>Company C</c:v>
                </c:pt>
                <c:pt idx="3">
                  <c:v>Company D</c:v>
                </c:pt>
                <c:pt idx="4">
                  <c:v>Company E</c:v>
                </c:pt>
                <c:pt idx="5">
                  <c:v>Company F</c:v>
                </c:pt>
                <c:pt idx="6">
                  <c:v>Company G</c:v>
                </c:pt>
                <c:pt idx="7">
                  <c:v>Company H</c:v>
                </c:pt>
                <c:pt idx="8">
                  <c:v>Company I</c:v>
                </c:pt>
                <c:pt idx="9">
                  <c:v>Company L</c:v>
                </c:pt>
                <c:pt idx="10">
                  <c:v>Company M</c:v>
                </c:pt>
                <c:pt idx="11">
                  <c:v>Company N</c:v>
                </c:pt>
              </c:strCache>
            </c:strRef>
          </c:cat>
          <c:val>
            <c:numRef>
              <c:f>'Barriers &amp; Classification'!$K$5:$K$16</c:f>
              <c:numCache>
                <c:formatCode>General</c:formatCode>
                <c:ptCount val="12"/>
                <c:pt idx="0">
                  <c:v>1</c:v>
                </c:pt>
                <c:pt idx="1">
                  <c:v>0</c:v>
                </c:pt>
                <c:pt idx="2">
                  <c:v>0</c:v>
                </c:pt>
                <c:pt idx="3">
                  <c:v>0</c:v>
                </c:pt>
                <c:pt idx="4">
                  <c:v>1</c:v>
                </c:pt>
                <c:pt idx="5">
                  <c:v>0</c:v>
                </c:pt>
                <c:pt idx="6">
                  <c:v>1</c:v>
                </c:pt>
                <c:pt idx="7">
                  <c:v>1</c:v>
                </c:pt>
                <c:pt idx="8">
                  <c:v>0</c:v>
                </c:pt>
                <c:pt idx="9">
                  <c:v>1</c:v>
                </c:pt>
                <c:pt idx="10">
                  <c:v>1</c:v>
                </c:pt>
                <c:pt idx="11">
                  <c:v>0</c:v>
                </c:pt>
              </c:numCache>
            </c:numRef>
          </c:val>
          <c:extLst>
            <c:ext xmlns:c16="http://schemas.microsoft.com/office/drawing/2014/chart" uri="{C3380CC4-5D6E-409C-BE32-E72D297353CC}">
              <c16:uniqueId val="{00000005-3FD0-4FB8-8CC6-F2CBA1BCCEBF}"/>
            </c:ext>
          </c:extLst>
        </c:ser>
        <c:dLbls>
          <c:showLegendKey val="0"/>
          <c:showVal val="0"/>
          <c:showCatName val="0"/>
          <c:showSerName val="0"/>
          <c:showPercent val="0"/>
          <c:showBubbleSize val="0"/>
        </c:dLbls>
        <c:gapWidth val="150"/>
        <c:overlap val="100"/>
        <c:axId val="486816223"/>
        <c:axId val="1000841871"/>
      </c:barChart>
      <c:catAx>
        <c:axId val="48681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Gilroy" panose="00000500000000000000" pitchFamily="50" charset="0"/>
                <a:ea typeface="+mn-ea"/>
                <a:cs typeface="+mn-cs"/>
              </a:defRPr>
            </a:pPr>
            <a:endParaRPr lang="en-US"/>
          </a:p>
        </c:txPr>
        <c:crossAx val="1000841871"/>
        <c:crosses val="autoZero"/>
        <c:auto val="1"/>
        <c:lblAlgn val="ctr"/>
        <c:lblOffset val="100"/>
        <c:noMultiLvlLbl val="0"/>
      </c:catAx>
      <c:valAx>
        <c:axId val="1000841871"/>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Gilroy" panose="00000500000000000000" pitchFamily="50" charset="0"/>
                <a:ea typeface="+mn-ea"/>
                <a:cs typeface="+mn-cs"/>
              </a:defRPr>
            </a:pPr>
            <a:endParaRPr lang="en-US"/>
          </a:p>
        </c:txPr>
        <c:crossAx val="486816223"/>
        <c:crosses val="autoZero"/>
        <c:crossBetween val="between"/>
      </c:valAx>
      <c:spPr>
        <a:noFill/>
        <a:ln>
          <a:noFill/>
        </a:ln>
        <a:effectLst/>
      </c:spPr>
    </c:plotArea>
    <c:legend>
      <c:legendPos val="b"/>
      <c:layout>
        <c:manualLayout>
          <c:xMode val="edge"/>
          <c:yMode val="edge"/>
          <c:x val="4.3274054157864415E-2"/>
          <c:y val="0.83149231604536644"/>
          <c:w val="0.93513193777607062"/>
          <c:h val="0.1472254310075163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Gilroy"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7">
  <a:schemeClr val="accent4"/>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0731DF-B522-445B-860B-68B8892B0146}" type="doc">
      <dgm:prSet loTypeId="urn:microsoft.com/office/officeart/2005/8/layout/list1" loCatId="list" qsTypeId="urn:microsoft.com/office/officeart/2005/8/quickstyle/simple1" qsCatId="simple" csTypeId="urn:microsoft.com/office/officeart/2005/8/colors/accent4_2" csCatId="accent4" phldr="1"/>
      <dgm:spPr/>
      <dgm:t>
        <a:bodyPr/>
        <a:lstStyle/>
        <a:p>
          <a:endParaRPr lang="en-AU"/>
        </a:p>
      </dgm:t>
    </dgm:pt>
    <dgm:pt modelId="{BC78407F-157A-4CDE-BB93-9449709F232D}">
      <dgm:prSet phldrT="[Text]" custT="1"/>
      <dgm:spPr/>
      <dgm:t>
        <a:bodyPr/>
        <a:lstStyle/>
        <a:p>
          <a:pPr>
            <a:buNone/>
          </a:pPr>
          <a:r>
            <a:rPr lang="en-AU" sz="1000" b="1">
              <a:latin typeface="Gilroy" panose="00000500000000000000" pitchFamily="50" charset="0"/>
            </a:rPr>
            <a:t>Organisational Inertia</a:t>
          </a:r>
        </a:p>
      </dgm:t>
    </dgm:pt>
    <dgm:pt modelId="{44F8A258-83E4-42A4-83D1-B20FA5DD9AED}" type="parTrans" cxnId="{C7A9A27C-7BA9-44C2-8CC5-920F2A3DFBE9}">
      <dgm:prSet/>
      <dgm:spPr/>
      <dgm:t>
        <a:bodyPr/>
        <a:lstStyle/>
        <a:p>
          <a:endParaRPr lang="en-AU">
            <a:latin typeface="Gilroy" panose="00000500000000000000" pitchFamily="50" charset="0"/>
          </a:endParaRPr>
        </a:p>
      </dgm:t>
    </dgm:pt>
    <dgm:pt modelId="{14E5E441-FF26-4FCF-8AD8-DA56E3E3D5FB}" type="sibTrans" cxnId="{C7A9A27C-7BA9-44C2-8CC5-920F2A3DFBE9}">
      <dgm:prSet/>
      <dgm:spPr/>
      <dgm:t>
        <a:bodyPr/>
        <a:lstStyle/>
        <a:p>
          <a:endParaRPr lang="en-AU">
            <a:latin typeface="Gilroy" panose="00000500000000000000" pitchFamily="50" charset="0"/>
          </a:endParaRPr>
        </a:p>
      </dgm:t>
    </dgm:pt>
    <dgm:pt modelId="{8EB8F4E7-D4E1-4285-AC97-CB11352CF772}">
      <dgm:prSet phldrT="[Text]" custT="1"/>
      <dgm:spPr/>
      <dgm:t>
        <a:bodyPr/>
        <a:lstStyle/>
        <a:p>
          <a:pPr>
            <a:buNone/>
          </a:pPr>
          <a:r>
            <a:rPr lang="en-AU" sz="1000" b="1">
              <a:latin typeface="Gilroy" panose="00000500000000000000" pitchFamily="50" charset="0"/>
            </a:rPr>
            <a:t>Labour Cost</a:t>
          </a:r>
        </a:p>
      </dgm:t>
    </dgm:pt>
    <dgm:pt modelId="{25BFFDBC-7CD8-4056-B07F-1A2DED14F631}" type="parTrans" cxnId="{5F28F0AC-0ECD-4F70-82D2-E79C5840663F}">
      <dgm:prSet/>
      <dgm:spPr/>
      <dgm:t>
        <a:bodyPr/>
        <a:lstStyle/>
        <a:p>
          <a:endParaRPr lang="en-AU">
            <a:latin typeface="Gilroy" panose="00000500000000000000" pitchFamily="50" charset="0"/>
          </a:endParaRPr>
        </a:p>
      </dgm:t>
    </dgm:pt>
    <dgm:pt modelId="{C57AAD0D-AFA1-435B-BA89-66C9931BE903}" type="sibTrans" cxnId="{5F28F0AC-0ECD-4F70-82D2-E79C5840663F}">
      <dgm:prSet/>
      <dgm:spPr/>
      <dgm:t>
        <a:bodyPr/>
        <a:lstStyle/>
        <a:p>
          <a:endParaRPr lang="en-AU">
            <a:latin typeface="Gilroy" panose="00000500000000000000" pitchFamily="50" charset="0"/>
          </a:endParaRPr>
        </a:p>
      </dgm:t>
    </dgm:pt>
    <dgm:pt modelId="{E110A884-B5BD-4637-A18D-B68B96547A33}">
      <dgm:prSet phldrT="[Text]" custT="1"/>
      <dgm:spPr/>
      <dgm:t>
        <a:bodyPr/>
        <a:lstStyle/>
        <a:p>
          <a:pPr>
            <a:buNone/>
          </a:pPr>
          <a:r>
            <a:rPr lang="en-AU" sz="1000" b="1">
              <a:latin typeface="Gilroy" panose="00000500000000000000" pitchFamily="50" charset="0"/>
            </a:rPr>
            <a:t>Data Deficiency</a:t>
          </a:r>
        </a:p>
      </dgm:t>
    </dgm:pt>
    <dgm:pt modelId="{998BBEA8-8204-4CE5-B035-F8E25635AFC2}" type="parTrans" cxnId="{97F67412-4CDE-4A42-9FCD-536FC07F1A3A}">
      <dgm:prSet/>
      <dgm:spPr/>
      <dgm:t>
        <a:bodyPr/>
        <a:lstStyle/>
        <a:p>
          <a:endParaRPr lang="en-AU">
            <a:latin typeface="Gilroy" panose="00000500000000000000" pitchFamily="50" charset="0"/>
          </a:endParaRPr>
        </a:p>
      </dgm:t>
    </dgm:pt>
    <dgm:pt modelId="{86FF099D-BFCF-44BE-9570-AA8D5A6AD2A7}" type="sibTrans" cxnId="{97F67412-4CDE-4A42-9FCD-536FC07F1A3A}">
      <dgm:prSet/>
      <dgm:spPr/>
      <dgm:t>
        <a:bodyPr/>
        <a:lstStyle/>
        <a:p>
          <a:endParaRPr lang="en-AU">
            <a:latin typeface="Gilroy" panose="00000500000000000000" pitchFamily="50" charset="0"/>
          </a:endParaRPr>
        </a:p>
      </dgm:t>
    </dgm:pt>
    <dgm:pt modelId="{0BC4EE1D-6036-4E93-B65A-9A316387D9AE}">
      <dgm:prSet phldrT="[Text]" custT="1"/>
      <dgm:spPr/>
      <dgm:t>
        <a:bodyPr/>
        <a:lstStyle/>
        <a:p>
          <a:pPr>
            <a:buNone/>
          </a:pPr>
          <a:r>
            <a:rPr lang="en-AU" sz="1000" b="1">
              <a:latin typeface="Gilroy" panose="00000500000000000000" pitchFamily="50" charset="0"/>
            </a:rPr>
            <a:t>Access and Awareness</a:t>
          </a:r>
        </a:p>
      </dgm:t>
    </dgm:pt>
    <dgm:pt modelId="{68D56F3D-EF45-49AD-B306-75A90F50F5AF}" type="parTrans" cxnId="{6BFF1DAC-8935-46C9-8B98-12DF21044706}">
      <dgm:prSet/>
      <dgm:spPr/>
      <dgm:t>
        <a:bodyPr/>
        <a:lstStyle/>
        <a:p>
          <a:endParaRPr lang="en-AU">
            <a:latin typeface="Gilroy" panose="00000500000000000000" pitchFamily="50" charset="0"/>
          </a:endParaRPr>
        </a:p>
      </dgm:t>
    </dgm:pt>
    <dgm:pt modelId="{E571ED79-AAF6-4412-904F-E465C6CA2988}" type="sibTrans" cxnId="{6BFF1DAC-8935-46C9-8B98-12DF21044706}">
      <dgm:prSet/>
      <dgm:spPr/>
      <dgm:t>
        <a:bodyPr/>
        <a:lstStyle/>
        <a:p>
          <a:endParaRPr lang="en-AU">
            <a:latin typeface="Gilroy" panose="00000500000000000000" pitchFamily="50" charset="0"/>
          </a:endParaRPr>
        </a:p>
      </dgm:t>
    </dgm:pt>
    <dgm:pt modelId="{BC288EBF-D213-440A-9B50-BDB77E4C21E6}">
      <dgm:prSet phldrT="[Text]" custT="1"/>
      <dgm:spPr/>
      <dgm:t>
        <a:bodyPr/>
        <a:lstStyle/>
        <a:p>
          <a:pPr>
            <a:buNone/>
          </a:pPr>
          <a:r>
            <a:rPr lang="en-AU" sz="1000" b="1">
              <a:latin typeface="Gilroy" panose="00000500000000000000" pitchFamily="50" charset="0"/>
            </a:rPr>
            <a:t>Technology Availability</a:t>
          </a:r>
        </a:p>
      </dgm:t>
    </dgm:pt>
    <dgm:pt modelId="{A48BB38D-57E4-4915-AD25-677F0DA6CAD9}" type="parTrans" cxnId="{164A51F5-4004-43FE-BC28-19E6C7A42950}">
      <dgm:prSet/>
      <dgm:spPr/>
      <dgm:t>
        <a:bodyPr/>
        <a:lstStyle/>
        <a:p>
          <a:endParaRPr lang="en-AU">
            <a:latin typeface="Gilroy" panose="00000500000000000000" pitchFamily="50" charset="0"/>
          </a:endParaRPr>
        </a:p>
      </dgm:t>
    </dgm:pt>
    <dgm:pt modelId="{210B97C5-C6B5-4219-9404-EC83E64B7409}" type="sibTrans" cxnId="{164A51F5-4004-43FE-BC28-19E6C7A42950}">
      <dgm:prSet/>
      <dgm:spPr/>
      <dgm:t>
        <a:bodyPr/>
        <a:lstStyle/>
        <a:p>
          <a:endParaRPr lang="en-AU">
            <a:latin typeface="Gilroy" panose="00000500000000000000" pitchFamily="50" charset="0"/>
          </a:endParaRPr>
        </a:p>
      </dgm:t>
    </dgm:pt>
    <dgm:pt modelId="{68FFEDFD-4B11-4920-BB60-6839ED0C13AC}">
      <dgm:prSet phldrT="[Text]" custT="1"/>
      <dgm:spPr/>
      <dgm:t>
        <a:bodyPr/>
        <a:lstStyle/>
        <a:p>
          <a:pPr>
            <a:buNone/>
          </a:pPr>
          <a:r>
            <a:rPr lang="en-AU" sz="1000" b="1">
              <a:latin typeface="Gilroy" panose="00000500000000000000" pitchFamily="50" charset="0"/>
            </a:rPr>
            <a:t>Continuous Process Dependency</a:t>
          </a:r>
        </a:p>
      </dgm:t>
    </dgm:pt>
    <dgm:pt modelId="{C6595A7D-C9B9-4EA2-85C2-CC3FEA80B9E3}" type="parTrans" cxnId="{D773421F-C097-495D-834B-367630CEFD79}">
      <dgm:prSet/>
      <dgm:spPr/>
      <dgm:t>
        <a:bodyPr/>
        <a:lstStyle/>
        <a:p>
          <a:endParaRPr lang="en-AU">
            <a:latin typeface="Gilroy" panose="00000500000000000000" pitchFamily="50" charset="0"/>
          </a:endParaRPr>
        </a:p>
      </dgm:t>
    </dgm:pt>
    <dgm:pt modelId="{280C72F1-A281-44A7-9C98-1361AAC4253F}" type="sibTrans" cxnId="{D773421F-C097-495D-834B-367630CEFD79}">
      <dgm:prSet/>
      <dgm:spPr/>
      <dgm:t>
        <a:bodyPr/>
        <a:lstStyle/>
        <a:p>
          <a:endParaRPr lang="en-AU">
            <a:latin typeface="Gilroy" panose="00000500000000000000" pitchFamily="50" charset="0"/>
          </a:endParaRPr>
        </a:p>
      </dgm:t>
    </dgm:pt>
    <dgm:pt modelId="{F9541586-0E29-4B58-8C6E-5B217C87DA4E}">
      <dgm:prSet custT="1"/>
      <dgm:spPr/>
      <dgm:t>
        <a:bodyPr/>
        <a:lstStyle/>
        <a:p>
          <a:pPr algn="l">
            <a:buNone/>
          </a:pPr>
          <a:r>
            <a:rPr lang="en-AU" sz="900">
              <a:latin typeface="Gilroy" panose="00000500000000000000" pitchFamily="50" charset="0"/>
            </a:rPr>
            <a:t>  The participant has expressed interest in demand response participation or has identified opportunities to curtail load, but progress has been constrained by deeply embedded workplace culture, operational conventions, or company-level policies that resist change. This barrier is characterised by an unwillingness or inability to alter established routines, even where the energy or commercial case for doing so is recognised. Examples include shift patterns that have remained unchanged for decades, such as production equipment being started at the beginning of a conventional day shift regardless of grid conditions, or an organisational culture in which proposals to modify operational practices could face internal resistance from staff or management.</a:t>
          </a:r>
        </a:p>
      </dgm:t>
    </dgm:pt>
    <dgm:pt modelId="{5D781C8F-73D3-431E-9F26-4CE1B57B7DE3}" type="parTrans" cxnId="{CC3E7982-19B1-4E9E-A597-BC3A7CD03D4C}">
      <dgm:prSet/>
      <dgm:spPr/>
      <dgm:t>
        <a:bodyPr/>
        <a:lstStyle/>
        <a:p>
          <a:endParaRPr lang="en-AU">
            <a:latin typeface="Gilroy" panose="00000500000000000000" pitchFamily="50" charset="0"/>
          </a:endParaRPr>
        </a:p>
      </dgm:t>
    </dgm:pt>
    <dgm:pt modelId="{CF140341-167E-410E-8823-9C27728F8953}" type="sibTrans" cxnId="{CC3E7982-19B1-4E9E-A597-BC3A7CD03D4C}">
      <dgm:prSet/>
      <dgm:spPr/>
      <dgm:t>
        <a:bodyPr/>
        <a:lstStyle/>
        <a:p>
          <a:endParaRPr lang="en-AU">
            <a:latin typeface="Gilroy" panose="00000500000000000000" pitchFamily="50" charset="0"/>
          </a:endParaRPr>
        </a:p>
      </dgm:t>
    </dgm:pt>
    <dgm:pt modelId="{33A4E5A8-BFF2-4037-B75D-A53931F9CC72}">
      <dgm:prSet custT="1"/>
      <dgm:spPr/>
      <dgm:t>
        <a:bodyPr/>
        <a:lstStyle/>
        <a:p>
          <a:pPr>
            <a:buNone/>
          </a:pPr>
          <a:r>
            <a:rPr lang="en-AU" sz="900">
              <a:latin typeface="Gilroy" panose="00000500000000000000" pitchFamily="50" charset="0"/>
            </a:rPr>
            <a:t>  The participant would not consider altering shift patterns or equipment usage in response to a demand-response signal because the associated labour costs would materially outweigh any potential energy savings. This barrier operates at two levels. At the strategic level, energy expenditure represents a sufficiently small proportion of overall operating costs that it does not attract meaningful management attention or drive operational decisions. At the operational level, curtailing or rescheduling a production process for the duration of a DR event would directly result in idle labour time, translating an energy saving into an equivalent or greater wage cost. For DR to be viable for labour-intensive industrial facilities, the financial incentive offered through DR program participation must exceed the cost of displaced labour.</a:t>
          </a:r>
        </a:p>
      </dgm:t>
    </dgm:pt>
    <dgm:pt modelId="{D0D6B42B-6634-4387-BFE9-DF107B7A5851}" type="parTrans" cxnId="{8F149F7C-5810-4491-804F-11BAA2B8754A}">
      <dgm:prSet/>
      <dgm:spPr/>
      <dgm:t>
        <a:bodyPr/>
        <a:lstStyle/>
        <a:p>
          <a:endParaRPr lang="en-AU"/>
        </a:p>
      </dgm:t>
    </dgm:pt>
    <dgm:pt modelId="{9B660DCF-E774-49BD-9CD1-C3D9DC380632}" type="sibTrans" cxnId="{8F149F7C-5810-4491-804F-11BAA2B8754A}">
      <dgm:prSet/>
      <dgm:spPr/>
      <dgm:t>
        <a:bodyPr/>
        <a:lstStyle/>
        <a:p>
          <a:endParaRPr lang="en-AU"/>
        </a:p>
      </dgm:t>
    </dgm:pt>
    <dgm:pt modelId="{82053DE9-6087-4E33-AEF4-DFFDEAA8A4D9}">
      <dgm:prSet custT="1"/>
      <dgm:spPr/>
      <dgm:t>
        <a:bodyPr/>
        <a:lstStyle/>
        <a:p>
          <a:pPr>
            <a:buNone/>
          </a:pPr>
          <a:r>
            <a:rPr lang="en-AU" sz="900">
              <a:latin typeface="Gilroy" panose="00000500000000000000" pitchFamily="50" charset="0"/>
            </a:rPr>
            <a:t>  The participant has expressed interest in demand response participation but has not identified opportunities to curtail load and faces a gap between that intent and its practical realisation. This barrier has both internal and external dimensions. Internally, it encompasses an absence of in-house electrical engineering knowledge and a limited understanding of end-use energy consumption or load breakdown within the facility. Externally, it reflects the reality that many mid-sized industrial companies are not considered sufficiently large by aggregators, retailers, or program administrators to be viable DR participants.</a:t>
          </a:r>
        </a:p>
      </dgm:t>
    </dgm:pt>
    <dgm:pt modelId="{D26FE77F-165F-4101-A730-45F6B6310317}" type="parTrans" cxnId="{294173EE-5F4A-469F-9243-F3A6DF70D48D}">
      <dgm:prSet/>
      <dgm:spPr/>
      <dgm:t>
        <a:bodyPr/>
        <a:lstStyle/>
        <a:p>
          <a:endParaRPr lang="en-AU"/>
        </a:p>
      </dgm:t>
    </dgm:pt>
    <dgm:pt modelId="{92322AA7-A9C3-4E05-8806-5C66CB0041E1}" type="sibTrans" cxnId="{294173EE-5F4A-469F-9243-F3A6DF70D48D}">
      <dgm:prSet/>
      <dgm:spPr/>
      <dgm:t>
        <a:bodyPr/>
        <a:lstStyle/>
        <a:p>
          <a:endParaRPr lang="en-AU"/>
        </a:p>
      </dgm:t>
    </dgm:pt>
    <dgm:pt modelId="{FBEBA8E8-4BC0-455C-965D-3C6D95D732EB}">
      <dgm:prSet custT="1"/>
      <dgm:spPr/>
      <dgm:t>
        <a:bodyPr/>
        <a:lstStyle/>
        <a:p>
          <a:pPr>
            <a:buNone/>
          </a:pPr>
          <a:r>
            <a:rPr lang="en-AU" sz="900">
              <a:latin typeface="Gilroy" panose="00000500000000000000" pitchFamily="50" charset="0"/>
            </a:rPr>
            <a:t>  The participant has expressed interest in demand response participation or has identified opportunities to curtail load, but the equipment and infrastructure currently installed at the facility do not support an effective response. This includes ageing process equipment, such as older industrial air conditioning systems, that requires continuous standby operation rather than being cycled on and off as needed; equipment that lacks the control interfaces necessary for automated or remotely triggered response; and facilities operating from leased premises where the landlord is unwilling to support the installation of on-site generation, such as storage or solar infrastructure.</a:t>
          </a:r>
        </a:p>
      </dgm:t>
    </dgm:pt>
    <dgm:pt modelId="{BF444DEF-AC3B-49AD-A6CC-85F8715DB5D6}" type="parTrans" cxnId="{F72BAF11-858E-488E-8675-78155C622B4D}">
      <dgm:prSet/>
      <dgm:spPr/>
      <dgm:t>
        <a:bodyPr/>
        <a:lstStyle/>
        <a:p>
          <a:endParaRPr lang="en-AU"/>
        </a:p>
      </dgm:t>
    </dgm:pt>
    <dgm:pt modelId="{D3178005-B2F2-491D-A9EC-8E9A141AA634}" type="sibTrans" cxnId="{F72BAF11-858E-488E-8675-78155C622B4D}">
      <dgm:prSet/>
      <dgm:spPr/>
      <dgm:t>
        <a:bodyPr/>
        <a:lstStyle/>
        <a:p>
          <a:endParaRPr lang="en-AU"/>
        </a:p>
      </dgm:t>
    </dgm:pt>
    <dgm:pt modelId="{C8712511-22AA-4525-9D40-498E9FE7BA8F}">
      <dgm:prSet custT="1"/>
      <dgm:spPr/>
      <dgm:t>
        <a:bodyPr/>
        <a:lstStyle/>
        <a:p>
          <a:pPr>
            <a:buNone/>
          </a:pPr>
          <a:r>
            <a:rPr lang="en-AU" sz="900">
              <a:latin typeface="Gilroy" panose="00000500000000000000" pitchFamily="50" charset="0"/>
            </a:rPr>
            <a:t>  The participant has expressed interest in demand response participation but does not have sufficient visibility of their electricity consumption to understand how their operational patterns connect to their energy use, or to identify which loads could feasibly be curtailed or rescheduled. This includes an understanding of potential low-energy modes of operation for 1-2 hour periods. This barrier goes beyond basic billing data and reflects the absence of submetering, load disaggregation, or interval data analysis at the equipment or process level. Without this information, a site cannot reliably identify which equipment draws the most power, which processes are candidates for ramp-up or ramp-down, or what a low-energy operating mode would look like for a defined curtailment window of one to two hours. In practice, this means that even operationally willing participants are unable to make credible commitments to a DR program without first undertaking a structured energy audit at Level 2 or Level 3 under AS 3598</a:t>
          </a:r>
          <a:r>
            <a:rPr lang="en-AU" sz="950">
              <a:latin typeface="Gilroy" panose="00000500000000000000" pitchFamily="50" charset="0"/>
            </a:rPr>
            <a:t>.</a:t>
          </a:r>
        </a:p>
      </dgm:t>
    </dgm:pt>
    <dgm:pt modelId="{5A50AEEF-28D0-4BAD-A0FE-4961CE53DE97}" type="parTrans" cxnId="{5BB491D4-5E12-4670-AD0D-CE7BD2E54429}">
      <dgm:prSet/>
      <dgm:spPr/>
      <dgm:t>
        <a:bodyPr/>
        <a:lstStyle/>
        <a:p>
          <a:endParaRPr lang="en-AU"/>
        </a:p>
      </dgm:t>
    </dgm:pt>
    <dgm:pt modelId="{A8EE008A-E15A-4A1E-821B-8079BD01AA5D}" type="sibTrans" cxnId="{5BB491D4-5E12-4670-AD0D-CE7BD2E54429}">
      <dgm:prSet/>
      <dgm:spPr/>
      <dgm:t>
        <a:bodyPr/>
        <a:lstStyle/>
        <a:p>
          <a:endParaRPr lang="en-AU"/>
        </a:p>
      </dgm:t>
    </dgm:pt>
    <dgm:pt modelId="{50D435A8-859D-44CB-B427-D60828D98474}">
      <dgm:prSet custT="1"/>
      <dgm:spPr/>
      <dgm:t>
        <a:bodyPr/>
        <a:lstStyle/>
        <a:p>
          <a:pPr>
            <a:buNone/>
          </a:pPr>
          <a:r>
            <a:rPr lang="en-AU" sz="900">
              <a:latin typeface="Gilroy" panose="00000500000000000000" pitchFamily="50" charset="0"/>
            </a:rPr>
            <a:t>  The participant operates one or more continuous processes in which equipment must remain running throughout the production cycle to ensure efficient resource use and product integrity. This barrier represents a fundamental constraint on DR participation, as it limits the fraction of total facility load that can be made available for curtailment regardless of the participant's willingness or technical capability. For the purposes of this framework, a process is classified as continuous where an unplanned interruption is defined as a curtailment event with less than one hour's notice and would result in product wastage or material losses exceeding $1,000; require extensive recalibration or restart procedures before normal operations could resume; or create an unacceptable health and safety risk due to the process requiring continuous human supervision. It is noted that the presence of a continuous process does not entirely preclude DR participation. Facilities operating continuous processes may still have discrete, separable loads available for curtailment, but this significantly reduces the available DR capacity relative to the total facility demand.</a:t>
          </a:r>
        </a:p>
      </dgm:t>
    </dgm:pt>
    <dgm:pt modelId="{B0E6D96E-454A-4ACC-B3C4-856395C1952F}" type="parTrans" cxnId="{79317DC1-B792-4296-BC13-84220CB6379E}">
      <dgm:prSet/>
      <dgm:spPr/>
      <dgm:t>
        <a:bodyPr/>
        <a:lstStyle/>
        <a:p>
          <a:endParaRPr lang="en-AU"/>
        </a:p>
      </dgm:t>
    </dgm:pt>
    <dgm:pt modelId="{225C01FB-CCD0-45B1-8212-276F47588DC2}" type="sibTrans" cxnId="{79317DC1-B792-4296-BC13-84220CB6379E}">
      <dgm:prSet/>
      <dgm:spPr/>
      <dgm:t>
        <a:bodyPr/>
        <a:lstStyle/>
        <a:p>
          <a:endParaRPr lang="en-AU"/>
        </a:p>
      </dgm:t>
    </dgm:pt>
    <dgm:pt modelId="{3246EC1A-28A7-4EBC-A815-672153A6CA6F}" type="pres">
      <dgm:prSet presAssocID="{CD0731DF-B522-445B-860B-68B8892B0146}" presName="linear" presStyleCnt="0">
        <dgm:presLayoutVars>
          <dgm:dir/>
          <dgm:animLvl val="lvl"/>
          <dgm:resizeHandles val="exact"/>
        </dgm:presLayoutVars>
      </dgm:prSet>
      <dgm:spPr/>
    </dgm:pt>
    <dgm:pt modelId="{2DE5CAC8-AFFF-44D4-B8D9-004402EE5D9A}" type="pres">
      <dgm:prSet presAssocID="{BC78407F-157A-4CDE-BB93-9449709F232D}" presName="parentLin" presStyleCnt="0"/>
      <dgm:spPr/>
    </dgm:pt>
    <dgm:pt modelId="{493F31C1-2189-4B99-99C1-ADF54D47D244}" type="pres">
      <dgm:prSet presAssocID="{BC78407F-157A-4CDE-BB93-9449709F232D}" presName="parentLeftMargin" presStyleLbl="node1" presStyleIdx="0" presStyleCnt="6"/>
      <dgm:spPr/>
    </dgm:pt>
    <dgm:pt modelId="{9CC85110-6F2E-49F1-92AC-A8064CC7706F}" type="pres">
      <dgm:prSet presAssocID="{BC78407F-157A-4CDE-BB93-9449709F232D}" presName="parentText" presStyleLbl="node1" presStyleIdx="0" presStyleCnt="6">
        <dgm:presLayoutVars>
          <dgm:chMax val="0"/>
          <dgm:bulletEnabled val="1"/>
        </dgm:presLayoutVars>
      </dgm:prSet>
      <dgm:spPr/>
    </dgm:pt>
    <dgm:pt modelId="{0D36CCEA-9F48-41D7-A148-6AC659AD93BF}" type="pres">
      <dgm:prSet presAssocID="{BC78407F-157A-4CDE-BB93-9449709F232D}" presName="negativeSpace" presStyleCnt="0"/>
      <dgm:spPr/>
    </dgm:pt>
    <dgm:pt modelId="{8630B9F0-6C7C-41A3-BB3E-714D22B30724}" type="pres">
      <dgm:prSet presAssocID="{BC78407F-157A-4CDE-BB93-9449709F232D}" presName="childText" presStyleLbl="conFgAcc1" presStyleIdx="0" presStyleCnt="6">
        <dgm:presLayoutVars>
          <dgm:bulletEnabled val="1"/>
        </dgm:presLayoutVars>
      </dgm:prSet>
      <dgm:spPr/>
    </dgm:pt>
    <dgm:pt modelId="{86296CC3-8183-4E79-8FD1-70DBFDCA6204}" type="pres">
      <dgm:prSet presAssocID="{14E5E441-FF26-4FCF-8AD8-DA56E3E3D5FB}" presName="spaceBetweenRectangles" presStyleCnt="0"/>
      <dgm:spPr/>
    </dgm:pt>
    <dgm:pt modelId="{16EB9915-FA45-41E6-B3B1-9036C3F2D863}" type="pres">
      <dgm:prSet presAssocID="{8EB8F4E7-D4E1-4285-AC97-CB11352CF772}" presName="parentLin" presStyleCnt="0"/>
      <dgm:spPr/>
    </dgm:pt>
    <dgm:pt modelId="{A3F609BD-EAAA-48D5-B158-6083E98FE303}" type="pres">
      <dgm:prSet presAssocID="{8EB8F4E7-D4E1-4285-AC97-CB11352CF772}" presName="parentLeftMargin" presStyleLbl="node1" presStyleIdx="0" presStyleCnt="6"/>
      <dgm:spPr/>
    </dgm:pt>
    <dgm:pt modelId="{F6634567-74C4-4FA0-81E4-05B1494C2712}" type="pres">
      <dgm:prSet presAssocID="{8EB8F4E7-D4E1-4285-AC97-CB11352CF772}" presName="parentText" presStyleLbl="node1" presStyleIdx="1" presStyleCnt="6">
        <dgm:presLayoutVars>
          <dgm:chMax val="0"/>
          <dgm:bulletEnabled val="1"/>
        </dgm:presLayoutVars>
      </dgm:prSet>
      <dgm:spPr/>
    </dgm:pt>
    <dgm:pt modelId="{F596B441-ACFB-4062-9F9A-622CDED3F95F}" type="pres">
      <dgm:prSet presAssocID="{8EB8F4E7-D4E1-4285-AC97-CB11352CF772}" presName="negativeSpace" presStyleCnt="0"/>
      <dgm:spPr/>
    </dgm:pt>
    <dgm:pt modelId="{B8A37B35-A3F5-49C0-953D-BA5359361C13}" type="pres">
      <dgm:prSet presAssocID="{8EB8F4E7-D4E1-4285-AC97-CB11352CF772}" presName="childText" presStyleLbl="conFgAcc1" presStyleIdx="1" presStyleCnt="6">
        <dgm:presLayoutVars>
          <dgm:bulletEnabled val="1"/>
        </dgm:presLayoutVars>
      </dgm:prSet>
      <dgm:spPr/>
    </dgm:pt>
    <dgm:pt modelId="{C3EBC1EF-7433-4B4E-8962-D8329FADC3C9}" type="pres">
      <dgm:prSet presAssocID="{C57AAD0D-AFA1-435B-BA89-66C9931BE903}" presName="spaceBetweenRectangles" presStyleCnt="0"/>
      <dgm:spPr/>
    </dgm:pt>
    <dgm:pt modelId="{A2110CAF-0711-4D2F-AB64-752863CAE5ED}" type="pres">
      <dgm:prSet presAssocID="{0BC4EE1D-6036-4E93-B65A-9A316387D9AE}" presName="parentLin" presStyleCnt="0"/>
      <dgm:spPr/>
    </dgm:pt>
    <dgm:pt modelId="{EE52F60E-6AF9-46F7-9248-36243E74EE8E}" type="pres">
      <dgm:prSet presAssocID="{0BC4EE1D-6036-4E93-B65A-9A316387D9AE}" presName="parentLeftMargin" presStyleLbl="node1" presStyleIdx="1" presStyleCnt="6"/>
      <dgm:spPr/>
    </dgm:pt>
    <dgm:pt modelId="{A944336D-C822-4CAE-8A5D-C185818334D2}" type="pres">
      <dgm:prSet presAssocID="{0BC4EE1D-6036-4E93-B65A-9A316387D9AE}" presName="parentText" presStyleLbl="node1" presStyleIdx="2" presStyleCnt="6">
        <dgm:presLayoutVars>
          <dgm:chMax val="0"/>
          <dgm:bulletEnabled val="1"/>
        </dgm:presLayoutVars>
      </dgm:prSet>
      <dgm:spPr/>
    </dgm:pt>
    <dgm:pt modelId="{1FD8B41D-CE90-488A-8E0B-0BA808A7813E}" type="pres">
      <dgm:prSet presAssocID="{0BC4EE1D-6036-4E93-B65A-9A316387D9AE}" presName="negativeSpace" presStyleCnt="0"/>
      <dgm:spPr/>
    </dgm:pt>
    <dgm:pt modelId="{227F8EE8-ECFD-4B63-AF0D-E49F0A566EEB}" type="pres">
      <dgm:prSet presAssocID="{0BC4EE1D-6036-4E93-B65A-9A316387D9AE}" presName="childText" presStyleLbl="conFgAcc1" presStyleIdx="2" presStyleCnt="6">
        <dgm:presLayoutVars>
          <dgm:bulletEnabled val="1"/>
        </dgm:presLayoutVars>
      </dgm:prSet>
      <dgm:spPr/>
    </dgm:pt>
    <dgm:pt modelId="{3B5CD2E5-1066-4F5E-B64C-163BDC223732}" type="pres">
      <dgm:prSet presAssocID="{E571ED79-AAF6-4412-904F-E465C6CA2988}" presName="spaceBetweenRectangles" presStyleCnt="0"/>
      <dgm:spPr/>
    </dgm:pt>
    <dgm:pt modelId="{F5FF9040-B997-4AA2-94C7-A783B98FED32}" type="pres">
      <dgm:prSet presAssocID="{BC288EBF-D213-440A-9B50-BDB77E4C21E6}" presName="parentLin" presStyleCnt="0"/>
      <dgm:spPr/>
    </dgm:pt>
    <dgm:pt modelId="{9B296C1F-A168-4EC3-8152-0465E4DC621E}" type="pres">
      <dgm:prSet presAssocID="{BC288EBF-D213-440A-9B50-BDB77E4C21E6}" presName="parentLeftMargin" presStyleLbl="node1" presStyleIdx="2" presStyleCnt="6"/>
      <dgm:spPr/>
    </dgm:pt>
    <dgm:pt modelId="{6FB32678-F680-478C-91DB-6F850FC503E9}" type="pres">
      <dgm:prSet presAssocID="{BC288EBF-D213-440A-9B50-BDB77E4C21E6}" presName="parentText" presStyleLbl="node1" presStyleIdx="3" presStyleCnt="6">
        <dgm:presLayoutVars>
          <dgm:chMax val="0"/>
          <dgm:bulletEnabled val="1"/>
        </dgm:presLayoutVars>
      </dgm:prSet>
      <dgm:spPr/>
    </dgm:pt>
    <dgm:pt modelId="{EE130CA3-98BB-44E3-A6D7-A658F7274191}" type="pres">
      <dgm:prSet presAssocID="{BC288EBF-D213-440A-9B50-BDB77E4C21E6}" presName="negativeSpace" presStyleCnt="0"/>
      <dgm:spPr/>
    </dgm:pt>
    <dgm:pt modelId="{625CCD20-E61C-4D84-95EC-9773CFE7E4CD}" type="pres">
      <dgm:prSet presAssocID="{BC288EBF-D213-440A-9B50-BDB77E4C21E6}" presName="childText" presStyleLbl="conFgAcc1" presStyleIdx="3" presStyleCnt="6">
        <dgm:presLayoutVars>
          <dgm:bulletEnabled val="1"/>
        </dgm:presLayoutVars>
      </dgm:prSet>
      <dgm:spPr/>
    </dgm:pt>
    <dgm:pt modelId="{E5CAFA00-9907-4BCD-9DA9-399171775383}" type="pres">
      <dgm:prSet presAssocID="{210B97C5-C6B5-4219-9404-EC83E64B7409}" presName="spaceBetweenRectangles" presStyleCnt="0"/>
      <dgm:spPr/>
    </dgm:pt>
    <dgm:pt modelId="{798EC063-6B15-472E-BE94-8CEF9F5AD705}" type="pres">
      <dgm:prSet presAssocID="{E110A884-B5BD-4637-A18D-B68B96547A33}" presName="parentLin" presStyleCnt="0"/>
      <dgm:spPr/>
    </dgm:pt>
    <dgm:pt modelId="{4A0317B3-B1AA-4A52-8563-91274F0F2561}" type="pres">
      <dgm:prSet presAssocID="{E110A884-B5BD-4637-A18D-B68B96547A33}" presName="parentLeftMargin" presStyleLbl="node1" presStyleIdx="3" presStyleCnt="6"/>
      <dgm:spPr/>
    </dgm:pt>
    <dgm:pt modelId="{373D737B-6563-4B80-B59A-7C40B45935EE}" type="pres">
      <dgm:prSet presAssocID="{E110A884-B5BD-4637-A18D-B68B96547A33}" presName="parentText" presStyleLbl="node1" presStyleIdx="4" presStyleCnt="6">
        <dgm:presLayoutVars>
          <dgm:chMax val="0"/>
          <dgm:bulletEnabled val="1"/>
        </dgm:presLayoutVars>
      </dgm:prSet>
      <dgm:spPr/>
    </dgm:pt>
    <dgm:pt modelId="{5E61866D-70B1-4950-A0DA-850ABF6C3AB9}" type="pres">
      <dgm:prSet presAssocID="{E110A884-B5BD-4637-A18D-B68B96547A33}" presName="negativeSpace" presStyleCnt="0"/>
      <dgm:spPr/>
    </dgm:pt>
    <dgm:pt modelId="{A578F012-0B8D-4AFE-AED3-AFD769A04A0E}" type="pres">
      <dgm:prSet presAssocID="{E110A884-B5BD-4637-A18D-B68B96547A33}" presName="childText" presStyleLbl="conFgAcc1" presStyleIdx="4" presStyleCnt="6">
        <dgm:presLayoutVars>
          <dgm:bulletEnabled val="1"/>
        </dgm:presLayoutVars>
      </dgm:prSet>
      <dgm:spPr/>
    </dgm:pt>
    <dgm:pt modelId="{EDA4975F-B1BB-4F08-AAE2-0E61D7B99784}" type="pres">
      <dgm:prSet presAssocID="{86FF099D-BFCF-44BE-9570-AA8D5A6AD2A7}" presName="spaceBetweenRectangles" presStyleCnt="0"/>
      <dgm:spPr/>
    </dgm:pt>
    <dgm:pt modelId="{0AEE6B4D-CCCA-4B31-B079-59C2FE07AED6}" type="pres">
      <dgm:prSet presAssocID="{68FFEDFD-4B11-4920-BB60-6839ED0C13AC}" presName="parentLin" presStyleCnt="0"/>
      <dgm:spPr/>
    </dgm:pt>
    <dgm:pt modelId="{30E3CF63-FEAC-45F0-8360-DBC2F74E7F92}" type="pres">
      <dgm:prSet presAssocID="{68FFEDFD-4B11-4920-BB60-6839ED0C13AC}" presName="parentLeftMargin" presStyleLbl="node1" presStyleIdx="4" presStyleCnt="6"/>
      <dgm:spPr/>
    </dgm:pt>
    <dgm:pt modelId="{A12580CD-5967-4C57-B94F-0607F0C92993}" type="pres">
      <dgm:prSet presAssocID="{68FFEDFD-4B11-4920-BB60-6839ED0C13AC}" presName="parentText" presStyleLbl="node1" presStyleIdx="5" presStyleCnt="6">
        <dgm:presLayoutVars>
          <dgm:chMax val="0"/>
          <dgm:bulletEnabled val="1"/>
        </dgm:presLayoutVars>
      </dgm:prSet>
      <dgm:spPr/>
    </dgm:pt>
    <dgm:pt modelId="{8D52E8E4-4FA2-4120-8075-17FC0437A8F8}" type="pres">
      <dgm:prSet presAssocID="{68FFEDFD-4B11-4920-BB60-6839ED0C13AC}" presName="negativeSpace" presStyleCnt="0"/>
      <dgm:spPr/>
    </dgm:pt>
    <dgm:pt modelId="{44C26D26-260A-4D2E-B992-38F6111F8BAE}" type="pres">
      <dgm:prSet presAssocID="{68FFEDFD-4B11-4920-BB60-6839ED0C13AC}" presName="childText" presStyleLbl="conFgAcc1" presStyleIdx="5" presStyleCnt="6">
        <dgm:presLayoutVars>
          <dgm:bulletEnabled val="1"/>
        </dgm:presLayoutVars>
      </dgm:prSet>
      <dgm:spPr/>
    </dgm:pt>
  </dgm:ptLst>
  <dgm:cxnLst>
    <dgm:cxn modelId="{61AC8F0A-F64D-4DCE-AD9E-FBEA9E64D56B}" type="presOf" srcId="{E110A884-B5BD-4637-A18D-B68B96547A33}" destId="{4A0317B3-B1AA-4A52-8563-91274F0F2561}" srcOrd="0" destOrd="0" presId="urn:microsoft.com/office/officeart/2005/8/layout/list1"/>
    <dgm:cxn modelId="{F72BAF11-858E-488E-8675-78155C622B4D}" srcId="{BC288EBF-D213-440A-9B50-BDB77E4C21E6}" destId="{FBEBA8E8-4BC0-455C-965D-3C6D95D732EB}" srcOrd="0" destOrd="0" parTransId="{BF444DEF-AC3B-49AD-A6CC-85F8715DB5D6}" sibTransId="{D3178005-B2F2-491D-A9EC-8E9A141AA634}"/>
    <dgm:cxn modelId="{97F67412-4CDE-4A42-9FCD-536FC07F1A3A}" srcId="{CD0731DF-B522-445B-860B-68B8892B0146}" destId="{E110A884-B5BD-4637-A18D-B68B96547A33}" srcOrd="4" destOrd="0" parTransId="{998BBEA8-8204-4CE5-B035-F8E25635AFC2}" sibTransId="{86FF099D-BFCF-44BE-9570-AA8D5A6AD2A7}"/>
    <dgm:cxn modelId="{A5B1BC17-21C7-41B9-A1B0-35FBF4D33870}" type="presOf" srcId="{BC288EBF-D213-440A-9B50-BDB77E4C21E6}" destId="{9B296C1F-A168-4EC3-8152-0465E4DC621E}" srcOrd="0" destOrd="0" presId="urn:microsoft.com/office/officeart/2005/8/layout/list1"/>
    <dgm:cxn modelId="{D773421F-C097-495D-834B-367630CEFD79}" srcId="{CD0731DF-B522-445B-860B-68B8892B0146}" destId="{68FFEDFD-4B11-4920-BB60-6839ED0C13AC}" srcOrd="5" destOrd="0" parTransId="{C6595A7D-C9B9-4EA2-85C2-CC3FEA80B9E3}" sibTransId="{280C72F1-A281-44A7-9C98-1361AAC4253F}"/>
    <dgm:cxn modelId="{B6328A29-BF19-463D-87A5-BE9AE7F2FA10}" type="presOf" srcId="{BC288EBF-D213-440A-9B50-BDB77E4C21E6}" destId="{6FB32678-F680-478C-91DB-6F850FC503E9}" srcOrd="1" destOrd="0" presId="urn:microsoft.com/office/officeart/2005/8/layout/list1"/>
    <dgm:cxn modelId="{A49D722D-F16D-4420-B1A8-F50E33A6DF32}" type="presOf" srcId="{0BC4EE1D-6036-4E93-B65A-9A316387D9AE}" destId="{EE52F60E-6AF9-46F7-9248-36243E74EE8E}" srcOrd="0" destOrd="0" presId="urn:microsoft.com/office/officeart/2005/8/layout/list1"/>
    <dgm:cxn modelId="{EF99F95C-2AEF-4166-925D-50BA13EE6BCC}" type="presOf" srcId="{82053DE9-6087-4E33-AEF4-DFFDEAA8A4D9}" destId="{227F8EE8-ECFD-4B63-AF0D-E49F0A566EEB}" srcOrd="0" destOrd="0" presId="urn:microsoft.com/office/officeart/2005/8/layout/list1"/>
    <dgm:cxn modelId="{DC56CD4B-AF06-438B-AD04-2360BC1813C4}" type="presOf" srcId="{CD0731DF-B522-445B-860B-68B8892B0146}" destId="{3246EC1A-28A7-4EBC-A815-672153A6CA6F}" srcOrd="0" destOrd="0" presId="urn:microsoft.com/office/officeart/2005/8/layout/list1"/>
    <dgm:cxn modelId="{AA08E44C-4FC1-4908-A82C-8659424D2376}" type="presOf" srcId="{E110A884-B5BD-4637-A18D-B68B96547A33}" destId="{373D737B-6563-4B80-B59A-7C40B45935EE}" srcOrd="1" destOrd="0" presId="urn:microsoft.com/office/officeart/2005/8/layout/list1"/>
    <dgm:cxn modelId="{B4F30451-2FE7-4341-93D2-12BD4A2C00CF}" type="presOf" srcId="{C8712511-22AA-4525-9D40-498E9FE7BA8F}" destId="{A578F012-0B8D-4AFE-AED3-AFD769A04A0E}" srcOrd="0" destOrd="0" presId="urn:microsoft.com/office/officeart/2005/8/layout/list1"/>
    <dgm:cxn modelId="{8B12D173-EC02-4552-8F6A-946938405A19}" type="presOf" srcId="{68FFEDFD-4B11-4920-BB60-6839ED0C13AC}" destId="{A12580CD-5967-4C57-B94F-0607F0C92993}" srcOrd="1" destOrd="0" presId="urn:microsoft.com/office/officeart/2005/8/layout/list1"/>
    <dgm:cxn modelId="{8F149F7C-5810-4491-804F-11BAA2B8754A}" srcId="{8EB8F4E7-D4E1-4285-AC97-CB11352CF772}" destId="{33A4E5A8-BFF2-4037-B75D-A53931F9CC72}" srcOrd="0" destOrd="0" parTransId="{D0D6B42B-6634-4387-BFE9-DF107B7A5851}" sibTransId="{9B660DCF-E774-49BD-9CD1-C3D9DC380632}"/>
    <dgm:cxn modelId="{C7A9A27C-7BA9-44C2-8CC5-920F2A3DFBE9}" srcId="{CD0731DF-B522-445B-860B-68B8892B0146}" destId="{BC78407F-157A-4CDE-BB93-9449709F232D}" srcOrd="0" destOrd="0" parTransId="{44F8A258-83E4-42A4-83D1-B20FA5DD9AED}" sibTransId="{14E5E441-FF26-4FCF-8AD8-DA56E3E3D5FB}"/>
    <dgm:cxn modelId="{CC3E7982-19B1-4E9E-A597-BC3A7CD03D4C}" srcId="{BC78407F-157A-4CDE-BB93-9449709F232D}" destId="{F9541586-0E29-4B58-8C6E-5B217C87DA4E}" srcOrd="0" destOrd="0" parTransId="{5D781C8F-73D3-431E-9F26-4CE1B57B7DE3}" sibTransId="{CF140341-167E-410E-8823-9C27728F8953}"/>
    <dgm:cxn modelId="{B284968C-1B82-4717-A5F0-C895AF33E414}" type="presOf" srcId="{F9541586-0E29-4B58-8C6E-5B217C87DA4E}" destId="{8630B9F0-6C7C-41A3-BB3E-714D22B30724}" srcOrd="0" destOrd="0" presId="urn:microsoft.com/office/officeart/2005/8/layout/list1"/>
    <dgm:cxn modelId="{3DA4A88D-66C9-4D46-B000-5647C9C31A4C}" type="presOf" srcId="{8EB8F4E7-D4E1-4285-AC97-CB11352CF772}" destId="{F6634567-74C4-4FA0-81E4-05B1494C2712}" srcOrd="1" destOrd="0" presId="urn:microsoft.com/office/officeart/2005/8/layout/list1"/>
    <dgm:cxn modelId="{259EE79F-6C57-401F-94DC-95486FF3BC82}" type="presOf" srcId="{8EB8F4E7-D4E1-4285-AC97-CB11352CF772}" destId="{A3F609BD-EAAA-48D5-B158-6083E98FE303}" srcOrd="0" destOrd="0" presId="urn:microsoft.com/office/officeart/2005/8/layout/list1"/>
    <dgm:cxn modelId="{6BFF1DAC-8935-46C9-8B98-12DF21044706}" srcId="{CD0731DF-B522-445B-860B-68B8892B0146}" destId="{0BC4EE1D-6036-4E93-B65A-9A316387D9AE}" srcOrd="2" destOrd="0" parTransId="{68D56F3D-EF45-49AD-B306-75A90F50F5AF}" sibTransId="{E571ED79-AAF6-4412-904F-E465C6CA2988}"/>
    <dgm:cxn modelId="{5F28F0AC-0ECD-4F70-82D2-E79C5840663F}" srcId="{CD0731DF-B522-445B-860B-68B8892B0146}" destId="{8EB8F4E7-D4E1-4285-AC97-CB11352CF772}" srcOrd="1" destOrd="0" parTransId="{25BFFDBC-7CD8-4056-B07F-1A2DED14F631}" sibTransId="{C57AAD0D-AFA1-435B-BA89-66C9931BE903}"/>
    <dgm:cxn modelId="{AF3608B4-0826-4C52-91EE-2AA7620579C8}" type="presOf" srcId="{FBEBA8E8-4BC0-455C-965D-3C6D95D732EB}" destId="{625CCD20-E61C-4D84-95EC-9773CFE7E4CD}" srcOrd="0" destOrd="0" presId="urn:microsoft.com/office/officeart/2005/8/layout/list1"/>
    <dgm:cxn modelId="{79317DC1-B792-4296-BC13-84220CB6379E}" srcId="{68FFEDFD-4B11-4920-BB60-6839ED0C13AC}" destId="{50D435A8-859D-44CB-B427-D60828D98474}" srcOrd="0" destOrd="0" parTransId="{B0E6D96E-454A-4ACC-B3C4-856395C1952F}" sibTransId="{225C01FB-CCD0-45B1-8212-276F47588DC2}"/>
    <dgm:cxn modelId="{A87971C7-8275-458E-9A27-B6FD4418EDEA}" type="presOf" srcId="{0BC4EE1D-6036-4E93-B65A-9A316387D9AE}" destId="{A944336D-C822-4CAE-8A5D-C185818334D2}" srcOrd="1" destOrd="0" presId="urn:microsoft.com/office/officeart/2005/8/layout/list1"/>
    <dgm:cxn modelId="{B82544D1-2D85-4BF7-B7BB-F9D0FC7AD96C}" type="presOf" srcId="{BC78407F-157A-4CDE-BB93-9449709F232D}" destId="{9CC85110-6F2E-49F1-92AC-A8064CC7706F}" srcOrd="1" destOrd="0" presId="urn:microsoft.com/office/officeart/2005/8/layout/list1"/>
    <dgm:cxn modelId="{5BB491D4-5E12-4670-AD0D-CE7BD2E54429}" srcId="{E110A884-B5BD-4637-A18D-B68B96547A33}" destId="{C8712511-22AA-4525-9D40-498E9FE7BA8F}" srcOrd="0" destOrd="0" parTransId="{5A50AEEF-28D0-4BAD-A0FE-4961CE53DE97}" sibTransId="{A8EE008A-E15A-4A1E-821B-8079BD01AA5D}"/>
    <dgm:cxn modelId="{3C184FE7-3EF1-4E41-9537-ADF03CB84C77}" type="presOf" srcId="{68FFEDFD-4B11-4920-BB60-6839ED0C13AC}" destId="{30E3CF63-FEAC-45F0-8360-DBC2F74E7F92}" srcOrd="0" destOrd="0" presId="urn:microsoft.com/office/officeart/2005/8/layout/list1"/>
    <dgm:cxn modelId="{031942EA-4279-48C0-80D9-F3A12F620971}" type="presOf" srcId="{50D435A8-859D-44CB-B427-D60828D98474}" destId="{44C26D26-260A-4D2E-B992-38F6111F8BAE}" srcOrd="0" destOrd="0" presId="urn:microsoft.com/office/officeart/2005/8/layout/list1"/>
    <dgm:cxn modelId="{294173EE-5F4A-469F-9243-F3A6DF70D48D}" srcId="{0BC4EE1D-6036-4E93-B65A-9A316387D9AE}" destId="{82053DE9-6087-4E33-AEF4-DFFDEAA8A4D9}" srcOrd="0" destOrd="0" parTransId="{D26FE77F-165F-4101-A730-45F6B6310317}" sibTransId="{92322AA7-A9C3-4E05-8806-5C66CB0041E1}"/>
    <dgm:cxn modelId="{164A51F5-4004-43FE-BC28-19E6C7A42950}" srcId="{CD0731DF-B522-445B-860B-68B8892B0146}" destId="{BC288EBF-D213-440A-9B50-BDB77E4C21E6}" srcOrd="3" destOrd="0" parTransId="{A48BB38D-57E4-4915-AD25-677F0DA6CAD9}" sibTransId="{210B97C5-C6B5-4219-9404-EC83E64B7409}"/>
    <dgm:cxn modelId="{04410CF6-DE36-4F66-8335-80AEB359B395}" type="presOf" srcId="{33A4E5A8-BFF2-4037-B75D-A53931F9CC72}" destId="{B8A37B35-A3F5-49C0-953D-BA5359361C13}" srcOrd="0" destOrd="0" presId="urn:microsoft.com/office/officeart/2005/8/layout/list1"/>
    <dgm:cxn modelId="{243CB8FD-11AB-4ECC-BB78-36E7D8DC37CC}" type="presOf" srcId="{BC78407F-157A-4CDE-BB93-9449709F232D}" destId="{493F31C1-2189-4B99-99C1-ADF54D47D244}" srcOrd="0" destOrd="0" presId="urn:microsoft.com/office/officeart/2005/8/layout/list1"/>
    <dgm:cxn modelId="{6A7A4BC8-0A35-45D4-B9A3-15D5B0FA5AFD}" type="presParOf" srcId="{3246EC1A-28A7-4EBC-A815-672153A6CA6F}" destId="{2DE5CAC8-AFFF-44D4-B8D9-004402EE5D9A}" srcOrd="0" destOrd="0" presId="urn:microsoft.com/office/officeart/2005/8/layout/list1"/>
    <dgm:cxn modelId="{7297032D-CBE0-4649-BB1A-F2AAB84D54A3}" type="presParOf" srcId="{2DE5CAC8-AFFF-44D4-B8D9-004402EE5D9A}" destId="{493F31C1-2189-4B99-99C1-ADF54D47D244}" srcOrd="0" destOrd="0" presId="urn:microsoft.com/office/officeart/2005/8/layout/list1"/>
    <dgm:cxn modelId="{FD78079F-E05E-44C7-A7C9-C6B2C1D0203C}" type="presParOf" srcId="{2DE5CAC8-AFFF-44D4-B8D9-004402EE5D9A}" destId="{9CC85110-6F2E-49F1-92AC-A8064CC7706F}" srcOrd="1" destOrd="0" presId="urn:microsoft.com/office/officeart/2005/8/layout/list1"/>
    <dgm:cxn modelId="{38F7DAE2-DF90-4B35-BBF8-7301C4669327}" type="presParOf" srcId="{3246EC1A-28A7-4EBC-A815-672153A6CA6F}" destId="{0D36CCEA-9F48-41D7-A148-6AC659AD93BF}" srcOrd="1" destOrd="0" presId="urn:microsoft.com/office/officeart/2005/8/layout/list1"/>
    <dgm:cxn modelId="{A99C4AFE-C70D-4CD7-91DC-A0D7E8E6974C}" type="presParOf" srcId="{3246EC1A-28A7-4EBC-A815-672153A6CA6F}" destId="{8630B9F0-6C7C-41A3-BB3E-714D22B30724}" srcOrd="2" destOrd="0" presId="urn:microsoft.com/office/officeart/2005/8/layout/list1"/>
    <dgm:cxn modelId="{7A2887B3-02FA-4A94-91F2-5DFD208CC2A7}" type="presParOf" srcId="{3246EC1A-28A7-4EBC-A815-672153A6CA6F}" destId="{86296CC3-8183-4E79-8FD1-70DBFDCA6204}" srcOrd="3" destOrd="0" presId="urn:microsoft.com/office/officeart/2005/8/layout/list1"/>
    <dgm:cxn modelId="{E6F6ECAB-FFAA-4B9D-9295-052B28129FE6}" type="presParOf" srcId="{3246EC1A-28A7-4EBC-A815-672153A6CA6F}" destId="{16EB9915-FA45-41E6-B3B1-9036C3F2D863}" srcOrd="4" destOrd="0" presId="urn:microsoft.com/office/officeart/2005/8/layout/list1"/>
    <dgm:cxn modelId="{D89AF1D6-786D-4B8F-A269-BE8DE9893195}" type="presParOf" srcId="{16EB9915-FA45-41E6-B3B1-9036C3F2D863}" destId="{A3F609BD-EAAA-48D5-B158-6083E98FE303}" srcOrd="0" destOrd="0" presId="urn:microsoft.com/office/officeart/2005/8/layout/list1"/>
    <dgm:cxn modelId="{84118AE9-CF8E-47CE-A22E-E1296CB57EE4}" type="presParOf" srcId="{16EB9915-FA45-41E6-B3B1-9036C3F2D863}" destId="{F6634567-74C4-4FA0-81E4-05B1494C2712}" srcOrd="1" destOrd="0" presId="urn:microsoft.com/office/officeart/2005/8/layout/list1"/>
    <dgm:cxn modelId="{A410A16D-AD61-4CE0-89F8-EE03796C85D1}" type="presParOf" srcId="{3246EC1A-28A7-4EBC-A815-672153A6CA6F}" destId="{F596B441-ACFB-4062-9F9A-622CDED3F95F}" srcOrd="5" destOrd="0" presId="urn:microsoft.com/office/officeart/2005/8/layout/list1"/>
    <dgm:cxn modelId="{18091A9F-5730-4898-A313-C7E80C036B4E}" type="presParOf" srcId="{3246EC1A-28A7-4EBC-A815-672153A6CA6F}" destId="{B8A37B35-A3F5-49C0-953D-BA5359361C13}" srcOrd="6" destOrd="0" presId="urn:microsoft.com/office/officeart/2005/8/layout/list1"/>
    <dgm:cxn modelId="{AB5D6003-6873-44BC-B73A-128D9FCBC83B}" type="presParOf" srcId="{3246EC1A-28A7-4EBC-A815-672153A6CA6F}" destId="{C3EBC1EF-7433-4B4E-8962-D8329FADC3C9}" srcOrd="7" destOrd="0" presId="urn:microsoft.com/office/officeart/2005/8/layout/list1"/>
    <dgm:cxn modelId="{555A262B-D0BA-4539-A521-9ED755E7C1C1}" type="presParOf" srcId="{3246EC1A-28A7-4EBC-A815-672153A6CA6F}" destId="{A2110CAF-0711-4D2F-AB64-752863CAE5ED}" srcOrd="8" destOrd="0" presId="urn:microsoft.com/office/officeart/2005/8/layout/list1"/>
    <dgm:cxn modelId="{79CDA3F0-B8F9-4628-81D1-75B76BC998C3}" type="presParOf" srcId="{A2110CAF-0711-4D2F-AB64-752863CAE5ED}" destId="{EE52F60E-6AF9-46F7-9248-36243E74EE8E}" srcOrd="0" destOrd="0" presId="urn:microsoft.com/office/officeart/2005/8/layout/list1"/>
    <dgm:cxn modelId="{F48540D7-9AFB-4D61-891C-437EDD28FEC2}" type="presParOf" srcId="{A2110CAF-0711-4D2F-AB64-752863CAE5ED}" destId="{A944336D-C822-4CAE-8A5D-C185818334D2}" srcOrd="1" destOrd="0" presId="urn:microsoft.com/office/officeart/2005/8/layout/list1"/>
    <dgm:cxn modelId="{6D2A7525-3663-4D96-8D89-83B99F6228B1}" type="presParOf" srcId="{3246EC1A-28A7-4EBC-A815-672153A6CA6F}" destId="{1FD8B41D-CE90-488A-8E0B-0BA808A7813E}" srcOrd="9" destOrd="0" presId="urn:microsoft.com/office/officeart/2005/8/layout/list1"/>
    <dgm:cxn modelId="{47742AAA-5BA2-4E2E-A659-8052426005DE}" type="presParOf" srcId="{3246EC1A-28A7-4EBC-A815-672153A6CA6F}" destId="{227F8EE8-ECFD-4B63-AF0D-E49F0A566EEB}" srcOrd="10" destOrd="0" presId="urn:microsoft.com/office/officeart/2005/8/layout/list1"/>
    <dgm:cxn modelId="{846D868D-3727-4D8F-863E-CE0B1753BEA9}" type="presParOf" srcId="{3246EC1A-28A7-4EBC-A815-672153A6CA6F}" destId="{3B5CD2E5-1066-4F5E-B64C-163BDC223732}" srcOrd="11" destOrd="0" presId="urn:microsoft.com/office/officeart/2005/8/layout/list1"/>
    <dgm:cxn modelId="{75B8642F-FFF7-445A-8F4E-CFF8BB9C4106}" type="presParOf" srcId="{3246EC1A-28A7-4EBC-A815-672153A6CA6F}" destId="{F5FF9040-B997-4AA2-94C7-A783B98FED32}" srcOrd="12" destOrd="0" presId="urn:microsoft.com/office/officeart/2005/8/layout/list1"/>
    <dgm:cxn modelId="{B2ACF660-B4F6-48AF-95EB-AEA0C72A1C01}" type="presParOf" srcId="{F5FF9040-B997-4AA2-94C7-A783B98FED32}" destId="{9B296C1F-A168-4EC3-8152-0465E4DC621E}" srcOrd="0" destOrd="0" presId="urn:microsoft.com/office/officeart/2005/8/layout/list1"/>
    <dgm:cxn modelId="{F339FFAC-00D9-4392-8074-FC29C44EF1FD}" type="presParOf" srcId="{F5FF9040-B997-4AA2-94C7-A783B98FED32}" destId="{6FB32678-F680-478C-91DB-6F850FC503E9}" srcOrd="1" destOrd="0" presId="urn:microsoft.com/office/officeart/2005/8/layout/list1"/>
    <dgm:cxn modelId="{F65B0B44-0C8E-4232-89A8-5DFB54F2B3D5}" type="presParOf" srcId="{3246EC1A-28A7-4EBC-A815-672153A6CA6F}" destId="{EE130CA3-98BB-44E3-A6D7-A658F7274191}" srcOrd="13" destOrd="0" presId="urn:microsoft.com/office/officeart/2005/8/layout/list1"/>
    <dgm:cxn modelId="{DE4DAE11-AAFF-4C3D-9644-B9B874C29B0C}" type="presParOf" srcId="{3246EC1A-28A7-4EBC-A815-672153A6CA6F}" destId="{625CCD20-E61C-4D84-95EC-9773CFE7E4CD}" srcOrd="14" destOrd="0" presId="urn:microsoft.com/office/officeart/2005/8/layout/list1"/>
    <dgm:cxn modelId="{BD50E990-150A-47CE-867E-D3D97C0648DE}" type="presParOf" srcId="{3246EC1A-28A7-4EBC-A815-672153A6CA6F}" destId="{E5CAFA00-9907-4BCD-9DA9-399171775383}" srcOrd="15" destOrd="0" presId="urn:microsoft.com/office/officeart/2005/8/layout/list1"/>
    <dgm:cxn modelId="{42F66A47-4C57-4346-88E8-3BB639484AD0}" type="presParOf" srcId="{3246EC1A-28A7-4EBC-A815-672153A6CA6F}" destId="{798EC063-6B15-472E-BE94-8CEF9F5AD705}" srcOrd="16" destOrd="0" presId="urn:microsoft.com/office/officeart/2005/8/layout/list1"/>
    <dgm:cxn modelId="{C256A8BD-CD80-4F90-9BB5-FA075098CD36}" type="presParOf" srcId="{798EC063-6B15-472E-BE94-8CEF9F5AD705}" destId="{4A0317B3-B1AA-4A52-8563-91274F0F2561}" srcOrd="0" destOrd="0" presId="urn:microsoft.com/office/officeart/2005/8/layout/list1"/>
    <dgm:cxn modelId="{94A48D0A-67BF-426C-945A-F6B910F92DAD}" type="presParOf" srcId="{798EC063-6B15-472E-BE94-8CEF9F5AD705}" destId="{373D737B-6563-4B80-B59A-7C40B45935EE}" srcOrd="1" destOrd="0" presId="urn:microsoft.com/office/officeart/2005/8/layout/list1"/>
    <dgm:cxn modelId="{0788745D-79F5-4A1C-8781-B8502B0AC49D}" type="presParOf" srcId="{3246EC1A-28A7-4EBC-A815-672153A6CA6F}" destId="{5E61866D-70B1-4950-A0DA-850ABF6C3AB9}" srcOrd="17" destOrd="0" presId="urn:microsoft.com/office/officeart/2005/8/layout/list1"/>
    <dgm:cxn modelId="{0525F034-05C0-4835-863C-4D85730411CA}" type="presParOf" srcId="{3246EC1A-28A7-4EBC-A815-672153A6CA6F}" destId="{A578F012-0B8D-4AFE-AED3-AFD769A04A0E}" srcOrd="18" destOrd="0" presId="urn:microsoft.com/office/officeart/2005/8/layout/list1"/>
    <dgm:cxn modelId="{5AADCAA1-FAE8-425C-828F-C6C52BA2A833}" type="presParOf" srcId="{3246EC1A-28A7-4EBC-A815-672153A6CA6F}" destId="{EDA4975F-B1BB-4F08-AAE2-0E61D7B99784}" srcOrd="19" destOrd="0" presId="urn:microsoft.com/office/officeart/2005/8/layout/list1"/>
    <dgm:cxn modelId="{5D02532E-8B08-4FF3-A3A5-AEC3E7A0E3D4}" type="presParOf" srcId="{3246EC1A-28A7-4EBC-A815-672153A6CA6F}" destId="{0AEE6B4D-CCCA-4B31-B079-59C2FE07AED6}" srcOrd="20" destOrd="0" presId="urn:microsoft.com/office/officeart/2005/8/layout/list1"/>
    <dgm:cxn modelId="{CB1FB1FB-4FD6-48BD-B008-D6B8ED2494E2}" type="presParOf" srcId="{0AEE6B4D-CCCA-4B31-B079-59C2FE07AED6}" destId="{30E3CF63-FEAC-45F0-8360-DBC2F74E7F92}" srcOrd="0" destOrd="0" presId="urn:microsoft.com/office/officeart/2005/8/layout/list1"/>
    <dgm:cxn modelId="{A7302A59-6CFA-4615-B4BD-91C3D318706B}" type="presParOf" srcId="{0AEE6B4D-CCCA-4B31-B079-59C2FE07AED6}" destId="{A12580CD-5967-4C57-B94F-0607F0C92993}" srcOrd="1" destOrd="0" presId="urn:microsoft.com/office/officeart/2005/8/layout/list1"/>
    <dgm:cxn modelId="{C3404119-3BEC-43AB-8BC5-793021788649}" type="presParOf" srcId="{3246EC1A-28A7-4EBC-A815-672153A6CA6F}" destId="{8D52E8E4-4FA2-4120-8075-17FC0437A8F8}" srcOrd="21" destOrd="0" presId="urn:microsoft.com/office/officeart/2005/8/layout/list1"/>
    <dgm:cxn modelId="{AAE2C754-9BE4-4166-AE4C-C8A83E4BD1BE}" type="presParOf" srcId="{3246EC1A-28A7-4EBC-A815-672153A6CA6F}" destId="{44C26D26-260A-4D2E-B992-38F6111F8BAE}" srcOrd="22"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72F0A1-DF41-4774-83EA-C2F69DEF3139}" type="doc">
      <dgm:prSet loTypeId="urn:microsoft.com/office/officeart/2005/8/layout/list1" loCatId="list" qsTypeId="urn:microsoft.com/office/officeart/2005/8/quickstyle/simple1" qsCatId="simple" csTypeId="urn:microsoft.com/office/officeart/2005/8/colors/accent4_2" csCatId="accent4" phldr="1"/>
      <dgm:spPr/>
      <dgm:t>
        <a:bodyPr/>
        <a:lstStyle/>
        <a:p>
          <a:endParaRPr lang="en-AU"/>
        </a:p>
      </dgm:t>
    </dgm:pt>
    <dgm:pt modelId="{51DA292E-925A-4F07-AE25-6C1C1C4364BF}">
      <dgm:prSet phldrT="[Text]" custT="1"/>
      <dgm:spPr/>
      <dgm:t>
        <a:bodyPr/>
        <a:lstStyle/>
        <a:p>
          <a:pPr>
            <a:buNone/>
          </a:pPr>
          <a:r>
            <a:rPr lang="en-AU" sz="1000" b="1">
              <a:latin typeface="Gilroy" panose="00000500000000000000" pitchFamily="50" charset="0"/>
            </a:rPr>
            <a:t>Energy Use Data</a:t>
          </a:r>
        </a:p>
      </dgm:t>
    </dgm:pt>
    <dgm:pt modelId="{C5E9AB52-052E-41B3-A3F8-701E1C290678}" type="parTrans" cxnId="{3031FB13-7612-47E3-8833-02A5D2A81BD6}">
      <dgm:prSet/>
      <dgm:spPr/>
      <dgm:t>
        <a:bodyPr/>
        <a:lstStyle/>
        <a:p>
          <a:endParaRPr lang="en-AU">
            <a:latin typeface="Gilroy" panose="00000500000000000000" pitchFamily="50" charset="0"/>
          </a:endParaRPr>
        </a:p>
      </dgm:t>
    </dgm:pt>
    <dgm:pt modelId="{C654BD67-00F6-4A03-B3C9-30E3024B48F8}" type="sibTrans" cxnId="{3031FB13-7612-47E3-8833-02A5D2A81BD6}">
      <dgm:prSet/>
      <dgm:spPr/>
      <dgm:t>
        <a:bodyPr/>
        <a:lstStyle/>
        <a:p>
          <a:endParaRPr lang="en-AU">
            <a:latin typeface="Gilroy" panose="00000500000000000000" pitchFamily="50" charset="0"/>
          </a:endParaRPr>
        </a:p>
      </dgm:t>
    </dgm:pt>
    <dgm:pt modelId="{C0AA7C6F-84FD-47A3-946B-BD0C560FB3AA}">
      <dgm:prSet phldrT="[Text]" custT="1"/>
      <dgm:spPr/>
      <dgm:t>
        <a:bodyPr/>
        <a:lstStyle/>
        <a:p>
          <a:pPr>
            <a:buNone/>
          </a:pPr>
          <a:r>
            <a:rPr lang="en-AU" sz="1000" b="1">
              <a:latin typeface="Gilroy" panose="00000500000000000000" pitchFamily="50" charset="0"/>
            </a:rPr>
            <a:t>On-site Generation</a:t>
          </a:r>
        </a:p>
      </dgm:t>
    </dgm:pt>
    <dgm:pt modelId="{7CB7044F-619E-42AB-9D7B-C30E2977DA54}" type="parTrans" cxnId="{1A567E42-9FC7-488E-9648-C6CA2579CBD5}">
      <dgm:prSet/>
      <dgm:spPr/>
      <dgm:t>
        <a:bodyPr/>
        <a:lstStyle/>
        <a:p>
          <a:endParaRPr lang="en-AU">
            <a:latin typeface="Gilroy" panose="00000500000000000000" pitchFamily="50" charset="0"/>
          </a:endParaRPr>
        </a:p>
      </dgm:t>
    </dgm:pt>
    <dgm:pt modelId="{71B1AE56-979A-4D7A-96A8-A826919644A2}" type="sibTrans" cxnId="{1A567E42-9FC7-488E-9648-C6CA2579CBD5}">
      <dgm:prSet/>
      <dgm:spPr/>
      <dgm:t>
        <a:bodyPr/>
        <a:lstStyle/>
        <a:p>
          <a:endParaRPr lang="en-AU">
            <a:latin typeface="Gilroy" panose="00000500000000000000" pitchFamily="50" charset="0"/>
          </a:endParaRPr>
        </a:p>
      </dgm:t>
    </dgm:pt>
    <dgm:pt modelId="{30388C0A-EA51-44CC-8C42-1B2D1402A67F}">
      <dgm:prSet phldrT="[Text]" custT="1"/>
      <dgm:spPr/>
      <dgm:t>
        <a:bodyPr/>
        <a:lstStyle/>
        <a:p>
          <a:pPr>
            <a:buNone/>
          </a:pPr>
          <a:r>
            <a:rPr lang="en-AU" sz="1000" b="1">
              <a:latin typeface="Gilroy" panose="00000500000000000000" pitchFamily="50" charset="0"/>
            </a:rPr>
            <a:t>Dynamic Operation</a:t>
          </a:r>
        </a:p>
      </dgm:t>
    </dgm:pt>
    <dgm:pt modelId="{A131A91E-E5EB-403F-801E-5E784B822AED}" type="parTrans" cxnId="{3DC962D5-60BE-422C-A2D9-2153C9EA9FAC}">
      <dgm:prSet/>
      <dgm:spPr/>
      <dgm:t>
        <a:bodyPr/>
        <a:lstStyle/>
        <a:p>
          <a:endParaRPr lang="en-AU">
            <a:latin typeface="Gilroy" panose="00000500000000000000" pitchFamily="50" charset="0"/>
          </a:endParaRPr>
        </a:p>
      </dgm:t>
    </dgm:pt>
    <dgm:pt modelId="{F22C07E0-908C-4F0C-93A5-3B2AF34F0EC7}" type="sibTrans" cxnId="{3DC962D5-60BE-422C-A2D9-2153C9EA9FAC}">
      <dgm:prSet/>
      <dgm:spPr/>
      <dgm:t>
        <a:bodyPr/>
        <a:lstStyle/>
        <a:p>
          <a:endParaRPr lang="en-AU">
            <a:latin typeface="Gilroy" panose="00000500000000000000" pitchFamily="50" charset="0"/>
          </a:endParaRPr>
        </a:p>
      </dgm:t>
    </dgm:pt>
    <dgm:pt modelId="{E01762A9-C898-424A-BB89-A6D8A7B375EB}">
      <dgm:prSet phldrT="[Text]" custT="1"/>
      <dgm:spPr/>
      <dgm:t>
        <a:bodyPr/>
        <a:lstStyle/>
        <a:p>
          <a:pPr>
            <a:buFont typeface="Wingdings" panose="05000000000000000000" pitchFamily="2" charset="2"/>
            <a:buChar char=""/>
          </a:pPr>
          <a:r>
            <a:rPr lang="en-AU" sz="1000" b="1">
              <a:latin typeface="Gilroy" panose="00000500000000000000" pitchFamily="50" charset="0"/>
            </a:rPr>
            <a:t>Participation Availability</a:t>
          </a:r>
        </a:p>
      </dgm:t>
    </dgm:pt>
    <dgm:pt modelId="{6D1E6068-055F-48A6-B32A-9BB24A182C1E}" type="parTrans" cxnId="{4574994A-5EC2-4DD9-BFA7-F4EB6732D984}">
      <dgm:prSet/>
      <dgm:spPr/>
      <dgm:t>
        <a:bodyPr/>
        <a:lstStyle/>
        <a:p>
          <a:endParaRPr lang="en-AU">
            <a:latin typeface="Gilroy" panose="00000500000000000000" pitchFamily="50" charset="0"/>
          </a:endParaRPr>
        </a:p>
      </dgm:t>
    </dgm:pt>
    <dgm:pt modelId="{D2AA996B-9EAB-4DCB-B8CF-D30C2C668B64}" type="sibTrans" cxnId="{4574994A-5EC2-4DD9-BFA7-F4EB6732D984}">
      <dgm:prSet/>
      <dgm:spPr/>
      <dgm:t>
        <a:bodyPr/>
        <a:lstStyle/>
        <a:p>
          <a:endParaRPr lang="en-AU">
            <a:latin typeface="Gilroy" panose="00000500000000000000" pitchFamily="50" charset="0"/>
          </a:endParaRPr>
        </a:p>
      </dgm:t>
    </dgm:pt>
    <dgm:pt modelId="{448CB07E-ADE7-4C0D-9AC1-53C57A387B25}">
      <dgm:prSet phldrT="[Text]" custT="1"/>
      <dgm:spPr/>
      <dgm:t>
        <a:bodyPr/>
        <a:lstStyle/>
        <a:p>
          <a:pPr>
            <a:buFont typeface="Wingdings" panose="05000000000000000000" pitchFamily="2" charset="2"/>
            <a:buChar char=""/>
          </a:pPr>
          <a:r>
            <a:rPr lang="en-AU" sz="1000" b="1">
              <a:latin typeface="Gilroy" panose="00000500000000000000" pitchFamily="50" charset="0"/>
            </a:rPr>
            <a:t>Existing Participation</a:t>
          </a:r>
        </a:p>
      </dgm:t>
    </dgm:pt>
    <dgm:pt modelId="{43C594D0-25CC-4754-9F6D-1682952AEC68}" type="parTrans" cxnId="{7185058D-3900-4110-96C2-3E05ED6AD264}">
      <dgm:prSet/>
      <dgm:spPr/>
      <dgm:t>
        <a:bodyPr/>
        <a:lstStyle/>
        <a:p>
          <a:endParaRPr lang="en-AU">
            <a:latin typeface="Gilroy" panose="00000500000000000000" pitchFamily="50" charset="0"/>
          </a:endParaRPr>
        </a:p>
      </dgm:t>
    </dgm:pt>
    <dgm:pt modelId="{E19812E5-BCB0-4BC9-9635-705ECD1A8CBB}" type="sibTrans" cxnId="{7185058D-3900-4110-96C2-3E05ED6AD264}">
      <dgm:prSet/>
      <dgm:spPr/>
      <dgm:t>
        <a:bodyPr/>
        <a:lstStyle/>
        <a:p>
          <a:endParaRPr lang="en-AU">
            <a:latin typeface="Gilroy" panose="00000500000000000000" pitchFamily="50" charset="0"/>
          </a:endParaRPr>
        </a:p>
      </dgm:t>
    </dgm:pt>
    <dgm:pt modelId="{2E004E12-788E-4D8E-BBCD-402034E37E96}">
      <dgm:prSet custT="1"/>
      <dgm:spPr/>
      <dgm:t>
        <a:bodyPr/>
        <a:lstStyle/>
        <a:p>
          <a:pPr>
            <a:buNone/>
          </a:pPr>
          <a:r>
            <a:rPr lang="en-AU" sz="900">
              <a:latin typeface="Gilroy" panose="00000500000000000000" pitchFamily="50" charset="0"/>
            </a:rPr>
            <a:t>  The participant demonstrated awareness of their site's energy usage patterns and daily consumption fluctuations, including knowledge of electricity tariffs and a general understanding of which equipment or processes are the most energy-intensive. This capability reflects the foundational layer of energy literacy required to identify loads with flexible operability and to begin assessing DR participation potential. Energy Use Data was strongly correlated with prior energy auditing activity across the cohort; companies that had previously undertaken a formal energy audit consistently demonstrated a more detailed and reliable understanding of their consumption profile than those that had not. It is noted that this capability, while broadly present, does not in itself indicate submetering or equipment-level load disaggregation; its presence confirms awareness, not operational readiness.</a:t>
          </a:r>
        </a:p>
      </dgm:t>
    </dgm:pt>
    <dgm:pt modelId="{95C7C6DC-2584-47A5-B4FD-AE635493CC6B}" type="parTrans" cxnId="{0FAD514D-7339-4C31-A0FA-F90CD1BB83B9}">
      <dgm:prSet/>
      <dgm:spPr/>
      <dgm:t>
        <a:bodyPr/>
        <a:lstStyle/>
        <a:p>
          <a:endParaRPr lang="en-AU">
            <a:latin typeface="Gilroy" panose="00000500000000000000" pitchFamily="50" charset="0"/>
          </a:endParaRPr>
        </a:p>
      </dgm:t>
    </dgm:pt>
    <dgm:pt modelId="{CB258295-852B-4B2D-AD23-A5FA7CEB6772}" type="sibTrans" cxnId="{0FAD514D-7339-4C31-A0FA-F90CD1BB83B9}">
      <dgm:prSet/>
      <dgm:spPr/>
      <dgm:t>
        <a:bodyPr/>
        <a:lstStyle/>
        <a:p>
          <a:endParaRPr lang="en-AU">
            <a:latin typeface="Gilroy" panose="00000500000000000000" pitchFamily="50" charset="0"/>
          </a:endParaRPr>
        </a:p>
      </dgm:t>
    </dgm:pt>
    <dgm:pt modelId="{7B3F7A49-226C-4D46-8765-CC8447DC06BD}">
      <dgm:prSet custT="1"/>
      <dgm:spPr/>
      <dgm:t>
        <a:bodyPr/>
        <a:lstStyle/>
        <a:p>
          <a:pPr>
            <a:buFont typeface="Wingdings" panose="05000000000000000000" pitchFamily="2" charset="2"/>
            <a:buNone/>
          </a:pPr>
          <a:r>
            <a:rPr lang="en-AU" sz="800">
              <a:latin typeface="Gilroy" panose="00000500000000000000" pitchFamily="50" charset="0"/>
            </a:rPr>
            <a:t>  </a:t>
          </a:r>
          <a:r>
            <a:rPr lang="en-AU" sz="900">
              <a:latin typeface="Gilroy" panose="00000500000000000000" pitchFamily="50" charset="0"/>
            </a:rPr>
            <a:t>The participating company had one or more distributed energy resources installed on the premises, including photovoltaic solar panels, battery energy storage systems, diesel or gas generators, uninterruptible power supplies, or alternative fuel sources such as bioenergy or biogas. The presence of on-site generation indicates a capacity for partial grid independence, which supports DR participation by allowing the company to substitute self-generated energy for grid supply during a curtailment event, reducing the operational impact of load reduction. Where on-site generation is paired with storage, this capability is considerably more valuable as a DR enabler, as it decouples the timing of generation from the timing of consumption and allows the company to respond to dispatch signals regardless of prevailing generation conditions.</a:t>
          </a:r>
          <a:endParaRPr lang="en-AU" sz="800">
            <a:latin typeface="Gilroy" panose="00000500000000000000" pitchFamily="50" charset="0"/>
          </a:endParaRPr>
        </a:p>
      </dgm:t>
    </dgm:pt>
    <dgm:pt modelId="{712FE3D0-F8A9-432D-BF9F-24E8414320B3}" type="parTrans" cxnId="{3019C6CC-7F1B-497F-B7E3-9714C2F46D04}">
      <dgm:prSet/>
      <dgm:spPr/>
      <dgm:t>
        <a:bodyPr/>
        <a:lstStyle/>
        <a:p>
          <a:endParaRPr lang="en-AU">
            <a:latin typeface="Gilroy" panose="00000500000000000000" pitchFamily="50" charset="0"/>
          </a:endParaRPr>
        </a:p>
      </dgm:t>
    </dgm:pt>
    <dgm:pt modelId="{2C87EA8D-01AF-42E4-8A7D-4A7472E43DE3}" type="sibTrans" cxnId="{3019C6CC-7F1B-497F-B7E3-9714C2F46D04}">
      <dgm:prSet/>
      <dgm:spPr/>
      <dgm:t>
        <a:bodyPr/>
        <a:lstStyle/>
        <a:p>
          <a:endParaRPr lang="en-AU">
            <a:latin typeface="Gilroy" panose="00000500000000000000" pitchFamily="50" charset="0"/>
          </a:endParaRPr>
        </a:p>
      </dgm:t>
    </dgm:pt>
    <dgm:pt modelId="{30F844FC-2411-4F3F-AA4A-AB3F835ABA5C}">
      <dgm:prSet custT="1"/>
      <dgm:spPr/>
      <dgm:t>
        <a:bodyPr/>
        <a:lstStyle/>
        <a:p>
          <a:pPr>
            <a:buNone/>
          </a:pPr>
          <a:r>
            <a:rPr lang="en-AU" sz="900">
              <a:latin typeface="Gilroy" panose="00000500000000000000" pitchFamily="50" charset="0"/>
            </a:rPr>
            <a:t>  The participating company was currently enrolled in, had previously participated in, or had a confirmed future commitment to a formal demand response program or curtailment agreement. This capability received the highest positive weighting in the scoring framework, reflecting the well-established finding in the literature that demonstrated prior engagement is the strongest single predictor of continued and future participation.</a:t>
          </a:r>
        </a:p>
      </dgm:t>
    </dgm:pt>
    <dgm:pt modelId="{C6016743-97E6-4970-AF56-21C1F52F9C40}" type="parTrans" cxnId="{332FB205-D107-4D15-B7E4-BD2089C5B9D5}">
      <dgm:prSet/>
      <dgm:spPr/>
      <dgm:t>
        <a:bodyPr/>
        <a:lstStyle/>
        <a:p>
          <a:endParaRPr lang="en-AU">
            <a:latin typeface="Gilroy" panose="00000500000000000000" pitchFamily="50" charset="0"/>
          </a:endParaRPr>
        </a:p>
      </dgm:t>
    </dgm:pt>
    <dgm:pt modelId="{9435DA6E-85E0-4DFD-A703-25DDC308EE4F}" type="sibTrans" cxnId="{332FB205-D107-4D15-B7E4-BD2089C5B9D5}">
      <dgm:prSet/>
      <dgm:spPr/>
      <dgm:t>
        <a:bodyPr/>
        <a:lstStyle/>
        <a:p>
          <a:endParaRPr lang="en-AU">
            <a:latin typeface="Gilroy" panose="00000500000000000000" pitchFamily="50" charset="0"/>
          </a:endParaRPr>
        </a:p>
      </dgm:t>
    </dgm:pt>
    <dgm:pt modelId="{F42EDFD4-06D2-4C3A-9812-A66965EB71F9}">
      <dgm:prSet custT="1"/>
      <dgm:spPr/>
      <dgm:t>
        <a:bodyPr/>
        <a:lstStyle/>
        <a:p>
          <a:pPr>
            <a:buNone/>
          </a:pPr>
          <a:r>
            <a:rPr lang="en-AU" sz="800">
              <a:latin typeface="Gilroy" panose="00000500000000000000" pitchFamily="50" charset="0"/>
            </a:rPr>
            <a:t>  </a:t>
          </a:r>
          <a:r>
            <a:rPr lang="en-AU" sz="900">
              <a:latin typeface="Gilroy" panose="00000500000000000000" pitchFamily="50" charset="0"/>
            </a:rPr>
            <a:t>The participating company expressed a willingness to participate in demand response programs, either by seeking more information about available programs or by indicating readiness to enrol subject to sufficient financial incentive or compensation for any operational downtime, inconvenience, or production adjustment required. This capability reflects the company's commercial disposition toward DR engagement rather than a confirmed technical capacity. Its presence is a necessary but not sufficient condition for participation: a company may be willing to participate but remain unable to do so without first addressing data deficiency, technology availability, or continuous process constraints.</a:t>
          </a:r>
          <a:endParaRPr lang="en-AU" sz="800">
            <a:latin typeface="Gilroy" panose="00000500000000000000" pitchFamily="50" charset="0"/>
          </a:endParaRPr>
        </a:p>
      </dgm:t>
    </dgm:pt>
    <dgm:pt modelId="{4FA0EEFC-6614-4D75-BCB6-27CA806A6EA2}" type="parTrans" cxnId="{C43BBE7E-4569-4A1A-B73F-B96DB035D3C8}">
      <dgm:prSet/>
      <dgm:spPr/>
      <dgm:t>
        <a:bodyPr/>
        <a:lstStyle/>
        <a:p>
          <a:endParaRPr lang="en-AU">
            <a:latin typeface="Gilroy" panose="00000500000000000000" pitchFamily="50" charset="0"/>
          </a:endParaRPr>
        </a:p>
      </dgm:t>
    </dgm:pt>
    <dgm:pt modelId="{3733E6F3-1933-4E05-A027-36D23CC90266}" type="sibTrans" cxnId="{C43BBE7E-4569-4A1A-B73F-B96DB035D3C8}">
      <dgm:prSet/>
      <dgm:spPr/>
      <dgm:t>
        <a:bodyPr/>
        <a:lstStyle/>
        <a:p>
          <a:endParaRPr lang="en-AU">
            <a:latin typeface="Gilroy" panose="00000500000000000000" pitchFamily="50" charset="0"/>
          </a:endParaRPr>
        </a:p>
      </dgm:t>
    </dgm:pt>
    <dgm:pt modelId="{100B3B40-4AC8-4903-9D46-EF0CC52DCDA1}">
      <dgm:prSet custT="1"/>
      <dgm:spPr/>
      <dgm:t>
        <a:bodyPr/>
        <a:lstStyle/>
        <a:p>
          <a:pPr>
            <a:buNone/>
          </a:pPr>
          <a:r>
            <a:rPr lang="en-AU" sz="800">
              <a:latin typeface="Gilroy" panose="00000500000000000000" pitchFamily="50" charset="0"/>
            </a:rPr>
            <a:t>  </a:t>
          </a:r>
          <a:r>
            <a:rPr lang="en-AU" sz="900">
              <a:latin typeface="Gilroy" panose="00000500000000000000" pitchFamily="50" charset="0"/>
            </a:rPr>
            <a:t>The participating company had identified one or more pieces of equipment or production processes with confirmed or potential flexible operability; that is, the ability to ramp consumption up or down, or to switch loads on and off, in response to an external signal or operational instruction. Dynamic operation capability does not require that all facility loads be flexible; it requires that at least some loads can be adjusted without immediately compromising production output, product quality, or workplace safety. The presence of this capability is the most direct technical indicator of accessible DR capacity at a site and received the joint second-highest positive weighting in the scoring framework alongside Participation Availability. </a:t>
          </a:r>
          <a:endParaRPr lang="en-AU" sz="800">
            <a:latin typeface="Gilroy" panose="00000500000000000000" pitchFamily="50" charset="0"/>
          </a:endParaRPr>
        </a:p>
      </dgm:t>
    </dgm:pt>
    <dgm:pt modelId="{9550F4C1-C70E-4384-A422-250AF16E2D79}" type="parTrans" cxnId="{FA68DDAF-01B3-422C-B8A4-97B0AA74219C}">
      <dgm:prSet/>
      <dgm:spPr/>
      <dgm:t>
        <a:bodyPr/>
        <a:lstStyle/>
        <a:p>
          <a:endParaRPr lang="en-AU">
            <a:latin typeface="Gilroy" panose="00000500000000000000" pitchFamily="50" charset="0"/>
          </a:endParaRPr>
        </a:p>
      </dgm:t>
    </dgm:pt>
    <dgm:pt modelId="{6E2E4FC7-29C1-4C07-AC9D-21590F54D9DB}" type="sibTrans" cxnId="{FA68DDAF-01B3-422C-B8A4-97B0AA74219C}">
      <dgm:prSet/>
      <dgm:spPr/>
      <dgm:t>
        <a:bodyPr/>
        <a:lstStyle/>
        <a:p>
          <a:endParaRPr lang="en-AU">
            <a:latin typeface="Gilroy" panose="00000500000000000000" pitchFamily="50" charset="0"/>
          </a:endParaRPr>
        </a:p>
      </dgm:t>
    </dgm:pt>
    <dgm:pt modelId="{79EE8213-8C87-44BF-A48A-1265C3FBB43D}" type="pres">
      <dgm:prSet presAssocID="{DD72F0A1-DF41-4774-83EA-C2F69DEF3139}" presName="linear" presStyleCnt="0">
        <dgm:presLayoutVars>
          <dgm:dir/>
          <dgm:animLvl val="lvl"/>
          <dgm:resizeHandles val="exact"/>
        </dgm:presLayoutVars>
      </dgm:prSet>
      <dgm:spPr/>
    </dgm:pt>
    <dgm:pt modelId="{97824F61-A565-4B78-BE80-92A40153BD6B}" type="pres">
      <dgm:prSet presAssocID="{51DA292E-925A-4F07-AE25-6C1C1C4364BF}" presName="parentLin" presStyleCnt="0"/>
      <dgm:spPr/>
    </dgm:pt>
    <dgm:pt modelId="{2AD79685-659A-495E-90DD-90233C381CF5}" type="pres">
      <dgm:prSet presAssocID="{51DA292E-925A-4F07-AE25-6C1C1C4364BF}" presName="parentLeftMargin" presStyleLbl="node1" presStyleIdx="0" presStyleCnt="5"/>
      <dgm:spPr/>
    </dgm:pt>
    <dgm:pt modelId="{5ED26265-9579-4FC5-BC67-4B645AD8648F}" type="pres">
      <dgm:prSet presAssocID="{51DA292E-925A-4F07-AE25-6C1C1C4364BF}" presName="parentText" presStyleLbl="node1" presStyleIdx="0" presStyleCnt="5">
        <dgm:presLayoutVars>
          <dgm:chMax val="0"/>
          <dgm:bulletEnabled val="1"/>
        </dgm:presLayoutVars>
      </dgm:prSet>
      <dgm:spPr/>
    </dgm:pt>
    <dgm:pt modelId="{093A49D4-179B-4D5E-A2B9-CDF616065285}" type="pres">
      <dgm:prSet presAssocID="{51DA292E-925A-4F07-AE25-6C1C1C4364BF}" presName="negativeSpace" presStyleCnt="0"/>
      <dgm:spPr/>
    </dgm:pt>
    <dgm:pt modelId="{92378A47-22C4-4BB6-99AC-553023029637}" type="pres">
      <dgm:prSet presAssocID="{51DA292E-925A-4F07-AE25-6C1C1C4364BF}" presName="childText" presStyleLbl="conFgAcc1" presStyleIdx="0" presStyleCnt="5">
        <dgm:presLayoutVars>
          <dgm:bulletEnabled val="1"/>
        </dgm:presLayoutVars>
      </dgm:prSet>
      <dgm:spPr/>
    </dgm:pt>
    <dgm:pt modelId="{3CAAF39E-E0F9-4481-8AB3-905113D43848}" type="pres">
      <dgm:prSet presAssocID="{C654BD67-00F6-4A03-B3C9-30E3024B48F8}" presName="spaceBetweenRectangles" presStyleCnt="0"/>
      <dgm:spPr/>
    </dgm:pt>
    <dgm:pt modelId="{DFE0074E-6B55-40DE-BD40-4962DF51F4C1}" type="pres">
      <dgm:prSet presAssocID="{C0AA7C6F-84FD-47A3-946B-BD0C560FB3AA}" presName="parentLin" presStyleCnt="0"/>
      <dgm:spPr/>
    </dgm:pt>
    <dgm:pt modelId="{F9D67D76-8D5F-4F01-9FB8-7EA12C64BD12}" type="pres">
      <dgm:prSet presAssocID="{C0AA7C6F-84FD-47A3-946B-BD0C560FB3AA}" presName="parentLeftMargin" presStyleLbl="node1" presStyleIdx="0" presStyleCnt="5"/>
      <dgm:spPr/>
    </dgm:pt>
    <dgm:pt modelId="{FB42BA44-EC44-4CCE-AF09-74A92BACB3DF}" type="pres">
      <dgm:prSet presAssocID="{C0AA7C6F-84FD-47A3-946B-BD0C560FB3AA}" presName="parentText" presStyleLbl="node1" presStyleIdx="1" presStyleCnt="5">
        <dgm:presLayoutVars>
          <dgm:chMax val="0"/>
          <dgm:bulletEnabled val="1"/>
        </dgm:presLayoutVars>
      </dgm:prSet>
      <dgm:spPr/>
    </dgm:pt>
    <dgm:pt modelId="{54795C98-492B-454D-A9BD-1697BCAF3FFB}" type="pres">
      <dgm:prSet presAssocID="{C0AA7C6F-84FD-47A3-946B-BD0C560FB3AA}" presName="negativeSpace" presStyleCnt="0"/>
      <dgm:spPr/>
    </dgm:pt>
    <dgm:pt modelId="{C86A95BA-5B02-4BB1-942D-5E4FCDA032B4}" type="pres">
      <dgm:prSet presAssocID="{C0AA7C6F-84FD-47A3-946B-BD0C560FB3AA}" presName="childText" presStyleLbl="conFgAcc1" presStyleIdx="1" presStyleCnt="5">
        <dgm:presLayoutVars>
          <dgm:bulletEnabled val="1"/>
        </dgm:presLayoutVars>
      </dgm:prSet>
      <dgm:spPr/>
    </dgm:pt>
    <dgm:pt modelId="{D7A9E2E2-EC25-4F3D-B98A-8628C1D308FE}" type="pres">
      <dgm:prSet presAssocID="{71B1AE56-979A-4D7A-96A8-A826919644A2}" presName="spaceBetweenRectangles" presStyleCnt="0"/>
      <dgm:spPr/>
    </dgm:pt>
    <dgm:pt modelId="{C6D44420-DD33-4E5F-8EF2-4F01EAA06C45}" type="pres">
      <dgm:prSet presAssocID="{30388C0A-EA51-44CC-8C42-1B2D1402A67F}" presName="parentLin" presStyleCnt="0"/>
      <dgm:spPr/>
    </dgm:pt>
    <dgm:pt modelId="{67DBEB61-AAF5-4617-86F2-143D928C6A75}" type="pres">
      <dgm:prSet presAssocID="{30388C0A-EA51-44CC-8C42-1B2D1402A67F}" presName="parentLeftMargin" presStyleLbl="node1" presStyleIdx="1" presStyleCnt="5"/>
      <dgm:spPr/>
    </dgm:pt>
    <dgm:pt modelId="{704A53E7-D04A-4BC4-BB7F-F6B5BFE3948A}" type="pres">
      <dgm:prSet presAssocID="{30388C0A-EA51-44CC-8C42-1B2D1402A67F}" presName="parentText" presStyleLbl="node1" presStyleIdx="2" presStyleCnt="5">
        <dgm:presLayoutVars>
          <dgm:chMax val="0"/>
          <dgm:bulletEnabled val="1"/>
        </dgm:presLayoutVars>
      </dgm:prSet>
      <dgm:spPr/>
    </dgm:pt>
    <dgm:pt modelId="{6669DAA2-84D8-4F5B-B8FA-56B22AE9A1A2}" type="pres">
      <dgm:prSet presAssocID="{30388C0A-EA51-44CC-8C42-1B2D1402A67F}" presName="negativeSpace" presStyleCnt="0"/>
      <dgm:spPr/>
    </dgm:pt>
    <dgm:pt modelId="{F5FBADB3-0569-4F6A-A096-F95B875313D7}" type="pres">
      <dgm:prSet presAssocID="{30388C0A-EA51-44CC-8C42-1B2D1402A67F}" presName="childText" presStyleLbl="conFgAcc1" presStyleIdx="2" presStyleCnt="5">
        <dgm:presLayoutVars>
          <dgm:bulletEnabled val="1"/>
        </dgm:presLayoutVars>
      </dgm:prSet>
      <dgm:spPr/>
    </dgm:pt>
    <dgm:pt modelId="{3B1E75E9-A66E-447B-9FC1-B3C605639C7F}" type="pres">
      <dgm:prSet presAssocID="{F22C07E0-908C-4F0C-93A5-3B2AF34F0EC7}" presName="spaceBetweenRectangles" presStyleCnt="0"/>
      <dgm:spPr/>
    </dgm:pt>
    <dgm:pt modelId="{B7364616-506D-4D19-93B3-4C14E5AFCB5E}" type="pres">
      <dgm:prSet presAssocID="{E01762A9-C898-424A-BB89-A6D8A7B375EB}" presName="parentLin" presStyleCnt="0"/>
      <dgm:spPr/>
    </dgm:pt>
    <dgm:pt modelId="{5CEC6F1E-2FE7-4829-9DA8-2D6A3F5D639E}" type="pres">
      <dgm:prSet presAssocID="{E01762A9-C898-424A-BB89-A6D8A7B375EB}" presName="parentLeftMargin" presStyleLbl="node1" presStyleIdx="2" presStyleCnt="5"/>
      <dgm:spPr/>
    </dgm:pt>
    <dgm:pt modelId="{B0A5142D-88C9-4545-AEFF-AA79C454A3E1}" type="pres">
      <dgm:prSet presAssocID="{E01762A9-C898-424A-BB89-A6D8A7B375EB}" presName="parentText" presStyleLbl="node1" presStyleIdx="3" presStyleCnt="5">
        <dgm:presLayoutVars>
          <dgm:chMax val="0"/>
          <dgm:bulletEnabled val="1"/>
        </dgm:presLayoutVars>
      </dgm:prSet>
      <dgm:spPr/>
    </dgm:pt>
    <dgm:pt modelId="{B732DDE8-1366-4214-A5FC-4A87E2870748}" type="pres">
      <dgm:prSet presAssocID="{E01762A9-C898-424A-BB89-A6D8A7B375EB}" presName="negativeSpace" presStyleCnt="0"/>
      <dgm:spPr/>
    </dgm:pt>
    <dgm:pt modelId="{7230D3F9-8CBC-4BC1-981E-A3D3BB44B228}" type="pres">
      <dgm:prSet presAssocID="{E01762A9-C898-424A-BB89-A6D8A7B375EB}" presName="childText" presStyleLbl="conFgAcc1" presStyleIdx="3" presStyleCnt="5">
        <dgm:presLayoutVars>
          <dgm:bulletEnabled val="1"/>
        </dgm:presLayoutVars>
      </dgm:prSet>
      <dgm:spPr/>
    </dgm:pt>
    <dgm:pt modelId="{9A709BD7-36D6-4429-B368-40F452A9467A}" type="pres">
      <dgm:prSet presAssocID="{D2AA996B-9EAB-4DCB-B8CF-D30C2C668B64}" presName="spaceBetweenRectangles" presStyleCnt="0"/>
      <dgm:spPr/>
    </dgm:pt>
    <dgm:pt modelId="{31264F14-D969-4486-8A42-37F0303C9624}" type="pres">
      <dgm:prSet presAssocID="{448CB07E-ADE7-4C0D-9AC1-53C57A387B25}" presName="parentLin" presStyleCnt="0"/>
      <dgm:spPr/>
    </dgm:pt>
    <dgm:pt modelId="{211A90AD-7C5C-4ABB-9099-340DBB5422B2}" type="pres">
      <dgm:prSet presAssocID="{448CB07E-ADE7-4C0D-9AC1-53C57A387B25}" presName="parentLeftMargin" presStyleLbl="node1" presStyleIdx="3" presStyleCnt="5"/>
      <dgm:spPr/>
    </dgm:pt>
    <dgm:pt modelId="{EFC1C0D5-ABB0-4DD6-A813-DD93061CC090}" type="pres">
      <dgm:prSet presAssocID="{448CB07E-ADE7-4C0D-9AC1-53C57A387B25}" presName="parentText" presStyleLbl="node1" presStyleIdx="4" presStyleCnt="5">
        <dgm:presLayoutVars>
          <dgm:chMax val="0"/>
          <dgm:bulletEnabled val="1"/>
        </dgm:presLayoutVars>
      </dgm:prSet>
      <dgm:spPr/>
    </dgm:pt>
    <dgm:pt modelId="{715F21EC-6905-4BD3-BDAD-0FEAFCFBCDBB}" type="pres">
      <dgm:prSet presAssocID="{448CB07E-ADE7-4C0D-9AC1-53C57A387B25}" presName="negativeSpace" presStyleCnt="0"/>
      <dgm:spPr/>
    </dgm:pt>
    <dgm:pt modelId="{878808AC-AB12-404B-A6DC-E9F68DDA82F0}" type="pres">
      <dgm:prSet presAssocID="{448CB07E-ADE7-4C0D-9AC1-53C57A387B25}" presName="childText" presStyleLbl="conFgAcc1" presStyleIdx="4" presStyleCnt="5">
        <dgm:presLayoutVars>
          <dgm:bulletEnabled val="1"/>
        </dgm:presLayoutVars>
      </dgm:prSet>
      <dgm:spPr/>
    </dgm:pt>
  </dgm:ptLst>
  <dgm:cxnLst>
    <dgm:cxn modelId="{332FB205-D107-4D15-B7E4-BD2089C5B9D5}" srcId="{448CB07E-ADE7-4C0D-9AC1-53C57A387B25}" destId="{30F844FC-2411-4F3F-AA4A-AB3F835ABA5C}" srcOrd="0" destOrd="0" parTransId="{C6016743-97E6-4970-AF56-21C1F52F9C40}" sibTransId="{9435DA6E-85E0-4DFD-A703-25DDC308EE4F}"/>
    <dgm:cxn modelId="{32EB8708-6B9F-4FFF-83B3-194B0CC31F23}" type="presOf" srcId="{C0AA7C6F-84FD-47A3-946B-BD0C560FB3AA}" destId="{F9D67D76-8D5F-4F01-9FB8-7EA12C64BD12}" srcOrd="0" destOrd="0" presId="urn:microsoft.com/office/officeart/2005/8/layout/list1"/>
    <dgm:cxn modelId="{E3E5630F-1666-4119-B4EB-37C4C9E15B1D}" type="presOf" srcId="{F42EDFD4-06D2-4C3A-9812-A66965EB71F9}" destId="{7230D3F9-8CBC-4BC1-981E-A3D3BB44B228}" srcOrd="0" destOrd="0" presId="urn:microsoft.com/office/officeart/2005/8/layout/list1"/>
    <dgm:cxn modelId="{3031FB13-7612-47E3-8833-02A5D2A81BD6}" srcId="{DD72F0A1-DF41-4774-83EA-C2F69DEF3139}" destId="{51DA292E-925A-4F07-AE25-6C1C1C4364BF}" srcOrd="0" destOrd="0" parTransId="{C5E9AB52-052E-41B3-A3F8-701E1C290678}" sibTransId="{C654BD67-00F6-4A03-B3C9-30E3024B48F8}"/>
    <dgm:cxn modelId="{E1E4DB3B-5A3F-4021-B2B2-B206722162D1}" type="presOf" srcId="{100B3B40-4AC8-4903-9D46-EF0CC52DCDA1}" destId="{F5FBADB3-0569-4F6A-A096-F95B875313D7}" srcOrd="0" destOrd="0" presId="urn:microsoft.com/office/officeart/2005/8/layout/list1"/>
    <dgm:cxn modelId="{1A567E42-9FC7-488E-9648-C6CA2579CBD5}" srcId="{DD72F0A1-DF41-4774-83EA-C2F69DEF3139}" destId="{C0AA7C6F-84FD-47A3-946B-BD0C560FB3AA}" srcOrd="1" destOrd="0" parTransId="{7CB7044F-619E-42AB-9D7B-C30E2977DA54}" sibTransId="{71B1AE56-979A-4D7A-96A8-A826919644A2}"/>
    <dgm:cxn modelId="{DD7F3166-515C-44B1-9487-EC2333CFF0A0}" type="presOf" srcId="{DD72F0A1-DF41-4774-83EA-C2F69DEF3139}" destId="{79EE8213-8C87-44BF-A48A-1265C3FBB43D}" srcOrd="0" destOrd="0" presId="urn:microsoft.com/office/officeart/2005/8/layout/list1"/>
    <dgm:cxn modelId="{718C7067-FB2E-4ABD-A1F2-C23AA93302A9}" type="presOf" srcId="{448CB07E-ADE7-4C0D-9AC1-53C57A387B25}" destId="{EFC1C0D5-ABB0-4DD6-A813-DD93061CC090}" srcOrd="1" destOrd="0" presId="urn:microsoft.com/office/officeart/2005/8/layout/list1"/>
    <dgm:cxn modelId="{4574994A-5EC2-4DD9-BFA7-F4EB6732D984}" srcId="{DD72F0A1-DF41-4774-83EA-C2F69DEF3139}" destId="{E01762A9-C898-424A-BB89-A6D8A7B375EB}" srcOrd="3" destOrd="0" parTransId="{6D1E6068-055F-48A6-B32A-9BB24A182C1E}" sibTransId="{D2AA996B-9EAB-4DCB-B8CF-D30C2C668B64}"/>
    <dgm:cxn modelId="{0FAD514D-7339-4C31-A0FA-F90CD1BB83B9}" srcId="{51DA292E-925A-4F07-AE25-6C1C1C4364BF}" destId="{2E004E12-788E-4D8E-BBCD-402034E37E96}" srcOrd="0" destOrd="0" parTransId="{95C7C6DC-2584-47A5-B4FD-AE635493CC6B}" sibTransId="{CB258295-852B-4B2D-AD23-A5FA7CEB6772}"/>
    <dgm:cxn modelId="{3F627253-28D8-40CD-9811-A92997849827}" type="presOf" srcId="{30388C0A-EA51-44CC-8C42-1B2D1402A67F}" destId="{67DBEB61-AAF5-4617-86F2-143D928C6A75}" srcOrd="0" destOrd="0" presId="urn:microsoft.com/office/officeart/2005/8/layout/list1"/>
    <dgm:cxn modelId="{40150059-A28D-4997-8CC5-A87004AF781B}" type="presOf" srcId="{30F844FC-2411-4F3F-AA4A-AB3F835ABA5C}" destId="{878808AC-AB12-404B-A6DC-E9F68DDA82F0}" srcOrd="0" destOrd="0" presId="urn:microsoft.com/office/officeart/2005/8/layout/list1"/>
    <dgm:cxn modelId="{F1EB8B7E-7FDF-41C3-8582-455041937A17}" type="presOf" srcId="{E01762A9-C898-424A-BB89-A6D8A7B375EB}" destId="{5CEC6F1E-2FE7-4829-9DA8-2D6A3F5D639E}" srcOrd="0" destOrd="0" presId="urn:microsoft.com/office/officeart/2005/8/layout/list1"/>
    <dgm:cxn modelId="{C43BBE7E-4569-4A1A-B73F-B96DB035D3C8}" srcId="{E01762A9-C898-424A-BB89-A6D8A7B375EB}" destId="{F42EDFD4-06D2-4C3A-9812-A66965EB71F9}" srcOrd="0" destOrd="0" parTransId="{4FA0EEFC-6614-4D75-BCB6-27CA806A6EA2}" sibTransId="{3733E6F3-1933-4E05-A027-36D23CC90266}"/>
    <dgm:cxn modelId="{BED2D682-8BBE-4F28-B13D-37662FE24258}" type="presOf" srcId="{C0AA7C6F-84FD-47A3-946B-BD0C560FB3AA}" destId="{FB42BA44-EC44-4CCE-AF09-74A92BACB3DF}" srcOrd="1" destOrd="0" presId="urn:microsoft.com/office/officeart/2005/8/layout/list1"/>
    <dgm:cxn modelId="{2BAF558B-0635-4B7A-BBED-FA24AD3B94FA}" type="presOf" srcId="{51DA292E-925A-4F07-AE25-6C1C1C4364BF}" destId="{5ED26265-9579-4FC5-BC67-4B645AD8648F}" srcOrd="1" destOrd="0" presId="urn:microsoft.com/office/officeart/2005/8/layout/list1"/>
    <dgm:cxn modelId="{7185058D-3900-4110-96C2-3E05ED6AD264}" srcId="{DD72F0A1-DF41-4774-83EA-C2F69DEF3139}" destId="{448CB07E-ADE7-4C0D-9AC1-53C57A387B25}" srcOrd="4" destOrd="0" parTransId="{43C594D0-25CC-4754-9F6D-1682952AEC68}" sibTransId="{E19812E5-BCB0-4BC9-9635-705ECD1A8CBB}"/>
    <dgm:cxn modelId="{694FF58D-04D9-464D-B039-27385C1C4006}" type="presOf" srcId="{51DA292E-925A-4F07-AE25-6C1C1C4364BF}" destId="{2AD79685-659A-495E-90DD-90233C381CF5}" srcOrd="0" destOrd="0" presId="urn:microsoft.com/office/officeart/2005/8/layout/list1"/>
    <dgm:cxn modelId="{740FBD8E-144E-4394-BEB3-471155E29D6F}" type="presOf" srcId="{30388C0A-EA51-44CC-8C42-1B2D1402A67F}" destId="{704A53E7-D04A-4BC4-BB7F-F6B5BFE3948A}" srcOrd="1" destOrd="0" presId="urn:microsoft.com/office/officeart/2005/8/layout/list1"/>
    <dgm:cxn modelId="{997216AB-E949-4C61-8723-EB9030CE650A}" type="presOf" srcId="{7B3F7A49-226C-4D46-8765-CC8447DC06BD}" destId="{C86A95BA-5B02-4BB1-942D-5E4FCDA032B4}" srcOrd="0" destOrd="0" presId="urn:microsoft.com/office/officeart/2005/8/layout/list1"/>
    <dgm:cxn modelId="{FA68DDAF-01B3-422C-B8A4-97B0AA74219C}" srcId="{30388C0A-EA51-44CC-8C42-1B2D1402A67F}" destId="{100B3B40-4AC8-4903-9D46-EF0CC52DCDA1}" srcOrd="0" destOrd="0" parTransId="{9550F4C1-C70E-4384-A422-250AF16E2D79}" sibTransId="{6E2E4FC7-29C1-4C07-AC9D-21590F54D9DB}"/>
    <dgm:cxn modelId="{5F7801B2-19C2-432D-82E4-B63D4B89FE20}" type="presOf" srcId="{E01762A9-C898-424A-BB89-A6D8A7B375EB}" destId="{B0A5142D-88C9-4545-AEFF-AA79C454A3E1}" srcOrd="1" destOrd="0" presId="urn:microsoft.com/office/officeart/2005/8/layout/list1"/>
    <dgm:cxn modelId="{3019C6CC-7F1B-497F-B7E3-9714C2F46D04}" srcId="{C0AA7C6F-84FD-47A3-946B-BD0C560FB3AA}" destId="{7B3F7A49-226C-4D46-8765-CC8447DC06BD}" srcOrd="0" destOrd="0" parTransId="{712FE3D0-F8A9-432D-BF9F-24E8414320B3}" sibTransId="{2C87EA8D-01AF-42E4-8A7D-4A7472E43DE3}"/>
    <dgm:cxn modelId="{3DC962D5-60BE-422C-A2D9-2153C9EA9FAC}" srcId="{DD72F0A1-DF41-4774-83EA-C2F69DEF3139}" destId="{30388C0A-EA51-44CC-8C42-1B2D1402A67F}" srcOrd="2" destOrd="0" parTransId="{A131A91E-E5EB-403F-801E-5E784B822AED}" sibTransId="{F22C07E0-908C-4F0C-93A5-3B2AF34F0EC7}"/>
    <dgm:cxn modelId="{435CAFD8-F4C6-4787-9AA1-BDDB452412EB}" type="presOf" srcId="{2E004E12-788E-4D8E-BBCD-402034E37E96}" destId="{92378A47-22C4-4BB6-99AC-553023029637}" srcOrd="0" destOrd="0" presId="urn:microsoft.com/office/officeart/2005/8/layout/list1"/>
    <dgm:cxn modelId="{F97053F5-430D-4252-AE80-61C2A6C927D5}" type="presOf" srcId="{448CB07E-ADE7-4C0D-9AC1-53C57A387B25}" destId="{211A90AD-7C5C-4ABB-9099-340DBB5422B2}" srcOrd="0" destOrd="0" presId="urn:microsoft.com/office/officeart/2005/8/layout/list1"/>
    <dgm:cxn modelId="{85020D89-5918-418C-A983-373B23DEDB66}" type="presParOf" srcId="{79EE8213-8C87-44BF-A48A-1265C3FBB43D}" destId="{97824F61-A565-4B78-BE80-92A40153BD6B}" srcOrd="0" destOrd="0" presId="urn:microsoft.com/office/officeart/2005/8/layout/list1"/>
    <dgm:cxn modelId="{EA81189D-BFB8-4FF8-AA6B-C90821EF4998}" type="presParOf" srcId="{97824F61-A565-4B78-BE80-92A40153BD6B}" destId="{2AD79685-659A-495E-90DD-90233C381CF5}" srcOrd="0" destOrd="0" presId="urn:microsoft.com/office/officeart/2005/8/layout/list1"/>
    <dgm:cxn modelId="{E390C1AB-07ED-41B0-9EEC-6E1D995A5A01}" type="presParOf" srcId="{97824F61-A565-4B78-BE80-92A40153BD6B}" destId="{5ED26265-9579-4FC5-BC67-4B645AD8648F}" srcOrd="1" destOrd="0" presId="urn:microsoft.com/office/officeart/2005/8/layout/list1"/>
    <dgm:cxn modelId="{1DE14ABA-DE20-460D-A9CC-F2C127B6A189}" type="presParOf" srcId="{79EE8213-8C87-44BF-A48A-1265C3FBB43D}" destId="{093A49D4-179B-4D5E-A2B9-CDF616065285}" srcOrd="1" destOrd="0" presId="urn:microsoft.com/office/officeart/2005/8/layout/list1"/>
    <dgm:cxn modelId="{7B583622-599A-4562-9023-931B232AED4E}" type="presParOf" srcId="{79EE8213-8C87-44BF-A48A-1265C3FBB43D}" destId="{92378A47-22C4-4BB6-99AC-553023029637}" srcOrd="2" destOrd="0" presId="urn:microsoft.com/office/officeart/2005/8/layout/list1"/>
    <dgm:cxn modelId="{B7A63D62-4A95-47CA-AB1F-50C9E2CF1036}" type="presParOf" srcId="{79EE8213-8C87-44BF-A48A-1265C3FBB43D}" destId="{3CAAF39E-E0F9-4481-8AB3-905113D43848}" srcOrd="3" destOrd="0" presId="urn:microsoft.com/office/officeart/2005/8/layout/list1"/>
    <dgm:cxn modelId="{6B61805A-7A08-42B8-A5DA-94D792B3E45B}" type="presParOf" srcId="{79EE8213-8C87-44BF-A48A-1265C3FBB43D}" destId="{DFE0074E-6B55-40DE-BD40-4962DF51F4C1}" srcOrd="4" destOrd="0" presId="urn:microsoft.com/office/officeart/2005/8/layout/list1"/>
    <dgm:cxn modelId="{881C4FD5-8BE9-47A7-BFBD-7184B5036C96}" type="presParOf" srcId="{DFE0074E-6B55-40DE-BD40-4962DF51F4C1}" destId="{F9D67D76-8D5F-4F01-9FB8-7EA12C64BD12}" srcOrd="0" destOrd="0" presId="urn:microsoft.com/office/officeart/2005/8/layout/list1"/>
    <dgm:cxn modelId="{30F1043F-5FF3-4B8E-92F7-3FFD4678A0DE}" type="presParOf" srcId="{DFE0074E-6B55-40DE-BD40-4962DF51F4C1}" destId="{FB42BA44-EC44-4CCE-AF09-74A92BACB3DF}" srcOrd="1" destOrd="0" presId="urn:microsoft.com/office/officeart/2005/8/layout/list1"/>
    <dgm:cxn modelId="{73DFA0E4-6E32-4DC1-9481-F09CD428EE5D}" type="presParOf" srcId="{79EE8213-8C87-44BF-A48A-1265C3FBB43D}" destId="{54795C98-492B-454D-A9BD-1697BCAF3FFB}" srcOrd="5" destOrd="0" presId="urn:microsoft.com/office/officeart/2005/8/layout/list1"/>
    <dgm:cxn modelId="{BECFB263-0A31-4984-B643-620776CFB654}" type="presParOf" srcId="{79EE8213-8C87-44BF-A48A-1265C3FBB43D}" destId="{C86A95BA-5B02-4BB1-942D-5E4FCDA032B4}" srcOrd="6" destOrd="0" presId="urn:microsoft.com/office/officeart/2005/8/layout/list1"/>
    <dgm:cxn modelId="{70B8150C-2087-4ECF-8F32-EE88F1241F58}" type="presParOf" srcId="{79EE8213-8C87-44BF-A48A-1265C3FBB43D}" destId="{D7A9E2E2-EC25-4F3D-B98A-8628C1D308FE}" srcOrd="7" destOrd="0" presId="urn:microsoft.com/office/officeart/2005/8/layout/list1"/>
    <dgm:cxn modelId="{0EABEA08-16DC-4F1F-A331-A293E8201FA6}" type="presParOf" srcId="{79EE8213-8C87-44BF-A48A-1265C3FBB43D}" destId="{C6D44420-DD33-4E5F-8EF2-4F01EAA06C45}" srcOrd="8" destOrd="0" presId="urn:microsoft.com/office/officeart/2005/8/layout/list1"/>
    <dgm:cxn modelId="{FE201650-9BBF-4DF0-B4B2-2581121F495C}" type="presParOf" srcId="{C6D44420-DD33-4E5F-8EF2-4F01EAA06C45}" destId="{67DBEB61-AAF5-4617-86F2-143D928C6A75}" srcOrd="0" destOrd="0" presId="urn:microsoft.com/office/officeart/2005/8/layout/list1"/>
    <dgm:cxn modelId="{A98DD00A-DBD1-494A-91C2-0C0D0BA9E1B9}" type="presParOf" srcId="{C6D44420-DD33-4E5F-8EF2-4F01EAA06C45}" destId="{704A53E7-D04A-4BC4-BB7F-F6B5BFE3948A}" srcOrd="1" destOrd="0" presId="urn:microsoft.com/office/officeart/2005/8/layout/list1"/>
    <dgm:cxn modelId="{0E1149B6-B7A4-45EF-93E3-BB9BAF4AA54D}" type="presParOf" srcId="{79EE8213-8C87-44BF-A48A-1265C3FBB43D}" destId="{6669DAA2-84D8-4F5B-B8FA-56B22AE9A1A2}" srcOrd="9" destOrd="0" presId="urn:microsoft.com/office/officeart/2005/8/layout/list1"/>
    <dgm:cxn modelId="{702F6A08-AC18-41B3-90EF-5589881D60DB}" type="presParOf" srcId="{79EE8213-8C87-44BF-A48A-1265C3FBB43D}" destId="{F5FBADB3-0569-4F6A-A096-F95B875313D7}" srcOrd="10" destOrd="0" presId="urn:microsoft.com/office/officeart/2005/8/layout/list1"/>
    <dgm:cxn modelId="{FDF6C60C-AB14-40A5-968E-DB1A00D83AFC}" type="presParOf" srcId="{79EE8213-8C87-44BF-A48A-1265C3FBB43D}" destId="{3B1E75E9-A66E-447B-9FC1-B3C605639C7F}" srcOrd="11" destOrd="0" presId="urn:microsoft.com/office/officeart/2005/8/layout/list1"/>
    <dgm:cxn modelId="{2FF663C4-AA06-4ED0-80DC-D52191CD13AB}" type="presParOf" srcId="{79EE8213-8C87-44BF-A48A-1265C3FBB43D}" destId="{B7364616-506D-4D19-93B3-4C14E5AFCB5E}" srcOrd="12" destOrd="0" presId="urn:microsoft.com/office/officeart/2005/8/layout/list1"/>
    <dgm:cxn modelId="{AF58DD30-AAA3-44CD-90DC-E892C8A6E093}" type="presParOf" srcId="{B7364616-506D-4D19-93B3-4C14E5AFCB5E}" destId="{5CEC6F1E-2FE7-4829-9DA8-2D6A3F5D639E}" srcOrd="0" destOrd="0" presId="urn:microsoft.com/office/officeart/2005/8/layout/list1"/>
    <dgm:cxn modelId="{10F8D4B4-EB3C-44A8-B8CC-205751FD1B08}" type="presParOf" srcId="{B7364616-506D-4D19-93B3-4C14E5AFCB5E}" destId="{B0A5142D-88C9-4545-AEFF-AA79C454A3E1}" srcOrd="1" destOrd="0" presId="urn:microsoft.com/office/officeart/2005/8/layout/list1"/>
    <dgm:cxn modelId="{282A00B5-61CC-4FF7-BCDA-8A5522830179}" type="presParOf" srcId="{79EE8213-8C87-44BF-A48A-1265C3FBB43D}" destId="{B732DDE8-1366-4214-A5FC-4A87E2870748}" srcOrd="13" destOrd="0" presId="urn:microsoft.com/office/officeart/2005/8/layout/list1"/>
    <dgm:cxn modelId="{06CD75EB-2775-48E2-A37D-4F27B6CB93D5}" type="presParOf" srcId="{79EE8213-8C87-44BF-A48A-1265C3FBB43D}" destId="{7230D3F9-8CBC-4BC1-981E-A3D3BB44B228}" srcOrd="14" destOrd="0" presId="urn:microsoft.com/office/officeart/2005/8/layout/list1"/>
    <dgm:cxn modelId="{D194BBD3-87FB-4B6C-A326-A043390C2306}" type="presParOf" srcId="{79EE8213-8C87-44BF-A48A-1265C3FBB43D}" destId="{9A709BD7-36D6-4429-B368-40F452A9467A}" srcOrd="15" destOrd="0" presId="urn:microsoft.com/office/officeart/2005/8/layout/list1"/>
    <dgm:cxn modelId="{794953A0-7BC4-4046-8754-B122B2C92561}" type="presParOf" srcId="{79EE8213-8C87-44BF-A48A-1265C3FBB43D}" destId="{31264F14-D969-4486-8A42-37F0303C9624}" srcOrd="16" destOrd="0" presId="urn:microsoft.com/office/officeart/2005/8/layout/list1"/>
    <dgm:cxn modelId="{41F319E4-B4C7-4423-86B3-AE4E5BBB2291}" type="presParOf" srcId="{31264F14-D969-4486-8A42-37F0303C9624}" destId="{211A90AD-7C5C-4ABB-9099-340DBB5422B2}" srcOrd="0" destOrd="0" presId="urn:microsoft.com/office/officeart/2005/8/layout/list1"/>
    <dgm:cxn modelId="{9C9CBE55-1EF1-4492-9C51-8521AE53188D}" type="presParOf" srcId="{31264F14-D969-4486-8A42-37F0303C9624}" destId="{EFC1C0D5-ABB0-4DD6-A813-DD93061CC090}" srcOrd="1" destOrd="0" presId="urn:microsoft.com/office/officeart/2005/8/layout/list1"/>
    <dgm:cxn modelId="{778C1022-F43B-49EB-9468-B6FFBD109D62}" type="presParOf" srcId="{79EE8213-8C87-44BF-A48A-1265C3FBB43D}" destId="{715F21EC-6905-4BD3-BDAD-0FEAFCFBCDBB}" srcOrd="17" destOrd="0" presId="urn:microsoft.com/office/officeart/2005/8/layout/list1"/>
    <dgm:cxn modelId="{D46F2C98-072C-4508-ACA1-763D8DE9FB55}" type="presParOf" srcId="{79EE8213-8C87-44BF-A48A-1265C3FBB43D}" destId="{878808AC-AB12-404B-A6DC-E9F68DDA82F0}" srcOrd="18" destOrd="0" presId="urn:microsoft.com/office/officeart/2005/8/layout/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30B9F0-6C7C-41A3-BB3E-714D22B30724}">
      <dsp:nvSpPr>
        <dsp:cNvPr id="0" name=""/>
        <dsp:cNvSpPr/>
      </dsp:nvSpPr>
      <dsp:spPr>
        <a:xfrm>
          <a:off x="0" y="137320"/>
          <a:ext cx="6088380" cy="13009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has expressed interest in demand response participation or has identified opportunities to curtail load, but progress has been constrained by deeply embedded workplace culture, operational conventions, or company-level policies that resist change. This barrier is characterised by an unwillingness or inability to alter established routines, even where the energy or commercial case for doing so is recognised. Examples include shift patterns that have remained unchanged for decades, such as production equipment being started at the beginning of a conventional day shift regardless of grid conditions, or an organisational culture in which proposals to modify operational practices could face internal resistance from staff or management.</a:t>
          </a:r>
        </a:p>
      </dsp:txBody>
      <dsp:txXfrm>
        <a:off x="0" y="137320"/>
        <a:ext cx="6088380" cy="1300950"/>
      </dsp:txXfrm>
    </dsp:sp>
    <dsp:sp modelId="{9CC85110-6F2E-49F1-92AC-A8064CC7706F}">
      <dsp:nvSpPr>
        <dsp:cNvPr id="0" name=""/>
        <dsp:cNvSpPr/>
      </dsp:nvSpPr>
      <dsp:spPr>
        <a:xfrm>
          <a:off x="304419" y="3400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Organisational Inertia</a:t>
          </a:r>
        </a:p>
      </dsp:txBody>
      <dsp:txXfrm>
        <a:off x="314506" y="44087"/>
        <a:ext cx="4241692" cy="186466"/>
      </dsp:txXfrm>
    </dsp:sp>
    <dsp:sp modelId="{B8A37B35-A3F5-49C0-953D-BA5359361C13}">
      <dsp:nvSpPr>
        <dsp:cNvPr id="0" name=""/>
        <dsp:cNvSpPr/>
      </dsp:nvSpPr>
      <dsp:spPr>
        <a:xfrm>
          <a:off x="0" y="1579390"/>
          <a:ext cx="6088380" cy="13009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would not consider altering shift patterns or equipment usage in response to a demand-response signal because the associated labour costs would materially outweigh any potential energy savings. This barrier operates at two levels. At the strategic level, energy expenditure represents a sufficiently small proportion of overall operating costs that it does not attract meaningful management attention or drive operational decisions. At the operational level, curtailing or rescheduling a production process for the duration of a DR event would directly result in idle labour time, translating an energy saving into an equivalent or greater wage cost. For DR to be viable for labour-intensive industrial facilities, the financial incentive offered through DR program participation must exceed the cost of displaced labour.</a:t>
          </a:r>
        </a:p>
      </dsp:txBody>
      <dsp:txXfrm>
        <a:off x="0" y="1579390"/>
        <a:ext cx="6088380" cy="1300950"/>
      </dsp:txXfrm>
    </dsp:sp>
    <dsp:sp modelId="{F6634567-74C4-4FA0-81E4-05B1494C2712}">
      <dsp:nvSpPr>
        <dsp:cNvPr id="0" name=""/>
        <dsp:cNvSpPr/>
      </dsp:nvSpPr>
      <dsp:spPr>
        <a:xfrm>
          <a:off x="304419" y="147607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Labour Cost</a:t>
          </a:r>
        </a:p>
      </dsp:txBody>
      <dsp:txXfrm>
        <a:off x="314506" y="1486157"/>
        <a:ext cx="4241692" cy="186466"/>
      </dsp:txXfrm>
    </dsp:sp>
    <dsp:sp modelId="{227F8EE8-ECFD-4B63-AF0D-E49F0A566EEB}">
      <dsp:nvSpPr>
        <dsp:cNvPr id="0" name=""/>
        <dsp:cNvSpPr/>
      </dsp:nvSpPr>
      <dsp:spPr>
        <a:xfrm>
          <a:off x="0" y="3021460"/>
          <a:ext cx="6088380" cy="10584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has expressed interest in demand response participation but has not identified opportunities to curtail load and faces a gap between that intent and its practical realisation. This barrier has both internal and external dimensions. Internally, it encompasses an absence of in-house electrical engineering knowledge and a limited understanding of end-use energy consumption or load breakdown within the facility. Externally, it reflects the reality that many mid-sized industrial companies are not considered sufficiently large by aggregators, retailers, or program administrators to be viable DR participants.</a:t>
          </a:r>
        </a:p>
      </dsp:txBody>
      <dsp:txXfrm>
        <a:off x="0" y="3021460"/>
        <a:ext cx="6088380" cy="1058400"/>
      </dsp:txXfrm>
    </dsp:sp>
    <dsp:sp modelId="{A944336D-C822-4CAE-8A5D-C185818334D2}">
      <dsp:nvSpPr>
        <dsp:cNvPr id="0" name=""/>
        <dsp:cNvSpPr/>
      </dsp:nvSpPr>
      <dsp:spPr>
        <a:xfrm>
          <a:off x="304419" y="291814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Access and Awareness</a:t>
          </a:r>
        </a:p>
      </dsp:txBody>
      <dsp:txXfrm>
        <a:off x="314506" y="2928227"/>
        <a:ext cx="4241692" cy="186466"/>
      </dsp:txXfrm>
    </dsp:sp>
    <dsp:sp modelId="{625CCD20-E61C-4D84-95EC-9773CFE7E4CD}">
      <dsp:nvSpPr>
        <dsp:cNvPr id="0" name=""/>
        <dsp:cNvSpPr/>
      </dsp:nvSpPr>
      <dsp:spPr>
        <a:xfrm>
          <a:off x="0" y="4220980"/>
          <a:ext cx="6088380" cy="11686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has expressed interest in demand response participation or has identified opportunities to curtail load, but the equipment and infrastructure currently installed at the facility do not support an effective response. This includes ageing process equipment, such as older industrial air conditioning systems, that requires continuous standby operation rather than being cycled on and off as needed; equipment that lacks the control interfaces necessary for automated or remotely triggered response; and facilities operating from leased premises where the landlord is unwilling to support the installation of on-site generation, such as storage or solar infrastructure.</a:t>
          </a:r>
        </a:p>
      </dsp:txBody>
      <dsp:txXfrm>
        <a:off x="0" y="4220980"/>
        <a:ext cx="6088380" cy="1168650"/>
      </dsp:txXfrm>
    </dsp:sp>
    <dsp:sp modelId="{6FB32678-F680-478C-91DB-6F850FC503E9}">
      <dsp:nvSpPr>
        <dsp:cNvPr id="0" name=""/>
        <dsp:cNvSpPr/>
      </dsp:nvSpPr>
      <dsp:spPr>
        <a:xfrm>
          <a:off x="304419" y="411766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Technology Availability</a:t>
          </a:r>
        </a:p>
      </dsp:txBody>
      <dsp:txXfrm>
        <a:off x="314506" y="4127747"/>
        <a:ext cx="4241692" cy="186466"/>
      </dsp:txXfrm>
    </dsp:sp>
    <dsp:sp modelId="{A578F012-0B8D-4AFE-AED3-AFD769A04A0E}">
      <dsp:nvSpPr>
        <dsp:cNvPr id="0" name=""/>
        <dsp:cNvSpPr/>
      </dsp:nvSpPr>
      <dsp:spPr>
        <a:xfrm>
          <a:off x="0" y="5530750"/>
          <a:ext cx="6088380" cy="15435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has expressed interest in demand response participation but does not have sufficient visibility of their electricity consumption to understand how their operational patterns connect to their energy use, or to identify which loads could feasibly be curtailed or rescheduled. This includes an understanding of potential low-energy modes of operation for 1-2 hour periods. This barrier goes beyond basic billing data and reflects the absence of submetering, load disaggregation, or interval data analysis at the equipment or process level. Without this information, a site cannot reliably identify which equipment draws the most power, which processes are candidates for ramp-up or ramp-down, or what a low-energy operating mode would look like for a defined curtailment window of one to two hours. In practice, this means that even operationally willing participants are unable to make credible commitments to a DR program without first undertaking a structured energy audit at Level 2 or Level 3 under AS 3598</a:t>
          </a:r>
          <a:r>
            <a:rPr lang="en-AU" sz="950" kern="1200">
              <a:latin typeface="Gilroy" panose="00000500000000000000" pitchFamily="50" charset="0"/>
            </a:rPr>
            <a:t>.</a:t>
          </a:r>
        </a:p>
      </dsp:txBody>
      <dsp:txXfrm>
        <a:off x="0" y="5530750"/>
        <a:ext cx="6088380" cy="1543500"/>
      </dsp:txXfrm>
    </dsp:sp>
    <dsp:sp modelId="{373D737B-6563-4B80-B59A-7C40B45935EE}">
      <dsp:nvSpPr>
        <dsp:cNvPr id="0" name=""/>
        <dsp:cNvSpPr/>
      </dsp:nvSpPr>
      <dsp:spPr>
        <a:xfrm>
          <a:off x="304419" y="542743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Data Deficiency</a:t>
          </a:r>
        </a:p>
      </dsp:txBody>
      <dsp:txXfrm>
        <a:off x="314506" y="5437517"/>
        <a:ext cx="4241692" cy="186466"/>
      </dsp:txXfrm>
    </dsp:sp>
    <dsp:sp modelId="{44C26D26-260A-4D2E-B992-38F6111F8BAE}">
      <dsp:nvSpPr>
        <dsp:cNvPr id="0" name=""/>
        <dsp:cNvSpPr/>
      </dsp:nvSpPr>
      <dsp:spPr>
        <a:xfrm>
          <a:off x="0" y="7215370"/>
          <a:ext cx="6088380" cy="1764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526" tIns="145796" rIns="472526"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operates one or more continuous processes in which equipment must remain running throughout the production cycle to ensure efficient resource use and product integrity. This barrier represents a fundamental constraint on DR participation, as it limits the fraction of total facility load that can be made available for curtailment regardless of the participant's willingness or technical capability. For the purposes of this framework, a process is classified as continuous where an unplanned interruption is defined as a curtailment event with less than one hour's notice and would result in product wastage or material losses exceeding $1,000; require extensive recalibration or restart procedures before normal operations could resume; or create an unacceptable health and safety risk due to the process requiring continuous human supervision. It is noted that the presence of a continuous process does not entirely preclude DR participation. Facilities operating continuous processes may still have discrete, separable loads available for curtailment, but this significantly reduces the available DR capacity relative to the total facility demand.</a:t>
          </a:r>
        </a:p>
      </dsp:txBody>
      <dsp:txXfrm>
        <a:off x="0" y="7215370"/>
        <a:ext cx="6088380" cy="1764000"/>
      </dsp:txXfrm>
    </dsp:sp>
    <dsp:sp modelId="{A12580CD-5967-4C57-B94F-0607F0C92993}">
      <dsp:nvSpPr>
        <dsp:cNvPr id="0" name=""/>
        <dsp:cNvSpPr/>
      </dsp:nvSpPr>
      <dsp:spPr>
        <a:xfrm>
          <a:off x="304419" y="7112050"/>
          <a:ext cx="4261866" cy="206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088" tIns="0" rIns="161088"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Continuous Process Dependency</a:t>
          </a:r>
        </a:p>
      </dsp:txBody>
      <dsp:txXfrm>
        <a:off x="314506" y="7122137"/>
        <a:ext cx="4241692" cy="186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78A47-22C4-4BB6-99AC-553023029637}">
      <dsp:nvSpPr>
        <dsp:cNvPr id="0" name=""/>
        <dsp:cNvSpPr/>
      </dsp:nvSpPr>
      <dsp:spPr>
        <a:xfrm>
          <a:off x="0" y="214247"/>
          <a:ext cx="5622290" cy="15876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6352" tIns="187452" rIns="436352"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participant demonstrated awareness of their site's energy usage patterns and daily consumption fluctuations, including knowledge of electricity tariffs and a general understanding of which equipment or processes are the most energy-intensive. This capability reflects the foundational layer of energy literacy required to identify loads with flexible operability and to begin assessing DR participation potential. Energy Use Data was strongly correlated with prior energy auditing activity across the cohort; companies that had previously undertaken a formal energy audit consistently demonstrated a more detailed and reliable understanding of their consumption profile than those that had not. It is noted that this capability, while broadly present, does not in itself indicate submetering or equipment-level load disaggregation; its presence confirms awareness, not operational readiness.</a:t>
          </a:r>
        </a:p>
      </dsp:txBody>
      <dsp:txXfrm>
        <a:off x="0" y="214247"/>
        <a:ext cx="5622290" cy="1587600"/>
      </dsp:txXfrm>
    </dsp:sp>
    <dsp:sp modelId="{5ED26265-9579-4FC5-BC67-4B645AD8648F}">
      <dsp:nvSpPr>
        <dsp:cNvPr id="0" name=""/>
        <dsp:cNvSpPr/>
      </dsp:nvSpPr>
      <dsp:spPr>
        <a:xfrm>
          <a:off x="281114" y="81407"/>
          <a:ext cx="3935603"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756" tIns="0" rIns="148756"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Energy Use Data</a:t>
          </a:r>
        </a:p>
      </dsp:txBody>
      <dsp:txXfrm>
        <a:off x="294083" y="94376"/>
        <a:ext cx="3909665" cy="239742"/>
      </dsp:txXfrm>
    </dsp:sp>
    <dsp:sp modelId="{C86A95BA-5B02-4BB1-942D-5E4FCDA032B4}">
      <dsp:nvSpPr>
        <dsp:cNvPr id="0" name=""/>
        <dsp:cNvSpPr/>
      </dsp:nvSpPr>
      <dsp:spPr>
        <a:xfrm>
          <a:off x="0" y="1983287"/>
          <a:ext cx="5622290" cy="14458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6352" tIns="187452" rIns="436352" bIns="56896" numCol="1" spcCol="1270" anchor="t" anchorCtr="0">
          <a:noAutofit/>
        </a:bodyPr>
        <a:lstStyle/>
        <a:p>
          <a:pPr marL="57150" lvl="1" indent="-57150" algn="l" defTabSz="355600">
            <a:lnSpc>
              <a:spcPct val="90000"/>
            </a:lnSpc>
            <a:spcBef>
              <a:spcPct val="0"/>
            </a:spcBef>
            <a:spcAft>
              <a:spcPct val="15000"/>
            </a:spcAft>
            <a:buFont typeface="Wingdings" panose="05000000000000000000" pitchFamily="2" charset="2"/>
            <a:buNone/>
          </a:pPr>
          <a:r>
            <a:rPr lang="en-AU" sz="800" kern="1200">
              <a:latin typeface="Gilroy" panose="00000500000000000000" pitchFamily="50" charset="0"/>
            </a:rPr>
            <a:t>  </a:t>
          </a:r>
          <a:r>
            <a:rPr lang="en-AU" sz="900" kern="1200">
              <a:latin typeface="Gilroy" panose="00000500000000000000" pitchFamily="50" charset="0"/>
            </a:rPr>
            <a:t>The participating company had one or more distributed energy resources installed on the premises, including photovoltaic solar panels, battery energy storage systems, diesel or gas generators, uninterruptible power supplies, or alternative fuel sources such as bioenergy or biogas. The presence of on-site generation indicates a capacity for partial grid independence, which supports DR participation by allowing the company to substitute self-generated energy for grid supply during a curtailment event, reducing the operational impact of load reduction. Where on-site generation is paired with storage, this capability is considerably more valuable as a DR enabler, as it decouples the timing of generation from the timing of consumption and allows the company to respond to dispatch signals regardless of prevailing generation conditions.</a:t>
          </a:r>
          <a:endParaRPr lang="en-AU" sz="800" kern="1200">
            <a:latin typeface="Gilroy" panose="00000500000000000000" pitchFamily="50" charset="0"/>
          </a:endParaRPr>
        </a:p>
      </dsp:txBody>
      <dsp:txXfrm>
        <a:off x="0" y="1983287"/>
        <a:ext cx="5622290" cy="1445850"/>
      </dsp:txXfrm>
    </dsp:sp>
    <dsp:sp modelId="{FB42BA44-EC44-4CCE-AF09-74A92BACB3DF}">
      <dsp:nvSpPr>
        <dsp:cNvPr id="0" name=""/>
        <dsp:cNvSpPr/>
      </dsp:nvSpPr>
      <dsp:spPr>
        <a:xfrm>
          <a:off x="281114" y="1850447"/>
          <a:ext cx="3935603"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756" tIns="0" rIns="148756"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On-site Generation</a:t>
          </a:r>
        </a:p>
      </dsp:txBody>
      <dsp:txXfrm>
        <a:off x="294083" y="1863416"/>
        <a:ext cx="3909665" cy="239742"/>
      </dsp:txXfrm>
    </dsp:sp>
    <dsp:sp modelId="{F5FBADB3-0569-4F6A-A096-F95B875313D7}">
      <dsp:nvSpPr>
        <dsp:cNvPr id="0" name=""/>
        <dsp:cNvSpPr/>
      </dsp:nvSpPr>
      <dsp:spPr>
        <a:xfrm>
          <a:off x="0" y="3610577"/>
          <a:ext cx="5622290" cy="13324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6352" tIns="187452" rIns="436352" bIns="56896" numCol="1" spcCol="1270" anchor="t" anchorCtr="0">
          <a:noAutofit/>
        </a:bodyPr>
        <a:lstStyle/>
        <a:p>
          <a:pPr marL="57150" lvl="1" indent="-57150" algn="l" defTabSz="355600">
            <a:lnSpc>
              <a:spcPct val="90000"/>
            </a:lnSpc>
            <a:spcBef>
              <a:spcPct val="0"/>
            </a:spcBef>
            <a:spcAft>
              <a:spcPct val="15000"/>
            </a:spcAft>
            <a:buNone/>
          </a:pPr>
          <a:r>
            <a:rPr lang="en-AU" sz="800" kern="1200">
              <a:latin typeface="Gilroy" panose="00000500000000000000" pitchFamily="50" charset="0"/>
            </a:rPr>
            <a:t>  </a:t>
          </a:r>
          <a:r>
            <a:rPr lang="en-AU" sz="900" kern="1200">
              <a:latin typeface="Gilroy" panose="00000500000000000000" pitchFamily="50" charset="0"/>
            </a:rPr>
            <a:t>The participating company had identified one or more pieces of equipment or production processes with confirmed or potential flexible operability; that is, the ability to ramp consumption up or down, or to switch loads on and off, in response to an external signal or operational instruction. Dynamic operation capability does not require that all facility loads be flexible; it requires that at least some loads can be adjusted without immediately compromising production output, product quality, or workplace safety. The presence of this capability is the most direct technical indicator of accessible DR capacity at a site and received the joint second-highest positive weighting in the scoring framework alongside Participation Availability. </a:t>
          </a:r>
          <a:endParaRPr lang="en-AU" sz="800" kern="1200">
            <a:latin typeface="Gilroy" panose="00000500000000000000" pitchFamily="50" charset="0"/>
          </a:endParaRPr>
        </a:p>
      </dsp:txBody>
      <dsp:txXfrm>
        <a:off x="0" y="3610577"/>
        <a:ext cx="5622290" cy="1332450"/>
      </dsp:txXfrm>
    </dsp:sp>
    <dsp:sp modelId="{704A53E7-D04A-4BC4-BB7F-F6B5BFE3948A}">
      <dsp:nvSpPr>
        <dsp:cNvPr id="0" name=""/>
        <dsp:cNvSpPr/>
      </dsp:nvSpPr>
      <dsp:spPr>
        <a:xfrm>
          <a:off x="281114" y="3477737"/>
          <a:ext cx="3935603"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756" tIns="0" rIns="148756" bIns="0" numCol="1" spcCol="1270" anchor="ctr" anchorCtr="0">
          <a:noAutofit/>
        </a:bodyPr>
        <a:lstStyle/>
        <a:p>
          <a:pPr marL="0" lvl="0" indent="0" algn="l" defTabSz="444500">
            <a:lnSpc>
              <a:spcPct val="90000"/>
            </a:lnSpc>
            <a:spcBef>
              <a:spcPct val="0"/>
            </a:spcBef>
            <a:spcAft>
              <a:spcPct val="35000"/>
            </a:spcAft>
            <a:buNone/>
          </a:pPr>
          <a:r>
            <a:rPr lang="en-AU" sz="1000" b="1" kern="1200">
              <a:latin typeface="Gilroy" panose="00000500000000000000" pitchFamily="50" charset="0"/>
            </a:rPr>
            <a:t>Dynamic Operation</a:t>
          </a:r>
        </a:p>
      </dsp:txBody>
      <dsp:txXfrm>
        <a:off x="294083" y="3490706"/>
        <a:ext cx="3909665" cy="239742"/>
      </dsp:txXfrm>
    </dsp:sp>
    <dsp:sp modelId="{7230D3F9-8CBC-4BC1-981E-A3D3BB44B228}">
      <dsp:nvSpPr>
        <dsp:cNvPr id="0" name=""/>
        <dsp:cNvSpPr/>
      </dsp:nvSpPr>
      <dsp:spPr>
        <a:xfrm>
          <a:off x="0" y="5124467"/>
          <a:ext cx="5622290" cy="13324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6352" tIns="187452" rIns="436352" bIns="56896" numCol="1" spcCol="1270" anchor="t" anchorCtr="0">
          <a:noAutofit/>
        </a:bodyPr>
        <a:lstStyle/>
        <a:p>
          <a:pPr marL="57150" lvl="1" indent="-57150" algn="l" defTabSz="355600">
            <a:lnSpc>
              <a:spcPct val="90000"/>
            </a:lnSpc>
            <a:spcBef>
              <a:spcPct val="0"/>
            </a:spcBef>
            <a:spcAft>
              <a:spcPct val="15000"/>
            </a:spcAft>
            <a:buNone/>
          </a:pPr>
          <a:r>
            <a:rPr lang="en-AU" sz="800" kern="1200">
              <a:latin typeface="Gilroy" panose="00000500000000000000" pitchFamily="50" charset="0"/>
            </a:rPr>
            <a:t>  </a:t>
          </a:r>
          <a:r>
            <a:rPr lang="en-AU" sz="900" kern="1200">
              <a:latin typeface="Gilroy" panose="00000500000000000000" pitchFamily="50" charset="0"/>
            </a:rPr>
            <a:t>The participating company expressed a willingness to participate in demand response programs, either by seeking more information about available programs or by indicating readiness to enrol subject to sufficient financial incentive or compensation for any operational downtime, inconvenience, or production adjustment required. This capability reflects the company's commercial disposition toward DR engagement rather than a confirmed technical capacity. Its presence is a necessary but not sufficient condition for participation: a company may be willing to participate but remain unable to do so without first addressing data deficiency, technology availability, or continuous process constraints.</a:t>
          </a:r>
          <a:endParaRPr lang="en-AU" sz="800" kern="1200">
            <a:latin typeface="Gilroy" panose="00000500000000000000" pitchFamily="50" charset="0"/>
          </a:endParaRPr>
        </a:p>
      </dsp:txBody>
      <dsp:txXfrm>
        <a:off x="0" y="5124467"/>
        <a:ext cx="5622290" cy="1332450"/>
      </dsp:txXfrm>
    </dsp:sp>
    <dsp:sp modelId="{B0A5142D-88C9-4545-AEFF-AA79C454A3E1}">
      <dsp:nvSpPr>
        <dsp:cNvPr id="0" name=""/>
        <dsp:cNvSpPr/>
      </dsp:nvSpPr>
      <dsp:spPr>
        <a:xfrm>
          <a:off x="281114" y="4991627"/>
          <a:ext cx="3935603"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756" tIns="0" rIns="148756" bIns="0" numCol="1" spcCol="1270" anchor="ctr" anchorCtr="0">
          <a:noAutofit/>
        </a:bodyPr>
        <a:lstStyle/>
        <a:p>
          <a:pPr marL="0" lvl="0" indent="0" algn="l" defTabSz="444500">
            <a:lnSpc>
              <a:spcPct val="90000"/>
            </a:lnSpc>
            <a:spcBef>
              <a:spcPct val="0"/>
            </a:spcBef>
            <a:spcAft>
              <a:spcPct val="35000"/>
            </a:spcAft>
            <a:buFont typeface="Wingdings" panose="05000000000000000000" pitchFamily="2" charset="2"/>
            <a:buNone/>
          </a:pPr>
          <a:r>
            <a:rPr lang="en-AU" sz="1000" b="1" kern="1200">
              <a:latin typeface="Gilroy" panose="00000500000000000000" pitchFamily="50" charset="0"/>
            </a:rPr>
            <a:t>Participation Availability</a:t>
          </a:r>
        </a:p>
      </dsp:txBody>
      <dsp:txXfrm>
        <a:off x="294083" y="5004596"/>
        <a:ext cx="3909665" cy="239742"/>
      </dsp:txXfrm>
    </dsp:sp>
    <dsp:sp modelId="{878808AC-AB12-404B-A6DC-E9F68DDA82F0}">
      <dsp:nvSpPr>
        <dsp:cNvPr id="0" name=""/>
        <dsp:cNvSpPr/>
      </dsp:nvSpPr>
      <dsp:spPr>
        <a:xfrm>
          <a:off x="0" y="6638357"/>
          <a:ext cx="5622290" cy="99225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6352" tIns="187452" rIns="436352" bIns="64008" numCol="1" spcCol="1270" anchor="t" anchorCtr="0">
          <a:noAutofit/>
        </a:bodyPr>
        <a:lstStyle/>
        <a:p>
          <a:pPr marL="57150" lvl="1" indent="-57150" algn="l" defTabSz="400050">
            <a:lnSpc>
              <a:spcPct val="90000"/>
            </a:lnSpc>
            <a:spcBef>
              <a:spcPct val="0"/>
            </a:spcBef>
            <a:spcAft>
              <a:spcPct val="15000"/>
            </a:spcAft>
            <a:buNone/>
          </a:pPr>
          <a:r>
            <a:rPr lang="en-AU" sz="900" kern="1200">
              <a:latin typeface="Gilroy" panose="00000500000000000000" pitchFamily="50" charset="0"/>
            </a:rPr>
            <a:t>  The participating company was currently enrolled in, had previously participated in, or had a confirmed future commitment to a formal demand response program or curtailment agreement. This capability received the highest positive weighting in the scoring framework, reflecting the well-established finding in the literature that demonstrated prior engagement is the strongest single predictor of continued and future participation.</a:t>
          </a:r>
        </a:p>
      </dsp:txBody>
      <dsp:txXfrm>
        <a:off x="0" y="6638357"/>
        <a:ext cx="5622290" cy="992250"/>
      </dsp:txXfrm>
    </dsp:sp>
    <dsp:sp modelId="{EFC1C0D5-ABB0-4DD6-A813-DD93061CC090}">
      <dsp:nvSpPr>
        <dsp:cNvPr id="0" name=""/>
        <dsp:cNvSpPr/>
      </dsp:nvSpPr>
      <dsp:spPr>
        <a:xfrm>
          <a:off x="281114" y="6505517"/>
          <a:ext cx="3935603" cy="2656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756" tIns="0" rIns="148756" bIns="0" numCol="1" spcCol="1270" anchor="ctr" anchorCtr="0">
          <a:noAutofit/>
        </a:bodyPr>
        <a:lstStyle/>
        <a:p>
          <a:pPr marL="0" lvl="0" indent="0" algn="l" defTabSz="444500">
            <a:lnSpc>
              <a:spcPct val="90000"/>
            </a:lnSpc>
            <a:spcBef>
              <a:spcPct val="0"/>
            </a:spcBef>
            <a:spcAft>
              <a:spcPct val="35000"/>
            </a:spcAft>
            <a:buFont typeface="Wingdings" panose="05000000000000000000" pitchFamily="2" charset="2"/>
            <a:buNone/>
          </a:pPr>
          <a:r>
            <a:rPr lang="en-AU" sz="1000" b="1" kern="1200">
              <a:latin typeface="Gilroy" panose="00000500000000000000" pitchFamily="50" charset="0"/>
            </a:rPr>
            <a:t>Existing Participation</a:t>
          </a:r>
        </a:p>
      </dsp:txBody>
      <dsp:txXfrm>
        <a:off x="294083" y="6518486"/>
        <a:ext cx="3909665"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A437D4D5DA4B8ABD3A74529F0A86B6"/>
        <w:category>
          <w:name w:val="General"/>
          <w:gallery w:val="placeholder"/>
        </w:category>
        <w:types>
          <w:type w:val="bbPlcHdr"/>
        </w:types>
        <w:behaviors>
          <w:behavior w:val="content"/>
        </w:behaviors>
        <w:guid w:val="{233004E1-8744-4D69-9372-AD3033CBA6DC}"/>
      </w:docPartPr>
      <w:docPartBody>
        <w:p w:rsidR="006D0B42" w:rsidRDefault="006D0B42">
          <w:pPr>
            <w:pStyle w:val="52A437D4D5DA4B8ABD3A74529F0A86B6"/>
          </w:pPr>
          <w:r w:rsidRPr="001E65E5">
            <w:rPr>
              <w:rStyle w:val="PlaceholderText"/>
            </w:rPr>
            <w:t>[Title]</w:t>
          </w:r>
        </w:p>
      </w:docPartBody>
    </w:docPart>
    <w:docPart>
      <w:docPartPr>
        <w:name w:val="C36E84C707AC4C2FAA7402A562D244D0"/>
        <w:category>
          <w:name w:val="General"/>
          <w:gallery w:val="placeholder"/>
        </w:category>
        <w:types>
          <w:type w:val="bbPlcHdr"/>
        </w:types>
        <w:behaviors>
          <w:behavior w:val="content"/>
        </w:behaviors>
        <w:guid w:val="{5C8D63B3-BA8E-4E35-AB11-205C20230087}"/>
      </w:docPartPr>
      <w:docPartBody>
        <w:p w:rsidR="006D0B42" w:rsidRDefault="006D0B42">
          <w:pPr>
            <w:pStyle w:val="C36E84C707AC4C2FAA7402A562D244D0"/>
          </w:pPr>
          <w:r w:rsidRPr="001E65E5">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roy">
    <w:panose1 w:val="00000500000000000000"/>
    <w:charset w:val="00"/>
    <w:family w:val="modern"/>
    <w:notTrueType/>
    <w:pitch w:val="variable"/>
    <w:sig w:usb0="00000207" w:usb1="00000000" w:usb2="00000000" w:usb3="00000000" w:csb0="00000097"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ilroy Bold">
    <w:panose1 w:val="000008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42"/>
    <w:rsid w:val="00023628"/>
    <w:rsid w:val="00080A16"/>
    <w:rsid w:val="00090D12"/>
    <w:rsid w:val="00096993"/>
    <w:rsid w:val="000C2299"/>
    <w:rsid w:val="000E2983"/>
    <w:rsid w:val="00121F30"/>
    <w:rsid w:val="00122ADC"/>
    <w:rsid w:val="00160949"/>
    <w:rsid w:val="001718CC"/>
    <w:rsid w:val="001D64C5"/>
    <w:rsid w:val="00204E0C"/>
    <w:rsid w:val="002229A6"/>
    <w:rsid w:val="002337F6"/>
    <w:rsid w:val="002765B3"/>
    <w:rsid w:val="002A7FDC"/>
    <w:rsid w:val="002C0F63"/>
    <w:rsid w:val="002C78D9"/>
    <w:rsid w:val="002D0EF7"/>
    <w:rsid w:val="002D1BD0"/>
    <w:rsid w:val="002D7BB7"/>
    <w:rsid w:val="002E5D40"/>
    <w:rsid w:val="0037083B"/>
    <w:rsid w:val="003D23A4"/>
    <w:rsid w:val="004A415B"/>
    <w:rsid w:val="004B1365"/>
    <w:rsid w:val="004C4431"/>
    <w:rsid w:val="00522543"/>
    <w:rsid w:val="005813F3"/>
    <w:rsid w:val="0058574F"/>
    <w:rsid w:val="005D7C1B"/>
    <w:rsid w:val="00634099"/>
    <w:rsid w:val="00674BA6"/>
    <w:rsid w:val="0067523C"/>
    <w:rsid w:val="006A3C86"/>
    <w:rsid w:val="006D0B42"/>
    <w:rsid w:val="006D404A"/>
    <w:rsid w:val="006E2CDC"/>
    <w:rsid w:val="006F46F9"/>
    <w:rsid w:val="00734E7B"/>
    <w:rsid w:val="007A69B3"/>
    <w:rsid w:val="007D242C"/>
    <w:rsid w:val="0081238E"/>
    <w:rsid w:val="008911B4"/>
    <w:rsid w:val="00894E5C"/>
    <w:rsid w:val="00897DEB"/>
    <w:rsid w:val="009120EE"/>
    <w:rsid w:val="00974F73"/>
    <w:rsid w:val="00975CB0"/>
    <w:rsid w:val="0099172A"/>
    <w:rsid w:val="009C4120"/>
    <w:rsid w:val="009E2AFA"/>
    <w:rsid w:val="00A20BC5"/>
    <w:rsid w:val="00A23C08"/>
    <w:rsid w:val="00A67C87"/>
    <w:rsid w:val="00A733CD"/>
    <w:rsid w:val="00A9310A"/>
    <w:rsid w:val="00AE5621"/>
    <w:rsid w:val="00B16E4E"/>
    <w:rsid w:val="00B41729"/>
    <w:rsid w:val="00B67B68"/>
    <w:rsid w:val="00B96332"/>
    <w:rsid w:val="00BA0566"/>
    <w:rsid w:val="00C22C3F"/>
    <w:rsid w:val="00C23733"/>
    <w:rsid w:val="00C71059"/>
    <w:rsid w:val="00D264C5"/>
    <w:rsid w:val="00D9645B"/>
    <w:rsid w:val="00DF7990"/>
    <w:rsid w:val="00E5724F"/>
    <w:rsid w:val="00E90967"/>
    <w:rsid w:val="00E930CB"/>
    <w:rsid w:val="00E9598F"/>
    <w:rsid w:val="00F16C2E"/>
    <w:rsid w:val="00F3477B"/>
    <w:rsid w:val="00F7144C"/>
    <w:rsid w:val="00FB090E"/>
    <w:rsid w:val="00FC3472"/>
    <w:rsid w:val="00FD3284"/>
    <w:rsid w:val="00FD7A7F"/>
    <w:rsid w:val="00FF31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A437D4D5DA4B8ABD3A74529F0A86B6">
    <w:name w:val="52A437D4D5DA4B8ABD3A74529F0A86B6"/>
  </w:style>
  <w:style w:type="paragraph" w:customStyle="1" w:styleId="C36E84C707AC4C2FAA7402A562D244D0">
    <w:name w:val="C36E84C707AC4C2FAA7402A562D24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dvitech">
      <a:dk1>
        <a:srgbClr val="000000"/>
      </a:dk1>
      <a:lt1>
        <a:srgbClr val="FFFFFF"/>
      </a:lt1>
      <a:dk2>
        <a:srgbClr val="0D458D"/>
      </a:dk2>
      <a:lt2>
        <a:srgbClr val="348CCB"/>
      </a:lt2>
      <a:accent1>
        <a:srgbClr val="F15928"/>
      </a:accent1>
      <a:accent2>
        <a:srgbClr val="FFCB05"/>
      </a:accent2>
      <a:accent3>
        <a:srgbClr val="ED1A3B"/>
      </a:accent3>
      <a:accent4>
        <a:srgbClr val="009B69"/>
      </a:accent4>
      <a:accent5>
        <a:srgbClr val="B2D234"/>
      </a:accent5>
      <a:accent6>
        <a:srgbClr val="000000"/>
      </a:accent6>
      <a:hlink>
        <a:srgbClr val="0D458D"/>
      </a:hlink>
      <a:folHlink>
        <a:srgbClr val="348CC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3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CF04E7-CD82-472D-839D-A5D878F4A0AE}">
  <we:reference id="2040a226-e4be-4b9e-b3a0-23a6d70052da" version="1.0.0.1"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AEM20</b:Tag>
    <b:SourceType>InternetSite</b:SourceType>
    <b:Guid>{05154959-83B9-4D45-83D6-96039961A245}</b:Guid>
    <b:Title>AS 4755 - Demand Response Standard</b:Title>
    <b:Year>2020</b:Year>
    <b:Author>
      <b:Author>
        <b:Corporate>AEMO</b:Corporate>
      </b:Author>
    </b:Author>
    <b:InternetSiteTitle>Australia Energy Market Operator | Standards and Connections</b:InternetSiteTitle>
    <b:URL>https://www.aemo.com.au/initiatives/major-programs/nem-distributed-energy-resources-der-program/standards-and-connections/as-4755-demand-response-standard</b:URL>
    <b:YearAccessed>2025</b:YearAccessed>
    <b:RefOrder>12</b:RefOrder>
  </b:Source>
  <b:Source>
    <b:Tag>Pea21</b:Tag>
    <b:SourceType>InternetSite</b:SourceType>
    <b:Guid>{682A1335-7839-44EB-8616-0A0996D11D2E}</b:Guid>
    <b:Title>Is minimum demand causing a major headache?</b:Title>
    <b:InternetSiteTitle>Australia Energy Council</b:InternetSiteTitle>
    <b:Year>2021</b:Year>
    <b:Month>June</b:Month>
    <b:Day>21</b:Day>
    <b:URL>https://www.energycouncil.com.au/analysis/is-minimum-demand-causing-a-major-headache/</b:URL>
    <b:Author>
      <b:Author>
        <b:NameList>
          <b:Person>
            <b:Last>Pearson</b:Last>
            <b:First>Graham</b:First>
          </b:Person>
        </b:NameList>
      </b:Author>
    </b:Author>
    <b:RefOrder>23</b:RefOrder>
  </b:Source>
  <b:Source>
    <b:Tag>AEM241</b:Tag>
    <b:SourceType>Report</b:SourceType>
    <b:Guid>{B2042248-7B78-4202-84E6-D7C1D195DE17}</b:Guid>
    <b:Author>
      <b:Author>
        <b:Corporate>AEMO</b:Corporate>
      </b:Author>
    </b:Author>
    <b:Title>Supporting secure operation with high levels of distributed resources</b:Title>
    <b:Year>2024</b:Year>
    <b:URL>https://www.aemo.com.au/-/media/files/initiatives/der/managing-minimum-system-load/supporting-secure-operation-with-high-levels-of-distributed-resources-q4-2024.pdf?la=en#:~:text=The%20last%20decade%20has%20seen,now%20and%20into%20the%20future.</b:URL>
    <b:Pages>60</b:Pages>
    <b:YearAccessed>2025</b:YearAccessed>
    <b:RefOrder>24</b:RefOrder>
  </b:Source>
  <b:Source>
    <b:Tag>AEC14</b:Tag>
    <b:SourceType>Report</b:SourceType>
    <b:Guid>{B4FA72FC-F651-46ED-9340-F73758010B24}</b:Guid>
    <b:Title>Australia's Off-Grid Clean Energy Market</b:Title>
    <b:Year>2014</b:Year>
    <b:URL>https://arena.gov.au/assets/2014/12/ARENA_RAR-report-20141201.pdf</b:URL>
    <b:Author>
      <b:Author>
        <b:Corporate>AECOM</b:Corporate>
      </b:Author>
    </b:Author>
    <b:Publisher>ARENA</b:Publisher>
    <b:Pages>133</b:Pages>
    <b:ThesisType>Research Paper</b:ThesisType>
    <b:RefOrder>25</b:RefOrder>
  </b:Source>
  <b:Source>
    <b:Tag>AEM24</b:Tag>
    <b:SourceType>Report</b:SourceType>
    <b:Guid>{BB9132A2-4D03-4E18-86AB-F37AD1F9C7CD}</b:Guid>
    <b:Author>
      <b:Author>
        <b:Corporate>AEMO</b:Corporate>
      </b:Author>
    </b:Author>
    <b:Title>2024 Integrated System Plan (ISP)</b:Title>
    <b:Year>2024</b:Year>
    <b:Pages>92</b:Pages>
    <b:ShortTitle>A roadmap for the energy transition</b:ShortTitle>
    <b:YearAccessed>2025</b:YearAccessed>
    <b:URL>https://www.aemo.com.au/-/media/files/major-publications/isp/2024/2024-integrated-system-plan-isp.pdf?rev=b811f5d66df24e0a980ce0df8eaa5687&amp;sc_lang=en</b:URL>
    <b:RefOrder>1</b:RefOrder>
  </b:Source>
  <b:Source>
    <b:Tag>Gel17</b:Tag>
    <b:SourceType>JournalArticle</b:SourceType>
    <b:Guid>{C133622D-E785-4C03-A186-BD2C54448507}</b:Guid>
    <b:Title>Evolving practice of demand-side management</b:Title>
    <b:JournalName>Journal of Modern Power Systems and Clean Energy</b:JournalName>
    <b:Year>2017</b:Year>
    <b:Pages>1-9</b:Pages>
    <b:Author>
      <b:Author>
        <b:NameList>
          <b:Person>
            <b:Last>Gellings</b:Last>
            <b:Middle>W.</b:Middle>
            <b:First>Clark</b:First>
          </b:Person>
        </b:NameList>
      </b:Author>
    </b:Author>
    <b:Month>January</b:Month>
    <b:Publisher>Spinger</b:Publisher>
    <b:Volume>5</b:Volume>
    <b:Issue>1</b:Issue>
    <b:YearAccessed>2025</b:YearAccessed>
    <b:URL>https://www.researchgate.net/publication/312423141_Evolving_practice_of_demand-side_management</b:URL>
    <b:DOI>10.1007/s40565-016-0252-1</b:DOI>
    <b:RefOrder>21</b:RefOrder>
  </b:Source>
  <b:Source>
    <b:Tag>Zha25</b:Tag>
    <b:SourceType>JournalArticle</b:SourceType>
    <b:Guid>{606BD870-3E61-46BB-900F-33ADD28F05D2}</b:Guid>
    <b:Title>A Review of Industrial Load Flexibility Enhancement for Demand-Response Interaction</b:Title>
    <b:JournalName>Sustainability 2025</b:JournalName>
    <b:Year>2025</b:Year>
    <b:Author>
      <b:Author>
        <b:NameList>
          <b:Person>
            <b:Last>Zhang</b:Last>
            <b:First>Jiubo</b:First>
          </b:Person>
          <b:Person>
            <b:Last>Zhou</b:Last>
            <b:First>Bowen</b:First>
          </b:Person>
          <b:Person>
            <b:Last>Yang</b:Last>
            <b:First>Zhile</b:First>
          </b:Person>
          <b:Person>
            <b:Last>Guo</b:Last>
            <b:First>Yuanjun</b:First>
          </b:Person>
          <b:Person>
            <b:Last>Lv</b:Last>
            <b:First>Chen</b:First>
          </b:Person>
          <b:Person>
            <b:Last>Xu</b:Last>
            <b:First>Xiaofeng</b:First>
          </b:Person>
          <b:Person>
            <b:Last>Liu</b:Last>
            <b:First>Jichun</b:First>
          </b:Person>
        </b:NameList>
      </b:Author>
    </b:Author>
    <b:Month>May</b:Month>
    <b:Day>27</b:Day>
    <b:Volume>17</b:Volume>
    <b:Issue>11</b:Issue>
    <b:YearAccessed>2025</b:YearAccessed>
    <b:URL>https://www.mdpi.com/2071-1050/17/11/4938</b:URL>
    <b:DOI>https://doi.org/10.3390/su17114938</b:DOI>
    <b:RefOrder>17</b:RefOrder>
  </b:Source>
  <b:Source>
    <b:Tag>Cap16</b:Tag>
    <b:SourceType>JournalArticle</b:SourceType>
    <b:Guid>{F24395AB-1F35-46A9-B91F-8FDCEF676963}</b:Guid>
    <b:Title>Application Note - Load Management of Industrial Systems</b:Title>
    <b:Year>2016</b:Year>
    <b:Publisher>Leonardo Energy</b:Publisher>
    <b:Author>
      <b:Author>
        <b:NameList>
          <b:Person>
            <b:Last>Capiau</b:Last>
            <b:First>Tom</b:First>
          </b:Person>
          <b:Person>
            <b:Last>Van Daele</b:Last>
            <b:First>Laurenz</b:First>
          </b:Person>
        </b:NameList>
      </b:Author>
      <b:Editor>
        <b:NameList>
          <b:Person>
            <b:Last>Wachter</b:Last>
            <b:First>Bruno</b:First>
            <b:Middle>De</b:Middle>
          </b:Person>
        </b:NameList>
      </b:Editor>
    </b:Author>
    <b:JournalName>European Copper Institute</b:JournalName>
    <b:Issue>01</b:Issue>
    <b:YearAccessed>2025</b:YearAccessed>
    <b:MonthAccessed>11</b:MonthAccessed>
    <b:URL>https://www.slideshare.net/slideshow/load-management-in-industrial-systems/150655880#4</b:URL>
    <b:RefOrder>19</b:RefOrder>
  </b:Source>
  <b:Source>
    <b:Tag>Pal11</b:Tag>
    <b:SourceType>JournalArticle</b:SourceType>
    <b:Guid>{91833517-2ABD-484C-8366-428035A25CD8}</b:Guid>
    <b:Title>Demand Side Management: Demand Response, Intelligent Energy Systems, and Smart Loads</b:Title>
    <b:Year>2011</b:Year>
    <b:Month>August</b:Month>
    <b:JournalName>IEEE Transactions on Industrial Informatics</b:JournalName>
    <b:Author>
      <b:Author>
        <b:NameList>
          <b:Person>
            <b:Last>Palensky</b:Last>
            <b:First>Peter</b:First>
          </b:Person>
          <b:Person>
            <b:Last>Dietrich</b:Last>
            <b:First>Dietmar</b:First>
          </b:Person>
        </b:NameList>
      </b:Author>
    </b:Author>
    <b:Volume>7</b:Volume>
    <b:Issue>3</b:Issue>
    <b:YearAccessed>2025</b:YearAccessed>
    <b:DOI>10.1109/TII.2011.2158841</b:DOI>
    <b:RefOrder>31</b:RefOrder>
  </b:Source>
  <b:Source>
    <b:Tag>Gel14</b:Tag>
    <b:SourceType>JournalArticle</b:SourceType>
    <b:Guid>{6220C2CA-3FB4-4FD9-92E7-BB9F0A068565}</b:Guid>
    <b:Title>Demand side management in smart grid: A review and proposals for future direction</b:Title>
    <b:JournalName>Sustainable Cities and Society</b:JournalName>
    <b:Year>2014</b:Year>
    <b:Pages>22-30</b:Pages>
    <b:Author>
      <b:Author>
        <b:NameList>
          <b:Person>
            <b:Last>Gelazanskas</b:Last>
            <b:First>Linas</b:First>
          </b:Person>
          <b:Person>
            <b:Last>Gamage</b:Last>
            <b:Middle>A.A.</b:Middle>
            <b:First>Kelum</b:First>
          </b:Person>
        </b:NameList>
      </b:Author>
    </b:Author>
    <b:Month>February</b:Month>
    <b:Publisher>Elsevier</b:Publisher>
    <b:Volume>11</b:Volume>
    <b:YearAccessed>2025</b:YearAccessed>
    <b:URL>https://www.sciencedirect.com/science/article/abs/pii/S2210670713000632</b:URL>
    <b:DOI>https://doi.org/10.1016/j.scs.2013.11.001</b:DOI>
    <b:RefOrder>22</b:RefOrder>
  </b:Source>
  <b:Source>
    <b:Tag>AEM25</b:Tag>
    <b:SourceType>InternetSite</b:SourceType>
    <b:Guid>{63AEB81F-894A-4C20-ABC9-71BF25C2F755}</b:Guid>
    <b:Title>Distributed Energy Resources Program</b:Title>
    <b:Year>2025</b:Year>
    <b:Author>
      <b:Author>
        <b:Corporate>AEMO</b:Corporate>
      </b:Author>
    </b:Author>
    <b:InternetSiteTitle>AEMO | Major programs</b:InternetSiteTitle>
    <b:URL>https://www.aemo.com.au/initiatives/major-programs/nem-distributed-energy-resources-der-program/about-the-der-program</b:URL>
    <b:YearAccessed>2025</b:YearAccessed>
    <b:RefOrder>7</b:RefOrder>
  </b:Source>
  <b:Source>
    <b:Tag>ARE25</b:Tag>
    <b:SourceType>InternetSite</b:SourceType>
    <b:Guid>{B7F4BFEE-BE8B-4B00-BC58-48F8EA900EB9}</b:Guid>
    <b:Author>
      <b:Author>
        <b:Corporate>ARENA</b:Corporate>
      </b:Author>
    </b:Author>
    <b:Title>Distributed Energy Resources</b:Title>
    <b:InternetSiteTitle>Australia Renewable Energy Agency (ARENA) - Home</b:InternetSiteTitle>
    <b:Year>2025</b:Year>
    <b:Month>December</b:Month>
    <b:Day>12</b:Day>
    <b:URL>https://arena.gov.au/renewable-energy/distributed-energy-resources/</b:URL>
    <b:YearAccessed>2025</b:YearAccessed>
    <b:RefOrder>11</b:RefOrder>
  </b:Source>
  <b:Source>
    <b:Tag>CSI17</b:Tag>
    <b:SourceType>Report</b:SourceType>
    <b:Guid>{C6CD83EA-0935-4ABF-841F-F12F7A073B76}</b:Guid>
    <b:Title>ELECTRICITY NETWORK TRANSFORMATION ROADMAP: FINAL REPORT</b:Title>
    <b:Year>2017</b:Year>
    <b:URL>https://www.energynetworks.com.au/resources/reports/electricity-network-transformation-roadmap-final-report/</b:URL>
    <b:Author>
      <b:Author>
        <b:Corporate>CSIRO and Energy Network Australia</b:Corporate>
      </b:Author>
    </b:Author>
    <b:Pages>116</b:Pages>
    <b:RefOrder>9</b:RefOrder>
  </b:Source>
  <b:Source>
    <b:Tag>Har23</b:Tag>
    <b:SourceType>JournalArticle</b:SourceType>
    <b:Guid>{37609D1D-FFB0-4AAA-8BBF-A8A2617121A4}</b:Guid>
    <b:Title>The Role of Distributed Energy Resources and Associated Business Models in the Decentralised Energy Transition: A Review</b:Title>
    <b:Year>2023</b:Year>
    <b:JournalName>Energies 2023</b:JournalName>
    <b:Month>May</b:Month>
    <b:Day>21</b:Day>
    <b:Volume>16</b:Volume>
    <b:Issue>11</b:Issue>
    <b:ShortTitle>Distributed Energy Systems and Resources</b:ShortTitle>
    <b:YearAccessed>2025</b:YearAccessed>
    <b:URL>https://www.mdpi.com/1996-1073/16/10/4231#:~:text=Abstract,the%20nature%20of%20the%20technology.</b:URL>
    <b:DOI>https://doi.org/10.3390/en16104231</b:DOI>
    <b:Author>
      <b:Author>
        <b:NameList>
          <b:Person>
            <b:Last>Hargroves</b:Last>
            <b:First>Karlson</b:First>
          </b:Person>
          <b:Person>
            <b:Last>James</b:Last>
            <b:First>Benjamin</b:First>
          </b:Person>
          <b:Person>
            <b:Last>Lane</b:Last>
            <b:First>Joshua</b:First>
          </b:Person>
          <b:Person>
            <b:Last>Newman</b:Last>
            <b:First>Peter</b:First>
          </b:Person>
          <b:Person>
            <b:Last>.</b:Last>
          </b:Person>
          <b:Person>
            <b:Last>.</b:Last>
          </b:Person>
          <b:Person>
            <b:Last>.</b:Last>
          </b:Person>
        </b:NameList>
      </b:Author>
    </b:Author>
    <b:RefOrder>3</b:RefOrder>
  </b:Source>
  <b:Source>
    <b:Tag>Rac23</b:Tag>
    <b:SourceType>Report</b:SourceType>
    <b:Guid>{A91E5F2C-0313-4C0F-B4E3-A47903E45D70}</b:Guid>
    <b:Title>Local Distributed Energy</b:Title>
    <b:Year>2023</b:Year>
    <b:Author>
      <b:Author>
        <b:Corporate>Race for 2030</b:Corporate>
      </b:Author>
    </b:Author>
    <b:YearAccessed>2025</b:YearAccessed>
    <b:URL>https://www.racefor2030.com.au/content/uploads/N3OA-Final-Report_-1-1.pdf</b:URL>
    <b:RefOrder>4</b:RefOrder>
  </b:Source>
  <b:Source>
    <b:Tag>IEA22</b:Tag>
    <b:SourceType>Report</b:SourceType>
    <b:Guid>{D932DE25-CB98-43B0-959B-E4B4E9F0790F}</b:Guid>
    <b:Author>
      <b:Author>
        <b:Corporate>IEA</b:Corporate>
      </b:Author>
    </b:Author>
    <b:Title>Unlocking the Potential of Distributed Energy Resources</b:Title>
    <b:Year>2022</b:Year>
    <b:Pages>116</b:Pages>
    <b:ShortTitle>Power system opportunities and best practices</b:ShortTitle>
    <b:YearAccessed>2025</b:YearAccessed>
    <b:URL>https://www.iea.org/reports/unlocking-the-potential-of-distributed-energy-resources</b:URL>
    <b:RefOrder>32</b:RefOrder>
  </b:Source>
  <b:Source>
    <b:Tag>ARE251</b:Tag>
    <b:SourceType>InternetSite</b:SourceType>
    <b:Guid>{62FC5A33-F440-43FD-84E1-3960A4AA475E}</b:Guid>
    <b:Title>Demand Response</b:Title>
    <b:Year>2025</b:Year>
    <b:Author>
      <b:Author>
        <b:Corporate>ARENA</b:Corporate>
      </b:Author>
    </b:Author>
    <b:InternetSiteTitle>Australia Renewable Energy Agency (ARENA)</b:InternetSiteTitle>
    <b:Month>December</b:Month>
    <b:Day>08</b:Day>
    <b:URL>https://arena.gov.au/renewable-energy/demand-response/</b:URL>
    <b:YearAccessed>2025</b:YearAccessed>
    <b:RefOrder>8</b:RefOrder>
  </b:Source>
  <b:Source>
    <b:Tag>Con25</b:Tag>
    <b:SourceType>InternetSite</b:SourceType>
    <b:Guid>{650D5053-7DFC-4393-8D23-E9FD57238C1D}</b:Guid>
    <b:Title>Consumer Energy Resources sub-Working Group</b:Title>
    <b:Year>2025</b:Year>
    <b:InternetSiteTitle>Energy.gov.au</b:InternetSiteTitle>
    <b:URL>https://www.energy.gov.au/energy-and-climate-change-ministerial-council/working-groups/electricity-working-group/consumer-energy-resources-sub-working-group#:~:text=Consumer%20energy%20resources%20(CER)%20are,batteries</b:URL>
    <b:RefOrder>13</b:RefOrder>
  </b:Source>
  <b:Source>
    <b:Tag>Yan24</b:Tag>
    <b:SourceType>JournalArticle</b:SourceType>
    <b:Guid>{ADA8AB34-8DFF-42E3-9662-F3985D20C56F}</b:Guid>
    <b:Title>Energy Transition: Connotation, Mechanicsand Effects</b:Title>
    <b:Year>2024</b:Year>
    <b:Month>January</b:Month>
    <b:Day>23</b:Day>
    <b:URL>https://www.researchgate.net/publication/378302812_Energy_transition_Connotations_mechanisms_and_effects</b:URL>
    <b:JournalName>Energy Strategy Reviews</b:JournalName>
    <b:Author>
      <b:Author>
        <b:NameList>
          <b:Person>
            <b:Last>Yang</b:Last>
            <b:First>Yu</b:First>
          </b:Person>
          <b:Person>
            <b:Last>Xia</b:Last>
            <b:First>Siyou</b:First>
          </b:Person>
          <b:Person>
            <b:Last>Huang</b:Last>
            <b:First>Ping</b:First>
          </b:Person>
          <b:Person>
            <b:Last>Qian</b:Last>
            <b:First>Junxi</b:First>
          </b:Person>
          <b:Person>
            <b:Last>.</b:Last>
          </b:Person>
          <b:Person>
            <b:Last>.</b:Last>
          </b:Person>
          <b:Person>
            <b:Last>.</b:Last>
          </b:Person>
        </b:NameList>
      </b:Author>
    </b:Author>
    <b:Publisher>Elsevier</b:Publisher>
    <b:Volume>52</b:Volume>
    <b:YearAccessed>2025</b:YearAccessed>
    <b:DOI>10.1016/j.esr.2024.101320</b:DOI>
    <b:RefOrder>33</b:RefOrder>
  </b:Source>
  <b:Source>
    <b:Tag>Nam24</b:Tag>
    <b:SourceType>InternetSite</b:SourceType>
    <b:Guid>{3769CBA6-2EC2-4566-9A05-4656405B4C11}</b:Guid>
    <b:Title>Grid Integration Challenges for Renewable Energy in Australia</b:Title>
    <b:Year>2024</b:Year>
    <b:InternetSiteTitle>TBH Consultancy</b:InternetSiteTitle>
    <b:Month>June</b:Month>
    <b:Day>2</b:Day>
    <b:URL>https://tbhconsultancy.com/grid-integration-challenges/#:~:text=AEMO%20is%20responsible%20for%20ensuring,baseload%20generation%20of%20fossil%20fuels.</b:URL>
    <b:Author>
      <b:Author>
        <b:NameList>
          <b:Person>
            <b:Last>Nami</b:Last>
            <b:First>Ali</b:First>
          </b:Person>
        </b:NameList>
      </b:Author>
    </b:Author>
    <b:RefOrder>34</b:RefOrder>
  </b:Source>
  <b:Source>
    <b:Tag>RMI21</b:Tag>
    <b:SourceType>Report</b:SourceType>
    <b:Guid>{8AB63B2F-1AF9-439C-BF1B-C684BBE75EEA}</b:Guid>
    <b:Author>
      <b:Author>
        <b:Corporate>RMIT University</b:Corporate>
      </b:Author>
    </b:Author>
    <b:Title>CSIRO Australian Research for the GPST; Task 6 – Services - Quantifying the technical service requirements of future power systems to maintain the supply-demand balance reliably and at least cost - Final Report</b:Title>
    <b:Year>2021</b:Year>
    <b:URL>https://www.csiro.au/-/media/EF/Files/GPST-Roadmap/Topic-6-Services-Final-Report-with-alt-text.pdf</b:URL>
    <b:RefOrder>16</b:RefOrder>
  </b:Source>
  <b:Source>
    <b:Tag>Div06</b:Tag>
    <b:SourceType>InternetSite</b:SourceType>
    <b:Guid>{27C64241-24BD-4D99-B780-0F947F79B597}</b:Guid>
    <b:Title>Division and subdivision codes and titles</b:Title>
    <b:Year>2006</b:Year>
    <b:InternetSiteTitle>Australian Bureau of Statistics</b:InternetSiteTitle>
    <b:URL>https://www.abs.gov.au/statistics/classifications/australian-and-new-zealand-standard-industrial-classification-anzsic/2006-revision-2-0/numbering-system-and-titles/division-and-subdivision-codes-and-titles</b:URL>
    <b:Author>
      <b:Author>
        <b:NameList>
          <b:Person>
            <b:Last>ABS</b:Last>
          </b:Person>
        </b:NameList>
      </b:Author>
    </b:Author>
    <b:RefOrder>29</b:RefOrder>
  </b:Source>
  <b:Source>
    <b:Tag>Kam24</b:Tag>
    <b:SourceType>JournalArticle</b:SourceType>
    <b:Guid>{E4899A95-DFC9-4752-8FBF-10C76251BAAE}</b:Guid>
    <b:Title>Flexible futures: The potential for electrical energy demand response in New Zealand</b:Title>
    <b:JournalName>Energy Policy</b:JournalName>
    <b:Year>2024</b:Year>
    <b:Author>
      <b:Author>
        <b:NameList>
          <b:Person>
            <b:Last>Kamana-Williams</b:Last>
            <b:First>B.</b:First>
          </b:Person>
          <b:Person>
            <b:Last>Bishop</b:Last>
            <b:First>D.</b:First>
          </b:Person>
        </b:NameList>
      </b:Author>
    </b:Author>
    <b:Month>October</b:Month>
    <b:Day>24</b:Day>
    <b:Publisher>Elsevier</b:Publisher>
    <b:Volume>195</b:Volume>
    <b:YearAccessed>2025</b:YearAccessed>
    <b:MonthAccessed>December</b:MonthAccessed>
    <b:URL>https://www.sciencedirect.com/science/article/pii/S0301421524004075</b:URL>
    <b:DOI>https://doi.org/10.1016/j.enpol.2024.114387</b:DOI>
    <b:RefOrder>2</b:RefOrder>
  </b:Source>
  <b:Source>
    <b:Tag>Gol22</b:Tag>
    <b:SourceType>JournalArticle</b:SourceType>
    <b:Guid>{9C02427C-A155-4DE6-9B5F-02435DB659CB}</b:Guid>
    <b:Title>Demand-side management in industrial sector: A review of heavy industries</b:Title>
    <b:JournalName>Renewable and Sustainable Energy Review</b:JournalName>
    <b:Year>2022</b:Year>
    <b:Author>
      <b:Author>
        <b:NameList>
          <b:Person>
            <b:Last>Golmohamadi</b:Last>
            <b:First>Hessam</b:First>
          </b:Person>
        </b:NameList>
      </b:Author>
    </b:Author>
    <b:Month>March</b:Month>
    <b:Publisher>Elsevier</b:Publisher>
    <b:Volume>156</b:Volume>
    <b:YearAccessed>2025</b:YearAccessed>
    <b:MonthAccessed>December</b:MonthAccessed>
    <b:URL>https://www.sciencedirect.com/science/article/pii/S1364032121012284</b:URL>
    <b:DOI>https://doi.org/10.1016/j.rser.2021.111963</b:DOI>
    <b:RefOrder>18</b:RefOrder>
  </b:Source>
  <b:Source>
    <b:Tag>Ran24</b:Tag>
    <b:SourceType>JournalArticle</b:SourceType>
    <b:Guid>{0C5467CB-3E43-470F-86ED-FA6F8F7B2CE9}</b:Guid>
    <b:Title>A comprehensive overview of industrial demand response status in Europe</b:Title>
    <b:JournalName>Renewable and Sustainable Energy Reviews</b:JournalName>
    <b:Year>2024</b:Year>
    <b:Month>October</b:Month>
    <b:Publisher>Elsevier</b:Publisher>
    <b:Volume>203</b:Volume>
    <b:YearAccessed>2026</b:YearAccessed>
    <b:MonthAccessed>February</b:MonthAccessed>
    <b:URL>https://www.sciencedirect.com/science/article/pii/S1364032124005239</b:URL>
    <b:DOI>https://doi.org/10.1016/j.rser.2024.114797</b:DOI>
    <b:Author>
      <b:Author>
        <b:NameList>
          <b:Person>
            <b:Last>Ranaboldo</b:Last>
            <b:First>M.</b:First>
          </b:Person>
          <b:Person>
            <b:Last>Aragues-Penalba</b:Last>
            <b:First>M.</b:First>
          </b:Person>
          <b:Person>
            <b:Last>Arica</b:Last>
            <b:First>E.</b:First>
          </b:Person>
          <b:Person>
            <b:Last>Bade</b:Last>
            <b:First>A.</b:First>
          </b:Person>
          <b:Person>
            <b:Last>Bullich-Massague</b:Last>
            <b:First>E.</b:First>
          </b:Person>
          <b:Person>
            <b:Last>Burgio</b:Last>
            <b:First>A.</b:First>
          </b:Person>
          <b:Person>
            <b:Last>Caccamo</b:Last>
            <b:First>C.</b:First>
          </b:Person>
          <b:Person>
            <b:Last>Capra</b:Last>
            <b:First>A.</b:First>
          </b:Person>
          <b:Person>
            <b:Last>Cimmino</b:Last>
            <b:First>D.</b:First>
          </b:Person>
          <b:Person>
            <b:Last>Domenech</b:Last>
            <b:First>B.</b:First>
          </b:Person>
          <b:Person>
            <b:Last>Donoso</b:Last>
            <b:First>I.</b:First>
          </b:Person>
          <b:Person>
            <b:Last>Fragapane</b:Last>
            <b:First>G.</b:First>
          </b:Person>
          <b:Person>
            <b:Last>Tani</b:Last>
            <b:First>R.</b:First>
          </b:Person>
        </b:NameList>
      </b:Author>
    </b:Author>
    <b:RefOrder>15</b:RefOrder>
  </b:Source>
  <b:Source>
    <b:Tag>Sch24</b:Tag>
    <b:SourceType>JournalArticle</b:SourceType>
    <b:Guid>{7F8E8CCC-8834-42D1-B3F9-6A77ED00D219}</b:Guid>
    <b:Title>Barriers to demand response in the commercial and industrial sectors – An empirical investigation</b:Title>
    <b:Year>2024</b:Year>
    <b:Publisher>Elsevier</b:Publisher>
    <b:JournalName>Renewable and Sustainable Energy Reviews</b:JournalName>
    <b:Month>February</b:Month>
    <b:Volume>190</b:Volume>
    <b:YearAccessed>2025</b:YearAccessed>
    <b:URL>https://www.sciencedirect.com/science/article/abs/pii/S1364032123009255#:~:text=Highlights,resource%20management%2C%20and%20revenue%20uncertainty.</b:URL>
    <b:DOI>https://doi.org/10.1016/j.rser.2023.114067</b:DOI>
    <b:Author>
      <b:Author>
        <b:NameList>
          <b:Person>
            <b:Last>Scharnhorst</b:Last>
            <b:First>L.</b:First>
          </b:Person>
          <b:Person>
            <b:Last>Sloot</b:Last>
            <b:First>D.</b:First>
          </b:Person>
          <b:Person>
            <b:Last>Lehmann</b:Last>
            <b:First>N.</b:First>
          </b:Person>
          <b:Person>
            <b:Last>Ardone</b:Last>
            <b:First>A.</b:First>
          </b:Person>
          <b:Person>
            <b:Last>Fichtner</b:Last>
            <b:First>W.</b:First>
          </b:Person>
          <b:Person>
            <b:Last>.</b:Last>
          </b:Person>
          <b:Person>
            <b:Last>.</b:Last>
          </b:Person>
        </b:NameList>
      </b:Author>
    </b:Author>
    <b:RefOrder>14</b:RefOrder>
  </b:Source>
  <b:Source>
    <b:Tag>Sho16</b:Tag>
    <b:SourceType>JournalArticle</b:SourceType>
    <b:Guid>{2C74D69A-4EA2-4CCF-9329-3658CD055F91}</b:Guid>
    <b:Title>A survey of industrial applications of Demand Response</b:Title>
    <b:JournalName>Electric Power Systems Research</b:JournalName>
    <b:Year>2016</b:Year>
    <b:Pages>31-49</b:Pages>
    <b:Author>
      <b:Author>
        <b:NameList>
          <b:Person>
            <b:Last>Shoreh</b:Last>
            <b:Middle>H.</b:Middle>
            <b:First>Maryam</b:First>
          </b:Person>
          <b:Person>
            <b:Last>Siano</b:Last>
            <b:First>Pierluigi</b:First>
          </b:Person>
          <b:Person>
            <b:Last>Shafie-khan</b:Last>
            <b:First>Miadreza</b:First>
          </b:Person>
          <b:Person>
            <b:Last>Loia</b:Last>
            <b:First>Vincenzo</b:First>
          </b:Person>
          <b:Person>
            <b:Last>Catalão</b:Last>
            <b:Middle>P.S.</b:Middle>
            <b:First> João</b:First>
          </b:Person>
          <b:Person>
            <b:Last>.</b:Last>
          </b:Person>
          <b:Person>
            <b:Last>.</b:Last>
          </b:Person>
        </b:NameList>
      </b:Author>
    </b:Author>
    <b:Month>December</b:Month>
    <b:Publisher>Elsevier</b:Publisher>
    <b:YearAccessed>2025</b:YearAccessed>
    <b:URL>https://www.sciencedirect.com/science/article/abs/pii/S0378779616302632</b:URL>
    <b:DOI>https://doi.org/10.1016/j.epsr.2016.07.008</b:DOI>
    <b:Volume>141</b:Volume>
    <b:RefOrder>26</b:RefOrder>
  </b:Source>
  <b:Source>
    <b:Tag>Bjo85</b:Tag>
    <b:SourceType>JournalArticle</b:SourceType>
    <b:Guid>{A564F79B-DD30-4CA1-AC5B-E2003A498951}</b:Guid>
    <b:JournalName>IEEE Power Engineering Review</b:JournalName>
    <b:Year>1985</b:Year>
    <b:Pages>35</b:Pages>
    <b:Author>
      <b:Author>
        <b:NameList>
          <b:Person>
            <b:Last>Bjork</b:Last>
            <b:First>C.O.</b:First>
          </b:Person>
          <b:Person>
            <b:Last>Karlsson</b:Last>
            <b:First>Björn</b:First>
          </b:Person>
        </b:NameList>
      </b:Author>
    </b:Author>
    <b:Month>August</b:Month>
    <b:Day>31</b:Day>
    <b:Publisher>IEEE</b:Publisher>
    <b:Volume>5</b:Volume>
    <b:Issue>8</b:Issue>
    <b:YearAccessed>2025</b:YearAccessed>
    <b:URL>https://ieeexplore.ieee.org/document/5526380/authors</b:URL>
    <b:DOI>10.1109/MPER.1985.5526380</b:DOI>
    <b:Title>Load Management of Industrial Systems</b:Title>
    <b:RefOrder>20</b:RefOrder>
  </b:Source>
  <b:Source xmlns:b="http://schemas.openxmlformats.org/officeDocument/2006/bibliography">
    <b:Tag>Wil23</b:Tag>
    <b:SourceType>JournalArticle</b:SourceType>
    <b:Guid>{A035245A-5C19-4E0F-9A01-4867325CD2A5}</b:Guid>
    <b:Title>Demand Side Management in Industrial, Commercial, and Residential Sectors: A Review of Constraints and Considerations</b:Title>
    <b:Year>2023</b:Year>
    <b:Month>July</b:Month>
    <b:Day>4</b:Day>
    <b:URL>https://www.mdpi.com/1996-1073/16/13/5155</b:URL>
    <b:JournalName>Energies - A1: Smart Grids and Microgrids</b:JournalName>
    <b:Volume>16</b:Volume>
    <b:Issue>13</b:Issue>
    <b:YearAccessed>2025</b:YearAccessed>
    <b:DOI>https://doi.org/10.3390/en16135155</b:DOI>
    <b:Author>
      <b:Author>
        <b:NameList>
          <b:Person>
            <b:Last>Williams</b:Last>
            <b:First>Baxter</b:First>
          </b:Person>
          <b:Person>
            <b:Last>Bishop</b:Last>
            <b:First>Daniel</b:First>
          </b:Person>
          <b:Person>
            <b:Last>Gallardo</b:Last>
            <b:First>Patricio</b:First>
          </b:Person>
          <b:Person>
            <b:Last>Chase</b:Last>
            <b:Middle>Geoffrey</b:Middle>
            <b:First>J.</b:First>
          </b:Person>
          <b:Person>
            <b:Last>.</b:Last>
          </b:Person>
          <b:Person>
            <b:Last>.</b:Last>
          </b:Person>
          <b:Person>
            <b:Last>.</b:Last>
          </b:Person>
        </b:NameList>
      </b:Author>
    </b:Author>
    <b:RefOrder>5</b:RefOrder>
  </b:Source>
  <b:Source xmlns:b="http://schemas.openxmlformats.org/officeDocument/2006/bibliography">
    <b:Tag>DCC06</b:Tag>
    <b:SourceType>InternetSite</b:SourceType>
    <b:Guid>{2686C1AB-C341-4BB3-972A-D4BE3A3B493E}</b:Guid>
    <b:Author>
      <b:Author>
        <b:NameList>
          <b:Person>
            <b:Last>DCCEEW</b:Last>
          </b:Person>
        </b:NameList>
      </b:Author>
    </b:Author>
    <b:Title>ANZSIC code list</b:Title>
    <b:InternetSiteTitle>Australian Government | Department of Climate Change, Energy, the Environment and Water</b:InternetSiteTitle>
    <b:Year>2006</b:Year>
    <b:URL>https://www.dcceew.gov.au/environment/protection/npi/reporting/industry-reporting-materials/anzsic-code-list</b:URL>
    <b:RefOrder>30</b:RefOrder>
  </b:Source>
  <b:Source>
    <b:Tag>Ene25</b:Tag>
    <b:SourceType>InternetSite</b:SourceType>
    <b:Guid>{F275ED51-AFE4-41CB-8E18-3D231D32D912}</b:Guid>
    <b:Title>Energy consumption - NSW State of the Environment Report</b:Title>
    <b:InternetSiteTitle>EPA | NSW State of Environment</b:InternetSiteTitle>
    <b:Year>2025</b:Year>
    <b:URL>https://www.soe.epa.nsw.gov.au/all-themes/people-and-industry/energy-consumption</b:URL>
    <b:RefOrder>6</b:RefOrder>
  </b:Source>
  <b:Source>
    <b:Tag>Las23</b:Tag>
    <b:SourceType>JournalArticle</b:SourceType>
    <b:Guid>{C6A83B54-7263-447C-A1A2-A19CEE3F9F9F}</b:Guid>
    <b:Title>Activating electricity system demand response for commercial and industrial organisation</b:Title>
    <b:Year>2023</b:Year>
    <b:Month>July</b:Month>
    <b:Day>24</b:Day>
    <b:URL>https://espace.library.uq.edu.au/view/UQ:682857d</b:URL>
    <b:Author>
      <b:Author>
        <b:NameList>
          <b:Person>
            <b:Last>Lashmar</b:Last>
            <b:First>N.</b:First>
          </b:Person>
          <b:Person>
            <b:Last>Wade</b:Last>
            <b:First>B.</b:First>
          </b:Person>
          <b:Person>
            <b:Last>Molyneaux</b:Last>
            <b:First>L.</b:First>
          </b:Person>
          <b:Person>
            <b:Last>Ashworth</b:Last>
            <b:First>P.</b:First>
          </b:Person>
          <b:Person>
            <b:Last>.</b:Last>
          </b:Person>
          <b:Person>
            <b:Last>.</b:Last>
          </b:Person>
          <b:Person>
            <b:Last>.</b:Last>
          </b:Person>
        </b:NameList>
      </b:Author>
    </b:Author>
    <b:JournalName>Australasian Journal of Environmenal Management</b:JournalName>
    <b:Publisher>Taylor and Francis</b:Publisher>
    <b:Volume>30</b:Volume>
    <b:YearAccessed>2026</b:YearAccessed>
    <b:MonthAccessed>February</b:MonthAccessed>
    <b:DOI> https://doi.org/10.1080/14486563.2023.2242317</b:DOI>
    <b:RefOrder>27</b:RefOrder>
  </b:Source>
  <b:Source>
    <b:Tag>AEM26</b:Tag>
    <b:SourceType>JournalArticle</b:SourceType>
    <b:Guid>{3C99918D-6B9A-4D41-90F5-E41590EBFF67}</b:Guid>
    <b:Author>
      <b:Author>
        <b:Corporate>AEMO</b:Corporate>
      </b:Author>
    </b:Author>
    <b:Title>Integrated System Plan 2026</b:Title>
    <b:Year>2026</b:Year>
    <b:URL>https://www.aemo.com.au/-/media/files/major-publications/isp/2026/2026-integrated-system-plan-isp.pdf?rev=f2f142d0a8d740a986f186da17bb8a9d&amp;sc_lang=en</b:URL>
    <b:RefOrder>10</b:RefOrder>
  </b:Source>
  <b:Source>
    <b:Tag>Cli22</b:Tag>
    <b:SourceType>InternetSite</b:SourceType>
    <b:Guid>{B8C06DA9-5208-4212-82F1-311A5D226472}</b:Guid>
    <b:Title>Climateworks Centre</b:Title>
    <b:Year>2022</b:Year>
    <b:InternetSiteTitle>Setting up industrial regions for net zero’ report finds huge potential for decarbonisation</b:InternetSiteTitle>
    <b:Month>06</b:Month>
    <b:Day>20</b:Day>
    <b:URL>https://climateworkscentre.org/news/setting-up-industrial-regions-for-net-zero-report-finds-huge-potential-for-decarbonisation/</b:URL>
    <b:RefOrder>28</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92313-5082-43CE-B5AD-689D372B0B46}">
  <ds:schemaRefs>
    <ds:schemaRef ds:uri="http://schemas.microsoft.com/office/2006/metadata/properties"/>
    <ds:schemaRef ds:uri="http://schemas.microsoft.com/office/infopath/2007/PartnerControls"/>
    <ds:schemaRef ds:uri="70df6975-045d-4392-aa05-5956550c6696"/>
  </ds:schemaRefs>
</ds:datastoreItem>
</file>

<file path=customXml/itemProps2.xml><?xml version="1.0" encoding="utf-8"?>
<ds:datastoreItem xmlns:ds="http://schemas.openxmlformats.org/officeDocument/2006/customXml" ds:itemID="{99468DD2-BB05-405B-832E-11CE94291171}">
  <ds:schemaRefs>
    <ds:schemaRef ds:uri="http://schemas.openxmlformats.org/officeDocument/2006/bibliography"/>
  </ds:schemaRefs>
</ds:datastoreItem>
</file>

<file path=customXml/itemProps3.xml><?xml version="1.0" encoding="utf-8"?>
<ds:datastoreItem xmlns:ds="http://schemas.openxmlformats.org/officeDocument/2006/customXml" ds:itemID="{85FA4F44-9B58-4C86-BD1E-FA508F7521EC}">
  <ds:schemaRefs>
    <ds:schemaRef ds:uri="http://schemas.microsoft.com/sharepoint/v3/contenttype/forms"/>
  </ds:schemaRefs>
</ds:datastoreItem>
</file>

<file path=customXml/itemProps4.xml><?xml version="1.0" encoding="utf-8"?>
<ds:datastoreItem xmlns:ds="http://schemas.openxmlformats.org/officeDocument/2006/customXml" ds:itemID="{E3D74FCE-C399-4229-A273-D17D10CC8807}"/>
</file>

<file path=docProps/app.xml><?xml version="1.0" encoding="utf-8"?>
<Properties xmlns="http://schemas.openxmlformats.org/officeDocument/2006/extended-properties" xmlns:vt="http://schemas.openxmlformats.org/officeDocument/2006/docPropsVTypes">
  <Template>Normal.dotm</Template>
  <TotalTime>9</TotalTime>
  <Pages>76</Pages>
  <Words>29988</Words>
  <Characters>178134</Characters>
  <Application>Microsoft Office Word</Application>
  <DocSecurity>0</DocSecurity>
  <Lines>4344</Lines>
  <Paragraphs>2668</Paragraphs>
  <ScaleCrop>false</ScaleCrop>
  <HeadingPairs>
    <vt:vector size="2" baseType="variant">
      <vt:variant>
        <vt:lpstr>Title</vt:lpstr>
      </vt:variant>
      <vt:variant>
        <vt:i4>1</vt:i4>
      </vt:variant>
    </vt:vector>
  </HeadingPairs>
  <TitlesOfParts>
    <vt:vector size="1" baseType="lpstr">
      <vt:lpstr>Topic 6 - Essential System Services</vt:lpstr>
    </vt:vector>
  </TitlesOfParts>
  <Manager>Jemima Jackson</Manager>
  <Company>Advitech Pty Limited</Company>
  <LinksUpToDate>false</LinksUpToDate>
  <CharactersWithSpaces>205454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Characterisation of Load for Essential Services</dc:title>
  <dc:subject>Topic 6 - Essential System Services</dc:subject>
  <dc:creator>Öleg Fina</dc:creator>
  <cp:keywords/>
  <dc:description/>
  <cp:lastModifiedBy>Abby Yates</cp:lastModifiedBy>
  <cp:revision>4</cp:revision>
  <cp:lastPrinted>2026-05-31T01:23:00Z</cp:lastPrinted>
  <dcterms:created xsi:type="dcterms:W3CDTF">2026-07-01T01:24:00Z</dcterms:created>
  <dcterms:modified xsi:type="dcterms:W3CDTF">2026-07-01T01:30:00Z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Australian Research in Power System Transformation</vt:lpwstr>
  </property>
  <property fmtid="{D5CDD505-2E9C-101B-9397-08002B2CF9AE}" pid="3" name="Client">
    <vt:lpwstr>Commonwealth Scientific and Industrial Research Organisation &amp; AEMO</vt:lpwstr>
  </property>
  <property fmtid="{D5CDD505-2E9C-101B-9397-08002B2CF9AE}" pid="4" name="Job No">
    <vt:lpwstr>AV-J-251198</vt:lpwstr>
  </property>
  <property fmtid="{D5CDD505-2E9C-101B-9397-08002B2CF9AE}" pid="5" name="Folder No">
    <vt:lpwstr>F23905</vt:lpwstr>
  </property>
  <property fmtid="{D5CDD505-2E9C-101B-9397-08002B2CF9AE}" pid="6" name="Date completed">
    <vt:lpwstr>1 Jul 2026</vt:lpwstr>
  </property>
  <property fmtid="{D5CDD505-2E9C-101B-9397-08002B2CF9AE}" pid="7" name="Status">
    <vt:lpwstr>Final</vt:lpwstr>
  </property>
  <property fmtid="{D5CDD505-2E9C-101B-9397-08002B2CF9AE}" pid="8" name="Revision">
    <vt:lpwstr>1</vt:lpwstr>
  </property>
  <property fmtid="{D5CDD505-2E9C-101B-9397-08002B2CF9AE}" pid="9" name="Client Reference">
    <vt:lpwstr>Client reference number if applicable</vt:lpwstr>
  </property>
  <property fmtid="{D5CDD505-2E9C-101B-9397-08002B2CF9AE}" pid="10" name="Document Reference">
    <vt:lpwstr>e.g. 201/202/501/502</vt:lpwstr>
  </property>
  <property fmtid="{D5CDD505-2E9C-101B-9397-08002B2CF9AE}" pid="11" name="ContentTypeId">
    <vt:lpwstr>0x0101000C8F0020DBE78B4C8349C67EFC5934E6</vt:lpwstr>
  </property>
  <property fmtid="{D5CDD505-2E9C-101B-9397-08002B2CF9AE}" pid="12" name="GrammarlyDocumentId">
    <vt:lpwstr>2e95ccac-cc9a-4140-bca3-bfb74c661715</vt:lpwstr>
  </property>
</Properties>
</file>